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面部皮肤分析系统、超纯水系统、面部皮肤注射泵采购项目(二次)</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CGXM-2024-350001-15407[2024]11260</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[350001]FXZB[GK]2024080-1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福建医科大学附属第一医院</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福建方兴招标代理有限公司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2025年02月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福建方兴招标代理有限公司</w:t>
      </w:r>
      <w:r>
        <w:rPr>
          <w:rFonts w:ascii="仿宋_GB2312" w:hAnsi="仿宋_GB2312" w:cs="仿宋_GB2312" w:eastAsia="仿宋_GB2312"/>
        </w:rPr>
        <w:t xml:space="preserve"> 采用公开招标方式组织 </w:t>
      </w:r>
      <w:r>
        <w:rPr>
          <w:rFonts w:ascii="仿宋_GB2312" w:hAnsi="仿宋_GB2312" w:cs="仿宋_GB2312" w:eastAsia="仿宋_GB2312"/>
        </w:rPr>
        <w:t>面部皮肤分析系统、超纯水系统、面部皮肤注射泵采购项目(二次)</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CGXM-2024-350001-15407[2024]11260</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[350001]FXZB[GK]2024080-1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不适用。</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适用于（本项目），按照财库〔2019〕9号、财库〔2019〕19号、《市场监管总局关于发布参与实施政府采购节能产品、环境标志产品认证机构名录的公告》（2019年第16号）文件等规定执行。</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适用于（本项目），按照财库〔2019〕9号、财库〔2019〕18号、《市场监管总局关于发布参与实施政府采购节能产品、环境标志产品认证机构名录的公告》（2019年第16号）文件等规定执行。</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中小企业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招标文件规定的其他资格证明文件（若有）</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福建医科大学附属第一医院</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福州市台江区茶中路20号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350004</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张美玲、赵文珣</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0591-87981187</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福建方兴招标代理有限公司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华大街道鼓屏路192号山海大厦11层6#</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350003</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刘滢、唐宝玲</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0591-87278256</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福建方兴招标代理有限公司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472,800.00</w:t>
      </w:r>
    </w:p>
    <w:p>
      <w:pPr>
        <w:pStyle w:val="null3"/>
        <w:jc w:val="left"/>
      </w:pPr>
      <w:r>
        <w:rPr>
          <w:rFonts w:ascii="仿宋_GB2312" w:hAnsi="仿宋_GB2312" w:cs="仿宋_GB2312" w:eastAsia="仿宋_GB2312"/>
        </w:rPr>
        <w:t>采购包最高限价（元）: 472,800.00</w:t>
      </w:r>
    </w:p>
    <w:p>
      <w:pPr>
        <w:pStyle w:val="null3"/>
        <w:jc w:val="left"/>
      </w:pPr>
      <w:r>
        <w:rPr>
          <w:rFonts w:ascii="仿宋_GB2312" w:hAnsi="仿宋_GB2312" w:cs="仿宋_GB2312" w:eastAsia="仿宋_GB2312"/>
        </w:rPr>
        <w:t>采购包保证金金额（元）: 4,728.00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面部皮肤分析系统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298,000.00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2</w:t>
            </w:r>
          </w:p>
        </w:tc>
        <w:tc>
          <w:tcPr>
            <w:tcW w:type="dxa" w:w="1187"/>
          </w:tcPr>
          <w:p>
            <w:pPr>
              <w:pStyle w:val="null3"/>
              <w:jc w:val="left"/>
            </w:pPr>
            <w:r>
              <w:rPr>
                <w:rFonts w:ascii="仿宋_GB2312" w:hAnsi="仿宋_GB2312" w:cs="仿宋_GB2312" w:eastAsia="仿宋_GB2312"/>
              </w:rPr>
              <w:t>超纯水系统</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75,000.00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r>
        <w:tc>
          <w:tcPr>
            <w:tcW w:type="dxa" w:w="1187"/>
          </w:tcPr>
          <w:p>
            <w:pPr>
              <w:pStyle w:val="null3"/>
              <w:jc w:val="left"/>
            </w:pPr>
            <w:r>
              <w:rPr>
                <w:rFonts w:ascii="仿宋_GB2312" w:hAnsi="仿宋_GB2312" w:cs="仿宋_GB2312" w:eastAsia="仿宋_GB2312"/>
              </w:rPr>
              <w:t>3</w:t>
            </w:r>
          </w:p>
        </w:tc>
        <w:tc>
          <w:tcPr>
            <w:tcW w:type="dxa" w:w="1187"/>
          </w:tcPr>
          <w:p>
            <w:pPr>
              <w:pStyle w:val="null3"/>
              <w:jc w:val="left"/>
            </w:pPr>
            <w:r>
              <w:rPr>
                <w:rFonts w:ascii="仿宋_GB2312" w:hAnsi="仿宋_GB2312" w:cs="仿宋_GB2312" w:eastAsia="仿宋_GB2312"/>
              </w:rPr>
              <w:t>面部皮肤注射泵</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99,800.00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面部皮肤分析系统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超纯水系统</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面部皮肤注射泵</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99,800.00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面部皮肤分析系统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面部皮肤分析系统</w:t>
            </w:r>
          </w:p>
        </w:tc>
        <w:tc>
          <w:tcPr>
            <w:tcW w:type="dxa" w:w="2076"/>
          </w:tcPr>
          <w:p>
            <w:pPr>
              <w:pStyle w:val="null3"/>
              <w:jc w:val="left"/>
            </w:pPr>
            <w:r>
              <w:rPr>
                <w:rFonts w:ascii="仿宋_GB2312" w:hAnsi="仿宋_GB2312" w:cs="仿宋_GB2312" w:eastAsia="仿宋_GB2312"/>
              </w:rPr>
              <w:t>面部皮肤分析系统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298,000.00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超纯水系统</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超纯水系统</w:t>
            </w:r>
          </w:p>
        </w:tc>
        <w:tc>
          <w:tcPr>
            <w:tcW w:type="dxa" w:w="2076"/>
          </w:tcPr>
          <w:p>
            <w:pPr>
              <w:pStyle w:val="null3"/>
              <w:jc w:val="left"/>
            </w:pPr>
            <w:r>
              <w:rPr>
                <w:rFonts w:ascii="仿宋_GB2312" w:hAnsi="仿宋_GB2312" w:cs="仿宋_GB2312" w:eastAsia="仿宋_GB2312"/>
              </w:rPr>
              <w:t>超纯水系统</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75,000.00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面部皮肤注射泵</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面部皮肤注射泵</w:t>
            </w:r>
          </w:p>
        </w:tc>
        <w:tc>
          <w:tcPr>
            <w:tcW w:type="dxa" w:w="2076"/>
          </w:tcPr>
          <w:p>
            <w:pPr>
              <w:pStyle w:val="null3"/>
              <w:jc w:val="left"/>
            </w:pPr>
            <w:r>
              <w:rPr>
                <w:rFonts w:ascii="仿宋_GB2312" w:hAnsi="仿宋_GB2312" w:cs="仿宋_GB2312" w:eastAsia="仿宋_GB2312"/>
              </w:rPr>
              <w:t>面部皮肤注射泵</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99,800.00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a.按照评标总得分由高到低顺序排列。 b.评标总得分相同的，按照投标报价由低到高顺序排列。 c.评标总得分且投标报价相同的，按照技术指标优劣（即F2项的得分高低）顺序排列。 d.其他：若以上全部相同则随机抽取。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福建方兴招标代理有限公司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福建省财政厅政府采购监督管理办公室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以中标通知书载明的中标金额作为收费的计算基数。2）①收费费率标准：招标代理服务费按中标金额进行计算，计算标准：100万元以内按照1.5%收取；货物、服务、工程类项目中标金额在100万元（含）以下的招标代理委托项目，代理服务费原则上按照标准下浮20%计取。②中标人在领取中标通知书前以转账方式一次性付清招标代理服务费。 ③招标代理服务费专用账号：117010100100003202；开户名称：福建方兴招标代理有限公司；开户行：兴业银行股份有限公司福州总行大厦营业部。</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所有资格证明文件应是有效、完整、清晰的，有年检要求的应符合规定，有变更事宜的，变更文件应附齐全。资格审查小组对投标人所提供的资格类文件仅负审核责任。即使投标人所提交的资格类文件通过了审核，在评标过程中乃至确定中标人后，如发现投标人所提供的资格类文件不合法或不真实，仍可废除中标人中标资格并追究中标人的法律责任。 （3）质疑受理的其他要求： ①质疑人为法人或其他组织的，质疑函需加盖质疑人单位公章；若本项目接受自然人投标且质疑人为自然人的，质疑函需质疑人本人签名。否则质疑将不予受理。 ②在法定质疑期内质疑人须一次性提出针对同一采购程序环节的质疑，二（多）次质疑不予受理。 ③质疑人在递交质疑函时除应提供本招标文件规定的相关材料外，还须提供质疑人已在福建省政府采购网上公开信息系统上获取招标文件的证明文件（体现查看时间或获取招标文件时间，查看时间或获取招标文件时间以福建省政府采购网上公开信息系统记载为准。），否则递交的质疑函将不予受理。 （4）无效标条款： 以下为可能导致投标无效的条款，具体内容详见招标文件各章节，请各投标人认真查看对照。 ①投标有效期不符合招标文件第二章投标人须知前附表中表1第4项号规定的； ②出现招标文件第二章投标人须知前附表中表2“关于电子招标投标活动的专门规定”中投标无效规定的； ③出现招标文件第三章投标人须知第9项、第10.6项、第10.8项、第10.9项、第10.12项条款中投标无效规定的； ④出现招标文件第四章资格审查与评标第1.4项、第6.2项、第6.3项、第6.4项、第6.7项、第6.9项、第7项、第8.3项条款中投标无效规定的； ⑤出现招标文件第五章招标内容及要求中投标无效规定或“★”标示的内容为负偏离的。</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无</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a.通过远程参与开标流程的投标人，投标人可远程线上解密（相关操作手册可查看福建省政府采购网首页操作指南），现场参与开标流程的投标人请携带CA证书到开标现场进行解密，选择携带CA证书并由代理机构进行解密的应在投标截止时间前到达开标现场，否则不予接收。投标人选择远程线上解密的，无须将CA证书送至开标地点。b.投标人不到开标现场的，请在开标时自行登录采购系统，线上参与开标流程，并按规定在相应时段对投标文件进行远程解密、远程签章。c.投标人应确保自身设施、设备、网络环境状况良好，在操作过程中因投标人自身原因造成无法正常观看开标流程、远程解密或签章的，后果由投标人自行承担。d.在规定的时间内正确提交电子投标文件的投标人在开标时将由系统判定签到情况，投标人应在远程解密开启后在规定时间内使用CA数字证书进行投标文件的解密操作，逾期未解密的视为自行放弃投标。e.开标结束后，投标人应当对开标结果进行签章，并在远程签章开放后的规定时间内完成，逾期未签章的视为认同开标结果。f.远程解密及远程签章的开放起始时间均在开标过程中临时开启，各环节的解密、签章时限规定为30分钟，请投标人务必密切关注实时开标流程，并根据流程在系统内按时操作，否则产生的后果由投标人自行承担。</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福建方兴招标代理有限公司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福建方兴招标代理有限公司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福建方兴招标代理有限公司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福建方兴招标代理有限公司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福建方兴招标代理有限公司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福建方兴招标代理有限公司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福建方兴招标代理有限公司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福建方兴招标代理有限公司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福建方兴招标代理有限公司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福建方兴招标代理有限公司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福建方兴招标代理有限公司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福建方兴招标代理有限公司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福建方兴招标代理有限公司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福建方兴招标代理有限公司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福建方兴招标代理有限公司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福建方兴招标代理有限公司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福建方兴招标代理有限公司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福建方兴招标代理有限公司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福建方兴招标代理有限公司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福建方兴招标代理有限公司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福建方兴招标代理有限公司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福建方兴招标代理有限公司</w:t>
      </w:r>
      <w:r>
        <w:rPr>
          <w:rFonts w:ascii="仿宋_GB2312" w:hAnsi="仿宋_GB2312" w:cs="仿宋_GB2312" w:eastAsia="仿宋_GB2312"/>
        </w:rPr>
        <w:t xml:space="preserve"> 提出询问， </w:t>
      </w:r>
      <w:r>
        <w:rPr>
          <w:rFonts w:ascii="仿宋_GB2312" w:hAnsi="仿宋_GB2312" w:cs="仿宋_GB2312" w:eastAsia="仿宋_GB2312"/>
        </w:rPr>
        <w:t>福建方兴招标代理有限公司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福建方兴招标代理有限公司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福建方兴招标代理有限公司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由福建方兴招标代理有限公司派出的工作人员至少1人，</w:t>
      </w:r>
      <w:r>
        <w:rPr>
          <w:rFonts w:ascii="仿宋_GB2312" w:hAnsi="仿宋_GB2312" w:cs="仿宋_GB2312" w:eastAsia="仿宋_GB2312"/>
        </w:rPr>
        <w:t>其余1人可为采购人代表或福建方兴招标代理有限公司的工作人员。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招标文件规定的其他资格证明文件（若有）</w:t>
            </w:r>
          </w:p>
        </w:tc>
        <w:tc>
          <w:tcPr>
            <w:tcW w:type="dxa" w:w="4614"/>
          </w:tcPr>
          <w:p>
            <w:pPr>
              <w:pStyle w:val="null3"/>
              <w:jc w:val="left"/>
            </w:pPr>
            <w:r>
              <w:rPr>
                <w:rFonts w:ascii="仿宋_GB2312" w:hAnsi="仿宋_GB2312" w:cs="仿宋_GB2312" w:eastAsia="仿宋_GB2312"/>
              </w:rPr>
              <w:t>所投货物若属于医疗器械管理范畴，按照国家《医疗器械监督管理条例》，应符合以下标准：①投标人为制造商的，须提供《医疗器械生产企业许可证》（进口产品除外）；投标人为经销商的，投标货物若属于三类医疗器械，须提供《医疗器械经营企业许可证》，投标货物若属于二类医疗器械，也可提供《二类医疗器械的经营备案凭证》，投标货物若属于一类医疗器械，则无须提供此项；②投标货物若属于《医疗器械监督管理条例》规定的第一类医疗器械产品应提供《第一类医疗器械备案凭证》，若属于第二类、第三类医疗器械产品应取得《医疗器械注册证》(如有注册登记表应提供)。注：所有资格证明文件复印件须在有效期内。</w:t>
            </w:r>
          </w:p>
        </w:tc>
      </w:tr>
      <w:tr>
        <w:tc>
          <w:tcPr>
            <w:tcW w:type="dxa" w:w="3692"/>
          </w:tcPr>
          <w:p>
            <w:pPr>
              <w:pStyle w:val="null3"/>
              <w:jc w:val="left"/>
            </w:pPr>
            <w:r>
              <w:rPr>
                <w:rFonts w:ascii="仿宋_GB2312" w:hAnsi="仿宋_GB2312" w:cs="仿宋_GB2312" w:eastAsia="仿宋_GB2312"/>
              </w:rPr>
              <w:t>本采购包属于专门面向中小企业采购。</w:t>
            </w:r>
          </w:p>
        </w:tc>
        <w:tc>
          <w:tcPr>
            <w:tcW w:type="dxa" w:w="4614"/>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资格及资信证明部分中不得出现报价部分的全部或部分的投标报价信息（或组成资料），否则资格性审查不合格。</w:t>
            </w:r>
          </w:p>
        </w:tc>
      </w:tr>
    </w:tbl>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福建方兴招标代理有限公司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福建方兴招标代理有限公司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福建方兴招标代理有限公司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福建方兴招标代理有限公司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福建方兴招标代理有限公司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（1）技术部分中不得出现报价部分的全部或部分的投标报价信息（或组成资料），否则符合性审查不合格。（2）技术部分不符合评标方法和标准中规定的实质性要求条款的，按无效标处理。</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（1）商务部分中不得出现报价部分的全部或部分的投标报价信息（或组成资料），否则符合性审查不合格。（2）投标人未在投标文件中完全响应招标文件第五章“三、商务条件”全部内容的，按无效标处理。</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财办库〔2024〕265号），一、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二、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三、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无</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福建方兴招标代理有限公司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p>
      <w:pPr>
        <w:pStyle w:val="null3"/>
        <w:jc w:val="both"/>
      </w:pPr>
      <w:r>
        <w:rPr>
          <w:rFonts w:ascii="仿宋_GB2312" w:hAnsi="仿宋_GB2312" w:cs="仿宋_GB2312" w:eastAsia="仿宋_GB2312"/>
        </w:rPr>
        <w:t>价格扣除的规则如下：</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both"/>
            </w:pPr>
            <w:r>
              <w:rPr>
                <w:rFonts w:ascii="仿宋_GB2312" w:hAnsi="仿宋_GB2312" w:cs="仿宋_GB2312" w:eastAsia="仿宋_GB2312"/>
              </w:rPr>
              <w:t xml:space="preserve"> 项目</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4153"/>
          </w:tcPr>
          <w:p>
            <w:pPr>
              <w:pStyle w:val="null3"/>
              <w:jc w:val="both"/>
            </w:pPr>
            <w:r>
              <w:rPr>
                <w:rFonts w:ascii="仿宋_GB2312" w:hAnsi="仿宋_GB2312" w:cs="仿宋_GB2312" w:eastAsia="仿宋_GB2312"/>
              </w:rPr>
              <w:t xml:space="preserve"> 描述</w:t>
            </w:r>
          </w:p>
        </w:tc>
      </w:tr>
    </w:tbl>
    <w:p>
      <w:pPr>
        <w:pStyle w:val="null3"/>
        <w:jc w:val="both"/>
      </w:pPr>
      <w:r>
        <w:rPr>
          <w:rFonts w:ascii="仿宋_GB2312" w:hAnsi="仿宋_GB2312" w:cs="仿宋_GB2312" w:eastAsia="仿宋_GB2312"/>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both"/>
            </w:pPr>
            <w:r>
              <w:rPr>
                <w:rFonts w:ascii="仿宋_GB2312" w:hAnsi="仿宋_GB2312" w:cs="仿宋_GB2312" w:eastAsia="仿宋_GB2312"/>
              </w:rPr>
              <w:t xml:space="preserve"> 项目</w:t>
            </w:r>
          </w:p>
        </w:tc>
        <w:tc>
          <w:tcPr>
            <w:tcW w:type="dxa" w:w="1038"/>
          </w:tcPr>
          <w:p>
            <w:pPr>
              <w:pStyle w:val="null3"/>
              <w:jc w:val="both"/>
            </w:pPr>
            <w:r>
              <w:rPr>
                <w:rFonts w:ascii="仿宋_GB2312" w:hAnsi="仿宋_GB2312" w:cs="仿宋_GB2312" w:eastAsia="仿宋_GB2312"/>
              </w:rPr>
              <w:t xml:space="preserve"> 比例</w:t>
            </w:r>
          </w:p>
        </w:tc>
        <w:tc>
          <w:tcPr>
            <w:tcW w:type="dxa" w:w="5191"/>
          </w:tcPr>
          <w:p>
            <w:pPr>
              <w:pStyle w:val="null3"/>
              <w:jc w:val="both"/>
            </w:pPr>
            <w:r>
              <w:rPr>
                <w:rFonts w:ascii="仿宋_GB2312" w:hAnsi="仿宋_GB2312" w:cs="仿宋_GB2312" w:eastAsia="仿宋_GB2312"/>
              </w:rPr>
              <w:t xml:space="preserve"> 方法</w:t>
            </w:r>
          </w:p>
        </w:tc>
      </w:tr>
      <w:tr>
        <w:tc>
          <w:tcPr>
            <w:tcW w:type="dxa" w:w="2076"/>
          </w:tcPr>
          <w:p>
            <w:pPr>
              <w:pStyle w:val="null3"/>
              <w:jc w:val="both"/>
            </w:pPr>
            <w:r>
              <w:rPr>
                <w:rFonts w:ascii="仿宋_GB2312" w:hAnsi="仿宋_GB2312" w:cs="仿宋_GB2312" w:eastAsia="仿宋_GB2312"/>
              </w:rPr>
              <w:t>节能、环境标志产品</w:t>
            </w:r>
          </w:p>
        </w:tc>
        <w:tc>
          <w:tcPr>
            <w:tcW w:type="dxa" w:w="1038"/>
          </w:tcPr>
          <w:p>
            <w:pPr>
              <w:pStyle w:val="null3"/>
              <w:jc w:val="right"/>
            </w:pPr>
            <w:r>
              <w:rPr>
                <w:rFonts w:ascii="仿宋_GB2312" w:hAnsi="仿宋_GB2312" w:cs="仿宋_GB2312" w:eastAsia="仿宋_GB2312"/>
              </w:rPr>
              <w:t>10.00%</w:t>
            </w:r>
          </w:p>
        </w:tc>
        <w:tc>
          <w:tcPr>
            <w:tcW w:type="dxa" w:w="5191"/>
          </w:tcPr>
          <w:p>
            <w:pPr>
              <w:pStyle w:val="null3"/>
              <w:jc w:val="both"/>
            </w:pPr>
            <w:r>
              <w:rPr>
                <w:rFonts w:ascii="仿宋_GB2312" w:hAnsi="仿宋_GB2312" w:cs="仿宋_GB2312" w:eastAsia="仿宋_GB2312"/>
              </w:rPr>
              <w:t>1、同一采购包内，对节能产品、环境标志产品政府采购品目清单范围内，实施优先采购的产品，给予产品价格报价10%的扣除，用扣除后的价格参加评审。采购标的同时包含其它非优先采购产品的，应当在采购文件中要求供应商对优先采购产品和非优先采购产品进行分项报价，非优先采购产品的报价不得享受给予节能产品、环境标志产品的价格扣除优惠。2、同一优先采购产品中各认证证书不重复计算价格扣除。强制类节能产品不进行价格扣除。</w:t>
            </w:r>
          </w:p>
        </w:tc>
      </w:tr>
    </w:tbl>
    <w:p>
      <w:pPr>
        <w:pStyle w:val="null3"/>
        <w:jc w:val="both"/>
      </w:pPr>
      <w:r>
        <w:rPr>
          <w:rFonts w:ascii="仿宋_GB2312" w:hAnsi="仿宋_GB2312" w:cs="仿宋_GB2312" w:eastAsia="仿宋_GB2312"/>
        </w:rPr>
        <w:t>其他：无</w:t>
      </w:r>
    </w:p>
    <w:p>
      <w:pPr>
        <w:pStyle w:val="null3"/>
        <w:jc w:val="both"/>
      </w:pPr>
      <w:r>
        <w:rPr>
          <w:rFonts w:ascii="仿宋_GB2312" w:hAnsi="仿宋_GB2312" w:cs="仿宋_GB2312" w:eastAsia="仿宋_GB2312"/>
        </w:rPr>
        <w:t>技术项（F2×A2）满分为60.0000分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投标产品技术响应情况</w:t>
            </w:r>
          </w:p>
        </w:tc>
        <w:tc>
          <w:tcPr>
            <w:tcW w:type="dxa" w:w="831"/>
          </w:tcPr>
          <w:p>
            <w:pPr>
              <w:pStyle w:val="null3"/>
              <w:jc w:val="right"/>
            </w:pPr>
            <w:r>
              <w:rPr>
                <w:rFonts w:ascii="仿宋_GB2312" w:hAnsi="仿宋_GB2312" w:cs="仿宋_GB2312" w:eastAsia="仿宋_GB2312"/>
              </w:rPr>
              <w:t>60.00</w:t>
            </w:r>
          </w:p>
        </w:tc>
        <w:tc>
          <w:tcPr>
            <w:tcW w:type="dxa" w:w="4153"/>
          </w:tcPr>
          <w:p>
            <w:pPr>
              <w:pStyle w:val="null3"/>
              <w:jc w:val="both"/>
            </w:pPr>
            <w:r>
              <w:rPr>
                <w:rFonts w:ascii="仿宋_GB2312" w:hAnsi="仿宋_GB2312" w:cs="仿宋_GB2312" w:eastAsia="仿宋_GB2312"/>
              </w:rPr>
              <w:t>投标人必须如实地对招标文件第五章招标内容及要求中技术和服务要求的各条款作出明确的逐项响应，在《技术和服务要求响应表》中列明是否偏离，并对其真实性负责。完全满足技术和服务要求的得满分60.00分。带有“▲”号标注的是关键技术参数要求，如投标人所投产品不能满足要求每负偏离一项扣3.0分；未加注“▲”号标注的技术参数，如不能满足要求每负偏离一项扣0.9分；扣完为止。注：本项目技术参数标注“▲”号的共有2条，技术参数未标注“▲”号的共有60条。标记“★”的技术要求为不允许负偏离的实质性要求，出现负偏离按无效投标处理。</w:t>
            </w:r>
          </w:p>
        </w:tc>
      </w:tr>
    </w:tbl>
    <w:p>
      <w:pPr>
        <w:pStyle w:val="null3"/>
        <w:jc w:val="both"/>
      </w:pPr>
      <w:r>
        <w:rPr>
          <w:rFonts w:ascii="仿宋_GB2312" w:hAnsi="仿宋_GB2312" w:cs="仿宋_GB2312" w:eastAsia="仿宋_GB2312"/>
        </w:rPr>
        <w:t>商务项（F3×A3）满分为10.0000分</w:t>
      </w:r>
    </w:p>
    <w:tbl>
      <w:tblPr>
        <w:tblW w:w="0" w:type="auto"/>
        <w:tblBorders>
          <w:top w:val="single"/>
          <w:left w:val="single"/>
          <w:bottom w:val="single"/>
          <w:right w:val="single"/>
          <w:insideH w:val="single"/>
          <w:insideV w:val="single"/>
        </w:tblBorders>
      </w:tblPr>
      <w:tblGrid>
        <w:gridCol w:w="3322"/>
        <w:gridCol w:w="831"/>
        <w:gridCol w:w="4153"/>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3"/>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质保期</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根据各投标人对投标货物保修期的承诺情况由评委进行评分，在招标文件要求的基础（2年）上延长一年(只针对整个采购包所有设备的免费保修延长)得1分，满分3分。未延长的不得分。</w:t>
            </w:r>
          </w:p>
        </w:tc>
      </w:tr>
      <w:tr>
        <w:tc>
          <w:tcPr>
            <w:tcW w:type="dxa" w:w="3322"/>
          </w:tcPr>
          <w:p>
            <w:pPr>
              <w:pStyle w:val="null3"/>
              <w:jc w:val="both"/>
            </w:pPr>
            <w:r>
              <w:rPr>
                <w:rFonts w:ascii="仿宋_GB2312" w:hAnsi="仿宋_GB2312" w:cs="仿宋_GB2312" w:eastAsia="仿宋_GB2312"/>
              </w:rPr>
              <w:t>业绩</w:t>
            </w:r>
          </w:p>
        </w:tc>
        <w:tc>
          <w:tcPr>
            <w:tcW w:type="dxa" w:w="831"/>
          </w:tcPr>
          <w:p>
            <w:pPr>
              <w:pStyle w:val="null3"/>
              <w:jc w:val="right"/>
            </w:pPr>
            <w:r>
              <w:rPr>
                <w:rFonts w:ascii="仿宋_GB2312" w:hAnsi="仿宋_GB2312" w:cs="仿宋_GB2312" w:eastAsia="仿宋_GB2312"/>
              </w:rPr>
              <w:t>3.00</w:t>
            </w:r>
          </w:p>
        </w:tc>
        <w:tc>
          <w:tcPr>
            <w:tcW w:type="dxa" w:w="4153"/>
          </w:tcPr>
          <w:p>
            <w:pPr>
              <w:pStyle w:val="null3"/>
              <w:jc w:val="both"/>
            </w:pPr>
            <w:r>
              <w:rPr>
                <w:rFonts w:ascii="仿宋_GB2312" w:hAnsi="仿宋_GB2312" w:cs="仿宋_GB2312" w:eastAsia="仿宋_GB2312"/>
              </w:rPr>
              <w:t>评委会根据各投标人所提供的2021年1月1日（日期以合同为准）至今由投标人所完成的与本次投标同类产品的销售业绩进行评分，每提供1份业绩证明材料的得1分，累计最高得3分。投标人须在投标文件中提供该业绩项目以下资料复印件：①中标成交公告（提供相关网站中标或成交公告的下载网页及其网址）；②中标（成交）通知书；③采购合同文本；④能够证明该业绩项目已经采购人验收合格的相关证明文件。如未按以上要求提供该项业绩完整的证明资料，评标委员会对该项业绩将不予采信。</w:t>
            </w:r>
          </w:p>
        </w:tc>
      </w:tr>
      <w:tr>
        <w:tc>
          <w:tcPr>
            <w:tcW w:type="dxa" w:w="3322"/>
          </w:tcPr>
          <w:p>
            <w:pPr>
              <w:pStyle w:val="null3"/>
              <w:jc w:val="both"/>
            </w:pPr>
            <w:r>
              <w:rPr>
                <w:rFonts w:ascii="仿宋_GB2312" w:hAnsi="仿宋_GB2312" w:cs="仿宋_GB2312" w:eastAsia="仿宋_GB2312"/>
              </w:rPr>
              <w:t>培训方案</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评委根据各投标人提供的培训方案（包括但不限于：培训计划、培训范围、实施及针对性措施、保证培训成效的措施方案等），由评委进行评议：方案所包含的要点齐全、内容与要点相符、内容详实、各要点内容之间关联性强，逻辑清晰，具有可操作性的得2分；方案所包含的要点齐全、内容与要点相符，内容相对简略，具有可操作性的得1.5分；方案所包含的要点缺项，内容与要点相符，内容相对简略，可操作性不明显的得1分，未提供方案不得分。</w:t>
            </w:r>
          </w:p>
        </w:tc>
      </w:tr>
      <w:tr>
        <w:tc>
          <w:tcPr>
            <w:tcW w:type="dxa" w:w="3322"/>
          </w:tcPr>
          <w:p>
            <w:pPr>
              <w:pStyle w:val="null3"/>
              <w:jc w:val="both"/>
            </w:pPr>
            <w:r>
              <w:rPr>
                <w:rFonts w:ascii="仿宋_GB2312" w:hAnsi="仿宋_GB2312" w:cs="仿宋_GB2312" w:eastAsia="仿宋_GB2312"/>
              </w:rPr>
              <w:t>售后服务承诺情况</w:t>
            </w:r>
          </w:p>
        </w:tc>
        <w:tc>
          <w:tcPr>
            <w:tcW w:type="dxa" w:w="831"/>
          </w:tcPr>
          <w:p>
            <w:pPr>
              <w:pStyle w:val="null3"/>
              <w:jc w:val="right"/>
            </w:pPr>
            <w:r>
              <w:rPr>
                <w:rFonts w:ascii="仿宋_GB2312" w:hAnsi="仿宋_GB2312" w:cs="仿宋_GB2312" w:eastAsia="仿宋_GB2312"/>
              </w:rPr>
              <w:t>2.00</w:t>
            </w:r>
          </w:p>
        </w:tc>
        <w:tc>
          <w:tcPr>
            <w:tcW w:type="dxa" w:w="4153"/>
          </w:tcPr>
          <w:p>
            <w:pPr>
              <w:pStyle w:val="null3"/>
              <w:jc w:val="both"/>
            </w:pPr>
            <w:r>
              <w:rPr>
                <w:rFonts w:ascii="仿宋_GB2312" w:hAnsi="仿宋_GB2312" w:cs="仿宋_GB2312" w:eastAsia="仿宋_GB2312"/>
              </w:rPr>
              <w:t>评委根据投标人提供售后服务及质保期满后的维保服务方案（包括但不限于售后服务机构及人员配备、维护响应计划（包括时间、方式等）、保修期后的服务项目及费用承诺情况），由评委进行评议：方案所包含的要点齐全、内容与要点相符、内容详实、各要点内容之间关联性强，逻辑清晰，具有可操作性的得2分；方案所包含的要点齐全、内容与要点相符，内容相对简略，具有可操作性的得1.5分；方案所包含的要点缺项，内容与要点相符，内容相对简略，可操作性不明显的得1分，未提供方案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4"/>
          <w:shd w:fill="FFFFFF" w:val="clear"/>
        </w:rPr>
        <w:t>本次招标的医疗设备为福建医科大学附属第一医院</w:t>
      </w:r>
      <w:r>
        <w:rPr>
          <w:rFonts w:ascii="仿宋_GB2312" w:hAnsi="仿宋_GB2312" w:cs="仿宋_GB2312" w:eastAsia="仿宋_GB2312"/>
          <w:sz w:val="24"/>
          <w:shd w:fill="FFFFFF" w:val="clear"/>
        </w:rPr>
        <w:t>皮肤科</w:t>
      </w:r>
      <w:r>
        <w:rPr>
          <w:rFonts w:ascii="仿宋_GB2312" w:hAnsi="仿宋_GB2312" w:cs="仿宋_GB2312" w:eastAsia="仿宋_GB2312"/>
          <w:sz w:val="24"/>
          <w:shd w:fill="FFFFFF" w:val="clear"/>
        </w:rPr>
        <w:t>所需的面部皮肤分析系统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超纯水系统</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面部皮肤注射泵。该设备应具有配置齐全、性能稳定、操作简便安全，具良好的升级能力，适用临床、科研、教学，并满足将来扩展临床应用领域的需要。希投标方提供贵公司近年最新的设备，且需配备完整。</w:t>
      </w:r>
    </w:p>
    <w:p>
      <w:pPr>
        <w:pStyle w:val="null3"/>
        <w:ind w:firstLine="480"/>
        <w:jc w:val="both"/>
      </w:pPr>
      <w:r>
        <w:rPr>
          <w:rFonts w:ascii="仿宋_GB2312" w:hAnsi="仿宋_GB2312" w:cs="仿宋_GB2312" w:eastAsia="仿宋_GB2312"/>
          <w:sz w:val="24"/>
          <w:b/>
          <w:shd w:fill="FFFFFF" w:val="clear"/>
        </w:rPr>
        <w:t>本项</w:t>
      </w:r>
      <w:r>
        <w:rPr>
          <w:rFonts w:ascii="仿宋_GB2312" w:hAnsi="仿宋_GB2312" w:cs="仿宋_GB2312" w:eastAsia="仿宋_GB2312"/>
          <w:sz w:val="24"/>
          <w:b/>
          <w:shd w:fill="FFFFFF" w:val="clear"/>
        </w:rPr>
        <w:t>目核心产品为：</w:t>
      </w:r>
      <w:r>
        <w:rPr>
          <w:rFonts w:ascii="仿宋_GB2312" w:hAnsi="仿宋_GB2312" w:cs="仿宋_GB2312" w:eastAsia="仿宋_GB2312"/>
          <w:sz w:val="24"/>
          <w:b/>
        </w:rPr>
        <w:t>序号</w:t>
      </w:r>
      <w:r>
        <w:rPr>
          <w:rFonts w:ascii="仿宋_GB2312" w:hAnsi="仿宋_GB2312" w:cs="仿宋_GB2312" w:eastAsia="仿宋_GB2312"/>
          <w:sz w:val="24"/>
          <w:b/>
        </w:rPr>
        <w:t>1</w:t>
      </w:r>
      <w:r>
        <w:rPr>
          <w:rFonts w:ascii="仿宋_GB2312" w:hAnsi="仿宋_GB2312" w:cs="仿宋_GB2312" w:eastAsia="仿宋_GB2312"/>
          <w:sz w:val="24"/>
          <w:b/>
          <w:shd w:fill="FFFFFF" w:val="clear"/>
        </w:rPr>
        <w:t>面部皮肤分析</w:t>
      </w:r>
      <w:r>
        <w:rPr>
          <w:rFonts w:ascii="仿宋_GB2312" w:hAnsi="仿宋_GB2312" w:cs="仿宋_GB2312" w:eastAsia="仿宋_GB2312"/>
          <w:sz w:val="24"/>
          <w:b/>
          <w:shd w:fill="FFFFFF" w:val="clear"/>
        </w:rPr>
        <w:t>系统</w:t>
      </w:r>
      <w:r>
        <w:rPr>
          <w:rFonts w:ascii="仿宋_GB2312" w:hAnsi="仿宋_GB2312" w:cs="仿宋_GB2312" w:eastAsia="仿宋_GB2312"/>
          <w:sz w:val="24"/>
          <w:shd w:fill="FFFFFF" w:val="clear"/>
        </w:rPr>
        <w:t>，若提供相同品牌产品的不同投标人参加同一合同项下投标的，按招标文件相关规定执行。凡是列入核心产品范围的，其中任一产品出现相同品牌的，均被认定为一家投标人来计算。</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4"/>
          <w:b/>
        </w:rPr>
        <w:t>序号</w:t>
      </w:r>
      <w:r>
        <w:rPr>
          <w:rFonts w:ascii="仿宋_GB2312" w:hAnsi="仿宋_GB2312" w:cs="仿宋_GB2312" w:eastAsia="仿宋_GB2312"/>
          <w:sz w:val="24"/>
          <w:b/>
        </w:rPr>
        <w:t>1面部皮肤分析系统 1套</w:t>
      </w:r>
    </w:p>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★临床适应症:适用于皮肤图像的放大成像显示、处理、传输和存储数字诊断图像；</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▲传感器类型：彩色CCD ；</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镜头类型：光学镜头；</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b/>
        </w:rPr>
        <w:t>▲支持4K影像拍摄</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像素</w:t>
      </w:r>
      <w:r>
        <w:rPr>
          <w:rFonts w:ascii="仿宋_GB2312" w:hAnsi="仿宋_GB2312" w:cs="仿宋_GB2312" w:eastAsia="仿宋_GB2312"/>
          <w:sz w:val="24"/>
        </w:rPr>
        <w:t>≥2400万；</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分辨率</w:t>
      </w:r>
      <w:r>
        <w:rPr>
          <w:rFonts w:ascii="仿宋_GB2312" w:hAnsi="仿宋_GB2312" w:cs="仿宋_GB2312" w:eastAsia="仿宋_GB2312"/>
          <w:sz w:val="24"/>
        </w:rPr>
        <w:t>≥4000*6000；</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照度</w:t>
      </w:r>
      <w:r>
        <w:rPr>
          <w:rFonts w:ascii="仿宋_GB2312" w:hAnsi="仿宋_GB2312" w:cs="仿宋_GB2312" w:eastAsia="仿宋_GB2312"/>
          <w:sz w:val="24"/>
        </w:rPr>
        <w:t>≥2000lux；</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辐照度：</w:t>
      </w:r>
      <w:r>
        <w:rPr>
          <w:rFonts w:ascii="仿宋_GB2312" w:hAnsi="仿宋_GB2312" w:cs="仿宋_GB2312" w:eastAsia="仿宋_GB2312"/>
          <w:sz w:val="24"/>
        </w:rPr>
        <w:t>≤1000W/m²；</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成像均匀性：</w:t>
      </w:r>
      <w:r>
        <w:rPr>
          <w:rFonts w:ascii="仿宋_GB2312" w:hAnsi="仿宋_GB2312" w:cs="仿宋_GB2312" w:eastAsia="仿宋_GB2312"/>
          <w:sz w:val="24"/>
        </w:rPr>
        <w:t>≥90%；</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照度均匀性：</w:t>
      </w:r>
      <w:r>
        <w:rPr>
          <w:rFonts w:ascii="仿宋_GB2312" w:hAnsi="仿宋_GB2312" w:cs="仿宋_GB2312" w:eastAsia="仿宋_GB2312"/>
          <w:sz w:val="24"/>
        </w:rPr>
        <w:t>≥70%；</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白光光源峰值波长：</w:t>
      </w:r>
      <w:r>
        <w:rPr>
          <w:rFonts w:ascii="仿宋_GB2312" w:hAnsi="仿宋_GB2312" w:cs="仿宋_GB2312" w:eastAsia="仿宋_GB2312"/>
          <w:sz w:val="24"/>
        </w:rPr>
        <w:t>448nm±15nm；</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UV光源峰值波长：365nm±15nm；</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支持连拍</w:t>
      </w:r>
      <w:r>
        <w:rPr>
          <w:rFonts w:ascii="仿宋_GB2312" w:hAnsi="仿宋_GB2312" w:cs="仿宋_GB2312" w:eastAsia="仿宋_GB2312"/>
          <w:sz w:val="24"/>
        </w:rPr>
        <w:t>、</w:t>
      </w:r>
      <w:r>
        <w:rPr>
          <w:rFonts w:ascii="仿宋_GB2312" w:hAnsi="仿宋_GB2312" w:cs="仿宋_GB2312" w:eastAsia="仿宋_GB2312"/>
          <w:sz w:val="24"/>
        </w:rPr>
        <w:t>支持镜头防抖功能；</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b/>
        </w:rPr>
        <w:t>影像精度：</w:t>
      </w:r>
      <w:r>
        <w:rPr>
          <w:rFonts w:ascii="仿宋_GB2312" w:hAnsi="仿宋_GB2312" w:cs="仿宋_GB2312" w:eastAsia="仿宋_GB2312"/>
          <w:sz w:val="24"/>
          <w:b/>
        </w:rPr>
        <w:t>≥300DPI（需提供药监局盖章《医疗器械产品技术要求》）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受照面温升</w:t>
      </w:r>
      <w:r>
        <w:rPr>
          <w:rFonts w:ascii="仿宋_GB2312" w:hAnsi="仿宋_GB2312" w:cs="仿宋_GB2312" w:eastAsia="仿宋_GB2312"/>
          <w:sz w:val="24"/>
        </w:rPr>
        <w:t>ΔT＜5℃；</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支持自动白平衡；</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支持</w:t>
      </w:r>
      <w:r>
        <w:rPr>
          <w:rFonts w:ascii="仿宋_GB2312" w:hAnsi="仿宋_GB2312" w:cs="仿宋_GB2312" w:eastAsia="仿宋_GB2312"/>
          <w:sz w:val="24"/>
        </w:rPr>
        <w:t>HDMI接口；</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工作站系统参数：</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.1信息管理：患者信息的登记、保存、查找、编辑、删除；</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.2图像管理：图像的采集、保存、删除、导出；</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.3图像处理：锁定目标区域，进行标记、数量统计、画面对比、测量等等；</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.4管理系统开放部分功能，可以收集，整理，编辑、上传、下载临床病例图片；</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.5过系统数据分析，对皮肤问题进行分型定级；</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.6提供至少3种图文报告模板，图文报告可编辑、打印、保存、另存、删除功能；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.7八种模式成像及图像处理：白光模式成像、偏振光模式成像、毛细血管模式成像、炎性特征模式成像、棕色模式成像、UV光卟啉模式成像、UV光色素模式成像、绿色模式成像的图像处理；</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.8智能坐标对比：可实现前后坐标对比，反映患者治疗前后的差异；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.9特征凸显:可分别对松弛度，皮肤色斑凸显，皮肤皱纹凸显；</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.10多光谱影像同步放大功能；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.11支持拍摄画面预览；</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.12患者信息脱敏功能，患者隐私保护功能；</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8</w:t>
      </w:r>
      <w:r>
        <w:rPr>
          <w:rFonts w:ascii="仿宋_GB2312" w:hAnsi="仿宋_GB2312" w:cs="仿宋_GB2312" w:eastAsia="仿宋_GB2312"/>
          <w:sz w:val="24"/>
        </w:rPr>
        <w:t>.13瘦脸抗衰评估；</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rPr>
        <w:t>★</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.1面部专用诊断显示装置主体1台；</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.2电脑主机1套；</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.3 4K超高清液晶显示器</w:t>
      </w:r>
      <w:r>
        <w:rPr>
          <w:rFonts w:ascii="仿宋_GB2312" w:hAnsi="仿宋_GB2312" w:cs="仿宋_GB2312" w:eastAsia="仿宋_GB2312"/>
          <w:sz w:val="24"/>
          <w:b/>
        </w:rPr>
        <w:t>1台；</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.4万向轮电动升降台1套；</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.5皮肤镜图像管理系统1套</w:t>
      </w:r>
      <w:r>
        <w:rPr>
          <w:rFonts w:ascii="仿宋_GB2312" w:hAnsi="仿宋_GB2312" w:cs="仿宋_GB2312" w:eastAsia="仿宋_GB2312"/>
          <w:sz w:val="24"/>
          <w:b/>
        </w:rPr>
        <w:t>；</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b/>
        </w:rPr>
        <w:t>6</w:t>
      </w:r>
      <w:r>
        <w:rPr>
          <w:rFonts w:ascii="仿宋_GB2312" w:hAnsi="仿宋_GB2312" w:cs="仿宋_GB2312" w:eastAsia="仿宋_GB2312"/>
          <w:sz w:val="24"/>
          <w:b/>
        </w:rPr>
        <w:t>电源线</w:t>
      </w:r>
      <w:r>
        <w:rPr>
          <w:rFonts w:ascii="仿宋_GB2312" w:hAnsi="仿宋_GB2312" w:cs="仿宋_GB2312" w:eastAsia="仿宋_GB2312"/>
          <w:sz w:val="24"/>
          <w:b/>
        </w:rPr>
        <w:t>1根；</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b/>
        </w:rPr>
        <w:t>7</w:t>
      </w:r>
      <w:r>
        <w:rPr>
          <w:rFonts w:ascii="仿宋_GB2312" w:hAnsi="仿宋_GB2312" w:cs="仿宋_GB2312" w:eastAsia="仿宋_GB2312"/>
          <w:sz w:val="24"/>
          <w:b/>
        </w:rPr>
        <w:t>数据线</w:t>
      </w:r>
      <w:r>
        <w:rPr>
          <w:rFonts w:ascii="仿宋_GB2312" w:hAnsi="仿宋_GB2312" w:cs="仿宋_GB2312" w:eastAsia="仿宋_GB2312"/>
          <w:sz w:val="24"/>
          <w:b/>
        </w:rPr>
        <w:t>1根；</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b/>
        </w:rPr>
        <w:t>8</w:t>
      </w:r>
      <w:r>
        <w:rPr>
          <w:rFonts w:ascii="仿宋_GB2312" w:hAnsi="仿宋_GB2312" w:cs="仿宋_GB2312" w:eastAsia="仿宋_GB2312"/>
          <w:sz w:val="24"/>
          <w:b/>
        </w:rPr>
        <w:t>键盘</w:t>
      </w:r>
      <w:r>
        <w:rPr>
          <w:rFonts w:ascii="仿宋_GB2312" w:hAnsi="仿宋_GB2312" w:cs="仿宋_GB2312" w:eastAsia="仿宋_GB2312"/>
          <w:sz w:val="24"/>
          <w:b/>
        </w:rPr>
        <w:t>1个；</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w:t>
      </w:r>
      <w:r>
        <w:rPr>
          <w:rFonts w:ascii="仿宋_GB2312" w:hAnsi="仿宋_GB2312" w:cs="仿宋_GB2312" w:eastAsia="仿宋_GB2312"/>
          <w:sz w:val="24"/>
          <w:b/>
        </w:rPr>
        <w:t>9</w:t>
      </w:r>
      <w:r>
        <w:rPr>
          <w:rFonts w:ascii="仿宋_GB2312" w:hAnsi="仿宋_GB2312" w:cs="仿宋_GB2312" w:eastAsia="仿宋_GB2312"/>
          <w:sz w:val="24"/>
          <w:b/>
        </w:rPr>
        <w:t>鼠标</w:t>
      </w:r>
      <w:r>
        <w:rPr>
          <w:rFonts w:ascii="仿宋_GB2312" w:hAnsi="仿宋_GB2312" w:cs="仿宋_GB2312" w:eastAsia="仿宋_GB2312"/>
          <w:sz w:val="24"/>
          <w:b/>
        </w:rPr>
        <w:t>1个。</w:t>
      </w:r>
    </w:p>
    <w:p>
      <w:pPr>
        <w:pStyle w:val="null3"/>
        <w:jc w:val="both"/>
      </w:pPr>
      <w:r>
        <w:rPr>
          <w:rFonts w:ascii="仿宋_GB2312" w:hAnsi="仿宋_GB2312" w:cs="仿宋_GB2312" w:eastAsia="仿宋_GB2312"/>
          <w:sz w:val="24"/>
          <w:b/>
        </w:rPr>
        <w:t>序号</w:t>
      </w:r>
      <w:r>
        <w:rPr>
          <w:rFonts w:ascii="仿宋_GB2312" w:hAnsi="仿宋_GB2312" w:cs="仿宋_GB2312" w:eastAsia="仿宋_GB2312"/>
          <w:sz w:val="24"/>
          <w:b/>
        </w:rPr>
        <w:t>2</w:t>
      </w:r>
      <w:r>
        <w:rPr>
          <w:rFonts w:ascii="仿宋_GB2312" w:hAnsi="仿宋_GB2312" w:cs="仿宋_GB2312" w:eastAsia="仿宋_GB2312"/>
          <w:sz w:val="24"/>
          <w:b/>
        </w:rPr>
        <w:t>超纯水系统</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4"/>
        </w:rPr>
        <w:t>1、水源由自来水为进水，同时制备高纯水和超纯水；</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纯水指标：</w:t>
      </w:r>
      <w:r>
        <w:rPr>
          <w:rFonts w:ascii="仿宋_GB2312" w:hAnsi="仿宋_GB2312" w:cs="仿宋_GB2312" w:eastAsia="仿宋_GB2312"/>
          <w:sz w:val="24"/>
        </w:rPr>
        <w:t>RO制水量≥30L/h@25℃；</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EDI制水量≥15L/h；</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超纯水指标：</w:t>
      </w:r>
    </w:p>
    <w:p>
      <w:pPr>
        <w:pStyle w:val="null3"/>
        <w:jc w:val="both"/>
      </w:pPr>
      <w:r>
        <w:rPr>
          <w:rFonts w:ascii="仿宋_GB2312" w:hAnsi="仿宋_GB2312" w:cs="仿宋_GB2312" w:eastAsia="仿宋_GB2312"/>
          <w:sz w:val="24"/>
        </w:rPr>
        <w:t>4.1最高电阻率为≥18.2 MΩ.cm(@25℃)；</w:t>
      </w:r>
    </w:p>
    <w:p>
      <w:pPr>
        <w:pStyle w:val="null3"/>
        <w:jc w:val="both"/>
      </w:pPr>
      <w:r>
        <w:rPr>
          <w:rFonts w:ascii="仿宋_GB2312" w:hAnsi="仿宋_GB2312" w:cs="仿宋_GB2312" w:eastAsia="仿宋_GB2312"/>
          <w:sz w:val="24"/>
        </w:rPr>
        <w:t>4.2 TOC含量小于等于5ppb，标配双波长（254/185nm）紫外灯；</w:t>
      </w:r>
    </w:p>
    <w:p>
      <w:pPr>
        <w:pStyle w:val="null3"/>
        <w:jc w:val="both"/>
      </w:pPr>
      <w:r>
        <w:rPr>
          <w:rFonts w:ascii="仿宋_GB2312" w:hAnsi="仿宋_GB2312" w:cs="仿宋_GB2312" w:eastAsia="仿宋_GB2312"/>
          <w:sz w:val="24"/>
        </w:rPr>
        <w:t>4.3颗粒数（≥0.22μm）＜1 个/ml；</w:t>
      </w:r>
    </w:p>
    <w:p>
      <w:pPr>
        <w:pStyle w:val="null3"/>
        <w:jc w:val="both"/>
      </w:pPr>
      <w:r>
        <w:rPr>
          <w:rFonts w:ascii="仿宋_GB2312" w:hAnsi="仿宋_GB2312" w:cs="仿宋_GB2312" w:eastAsia="仿宋_GB2312"/>
          <w:sz w:val="24"/>
        </w:rPr>
        <w:t>4.4微生物数量＜1 cfu/ml；</w:t>
      </w:r>
    </w:p>
    <w:p>
      <w:pPr>
        <w:pStyle w:val="null3"/>
        <w:jc w:val="both"/>
      </w:pPr>
      <w:r>
        <w:rPr>
          <w:rFonts w:ascii="仿宋_GB2312" w:hAnsi="仿宋_GB2312" w:cs="仿宋_GB2312" w:eastAsia="仿宋_GB2312"/>
          <w:sz w:val="24"/>
        </w:rPr>
        <w:t>4.5内毒素＜0.001 Eu/ml，配超滤组件；</w:t>
      </w:r>
    </w:p>
    <w:p>
      <w:pPr>
        <w:pStyle w:val="null3"/>
        <w:jc w:val="both"/>
      </w:pPr>
      <w:r>
        <w:rPr>
          <w:rFonts w:ascii="仿宋_GB2312" w:hAnsi="仿宋_GB2312" w:cs="仿宋_GB2312" w:eastAsia="仿宋_GB2312"/>
          <w:sz w:val="24"/>
        </w:rPr>
        <w:t>5、功能特点：</w:t>
      </w:r>
    </w:p>
    <w:p>
      <w:pPr>
        <w:pStyle w:val="null3"/>
        <w:jc w:val="both"/>
      </w:pPr>
      <w:r>
        <w:rPr>
          <w:rFonts w:ascii="仿宋_GB2312" w:hAnsi="仿宋_GB2312" w:cs="仿宋_GB2312" w:eastAsia="仿宋_GB2312"/>
          <w:sz w:val="24"/>
        </w:rPr>
        <w:t>5.1采用≥5.0英寸彩色触屏控制，操作灵活方便；</w:t>
      </w:r>
    </w:p>
    <w:p>
      <w:pPr>
        <w:pStyle w:val="null3"/>
        <w:jc w:val="both"/>
      </w:pPr>
      <w:r>
        <w:rPr>
          <w:rFonts w:ascii="仿宋_GB2312" w:hAnsi="仿宋_GB2312" w:cs="仿宋_GB2312" w:eastAsia="仿宋_GB2312"/>
          <w:sz w:val="24"/>
        </w:rPr>
        <w:t>5.2 TOC在线检测仪，实时掌握TOC动态；</w:t>
      </w:r>
    </w:p>
    <w:p>
      <w:pPr>
        <w:pStyle w:val="null3"/>
        <w:jc w:val="both"/>
      </w:pPr>
      <w:r>
        <w:rPr>
          <w:rFonts w:ascii="仿宋_GB2312" w:hAnsi="仿宋_GB2312" w:cs="仿宋_GB2312" w:eastAsia="仿宋_GB2312"/>
          <w:sz w:val="24"/>
        </w:rPr>
        <w:t>5.3智能化的纯水器，具有自动判别和提示预处理柱，RO膜，EDI模块，超纯柱，超滤，紫外灯等失效报警功能，具有断水自动停机功能；</w:t>
      </w:r>
    </w:p>
    <w:p>
      <w:pPr>
        <w:pStyle w:val="null3"/>
        <w:jc w:val="both"/>
      </w:pPr>
      <w:r>
        <w:rPr>
          <w:rFonts w:ascii="仿宋_GB2312" w:hAnsi="仿宋_GB2312" w:cs="仿宋_GB2312" w:eastAsia="仿宋_GB2312"/>
          <w:sz w:val="24"/>
        </w:rPr>
        <w:t>5.4 0.01常数电阻率传感器，带温度自动补偿功能，精确真实测量超纯水水质，提供国家权威机构颁发的证明材料；</w:t>
      </w:r>
    </w:p>
    <w:p>
      <w:pPr>
        <w:pStyle w:val="null3"/>
        <w:jc w:val="both"/>
      </w:pPr>
      <w:r>
        <w:rPr>
          <w:rFonts w:ascii="仿宋_GB2312" w:hAnsi="仿宋_GB2312" w:cs="仿宋_GB2312" w:eastAsia="仿宋_GB2312"/>
          <w:sz w:val="24"/>
        </w:rPr>
        <w:t>5.5水箱及主机一键消毒；</w:t>
      </w:r>
    </w:p>
    <w:p>
      <w:pPr>
        <w:pStyle w:val="null3"/>
        <w:jc w:val="both"/>
      </w:pPr>
      <w:r>
        <w:rPr>
          <w:rFonts w:ascii="仿宋_GB2312" w:hAnsi="仿宋_GB2312" w:cs="仿宋_GB2312" w:eastAsia="仿宋_GB2312"/>
          <w:sz w:val="24"/>
        </w:rPr>
        <w:t>5.6多功能纯水水箱≥30L，圆柱形锥底设计，标配紫外灯灭菌，含泵及低位液位仪，标配空气过滤器；</w:t>
      </w:r>
    </w:p>
    <w:p>
      <w:pPr>
        <w:pStyle w:val="null3"/>
        <w:jc w:val="both"/>
      </w:pPr>
      <w:r>
        <w:rPr>
          <w:rFonts w:ascii="仿宋_GB2312" w:hAnsi="仿宋_GB2312" w:cs="仿宋_GB2312" w:eastAsia="仿宋_GB2312"/>
          <w:sz w:val="24"/>
        </w:rPr>
        <w:t>5.7具有带参数显示的移动取水手柄；</w:t>
      </w:r>
    </w:p>
    <w:p>
      <w:pPr>
        <w:pStyle w:val="null3"/>
        <w:jc w:val="both"/>
      </w:pPr>
      <w:r>
        <w:rPr>
          <w:rFonts w:ascii="仿宋_GB2312" w:hAnsi="仿宋_GB2312" w:cs="仿宋_GB2312" w:eastAsia="仿宋_GB2312"/>
          <w:sz w:val="24"/>
          <w:b/>
        </w:rPr>
        <w:t>6、★配置要求：</w:t>
      </w:r>
    </w:p>
    <w:p>
      <w:pPr>
        <w:pStyle w:val="null3"/>
        <w:jc w:val="both"/>
      </w:pPr>
      <w:r>
        <w:rPr>
          <w:rFonts w:ascii="仿宋_GB2312" w:hAnsi="仿宋_GB2312" w:cs="仿宋_GB2312" w:eastAsia="仿宋_GB2312"/>
          <w:sz w:val="24"/>
          <w:b/>
        </w:rPr>
        <w:t>6.1主机1套；</w:t>
      </w:r>
    </w:p>
    <w:p>
      <w:pPr>
        <w:pStyle w:val="null3"/>
        <w:jc w:val="both"/>
      </w:pPr>
      <w:r>
        <w:rPr>
          <w:rFonts w:ascii="仿宋_GB2312" w:hAnsi="仿宋_GB2312" w:cs="仿宋_GB2312" w:eastAsia="仿宋_GB2312"/>
          <w:sz w:val="24"/>
          <w:b/>
        </w:rPr>
        <w:t>6.2 EDI膜块1套；</w:t>
      </w:r>
    </w:p>
    <w:p>
      <w:pPr>
        <w:pStyle w:val="null3"/>
        <w:jc w:val="both"/>
      </w:pPr>
      <w:r>
        <w:rPr>
          <w:rFonts w:ascii="仿宋_GB2312" w:hAnsi="仿宋_GB2312" w:cs="仿宋_GB2312" w:eastAsia="仿宋_GB2312"/>
          <w:sz w:val="24"/>
          <w:b/>
        </w:rPr>
        <w:t>6.3静压式液位多功能水箱1台；</w:t>
      </w:r>
    </w:p>
    <w:p>
      <w:pPr>
        <w:pStyle w:val="null3"/>
        <w:jc w:val="both"/>
      </w:pPr>
      <w:r>
        <w:rPr>
          <w:rFonts w:ascii="仿宋_GB2312" w:hAnsi="仿宋_GB2312" w:cs="仿宋_GB2312" w:eastAsia="仿宋_GB2312"/>
          <w:sz w:val="24"/>
          <w:b/>
        </w:rPr>
        <w:t>6.4移动取水手柄（带显示）1套。</w:t>
      </w:r>
    </w:p>
    <w:p>
      <w:pPr>
        <w:pStyle w:val="null3"/>
        <w:jc w:val="both"/>
      </w:pPr>
      <w:r>
        <w:rPr>
          <w:rFonts w:ascii="仿宋_GB2312" w:hAnsi="仿宋_GB2312" w:cs="仿宋_GB2312" w:eastAsia="仿宋_GB2312"/>
          <w:sz w:val="24"/>
          <w:b/>
        </w:rPr>
        <w:t>序号</w:t>
      </w:r>
      <w:r>
        <w:rPr>
          <w:rFonts w:ascii="仿宋_GB2312" w:hAnsi="仿宋_GB2312" w:cs="仿宋_GB2312" w:eastAsia="仿宋_GB2312"/>
          <w:sz w:val="24"/>
          <w:b/>
        </w:rPr>
        <w:t>3</w:t>
      </w:r>
      <w:r>
        <w:rPr>
          <w:rFonts w:ascii="仿宋_GB2312" w:hAnsi="仿宋_GB2312" w:cs="仿宋_GB2312" w:eastAsia="仿宋_GB2312"/>
          <w:sz w:val="24"/>
          <w:b/>
        </w:rPr>
        <w:t>面部皮肤注射泵</w:t>
      </w:r>
      <w:r>
        <w:rPr>
          <w:rFonts w:ascii="仿宋_GB2312" w:hAnsi="仿宋_GB2312" w:cs="仿宋_GB2312" w:eastAsia="仿宋_GB2312"/>
          <w:sz w:val="24"/>
          <w:b/>
        </w:rPr>
        <w:t>1套</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与配套注射器配合使用，辅助将透明质酸注射到面部真皮层中。不直接与身体或透明质酸接触；</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设备具备手持式治疗手柄，可安装通用注射器和针头，通过注射器推座推动注射器活塞将透明质酸推出；</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推进档位：</w:t>
      </w:r>
      <w:r>
        <w:rPr>
          <w:rFonts w:ascii="仿宋_GB2312" w:hAnsi="仿宋_GB2312" w:cs="仿宋_GB2312" w:eastAsia="仿宋_GB2312"/>
          <w:sz w:val="24"/>
        </w:rPr>
        <w:t>5档（高速、快速、中速、慢速、低速）可调；</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注射模式：</w:t>
      </w:r>
      <w:r>
        <w:rPr>
          <w:rFonts w:ascii="仿宋_GB2312" w:hAnsi="仿宋_GB2312" w:cs="仿宋_GB2312" w:eastAsia="仿宋_GB2312"/>
          <w:sz w:val="24"/>
        </w:rPr>
        <w:t>3种（自动连续、脚踏单次、脚踏连续模式）；</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通用注射器规格：</w:t>
      </w:r>
      <w:r>
        <w:rPr>
          <w:rFonts w:ascii="仿宋_GB2312" w:hAnsi="仿宋_GB2312" w:cs="仿宋_GB2312" w:eastAsia="仿宋_GB2312"/>
          <w:sz w:val="24"/>
        </w:rPr>
        <w:t>≥3种，至少包括1mL、2mL（2.5mL）、5mL规格注射器；</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针剂剂量：</w:t>
      </w:r>
      <w:r>
        <w:rPr>
          <w:rFonts w:ascii="仿宋_GB2312" w:hAnsi="仿宋_GB2312" w:cs="仿宋_GB2312" w:eastAsia="仿宋_GB2312"/>
          <w:sz w:val="24"/>
        </w:rPr>
        <w:t>0.8mL- 5mL【0.8/1、1/2、2/2、1/2.5、2/2.5、2.5/2.5、3/5、4/5、5/5（mL）】可调；</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注射间隔时间：设有</w:t>
      </w:r>
      <w:r>
        <w:rPr>
          <w:rFonts w:ascii="仿宋_GB2312" w:hAnsi="仿宋_GB2312" w:cs="仿宋_GB2312" w:eastAsia="仿宋_GB2312"/>
          <w:sz w:val="24"/>
        </w:rPr>
        <w:t>0.5s-3s（ 0.5s、1.0s、1.5s、2.0s、2.5s、3.0s ），共6种时间可供选择；</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负压档位：</w:t>
      </w:r>
      <w:r>
        <w:rPr>
          <w:rFonts w:ascii="仿宋_GB2312" w:hAnsi="仿宋_GB2312" w:cs="仿宋_GB2312" w:eastAsia="仿宋_GB2312"/>
          <w:sz w:val="24"/>
        </w:rPr>
        <w:t>11档负压可调；</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注射次数：至少</w:t>
      </w:r>
      <w:r>
        <w:rPr>
          <w:rFonts w:ascii="仿宋_GB2312" w:hAnsi="仿宋_GB2312" w:cs="仿宋_GB2312" w:eastAsia="仿宋_GB2312"/>
          <w:sz w:val="24"/>
        </w:rPr>
        <w:t>18种次数设定可供选择，10-180可调；</w:t>
      </w:r>
    </w:p>
    <w:p>
      <w:pPr>
        <w:pStyle w:val="null3"/>
        <w:jc w:val="both"/>
      </w:pPr>
      <w:r>
        <w:rPr>
          <w:rFonts w:ascii="仿宋_GB2312" w:hAnsi="仿宋_GB2312" w:cs="仿宋_GB2312" w:eastAsia="仿宋_GB2312"/>
          <w:sz w:val="24"/>
        </w:rPr>
        <w:t>10、</w:t>
      </w:r>
      <w:r>
        <w:rPr>
          <w:rFonts w:ascii="仿宋_GB2312" w:hAnsi="仿宋_GB2312" w:cs="仿宋_GB2312" w:eastAsia="仿宋_GB2312"/>
          <w:sz w:val="24"/>
        </w:rPr>
        <w:t>具备常规设置参数记忆功能，可储存</w:t>
      </w:r>
      <w:r>
        <w:rPr>
          <w:rFonts w:ascii="仿宋_GB2312" w:hAnsi="仿宋_GB2312" w:cs="仿宋_GB2312" w:eastAsia="仿宋_GB2312"/>
          <w:sz w:val="24"/>
        </w:rPr>
        <w:t>4组设置参数界面；</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适配通用</w:t>
      </w:r>
      <w:r>
        <w:rPr>
          <w:rFonts w:ascii="仿宋_GB2312" w:hAnsi="仿宋_GB2312" w:cs="仿宋_GB2312" w:eastAsia="仿宋_GB2312"/>
          <w:sz w:val="24"/>
        </w:rPr>
        <w:t>5pin、9pin型针头；</w:t>
      </w:r>
    </w:p>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单发剂量智能计算显示功能；</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具备注射次数计数功能；</w:t>
      </w:r>
    </w:p>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具备自动报警功能（断电报警、阻塞报警、负压不足报警、手柄连接异常报警）；</w:t>
      </w:r>
    </w:p>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≥7寸液晶触摸显示屏；</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中</w:t>
      </w:r>
      <w:r>
        <w:rPr>
          <w:rFonts w:ascii="仿宋_GB2312" w:hAnsi="仿宋_GB2312" w:cs="仿宋_GB2312" w:eastAsia="仿宋_GB2312"/>
          <w:sz w:val="24"/>
        </w:rPr>
        <w:t>/英文操作界面；</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帮助界面（可获取操作指南及故障求助）；</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分体式推杆；</w:t>
      </w:r>
    </w:p>
    <w:p>
      <w:pPr>
        <w:pStyle w:val="null3"/>
        <w:jc w:val="both"/>
      </w:pPr>
      <w:r>
        <w:rPr>
          <w:rFonts w:ascii="仿宋_GB2312" w:hAnsi="仿宋_GB2312" w:cs="仿宋_GB2312" w:eastAsia="仿宋_GB2312"/>
          <w:sz w:val="24"/>
          <w:b/>
        </w:rPr>
        <w:t>19、</w:t>
      </w:r>
      <w:r>
        <w:rPr>
          <w:rFonts w:ascii="仿宋_GB2312" w:hAnsi="仿宋_GB2312" w:cs="仿宋_GB2312" w:eastAsia="仿宋_GB2312"/>
          <w:sz w:val="24"/>
          <w:b/>
        </w:rPr>
        <w:t>★配置清单：</w:t>
      </w:r>
    </w:p>
    <w:p>
      <w:pPr>
        <w:pStyle w:val="null3"/>
        <w:jc w:val="both"/>
      </w:pPr>
      <w:r>
        <w:rPr>
          <w:rFonts w:ascii="仿宋_GB2312" w:hAnsi="仿宋_GB2312" w:cs="仿宋_GB2312" w:eastAsia="仿宋_GB2312"/>
          <w:sz w:val="24"/>
          <w:b/>
        </w:rPr>
        <w:t>19.1主机1台；</w:t>
      </w:r>
    </w:p>
    <w:p>
      <w:pPr>
        <w:pStyle w:val="null3"/>
        <w:jc w:val="both"/>
      </w:pPr>
      <w:r>
        <w:rPr>
          <w:rFonts w:ascii="仿宋_GB2312" w:hAnsi="仿宋_GB2312" w:cs="仿宋_GB2312" w:eastAsia="仿宋_GB2312"/>
          <w:sz w:val="24"/>
          <w:b/>
        </w:rPr>
        <w:t>19.2手柄1套；</w:t>
      </w:r>
    </w:p>
    <w:p>
      <w:pPr>
        <w:pStyle w:val="null3"/>
        <w:jc w:val="both"/>
      </w:pPr>
      <w:r>
        <w:rPr>
          <w:rFonts w:ascii="仿宋_GB2312" w:hAnsi="仿宋_GB2312" w:cs="仿宋_GB2312" w:eastAsia="仿宋_GB2312"/>
          <w:sz w:val="24"/>
          <w:b/>
        </w:rPr>
        <w:t>19.3 12V电源适配器1套；</w:t>
      </w:r>
    </w:p>
    <w:p>
      <w:pPr>
        <w:pStyle w:val="null3"/>
        <w:jc w:val="both"/>
      </w:pPr>
      <w:r>
        <w:rPr>
          <w:rFonts w:ascii="仿宋_GB2312" w:hAnsi="仿宋_GB2312" w:cs="仿宋_GB2312" w:eastAsia="仿宋_GB2312"/>
          <w:sz w:val="24"/>
          <w:b/>
        </w:rPr>
        <w:t>19.4脚踏开关1套；</w:t>
      </w:r>
    </w:p>
    <w:p>
      <w:pPr>
        <w:pStyle w:val="null3"/>
        <w:jc w:val="both"/>
      </w:pPr>
      <w:r>
        <w:rPr>
          <w:rFonts w:ascii="仿宋_GB2312" w:hAnsi="仿宋_GB2312" w:cs="仿宋_GB2312" w:eastAsia="仿宋_GB2312"/>
          <w:sz w:val="24"/>
          <w:b/>
        </w:rPr>
        <w:t>19.5接地线1根；</w:t>
      </w:r>
    </w:p>
    <w:p>
      <w:pPr>
        <w:pStyle w:val="null3"/>
        <w:jc w:val="left"/>
      </w:pPr>
      <w:r>
        <w:rPr>
          <w:rFonts w:ascii="仿宋_GB2312" w:hAnsi="仿宋_GB2312" w:cs="仿宋_GB2312" w:eastAsia="仿宋_GB2312"/>
          <w:sz w:val="24"/>
          <w:b/>
          <w:color w:val="000000"/>
        </w:rPr>
        <w:t>19.6前置过滤装置1根。</w:t>
      </w:r>
    </w:p>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合同生效90天内交货</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中国福建医科大学附属第一医院</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1、期次1，说明：详见商务条款“验收”要求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1、详见8.其他，达到付款条件起90日内，支付合同总金额的100.00%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本采购包履约保证金为合同金额的4%</w:t>
            </w:r>
          </w:p>
          <w:p>
            <w:pPr>
              <w:pStyle w:val="null3"/>
              <w:jc w:val="both"/>
            </w:pPr>
            <w:r>
              <w:rPr>
                <w:rFonts w:ascii="仿宋_GB2312" w:hAnsi="仿宋_GB2312" w:cs="仿宋_GB2312" w:eastAsia="仿宋_GB2312"/>
              </w:rPr>
              <w:t>说明：合同签订前，本项目中标人为符合财政部、工信部文件（财库【2020】46号）规定的中、小、微企业（须提供中小企业声明函），缴纳履约保证金的金额为合同总金额的4%。履约期满后采购人根据中标人提交的付款申请材料无息退回履约保证金给中标人。</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合同支付方式（上述合同支付方式的支付日期、比例表述为系统文件模板，如前后不一致，以此项为准。）1、设备安装及验收合格后，中标人凭A.开具等额货物金额100%的增值税普通发票；B.有效海关、商检证明文件（设备为进口货物的情况下要求提供）；向采购人申请付款。2、采购人在设备入账后三个月内以银行付款方式向中标人支付合同总金额的100%的款项。3、投标报价须包含以上设备装卸、搬运就位、安装调试、服务等一切费用。</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4"/>
          <w:b/>
        </w:rPr>
        <w:t>★（一）</w:t>
      </w:r>
      <w:r>
        <w:rPr>
          <w:rFonts w:ascii="仿宋_GB2312" w:hAnsi="仿宋_GB2312" w:cs="仿宋_GB2312" w:eastAsia="仿宋_GB2312"/>
          <w:sz w:val="24"/>
          <w:b/>
          <w:shd w:fill="FFFFFF" w:val="clear"/>
        </w:rPr>
        <w:t>其他商务要求（甲方为采购人，乙方为中标人）</w:t>
      </w:r>
    </w:p>
    <w:p>
      <w:pPr>
        <w:pStyle w:val="null3"/>
        <w:ind w:firstLine="480"/>
        <w:jc w:val="both"/>
      </w:pPr>
      <w:r>
        <w:rPr>
          <w:rFonts w:ascii="仿宋_GB2312" w:hAnsi="仿宋_GB2312" w:cs="仿宋_GB2312" w:eastAsia="仿宋_GB2312"/>
          <w:sz w:val="24"/>
        </w:rPr>
        <w:t xml:space="preserve">1. </w:t>
      </w:r>
      <w:r>
        <w:rPr>
          <w:rFonts w:ascii="仿宋_GB2312" w:hAnsi="仿宋_GB2312" w:cs="仿宋_GB2312" w:eastAsia="仿宋_GB2312"/>
          <w:sz w:val="24"/>
        </w:rPr>
        <w:t>乙方</w:t>
      </w:r>
      <w:r>
        <w:rPr>
          <w:rFonts w:ascii="仿宋_GB2312" w:hAnsi="仿宋_GB2312" w:cs="仿宋_GB2312" w:eastAsia="仿宋_GB2312"/>
          <w:sz w:val="24"/>
        </w:rPr>
        <w:t>未能履行合同项下的任何义务的，</w:t>
      </w:r>
      <w:r>
        <w:rPr>
          <w:rFonts w:ascii="仿宋_GB2312" w:hAnsi="仿宋_GB2312" w:cs="仿宋_GB2312" w:eastAsia="仿宋_GB2312"/>
          <w:sz w:val="24"/>
        </w:rPr>
        <w:t>甲方</w:t>
      </w:r>
      <w:r>
        <w:rPr>
          <w:rFonts w:ascii="仿宋_GB2312" w:hAnsi="仿宋_GB2312" w:cs="仿宋_GB2312" w:eastAsia="仿宋_GB2312"/>
          <w:sz w:val="24"/>
        </w:rPr>
        <w:t>有权单方面解除本合同并要求</w:t>
      </w:r>
      <w:r>
        <w:rPr>
          <w:rFonts w:ascii="仿宋_GB2312" w:hAnsi="仿宋_GB2312" w:cs="仿宋_GB2312" w:eastAsia="仿宋_GB2312"/>
          <w:sz w:val="24"/>
        </w:rPr>
        <w:t>乙方</w:t>
      </w:r>
      <w:r>
        <w:rPr>
          <w:rFonts w:ascii="仿宋_GB2312" w:hAnsi="仿宋_GB2312" w:cs="仿宋_GB2312" w:eastAsia="仿宋_GB2312"/>
          <w:sz w:val="24"/>
        </w:rPr>
        <w:t>按合同约定支付违约金并赔偿损失。</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 xml:space="preserve">. </w:t>
      </w:r>
      <w:r>
        <w:rPr>
          <w:rFonts w:ascii="仿宋_GB2312" w:hAnsi="仿宋_GB2312" w:cs="仿宋_GB2312" w:eastAsia="仿宋_GB2312"/>
          <w:sz w:val="24"/>
        </w:rPr>
        <w:t>如果</w:t>
      </w:r>
      <w:r>
        <w:rPr>
          <w:rFonts w:ascii="仿宋_GB2312" w:hAnsi="仿宋_GB2312" w:cs="仿宋_GB2312" w:eastAsia="仿宋_GB2312"/>
          <w:sz w:val="24"/>
        </w:rPr>
        <w:t>乙方</w:t>
      </w:r>
      <w:r>
        <w:rPr>
          <w:rFonts w:ascii="仿宋_GB2312" w:hAnsi="仿宋_GB2312" w:cs="仿宋_GB2312" w:eastAsia="仿宋_GB2312"/>
          <w:sz w:val="24"/>
        </w:rPr>
        <w:t>未能按合同约定的时间按时足额交货，</w:t>
      </w:r>
      <w:r>
        <w:rPr>
          <w:rFonts w:ascii="仿宋_GB2312" w:hAnsi="仿宋_GB2312" w:cs="仿宋_GB2312" w:eastAsia="仿宋_GB2312"/>
          <w:sz w:val="24"/>
        </w:rPr>
        <w:t>甲方</w:t>
      </w:r>
      <w:r>
        <w:rPr>
          <w:rFonts w:ascii="仿宋_GB2312" w:hAnsi="仿宋_GB2312" w:cs="仿宋_GB2312" w:eastAsia="仿宋_GB2312"/>
          <w:sz w:val="24"/>
        </w:rPr>
        <w:t>有权要求</w:t>
      </w:r>
      <w:r>
        <w:rPr>
          <w:rFonts w:ascii="仿宋_GB2312" w:hAnsi="仿宋_GB2312" w:cs="仿宋_GB2312" w:eastAsia="仿宋_GB2312"/>
          <w:sz w:val="24"/>
        </w:rPr>
        <w:t>乙方</w:t>
      </w:r>
      <w:r>
        <w:rPr>
          <w:rFonts w:ascii="仿宋_GB2312" w:hAnsi="仿宋_GB2312" w:cs="仿宋_GB2312" w:eastAsia="仿宋_GB2312"/>
          <w:sz w:val="24"/>
        </w:rPr>
        <w:t>支付延期交货违约金；延期交货违约金为每迟交</w:t>
      </w:r>
      <w:r>
        <w:rPr>
          <w:rFonts w:ascii="仿宋_GB2312" w:hAnsi="仿宋_GB2312" w:cs="仿宋_GB2312" w:eastAsia="仿宋_GB2312"/>
          <w:sz w:val="24"/>
          <w:u w:val="single"/>
        </w:rPr>
        <w:t xml:space="preserve">1 </w:t>
      </w:r>
      <w:r>
        <w:rPr>
          <w:rFonts w:ascii="仿宋_GB2312" w:hAnsi="仿宋_GB2312" w:cs="仿宋_GB2312" w:eastAsia="仿宋_GB2312"/>
          <w:sz w:val="24"/>
        </w:rPr>
        <w:t>天，按迟交货物合同金额的</w:t>
      </w:r>
      <w:r>
        <w:rPr>
          <w:rFonts w:ascii="仿宋_GB2312" w:hAnsi="仿宋_GB2312" w:cs="仿宋_GB2312" w:eastAsia="仿宋_GB2312"/>
          <w:sz w:val="24"/>
          <w:u w:val="single"/>
        </w:rPr>
        <w:t>千分之一</w:t>
      </w:r>
      <w:r>
        <w:rPr>
          <w:rFonts w:ascii="仿宋_GB2312" w:hAnsi="仿宋_GB2312" w:cs="仿宋_GB2312" w:eastAsia="仿宋_GB2312"/>
          <w:sz w:val="24"/>
        </w:rPr>
        <w:t>计算，</w:t>
      </w:r>
      <w:r>
        <w:rPr>
          <w:rFonts w:ascii="仿宋_GB2312" w:hAnsi="仿宋_GB2312" w:cs="仿宋_GB2312" w:eastAsia="仿宋_GB2312"/>
          <w:sz w:val="24"/>
        </w:rPr>
        <w:t>甲方</w:t>
      </w:r>
      <w:r>
        <w:rPr>
          <w:rFonts w:ascii="仿宋_GB2312" w:hAnsi="仿宋_GB2312" w:cs="仿宋_GB2312" w:eastAsia="仿宋_GB2312"/>
          <w:sz w:val="24"/>
        </w:rPr>
        <w:t>有权从未付的合同货款中予以扣除延期交货违约金。</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 自合同约定的交货期限截止次日起，逾期交货超过</w:t>
      </w:r>
      <w:r>
        <w:rPr>
          <w:rFonts w:ascii="仿宋_GB2312" w:hAnsi="仿宋_GB2312" w:cs="仿宋_GB2312" w:eastAsia="仿宋_GB2312"/>
          <w:sz w:val="24"/>
        </w:rPr>
        <w:t>50</w:t>
      </w:r>
      <w:r>
        <w:rPr>
          <w:rFonts w:ascii="仿宋_GB2312" w:hAnsi="仿宋_GB2312" w:cs="仿宋_GB2312" w:eastAsia="仿宋_GB2312"/>
          <w:sz w:val="24"/>
        </w:rPr>
        <w:t>天</w:t>
      </w:r>
      <w:r>
        <w:rPr>
          <w:rFonts w:ascii="仿宋_GB2312" w:hAnsi="仿宋_GB2312" w:cs="仿宋_GB2312" w:eastAsia="仿宋_GB2312"/>
          <w:sz w:val="24"/>
        </w:rPr>
        <w:t>（不含</w:t>
      </w:r>
      <w:r>
        <w:rPr>
          <w:rFonts w:ascii="仿宋_GB2312" w:hAnsi="仿宋_GB2312" w:cs="仿宋_GB2312" w:eastAsia="仿宋_GB2312"/>
          <w:sz w:val="24"/>
        </w:rPr>
        <w:t>50</w:t>
      </w:r>
      <w:r>
        <w:rPr>
          <w:rFonts w:ascii="仿宋_GB2312" w:hAnsi="仿宋_GB2312" w:cs="仿宋_GB2312" w:eastAsia="仿宋_GB2312"/>
          <w:sz w:val="24"/>
        </w:rPr>
        <w:t>天</w:t>
      </w:r>
      <w:r>
        <w:rPr>
          <w:rFonts w:ascii="仿宋_GB2312" w:hAnsi="仿宋_GB2312" w:cs="仿宋_GB2312" w:eastAsia="仿宋_GB2312"/>
          <w:sz w:val="24"/>
        </w:rPr>
        <w:t>）视为不能交货</w:t>
      </w:r>
      <w:r>
        <w:rPr>
          <w:rFonts w:ascii="仿宋_GB2312" w:hAnsi="仿宋_GB2312" w:cs="仿宋_GB2312" w:eastAsia="仿宋_GB2312"/>
          <w:sz w:val="24"/>
        </w:rPr>
        <w:t>；若</w:t>
      </w:r>
      <w:r>
        <w:rPr>
          <w:rFonts w:ascii="仿宋_GB2312" w:hAnsi="仿宋_GB2312" w:cs="仿宋_GB2312" w:eastAsia="仿宋_GB2312"/>
          <w:sz w:val="24"/>
        </w:rPr>
        <w:t>乙方</w:t>
      </w:r>
      <w:r>
        <w:rPr>
          <w:rFonts w:ascii="仿宋_GB2312" w:hAnsi="仿宋_GB2312" w:cs="仿宋_GB2312" w:eastAsia="仿宋_GB2312"/>
          <w:sz w:val="24"/>
        </w:rPr>
        <w:t>不能交货或交货不合格从而影响</w:t>
      </w:r>
      <w:r>
        <w:rPr>
          <w:rFonts w:ascii="仿宋_GB2312" w:hAnsi="仿宋_GB2312" w:cs="仿宋_GB2312" w:eastAsia="仿宋_GB2312"/>
          <w:sz w:val="24"/>
        </w:rPr>
        <w:t>甲方</w:t>
      </w:r>
      <w:r>
        <w:rPr>
          <w:rFonts w:ascii="仿宋_GB2312" w:hAnsi="仿宋_GB2312" w:cs="仿宋_GB2312" w:eastAsia="仿宋_GB2312"/>
          <w:sz w:val="24"/>
        </w:rPr>
        <w:t>正常使用的，</w:t>
      </w:r>
      <w:r>
        <w:rPr>
          <w:rFonts w:ascii="仿宋_GB2312" w:hAnsi="仿宋_GB2312" w:cs="仿宋_GB2312" w:eastAsia="仿宋_GB2312"/>
          <w:sz w:val="24"/>
        </w:rPr>
        <w:t>乙方</w:t>
      </w:r>
      <w:r>
        <w:rPr>
          <w:rFonts w:ascii="仿宋_GB2312" w:hAnsi="仿宋_GB2312" w:cs="仿宋_GB2312" w:eastAsia="仿宋_GB2312"/>
          <w:sz w:val="24"/>
        </w:rPr>
        <w:t>仍应按上述</w:t>
      </w:r>
      <w:r>
        <w:rPr>
          <w:rFonts w:ascii="仿宋_GB2312" w:hAnsi="仿宋_GB2312" w:cs="仿宋_GB2312" w:eastAsia="仿宋_GB2312"/>
          <w:sz w:val="24"/>
        </w:rPr>
        <w:t>2.条款</w:t>
      </w:r>
      <w:r>
        <w:rPr>
          <w:rFonts w:ascii="仿宋_GB2312" w:hAnsi="仿宋_GB2312" w:cs="仿宋_GB2312" w:eastAsia="仿宋_GB2312"/>
          <w:sz w:val="24"/>
        </w:rPr>
        <w:t>约定支付延期交货违约金，且</w:t>
      </w:r>
      <w:r>
        <w:rPr>
          <w:rFonts w:ascii="仿宋_GB2312" w:hAnsi="仿宋_GB2312" w:cs="仿宋_GB2312" w:eastAsia="仿宋_GB2312"/>
          <w:sz w:val="24"/>
        </w:rPr>
        <w:t>乙方</w:t>
      </w:r>
      <w:r>
        <w:rPr>
          <w:rFonts w:ascii="仿宋_GB2312" w:hAnsi="仿宋_GB2312" w:cs="仿宋_GB2312" w:eastAsia="仿宋_GB2312"/>
          <w:sz w:val="24"/>
        </w:rPr>
        <w:t>还应向</w:t>
      </w:r>
      <w:r>
        <w:rPr>
          <w:rFonts w:ascii="仿宋_GB2312" w:hAnsi="仿宋_GB2312" w:cs="仿宋_GB2312" w:eastAsia="仿宋_GB2312"/>
          <w:sz w:val="24"/>
        </w:rPr>
        <w:t>甲方</w:t>
      </w:r>
      <w:r>
        <w:rPr>
          <w:rFonts w:ascii="仿宋_GB2312" w:hAnsi="仿宋_GB2312" w:cs="仿宋_GB2312" w:eastAsia="仿宋_GB2312"/>
          <w:sz w:val="24"/>
        </w:rPr>
        <w:t>偿付不能交货部分货款的</w:t>
      </w:r>
      <w:r>
        <w:rPr>
          <w:rFonts w:ascii="仿宋_GB2312" w:hAnsi="仿宋_GB2312" w:cs="仿宋_GB2312" w:eastAsia="仿宋_GB2312"/>
          <w:sz w:val="24"/>
          <w:u w:val="single"/>
        </w:rPr>
        <w:t xml:space="preserve">5 </w:t>
      </w:r>
      <w:r>
        <w:rPr>
          <w:rFonts w:ascii="仿宋_GB2312" w:hAnsi="仿宋_GB2312" w:cs="仿宋_GB2312" w:eastAsia="仿宋_GB2312"/>
          <w:sz w:val="24"/>
        </w:rPr>
        <w:t>％的违约金；违约金不足以补偿损失的，</w:t>
      </w:r>
      <w:r>
        <w:rPr>
          <w:rFonts w:ascii="仿宋_GB2312" w:hAnsi="仿宋_GB2312" w:cs="仿宋_GB2312" w:eastAsia="仿宋_GB2312"/>
          <w:sz w:val="24"/>
        </w:rPr>
        <w:t>甲方</w:t>
      </w:r>
      <w:r>
        <w:rPr>
          <w:rFonts w:ascii="仿宋_GB2312" w:hAnsi="仿宋_GB2312" w:cs="仿宋_GB2312" w:eastAsia="仿宋_GB2312"/>
          <w:sz w:val="24"/>
        </w:rPr>
        <w:t>有权要求</w:t>
      </w:r>
      <w:r>
        <w:rPr>
          <w:rFonts w:ascii="仿宋_GB2312" w:hAnsi="仿宋_GB2312" w:cs="仿宋_GB2312" w:eastAsia="仿宋_GB2312"/>
          <w:sz w:val="24"/>
        </w:rPr>
        <w:t>乙方</w:t>
      </w:r>
      <w:r>
        <w:rPr>
          <w:rFonts w:ascii="仿宋_GB2312" w:hAnsi="仿宋_GB2312" w:cs="仿宋_GB2312" w:eastAsia="仿宋_GB2312"/>
          <w:sz w:val="24"/>
        </w:rPr>
        <w:t>赔偿损失，且</w:t>
      </w:r>
      <w:r>
        <w:rPr>
          <w:rFonts w:ascii="仿宋_GB2312" w:hAnsi="仿宋_GB2312" w:cs="仿宋_GB2312" w:eastAsia="仿宋_GB2312"/>
          <w:sz w:val="24"/>
        </w:rPr>
        <w:t>甲方</w:t>
      </w:r>
      <w:r>
        <w:rPr>
          <w:rFonts w:ascii="仿宋_GB2312" w:hAnsi="仿宋_GB2312" w:cs="仿宋_GB2312" w:eastAsia="仿宋_GB2312"/>
          <w:sz w:val="24"/>
        </w:rPr>
        <w:t>有权从履约保证金中扣除上述费用。</w:t>
      </w:r>
    </w:p>
    <w:p>
      <w:pPr>
        <w:pStyle w:val="null3"/>
        <w:ind w:firstLine="480"/>
        <w:jc w:val="both"/>
      </w:pPr>
      <w:r>
        <w:rPr>
          <w:rFonts w:ascii="仿宋_GB2312" w:hAnsi="仿宋_GB2312" w:cs="仿宋_GB2312" w:eastAsia="仿宋_GB2312"/>
          <w:sz w:val="24"/>
        </w:rPr>
        <w:t xml:space="preserve">4. </w:t>
      </w:r>
      <w:r>
        <w:rPr>
          <w:rFonts w:ascii="仿宋_GB2312" w:hAnsi="仿宋_GB2312" w:cs="仿宋_GB2312" w:eastAsia="仿宋_GB2312"/>
          <w:sz w:val="24"/>
        </w:rPr>
        <w:t>甲方</w:t>
      </w:r>
      <w:r>
        <w:rPr>
          <w:rFonts w:ascii="仿宋_GB2312" w:hAnsi="仿宋_GB2312" w:cs="仿宋_GB2312" w:eastAsia="仿宋_GB2312"/>
          <w:sz w:val="24"/>
        </w:rPr>
        <w:t>逾期付款的应按照逾期金额的每日万分之一支付逾期付款违约金，且逾期付款违约金总额不超逾期金额的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1"/>
        </w:rPr>
        <w:t xml:space="preserve"> </w:t>
      </w:r>
      <w:r>
        <w:rPr>
          <w:rFonts w:ascii="仿宋_GB2312" w:hAnsi="仿宋_GB2312" w:cs="仿宋_GB2312" w:eastAsia="仿宋_GB2312"/>
          <w:sz w:val="24"/>
        </w:rPr>
        <w:t>该招标设备须为全新产品。</w:t>
      </w:r>
      <w:r>
        <w:rPr>
          <w:rFonts w:ascii="仿宋_GB2312" w:hAnsi="仿宋_GB2312" w:cs="仿宋_GB2312" w:eastAsia="仿宋_GB2312"/>
          <w:sz w:val="21"/>
        </w:rPr>
        <w:t xml:space="preserve"> </w:t>
      </w:r>
    </w:p>
    <w:p>
      <w:pPr>
        <w:pStyle w:val="null3"/>
        <w:ind w:left="360"/>
        <w:jc w:val="both"/>
      </w:pPr>
      <w:r>
        <w:rPr>
          <w:rFonts w:ascii="仿宋_GB2312" w:hAnsi="仿宋_GB2312" w:cs="仿宋_GB2312" w:eastAsia="仿宋_GB2312"/>
          <w:sz w:val="24"/>
        </w:rPr>
        <w:t>6.</w:t>
      </w:r>
      <w:r>
        <w:rPr>
          <w:rFonts w:ascii="仿宋_GB2312" w:hAnsi="仿宋_GB2312" w:cs="仿宋_GB2312" w:eastAsia="仿宋_GB2312"/>
          <w:sz w:val="24"/>
        </w:rPr>
        <w:t>结合安装调试，</w:t>
      </w:r>
      <w:r>
        <w:rPr>
          <w:rFonts w:ascii="仿宋_GB2312" w:hAnsi="仿宋_GB2312" w:cs="仿宋_GB2312" w:eastAsia="仿宋_GB2312"/>
          <w:sz w:val="24"/>
        </w:rPr>
        <w:t>乙方</w:t>
      </w:r>
      <w:r>
        <w:rPr>
          <w:rFonts w:ascii="仿宋_GB2312" w:hAnsi="仿宋_GB2312" w:cs="仿宋_GB2312" w:eastAsia="仿宋_GB2312"/>
          <w:sz w:val="24"/>
        </w:rPr>
        <w:t>专业技术人员应免费对</w:t>
      </w:r>
      <w:r>
        <w:rPr>
          <w:rFonts w:ascii="仿宋_GB2312" w:hAnsi="仿宋_GB2312" w:cs="仿宋_GB2312" w:eastAsia="仿宋_GB2312"/>
          <w:sz w:val="24"/>
        </w:rPr>
        <w:t>甲方</w:t>
      </w:r>
      <w:r>
        <w:rPr>
          <w:rFonts w:ascii="仿宋_GB2312" w:hAnsi="仿宋_GB2312" w:cs="仿宋_GB2312" w:eastAsia="仿宋_GB2312"/>
          <w:sz w:val="24"/>
        </w:rPr>
        <w:t>的技术人员进行使用操作、设备维修、保养等技术的现场培训，直至</w:t>
      </w:r>
      <w:r>
        <w:rPr>
          <w:rFonts w:ascii="仿宋_GB2312" w:hAnsi="仿宋_GB2312" w:cs="仿宋_GB2312" w:eastAsia="仿宋_GB2312"/>
          <w:sz w:val="24"/>
        </w:rPr>
        <w:t>甲方</w:t>
      </w:r>
      <w:r>
        <w:rPr>
          <w:rFonts w:ascii="仿宋_GB2312" w:hAnsi="仿宋_GB2312" w:cs="仿宋_GB2312" w:eastAsia="仿宋_GB2312"/>
          <w:sz w:val="24"/>
        </w:rPr>
        <w:t>的技术人员能熟练独立工作；</w:t>
      </w:r>
      <w:r>
        <w:rPr>
          <w:rFonts w:ascii="仿宋_GB2312" w:hAnsi="仿宋_GB2312" w:cs="仿宋_GB2312" w:eastAsia="仿宋_GB2312"/>
          <w:sz w:val="24"/>
        </w:rPr>
        <w:t>乙方</w:t>
      </w:r>
      <w:r>
        <w:rPr>
          <w:rFonts w:ascii="仿宋_GB2312" w:hAnsi="仿宋_GB2312" w:cs="仿宋_GB2312" w:eastAsia="仿宋_GB2312"/>
          <w:sz w:val="24"/>
        </w:rPr>
        <w:t>委派的专业技术人员所需费用均由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left="360"/>
        <w:jc w:val="left"/>
      </w:pPr>
      <w:r>
        <w:rPr>
          <w:rFonts w:ascii="仿宋_GB2312" w:hAnsi="仿宋_GB2312" w:cs="仿宋_GB2312" w:eastAsia="仿宋_GB2312"/>
          <w:sz w:val="24"/>
        </w:rPr>
        <w:t>7.</w:t>
      </w:r>
      <w:r>
        <w:rPr>
          <w:rFonts w:ascii="仿宋_GB2312" w:hAnsi="仿宋_GB2312" w:cs="仿宋_GB2312" w:eastAsia="仿宋_GB2312"/>
          <w:sz w:val="24"/>
        </w:rPr>
        <w:t>乙方</w:t>
      </w:r>
      <w:r>
        <w:rPr>
          <w:rFonts w:ascii="仿宋_GB2312" w:hAnsi="仿宋_GB2312" w:cs="仿宋_GB2312" w:eastAsia="仿宋_GB2312"/>
          <w:sz w:val="24"/>
        </w:rPr>
        <w:t>应向</w:t>
      </w:r>
      <w:r>
        <w:rPr>
          <w:rFonts w:ascii="仿宋_GB2312" w:hAnsi="仿宋_GB2312" w:cs="仿宋_GB2312" w:eastAsia="仿宋_GB2312"/>
          <w:sz w:val="24"/>
        </w:rPr>
        <w:t>甲方</w:t>
      </w:r>
      <w:r>
        <w:rPr>
          <w:rFonts w:ascii="仿宋_GB2312" w:hAnsi="仿宋_GB2312" w:cs="仿宋_GB2312" w:eastAsia="仿宋_GB2312"/>
          <w:sz w:val="24"/>
        </w:rPr>
        <w:t>提供以下中文技术资料</w:t>
      </w:r>
      <w:r>
        <w:rPr>
          <w:rFonts w:ascii="仿宋_GB2312" w:hAnsi="仿宋_GB2312" w:cs="仿宋_GB2312" w:eastAsia="仿宋_GB2312"/>
          <w:sz w:val="24"/>
        </w:rPr>
        <w:t>1套，其费用包括在投标价格中：</w:t>
      </w:r>
    </w:p>
    <w:p>
      <w:pPr>
        <w:pStyle w:val="null3"/>
        <w:jc w:val="left"/>
      </w:pPr>
      <w:r>
        <w:rPr>
          <w:rFonts w:ascii="仿宋_GB2312" w:hAnsi="仿宋_GB2312" w:cs="仿宋_GB2312" w:eastAsia="仿宋_GB2312"/>
          <w:sz w:val="24"/>
        </w:rPr>
        <w:t>7.1设备的出厂检验报告</w:t>
      </w:r>
    </w:p>
    <w:p>
      <w:pPr>
        <w:pStyle w:val="null3"/>
        <w:jc w:val="left"/>
      </w:pPr>
      <w:r>
        <w:rPr>
          <w:rFonts w:ascii="仿宋_GB2312" w:hAnsi="仿宋_GB2312" w:cs="仿宋_GB2312" w:eastAsia="仿宋_GB2312"/>
          <w:sz w:val="24"/>
        </w:rPr>
        <w:t>7.2合格证书</w:t>
      </w:r>
    </w:p>
    <w:p>
      <w:pPr>
        <w:pStyle w:val="null3"/>
        <w:jc w:val="left"/>
      </w:pPr>
      <w:r>
        <w:rPr>
          <w:rFonts w:ascii="仿宋_GB2312" w:hAnsi="仿宋_GB2312" w:cs="仿宋_GB2312" w:eastAsia="仿宋_GB2312"/>
          <w:sz w:val="24"/>
        </w:rPr>
        <w:t>7.3装箱单</w:t>
      </w:r>
    </w:p>
    <w:p>
      <w:pPr>
        <w:pStyle w:val="null3"/>
        <w:jc w:val="left"/>
      </w:pPr>
      <w:r>
        <w:rPr>
          <w:rFonts w:ascii="仿宋_GB2312" w:hAnsi="仿宋_GB2312" w:cs="仿宋_GB2312" w:eastAsia="仿宋_GB2312"/>
          <w:sz w:val="24"/>
        </w:rPr>
        <w:t>7.4产品验收标准（含产品合格证验收清单等）</w:t>
      </w:r>
    </w:p>
    <w:p>
      <w:pPr>
        <w:pStyle w:val="null3"/>
        <w:jc w:val="left"/>
      </w:pPr>
      <w:r>
        <w:rPr>
          <w:rFonts w:ascii="仿宋_GB2312" w:hAnsi="仿宋_GB2312" w:cs="仿宋_GB2312" w:eastAsia="仿宋_GB2312"/>
          <w:sz w:val="24"/>
        </w:rPr>
        <w:t>7.5技术说明书</w:t>
      </w:r>
    </w:p>
    <w:p>
      <w:pPr>
        <w:pStyle w:val="null3"/>
        <w:jc w:val="left"/>
      </w:pPr>
      <w:r>
        <w:rPr>
          <w:rFonts w:ascii="仿宋_GB2312" w:hAnsi="仿宋_GB2312" w:cs="仿宋_GB2312" w:eastAsia="仿宋_GB2312"/>
          <w:sz w:val="24"/>
        </w:rPr>
        <w:t>7.6使用说明书</w:t>
      </w:r>
    </w:p>
    <w:p>
      <w:pPr>
        <w:pStyle w:val="null3"/>
        <w:jc w:val="left"/>
      </w:pPr>
      <w:r>
        <w:rPr>
          <w:rFonts w:ascii="仿宋_GB2312" w:hAnsi="仿宋_GB2312" w:cs="仿宋_GB2312" w:eastAsia="仿宋_GB2312"/>
          <w:sz w:val="24"/>
        </w:rPr>
        <w:t>7.7安装、维修及操作手册,公开维修密码,软件备份光盘</w:t>
      </w:r>
    </w:p>
    <w:p>
      <w:pPr>
        <w:pStyle w:val="null3"/>
        <w:jc w:val="left"/>
      </w:pPr>
      <w:r>
        <w:rPr>
          <w:rFonts w:ascii="仿宋_GB2312" w:hAnsi="仿宋_GB2312" w:cs="仿宋_GB2312" w:eastAsia="仿宋_GB2312"/>
          <w:sz w:val="24"/>
        </w:rPr>
        <w:t>7.8零部件目录</w:t>
      </w:r>
    </w:p>
    <w:p>
      <w:pPr>
        <w:pStyle w:val="null3"/>
        <w:jc w:val="left"/>
      </w:pPr>
      <w:r>
        <w:rPr>
          <w:rFonts w:ascii="仿宋_GB2312" w:hAnsi="仿宋_GB2312" w:cs="仿宋_GB2312" w:eastAsia="仿宋_GB2312"/>
          <w:sz w:val="24"/>
        </w:rPr>
        <w:t>7.9配置清单、分项价格及耗材价格（若有）</w:t>
      </w:r>
    </w:p>
    <w:p>
      <w:pPr>
        <w:pStyle w:val="null3"/>
        <w:jc w:val="left"/>
      </w:pPr>
      <w:r>
        <w:rPr>
          <w:rFonts w:ascii="仿宋_GB2312" w:hAnsi="仿宋_GB2312" w:cs="仿宋_GB2312" w:eastAsia="仿宋_GB2312"/>
          <w:sz w:val="24"/>
        </w:rPr>
        <w:t>7.10备品备件易耗件清单</w:t>
      </w:r>
    </w:p>
    <w:p>
      <w:pPr>
        <w:pStyle w:val="null3"/>
        <w:jc w:val="left"/>
      </w:pPr>
      <w:r>
        <w:rPr>
          <w:rFonts w:ascii="仿宋_GB2312" w:hAnsi="仿宋_GB2312" w:cs="仿宋_GB2312" w:eastAsia="仿宋_GB2312"/>
          <w:sz w:val="24"/>
        </w:rPr>
        <w:t>7.11合同中要求的其他文件资料。</w:t>
      </w:r>
    </w:p>
    <w:p>
      <w:pPr>
        <w:pStyle w:val="null3"/>
        <w:ind w:left="360"/>
        <w:jc w:val="left"/>
      </w:pPr>
      <w:r>
        <w:rPr>
          <w:rFonts w:ascii="仿宋_GB2312" w:hAnsi="仿宋_GB2312" w:cs="仿宋_GB2312" w:eastAsia="仿宋_GB2312"/>
          <w:sz w:val="24"/>
        </w:rPr>
        <w:t>8.</w:t>
      </w:r>
      <w:r>
        <w:rPr>
          <w:rFonts w:ascii="仿宋_GB2312" w:hAnsi="仿宋_GB2312" w:cs="仿宋_GB2312" w:eastAsia="仿宋_GB2312"/>
          <w:sz w:val="24"/>
        </w:rPr>
        <w:t>专用工具</w:t>
      </w:r>
    </w:p>
    <w:p>
      <w:pPr>
        <w:pStyle w:val="null3"/>
        <w:jc w:val="left"/>
      </w:pPr>
      <w:r>
        <w:rPr>
          <w:rFonts w:ascii="仿宋_GB2312" w:hAnsi="仿宋_GB2312" w:cs="仿宋_GB2312" w:eastAsia="仿宋_GB2312"/>
          <w:sz w:val="24"/>
        </w:rPr>
        <w:t>乙方</w:t>
      </w:r>
      <w:r>
        <w:rPr>
          <w:rFonts w:ascii="仿宋_GB2312" w:hAnsi="仿宋_GB2312" w:cs="仿宋_GB2312" w:eastAsia="仿宋_GB2312"/>
          <w:sz w:val="24"/>
        </w:rPr>
        <w:t>应提供一套维修所需的专用工具及其清单。</w:t>
      </w:r>
    </w:p>
    <w:p>
      <w:pPr>
        <w:pStyle w:val="null3"/>
        <w:ind w:left="360"/>
        <w:jc w:val="left"/>
      </w:pPr>
      <w:r>
        <w:rPr>
          <w:rFonts w:ascii="仿宋_GB2312" w:hAnsi="仿宋_GB2312" w:cs="仿宋_GB2312" w:eastAsia="仿宋_GB2312"/>
          <w:sz w:val="24"/>
        </w:rPr>
        <w:t>9.</w:t>
      </w:r>
      <w:r>
        <w:rPr>
          <w:rFonts w:ascii="仿宋_GB2312" w:hAnsi="仿宋_GB2312" w:cs="仿宋_GB2312" w:eastAsia="仿宋_GB2312"/>
          <w:sz w:val="24"/>
        </w:rPr>
        <w:t>备品备件</w:t>
      </w:r>
    </w:p>
    <w:p>
      <w:pPr>
        <w:pStyle w:val="null3"/>
        <w:jc w:val="left"/>
      </w:pPr>
      <w:r>
        <w:rPr>
          <w:rFonts w:ascii="仿宋_GB2312" w:hAnsi="仿宋_GB2312" w:cs="仿宋_GB2312" w:eastAsia="仿宋_GB2312"/>
          <w:sz w:val="24"/>
          <w:b/>
        </w:rPr>
        <w:t>乙方</w:t>
      </w:r>
      <w:r>
        <w:rPr>
          <w:rFonts w:ascii="仿宋_GB2312" w:hAnsi="仿宋_GB2312" w:cs="仿宋_GB2312" w:eastAsia="仿宋_GB2312"/>
          <w:sz w:val="24"/>
          <w:b/>
        </w:rPr>
        <w:t>应提供设备在质量保证期过后一年内主要备品备件及其清单（含价格清单），如涉及使用易耗品及材料应提供其市场报价及供货价。</w:t>
      </w:r>
    </w:p>
    <w:p>
      <w:pPr>
        <w:pStyle w:val="null3"/>
        <w:ind w:left="360"/>
        <w:jc w:val="both"/>
      </w:pPr>
      <w:r>
        <w:rPr>
          <w:rFonts w:ascii="仿宋_GB2312" w:hAnsi="仿宋_GB2312" w:cs="仿宋_GB2312" w:eastAsia="仿宋_GB2312"/>
          <w:sz w:val="24"/>
        </w:rPr>
        <w:t>10.</w:t>
      </w:r>
      <w:r>
        <w:rPr>
          <w:rFonts w:ascii="仿宋_GB2312" w:hAnsi="仿宋_GB2312" w:cs="仿宋_GB2312" w:eastAsia="仿宋_GB2312"/>
          <w:sz w:val="24"/>
        </w:rPr>
        <w:t>验收标准和验收方法：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验收标准：产品质量应达到设计要求，招标文件及合同中要求的所有配置应符合要求；安装调试各项指标和技术参数应符合招标文件规定的技术要求和有关验收标准要求。产品外观应无破损、裂缝和缺陷且标识清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 验收方法：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.2.1 出厂检验：</w:t>
      </w:r>
      <w:r>
        <w:rPr>
          <w:rFonts w:ascii="仿宋_GB2312" w:hAnsi="仿宋_GB2312" w:cs="仿宋_GB2312" w:eastAsia="仿宋_GB2312"/>
          <w:sz w:val="24"/>
        </w:rPr>
        <w:t>乙方</w:t>
      </w:r>
      <w:r>
        <w:rPr>
          <w:rFonts w:ascii="仿宋_GB2312" w:hAnsi="仿宋_GB2312" w:cs="仿宋_GB2312" w:eastAsia="仿宋_GB2312"/>
          <w:sz w:val="24"/>
        </w:rPr>
        <w:t>应提供货物制造厂的出厂检验报告、合格证书、装箱单。</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.2.2 进口商检：若进口货物</w:t>
      </w:r>
      <w:r>
        <w:rPr>
          <w:rFonts w:ascii="仿宋_GB2312" w:hAnsi="仿宋_GB2312" w:cs="仿宋_GB2312" w:eastAsia="仿宋_GB2312"/>
          <w:sz w:val="24"/>
        </w:rPr>
        <w:t>乙方</w:t>
      </w:r>
      <w:r>
        <w:rPr>
          <w:rFonts w:ascii="仿宋_GB2312" w:hAnsi="仿宋_GB2312" w:cs="仿宋_GB2312" w:eastAsia="仿宋_GB2312"/>
          <w:sz w:val="24"/>
        </w:rPr>
        <w:t>应提供进口的有关证明，包括货物的产地、品牌及装运港等与投标文件相一致的证明材料</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.2.3 安装调试检验：设备安装、调试过程，</w:t>
      </w:r>
      <w:r>
        <w:rPr>
          <w:rFonts w:ascii="仿宋_GB2312" w:hAnsi="仿宋_GB2312" w:cs="仿宋_GB2312" w:eastAsia="仿宋_GB2312"/>
          <w:sz w:val="24"/>
        </w:rPr>
        <w:t>乙方</w:t>
      </w:r>
      <w:r>
        <w:rPr>
          <w:rFonts w:ascii="仿宋_GB2312" w:hAnsi="仿宋_GB2312" w:cs="仿宋_GB2312" w:eastAsia="仿宋_GB2312"/>
          <w:sz w:val="24"/>
        </w:rPr>
        <w:t>应作详细检验记录。安装调试检验结果应符合制造厂产品标准和招标文件的规定。检验记录应真实并提供给</w:t>
      </w:r>
      <w:r>
        <w:rPr>
          <w:rFonts w:ascii="仿宋_GB2312" w:hAnsi="仿宋_GB2312" w:cs="仿宋_GB2312" w:eastAsia="仿宋_GB2312"/>
          <w:sz w:val="24"/>
        </w:rPr>
        <w:t>甲方</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.2.4 最终验收：设备安装、调试结束后</w:t>
      </w:r>
      <w:r>
        <w:rPr>
          <w:rFonts w:ascii="仿宋_GB2312" w:hAnsi="仿宋_GB2312" w:cs="仿宋_GB2312" w:eastAsia="仿宋_GB2312"/>
          <w:sz w:val="24"/>
        </w:rPr>
        <w:t>乙方</w:t>
      </w:r>
      <w:r>
        <w:rPr>
          <w:rFonts w:ascii="仿宋_GB2312" w:hAnsi="仿宋_GB2312" w:cs="仿宋_GB2312" w:eastAsia="仿宋_GB2312"/>
          <w:sz w:val="24"/>
        </w:rPr>
        <w:t>负责并会同</w:t>
      </w:r>
      <w:r>
        <w:rPr>
          <w:rFonts w:ascii="仿宋_GB2312" w:hAnsi="仿宋_GB2312" w:cs="仿宋_GB2312" w:eastAsia="仿宋_GB2312"/>
          <w:sz w:val="24"/>
        </w:rPr>
        <w:t>甲方</w:t>
      </w:r>
      <w:r>
        <w:rPr>
          <w:rFonts w:ascii="仿宋_GB2312" w:hAnsi="仿宋_GB2312" w:cs="仿宋_GB2312" w:eastAsia="仿宋_GB2312"/>
          <w:sz w:val="24"/>
        </w:rPr>
        <w:t>及有关专家按</w:t>
      </w: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.1款验收标准进行联合验收。需有</w:t>
      </w:r>
      <w:r>
        <w:rPr>
          <w:rFonts w:ascii="仿宋_GB2312" w:hAnsi="仿宋_GB2312" w:cs="仿宋_GB2312" w:eastAsia="仿宋_GB2312"/>
          <w:sz w:val="24"/>
        </w:rPr>
        <w:t>甲方</w:t>
      </w:r>
      <w:r>
        <w:rPr>
          <w:rFonts w:ascii="仿宋_GB2312" w:hAnsi="仿宋_GB2312" w:cs="仿宋_GB2312" w:eastAsia="仿宋_GB2312"/>
          <w:sz w:val="24"/>
        </w:rPr>
        <w:t>的设备安装验收报告单、且必须经</w:t>
      </w:r>
      <w:r>
        <w:rPr>
          <w:rFonts w:ascii="仿宋_GB2312" w:hAnsi="仿宋_GB2312" w:cs="仿宋_GB2312" w:eastAsia="仿宋_GB2312"/>
          <w:sz w:val="24"/>
        </w:rPr>
        <w:t>甲方</w:t>
      </w:r>
      <w:r>
        <w:rPr>
          <w:rFonts w:ascii="仿宋_GB2312" w:hAnsi="仿宋_GB2312" w:cs="仿宋_GB2312" w:eastAsia="仿宋_GB2312"/>
          <w:sz w:val="24"/>
        </w:rPr>
        <w:t>设备与医用材料管理处工程师和设备使用科室负责人在验收报告单上签字，即为验收完成。保修期从</w:t>
      </w:r>
      <w:r>
        <w:rPr>
          <w:rFonts w:ascii="仿宋_GB2312" w:hAnsi="仿宋_GB2312" w:cs="仿宋_GB2312" w:eastAsia="仿宋_GB2312"/>
          <w:sz w:val="24"/>
        </w:rPr>
        <w:t>甲方</w:t>
      </w:r>
      <w:r>
        <w:rPr>
          <w:rFonts w:ascii="仿宋_GB2312" w:hAnsi="仿宋_GB2312" w:cs="仿宋_GB2312" w:eastAsia="仿宋_GB2312"/>
          <w:sz w:val="24"/>
        </w:rPr>
        <w:t>设备安装验收报告单签署时间算起。</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 质量保证期及维修服务</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.1本次投标的产品免费保修≥2年。需提供原厂保修、终身维修；</w:t>
      </w:r>
      <w:r>
        <w:rPr>
          <w:rFonts w:ascii="仿宋_GB2312" w:hAnsi="仿宋_GB2312" w:cs="仿宋_GB2312" w:eastAsia="仿宋_GB2312"/>
          <w:sz w:val="24"/>
        </w:rPr>
        <w:t>投标人应提供所投产品的售后服务承诺书及所投产品售后服务单位（承诺由所投产品售后服务单位</w:t>
      </w:r>
      <w:r>
        <w:rPr>
          <w:rFonts w:ascii="仿宋_GB2312" w:hAnsi="仿宋_GB2312" w:cs="仿宋_GB2312" w:eastAsia="仿宋_GB2312"/>
          <w:sz w:val="24"/>
        </w:rPr>
        <w:t>&lt;该产品的专业维修机构、生产厂家、生产厂家分公司或办事处等&gt;提供售后服务&lt;包含服务条款、保修年限等&gt;）。保修期不满足要求或未提供售后服务承诺书的视为未实质性响应招标文件。</w:t>
      </w:r>
    </w:p>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 xml:space="preserve">1.2 </w:t>
      </w:r>
      <w:r>
        <w:rPr>
          <w:rFonts w:ascii="仿宋_GB2312" w:hAnsi="仿宋_GB2312" w:cs="仿宋_GB2312" w:eastAsia="仿宋_GB2312"/>
          <w:sz w:val="24"/>
        </w:rPr>
        <w:t>投标产品在保修期内</w:t>
      </w:r>
      <w:r>
        <w:rPr>
          <w:rFonts w:ascii="仿宋_GB2312" w:hAnsi="仿宋_GB2312" w:cs="仿宋_GB2312" w:eastAsia="仿宋_GB2312"/>
          <w:sz w:val="24"/>
        </w:rPr>
        <w:t>全年设备无故障率应达</w:t>
      </w:r>
      <w:r>
        <w:rPr>
          <w:rFonts w:ascii="仿宋_GB2312" w:hAnsi="仿宋_GB2312" w:cs="仿宋_GB2312" w:eastAsia="仿宋_GB2312"/>
          <w:sz w:val="24"/>
        </w:rPr>
        <w:t>98%以上，无故障率在98%—90%之间保修期按1：3延长保修期；无故障率在89%—80%之间按1：5延长保修期；无故障率低于80%予以退货。</w:t>
      </w:r>
    </w:p>
    <w:p>
      <w:pPr>
        <w:pStyle w:val="null3"/>
        <w:ind w:right="210" w:firstLine="480"/>
        <w:jc w:val="left"/>
      </w:pPr>
      <w:r>
        <w:rPr>
          <w:rFonts w:ascii="仿宋_GB2312" w:hAnsi="仿宋_GB2312" w:cs="仿宋_GB2312" w:eastAsia="仿宋_GB2312"/>
          <w:sz w:val="24"/>
        </w:rPr>
        <w:t>1</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故障响应时间：产品生产厂家在国内设有正规维修站，确保仪器运行正常（列出维修公司地址、人员名单及联系电话）。</w:t>
      </w:r>
    </w:p>
    <w:p>
      <w:pPr>
        <w:pStyle w:val="null3"/>
        <w:ind w:right="210" w:firstLine="480"/>
        <w:jc w:val="left"/>
      </w:pPr>
      <w:r>
        <w:rPr>
          <w:rFonts w:ascii="仿宋_GB2312" w:hAnsi="仿宋_GB2312" w:cs="仿宋_GB2312" w:eastAsia="仿宋_GB2312"/>
          <w:sz w:val="24"/>
        </w:rPr>
        <w:t>a.在质量保证期内设备运行发生故障时，</w:t>
      </w:r>
      <w:r>
        <w:rPr>
          <w:rFonts w:ascii="仿宋_GB2312" w:hAnsi="仿宋_GB2312" w:cs="仿宋_GB2312" w:eastAsia="仿宋_GB2312"/>
          <w:sz w:val="24"/>
        </w:rPr>
        <w:t>乙方</w:t>
      </w:r>
      <w:r>
        <w:rPr>
          <w:rFonts w:ascii="仿宋_GB2312" w:hAnsi="仿宋_GB2312" w:cs="仿宋_GB2312" w:eastAsia="仿宋_GB2312"/>
          <w:sz w:val="24"/>
        </w:rPr>
        <w:t>在接到</w:t>
      </w:r>
      <w:r>
        <w:rPr>
          <w:rFonts w:ascii="仿宋_GB2312" w:hAnsi="仿宋_GB2312" w:cs="仿宋_GB2312" w:eastAsia="仿宋_GB2312"/>
          <w:sz w:val="24"/>
        </w:rPr>
        <w:t>甲方</w:t>
      </w:r>
      <w:r>
        <w:rPr>
          <w:rFonts w:ascii="仿宋_GB2312" w:hAnsi="仿宋_GB2312" w:cs="仿宋_GB2312" w:eastAsia="仿宋_GB2312"/>
          <w:sz w:val="24"/>
        </w:rPr>
        <w:t>故障通知后须给予明确的答复，并在</w:t>
      </w:r>
      <w:r>
        <w:rPr>
          <w:rFonts w:ascii="仿宋_GB2312" w:hAnsi="仿宋_GB2312" w:cs="仿宋_GB2312" w:eastAsia="仿宋_GB2312"/>
          <w:sz w:val="24"/>
          <w:u w:val="single"/>
        </w:rPr>
        <w:t>12</w:t>
      </w:r>
      <w:r>
        <w:rPr>
          <w:rFonts w:ascii="仿宋_GB2312" w:hAnsi="仿宋_GB2312" w:cs="仿宋_GB2312" w:eastAsia="仿宋_GB2312"/>
          <w:sz w:val="24"/>
        </w:rPr>
        <w:t>小时内应委派专业技术人员到现场免费提供咨询、维修和更换零部件等服务，并及时填写维修报告（包括故障原因、处理情况及</w:t>
      </w:r>
      <w:r>
        <w:rPr>
          <w:rFonts w:ascii="仿宋_GB2312" w:hAnsi="仿宋_GB2312" w:cs="仿宋_GB2312" w:eastAsia="仿宋_GB2312"/>
          <w:sz w:val="24"/>
        </w:rPr>
        <w:t>甲方</w:t>
      </w:r>
      <w:r>
        <w:rPr>
          <w:rFonts w:ascii="仿宋_GB2312" w:hAnsi="仿宋_GB2312" w:cs="仿宋_GB2312" w:eastAsia="仿宋_GB2312"/>
          <w:sz w:val="24"/>
        </w:rPr>
        <w:t>意见等）报</w:t>
      </w:r>
      <w:r>
        <w:rPr>
          <w:rFonts w:ascii="仿宋_GB2312" w:hAnsi="仿宋_GB2312" w:cs="仿宋_GB2312" w:eastAsia="仿宋_GB2312"/>
          <w:sz w:val="24"/>
        </w:rPr>
        <w:t>甲方</w:t>
      </w:r>
      <w:r>
        <w:rPr>
          <w:rFonts w:ascii="仿宋_GB2312" w:hAnsi="仿宋_GB2312" w:cs="仿宋_GB2312" w:eastAsia="仿宋_GB2312"/>
          <w:sz w:val="24"/>
        </w:rPr>
        <w:t>备案</w:t>
      </w:r>
      <w:r>
        <w:rPr>
          <w:rFonts w:ascii="仿宋_GB2312" w:hAnsi="仿宋_GB2312" w:cs="仿宋_GB2312" w:eastAsia="仿宋_GB2312"/>
          <w:sz w:val="24"/>
        </w:rPr>
        <w:t>，若</w:t>
      </w:r>
      <w:r>
        <w:rPr>
          <w:rFonts w:ascii="仿宋_GB2312" w:hAnsi="仿宋_GB2312" w:cs="仿宋_GB2312" w:eastAsia="仿宋_GB2312"/>
          <w:u w:val="single"/>
        </w:rPr>
        <w:t xml:space="preserve"> </w:t>
      </w:r>
      <w:r>
        <w:rPr>
          <w:rFonts w:ascii="仿宋_GB2312" w:hAnsi="仿宋_GB2312" w:cs="仿宋_GB2312" w:eastAsia="仿宋_GB2312"/>
          <w:sz w:val="24"/>
          <w:u w:val="single"/>
        </w:rPr>
        <w:t>20</w:t>
      </w:r>
      <w:r>
        <w:rPr>
          <w:rFonts w:ascii="仿宋_GB2312" w:hAnsi="仿宋_GB2312" w:cs="仿宋_GB2312" w:eastAsia="仿宋_GB2312"/>
          <w:u w:val="single"/>
        </w:rPr>
        <w:t xml:space="preserve"> </w:t>
      </w:r>
      <w:r>
        <w:rPr>
          <w:rFonts w:ascii="仿宋_GB2312" w:hAnsi="仿宋_GB2312" w:cs="仿宋_GB2312" w:eastAsia="仿宋_GB2312"/>
          <w:sz w:val="24"/>
        </w:rPr>
        <w:t>天内无法排除故障，则应先提供同档次备用机供</w:t>
      </w:r>
      <w:r>
        <w:rPr>
          <w:rFonts w:ascii="仿宋_GB2312" w:hAnsi="仿宋_GB2312" w:cs="仿宋_GB2312" w:eastAsia="仿宋_GB2312"/>
          <w:sz w:val="24"/>
        </w:rPr>
        <w:t>甲方</w:t>
      </w:r>
      <w:r>
        <w:rPr>
          <w:rFonts w:ascii="仿宋_GB2312" w:hAnsi="仿宋_GB2312" w:cs="仿宋_GB2312" w:eastAsia="仿宋_GB2312"/>
          <w:sz w:val="24"/>
        </w:rPr>
        <w:t>使用</w:t>
      </w:r>
      <w:r>
        <w:rPr>
          <w:rFonts w:ascii="仿宋_GB2312" w:hAnsi="仿宋_GB2312" w:cs="仿宋_GB2312" w:eastAsia="仿宋_GB2312"/>
          <w:sz w:val="24"/>
        </w:rPr>
        <w:t>(无法提供备用机的大型设备的按11.2条款延长保修时间)。</w:t>
      </w:r>
      <w:r>
        <w:rPr>
          <w:rFonts w:ascii="仿宋_GB2312" w:hAnsi="仿宋_GB2312" w:cs="仿宋_GB2312" w:eastAsia="仿宋_GB2312"/>
          <w:sz w:val="24"/>
        </w:rPr>
        <w:t>其中发生一切费用由</w:t>
      </w:r>
      <w:r>
        <w:rPr>
          <w:rFonts w:ascii="仿宋_GB2312" w:hAnsi="仿宋_GB2312" w:cs="仿宋_GB2312" w:eastAsia="仿宋_GB2312"/>
          <w:sz w:val="24"/>
        </w:rPr>
        <w:t>乙方</w:t>
      </w:r>
      <w:r>
        <w:rPr>
          <w:rFonts w:ascii="仿宋_GB2312" w:hAnsi="仿宋_GB2312" w:cs="仿宋_GB2312" w:eastAsia="仿宋_GB2312"/>
          <w:sz w:val="24"/>
        </w:rPr>
        <w:t>承担。</w:t>
      </w:r>
    </w:p>
    <w:p>
      <w:pPr>
        <w:pStyle w:val="null3"/>
        <w:ind w:firstLine="480"/>
        <w:jc w:val="both"/>
      </w:pPr>
      <w:r>
        <w:rPr>
          <w:rFonts w:ascii="仿宋_GB2312" w:hAnsi="仿宋_GB2312" w:cs="仿宋_GB2312" w:eastAsia="仿宋_GB2312"/>
          <w:sz w:val="24"/>
        </w:rPr>
        <w:t>b. 保修期满后，</w:t>
      </w:r>
      <w:r>
        <w:rPr>
          <w:rFonts w:ascii="仿宋_GB2312" w:hAnsi="仿宋_GB2312" w:cs="仿宋_GB2312" w:eastAsia="仿宋_GB2312"/>
          <w:sz w:val="24"/>
        </w:rPr>
        <w:t>乙方</w:t>
      </w:r>
      <w:r>
        <w:rPr>
          <w:rFonts w:ascii="仿宋_GB2312" w:hAnsi="仿宋_GB2312" w:cs="仿宋_GB2312" w:eastAsia="仿宋_GB2312"/>
          <w:sz w:val="24"/>
        </w:rPr>
        <w:t>负责仪器的终身维修并应继续提供优惠、优质的服务。储备足够的零配件备库，并以小于报价</w:t>
      </w:r>
      <w:r>
        <w:rPr>
          <w:rFonts w:ascii="仿宋_GB2312" w:hAnsi="仿宋_GB2312" w:cs="仿宋_GB2312" w:eastAsia="仿宋_GB2312"/>
          <w:sz w:val="24"/>
        </w:rPr>
        <w:t>80%的扣率予以优惠供应维修零配件。消耗品的供应，应由双方另设协议决定。</w:t>
      </w:r>
      <w:r>
        <w:rPr>
          <w:rFonts w:ascii="仿宋_GB2312" w:hAnsi="仿宋_GB2312" w:cs="仿宋_GB2312" w:eastAsia="仿宋_GB2312"/>
          <w:sz w:val="24"/>
          <w:b/>
        </w:rPr>
        <w:t>列出消耗品价格清单并保证二年不变，以后如有变化，每年幅度不超过</w:t>
      </w:r>
      <w:r>
        <w:rPr>
          <w:rFonts w:ascii="仿宋_GB2312" w:hAnsi="仿宋_GB2312" w:cs="仿宋_GB2312" w:eastAsia="仿宋_GB2312"/>
          <w:sz w:val="24"/>
          <w:b/>
        </w:rPr>
        <w:t>5%。产品</w:t>
      </w:r>
      <w:r>
        <w:rPr>
          <w:rFonts w:ascii="仿宋_GB2312" w:hAnsi="仿宋_GB2312" w:cs="仿宋_GB2312" w:eastAsia="仿宋_GB2312"/>
          <w:sz w:val="24"/>
          <w:b/>
        </w:rPr>
        <w:t>免费提供终身的软件升级</w:t>
      </w:r>
      <w:r>
        <w:rPr>
          <w:rFonts w:ascii="仿宋_GB2312" w:hAnsi="仿宋_GB2312" w:cs="仿宋_GB2312" w:eastAsia="仿宋_GB2312"/>
          <w:sz w:val="24"/>
          <w:b/>
        </w:rPr>
        <w:t>,提供硬件升级折扣，投标价一年内有效。</w:t>
      </w:r>
    </w:p>
    <w:p>
      <w:pPr>
        <w:pStyle w:val="null3"/>
        <w:ind w:firstLine="480"/>
        <w:jc w:val="both"/>
      </w:pPr>
      <w:r>
        <w:rPr>
          <w:rFonts w:ascii="仿宋_GB2312" w:hAnsi="仿宋_GB2312" w:cs="仿宋_GB2312" w:eastAsia="仿宋_GB2312"/>
          <w:sz w:val="24"/>
        </w:rPr>
        <w:t>c.</w:t>
      </w:r>
      <w:r>
        <w:rPr>
          <w:rFonts w:ascii="仿宋_GB2312" w:hAnsi="仿宋_GB2312" w:cs="仿宋_GB2312" w:eastAsia="仿宋_GB2312"/>
          <w:sz w:val="21"/>
        </w:rPr>
        <w:t xml:space="preserve"> </w:t>
      </w:r>
      <w:r>
        <w:rPr>
          <w:rFonts w:ascii="仿宋_GB2312" w:hAnsi="仿宋_GB2312" w:cs="仿宋_GB2312" w:eastAsia="仿宋_GB2312"/>
          <w:sz w:val="24"/>
        </w:rPr>
        <w:t>投标的医疗设备应开放数据接口并提供数据集中存储的能力，协助医院信息部门实</w:t>
      </w:r>
      <w:r>
        <w:rPr>
          <w:rFonts w:ascii="仿宋_GB2312" w:hAnsi="仿宋_GB2312" w:cs="仿宋_GB2312" w:eastAsia="仿宋_GB2312"/>
          <w:sz w:val="24"/>
        </w:rPr>
        <w:t>现医院患者信息数据的统一管理（其费用包含在投标报价中</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 本标书中未明之处，欢迎进行必要的咨询和详细补充说明。</w:t>
      </w:r>
    </w:p>
    <w:p>
      <w:pPr>
        <w:pStyle w:val="null3"/>
        <w:ind w:firstLine="480"/>
        <w:jc w:val="both"/>
      </w:pPr>
      <w:r>
        <w:rPr>
          <w:rFonts w:ascii="仿宋_GB2312" w:hAnsi="仿宋_GB2312" w:cs="仿宋_GB2312" w:eastAsia="仿宋_GB2312"/>
          <w:sz w:val="24"/>
          <w:b/>
        </w:rPr>
        <w:t>特别说明：以上所指的</w:t>
      </w:r>
      <w:r>
        <w:rPr>
          <w:rFonts w:ascii="仿宋_GB2312" w:hAnsi="仿宋_GB2312" w:cs="仿宋_GB2312" w:eastAsia="仿宋_GB2312"/>
          <w:sz w:val="24"/>
          <w:b/>
        </w:rPr>
        <w:t>“消耗品价格清单”、“备品备件及其清单（含价格清单）”“选配件清单及单价（如有时）”投标人应在“报价部分”的“节能、环境标志产品”模块上传此项要求的清单。投标人不得在“技术商务及资格部分”中出现价格内容，否则按无效标处理。</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投标人应提供其投标货物的产品介绍彩册（页），或提供有效的国际认证机构的证明材料。招标人有权要求投标人提供最新的原版DataSheet技术资料（技术白皮书）。若有虚假应标，一经查出即作废标处理。（2）列明选配件清单及单价（如有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[350001]FXZB[GK]2024080-1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面部皮肤分析系统、超纯水系统、面部皮肤注射泵采购项目(二次)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面部皮肤分析系统、超纯水系统、面部皮肤注射泵采购项目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面部皮肤分析系统、超纯水系统、面部皮肤注射泵采购项目</w:t>
            </w:r>
          </w:p>
        </w:tc>
        <w:tc>
          <w:tcPr>
            <w:tcW w:type="dxa" w:w="1661"/>
          </w:tcPr>
          <w:p>
            <w:pPr>
              <w:pStyle w:val="null3"/>
              <w:jc w:val="left"/>
            </w:pPr>
            <w:r>
              <w:rPr>
                <w:rFonts w:ascii="仿宋_GB2312" w:hAnsi="仿宋_GB2312" w:cs="仿宋_GB2312" w:eastAsia="仿宋_GB2312"/>
              </w:rPr>
              <w:t xml:space="preserve"> 472800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[350001]FXZB[GK]2024080-1</w:t>
      </w:r>
    </w:p>
    <w:p>
      <w:pPr>
        <w:pStyle w:val="null3"/>
        <w:jc w:val="left"/>
      </w:pPr>
      <w:r>
        <w:rPr>
          <w:rFonts w:ascii="仿宋_GB2312" w:hAnsi="仿宋_GB2312" w:cs="仿宋_GB2312" w:eastAsia="仿宋_GB2312"/>
        </w:rPr>
        <w:t>项目名称：</w:t>
      </w:r>
      <w:r>
        <w:rPr>
          <w:rFonts w:ascii="仿宋_GB2312" w:hAnsi="仿宋_GB2312" w:cs="仿宋_GB2312" w:eastAsia="仿宋_GB2312"/>
        </w:rPr>
        <w:t>面部皮肤分析系统、超纯水系统、面部皮肤注射泵采购项目(二次)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面部皮肤分析系统、超纯水系统、面部皮肤注射泵采购项目</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面部皮肤分析系统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面部皮肤分析系统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298000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超纯水系统</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超纯水系统</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75000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 xml:space="preserve"> 面部皮肤注射泵</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rFonts w:ascii="仿宋_GB2312" w:hAnsi="仿宋_GB2312" w:cs="仿宋_GB2312" w:eastAsia="仿宋_GB2312"/>
              </w:rPr>
              <w:t xml:space="preserve"> 序号</w:t>
            </w:r>
          </w:p>
        </w:tc>
        <w:tc>
          <w:tcPr>
            <w:tcW w:type="dxa" w:w="639"/>
          </w:tcPr>
          <w:p>
            <w:pPr>
              <w:pStyle w:val="null3"/>
              <w:jc w:val="left"/>
            </w:pPr>
            <w:r>
              <w:rPr>
                <w:rFonts w:ascii="仿宋_GB2312" w:hAnsi="仿宋_GB2312" w:cs="仿宋_GB2312" w:eastAsia="仿宋_GB2312"/>
              </w:rPr>
              <w:t xml:space="preserve"> 货物名称</w:t>
            </w:r>
          </w:p>
        </w:tc>
        <w:tc>
          <w:tcPr>
            <w:tcW w:type="dxa" w:w="639"/>
          </w:tcPr>
          <w:p>
            <w:pPr>
              <w:pStyle w:val="null3"/>
              <w:jc w:val="left"/>
            </w:pPr>
            <w:r>
              <w:rPr>
                <w:rFonts w:ascii="仿宋_GB2312" w:hAnsi="仿宋_GB2312" w:cs="仿宋_GB2312" w:eastAsia="仿宋_GB2312"/>
              </w:rPr>
              <w:t xml:space="preserve"> 规格型号</w:t>
            </w:r>
          </w:p>
        </w:tc>
        <w:tc>
          <w:tcPr>
            <w:tcW w:type="dxa" w:w="639"/>
          </w:tcPr>
          <w:p>
            <w:pPr>
              <w:pStyle w:val="null3"/>
              <w:jc w:val="left"/>
            </w:pPr>
            <w:r>
              <w:rPr>
                <w:rFonts w:ascii="仿宋_GB2312" w:hAnsi="仿宋_GB2312" w:cs="仿宋_GB2312" w:eastAsia="仿宋_GB2312"/>
              </w:rPr>
              <w:t xml:space="preserve"> 品牌</w:t>
            </w:r>
          </w:p>
        </w:tc>
        <w:tc>
          <w:tcPr>
            <w:tcW w:type="dxa" w:w="639"/>
          </w:tcPr>
          <w:p>
            <w:pPr>
              <w:pStyle w:val="null3"/>
              <w:jc w:val="left"/>
            </w:pPr>
            <w:r>
              <w:rPr>
                <w:rFonts w:ascii="仿宋_GB2312" w:hAnsi="仿宋_GB2312" w:cs="仿宋_GB2312" w:eastAsia="仿宋_GB2312"/>
              </w:rPr>
              <w:t xml:space="preserve"> 制造商名称</w:t>
            </w:r>
          </w:p>
        </w:tc>
        <w:tc>
          <w:tcPr>
            <w:tcW w:type="dxa" w:w="639"/>
          </w:tcPr>
          <w:p>
            <w:pPr>
              <w:pStyle w:val="null3"/>
              <w:jc w:val="left"/>
            </w:pPr>
            <w:r>
              <w:rPr>
                <w:rFonts w:ascii="仿宋_GB2312" w:hAnsi="仿宋_GB2312" w:cs="仿宋_GB2312" w:eastAsia="仿宋_GB2312"/>
              </w:rPr>
              <w:t xml:space="preserve"> 产地</w:t>
            </w:r>
          </w:p>
        </w:tc>
        <w:tc>
          <w:tcPr>
            <w:tcW w:type="dxa" w:w="639"/>
          </w:tcPr>
          <w:p>
            <w:pPr>
              <w:pStyle w:val="null3"/>
              <w:jc w:val="left"/>
            </w:pPr>
            <w:r>
              <w:rPr>
                <w:rFonts w:ascii="仿宋_GB2312" w:hAnsi="仿宋_GB2312" w:cs="仿宋_GB2312" w:eastAsia="仿宋_GB2312"/>
              </w:rPr>
              <w:t xml:space="preserve"> 最高限价</w:t>
            </w:r>
          </w:p>
        </w:tc>
        <w:tc>
          <w:tcPr>
            <w:tcW w:type="dxa" w:w="639"/>
          </w:tcPr>
          <w:p>
            <w:pPr>
              <w:pStyle w:val="null3"/>
              <w:jc w:val="left"/>
            </w:pPr>
            <w:r>
              <w:rPr>
                <w:rFonts w:ascii="仿宋_GB2312" w:hAnsi="仿宋_GB2312" w:cs="仿宋_GB2312" w:eastAsia="仿宋_GB2312"/>
              </w:rPr>
              <w:t xml:space="preserve"> 单价</w:t>
            </w:r>
          </w:p>
        </w:tc>
        <w:tc>
          <w:tcPr>
            <w:tcW w:type="dxa" w:w="639"/>
          </w:tcPr>
          <w:p>
            <w:pPr>
              <w:pStyle w:val="null3"/>
              <w:jc w:val="left"/>
            </w:pPr>
            <w:r>
              <w:rPr>
                <w:rFonts w:ascii="仿宋_GB2312" w:hAnsi="仿宋_GB2312" w:cs="仿宋_GB2312" w:eastAsia="仿宋_GB2312"/>
              </w:rPr>
              <w:t xml:space="preserve"> 数量</w:t>
            </w:r>
          </w:p>
        </w:tc>
        <w:tc>
          <w:tcPr>
            <w:tcW w:type="dxa" w:w="639"/>
          </w:tcPr>
          <w:p>
            <w:pPr>
              <w:pStyle w:val="null3"/>
              <w:jc w:val="left"/>
            </w:pPr>
            <w:r>
              <w:rPr>
                <w:rFonts w:ascii="仿宋_GB2312" w:hAnsi="仿宋_GB2312" w:cs="仿宋_GB2312" w:eastAsia="仿宋_GB2312"/>
              </w:rPr>
              <w:t xml:space="preserve"> 计量单位</w:t>
            </w:r>
          </w:p>
        </w:tc>
        <w:tc>
          <w:tcPr>
            <w:tcW w:type="dxa" w:w="639"/>
          </w:tcPr>
          <w:p>
            <w:pPr>
              <w:pStyle w:val="null3"/>
              <w:jc w:val="left"/>
            </w:pPr>
            <w:r>
              <w:rPr>
                <w:rFonts w:ascii="仿宋_GB2312" w:hAnsi="仿宋_GB2312" w:cs="仿宋_GB2312" w:eastAsia="仿宋_GB2312"/>
              </w:rPr>
              <w:t xml:space="preserve"> 总价</w:t>
            </w:r>
          </w:p>
        </w:tc>
        <w:tc>
          <w:tcPr>
            <w:tcW w:type="dxa" w:w="639"/>
          </w:tcPr>
          <w:p>
            <w:pPr>
              <w:pStyle w:val="null3"/>
              <w:jc w:val="left"/>
            </w:pPr>
            <w:r>
              <w:rPr>
                <w:rFonts w:ascii="仿宋_GB2312" w:hAnsi="仿宋_GB2312" w:cs="仿宋_GB2312" w:eastAsia="仿宋_GB2312"/>
              </w:rPr>
              <w:t xml:space="preserve"> 是否环境标志产品</w:t>
            </w:r>
          </w:p>
        </w:tc>
        <w:tc>
          <w:tcPr>
            <w:tcW w:type="dxa" w:w="639"/>
          </w:tcPr>
          <w:p>
            <w:pPr>
              <w:pStyle w:val="null3"/>
              <w:jc w:val="left"/>
            </w:pPr>
            <w:r>
              <w:rPr>
                <w:rFonts w:ascii="仿宋_GB2312" w:hAnsi="仿宋_GB2312" w:cs="仿宋_GB2312" w:eastAsia="仿宋_GB2312"/>
              </w:rPr>
              <w:t xml:space="preserve"> 是否节能产品</w:t>
            </w:r>
          </w:p>
        </w:tc>
      </w:tr>
      <w:tr>
        <w:tc>
          <w:tcPr>
            <w:tcW w:type="dxa" w:w="639"/>
          </w:tcPr>
          <w:p>
            <w:pPr>
              <w:pStyle w:val="null3"/>
              <w:jc w:val="left"/>
            </w:pPr>
            <w:r>
              <w:rPr>
                <w:rFonts w:ascii="仿宋_GB2312" w:hAnsi="仿宋_GB2312" w:cs="仿宋_GB2312" w:eastAsia="仿宋_GB2312"/>
              </w:rPr>
              <w:t xml:space="preserve"> 1</w:t>
            </w:r>
          </w:p>
        </w:tc>
        <w:tc>
          <w:tcPr>
            <w:tcW w:type="dxa" w:w="639"/>
          </w:tcPr>
          <w:p>
            <w:pPr>
              <w:pStyle w:val="null3"/>
              <w:jc w:val="left"/>
            </w:pPr>
            <w:r>
              <w:rPr>
                <w:rFonts w:ascii="仿宋_GB2312" w:hAnsi="仿宋_GB2312" w:cs="仿宋_GB2312" w:eastAsia="仿宋_GB2312"/>
              </w:rPr>
              <w:t xml:space="preserve"> 面部皮肤注射泵</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99800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1.0000</w:t>
            </w:r>
          </w:p>
        </w:tc>
        <w:tc>
          <w:tcPr>
            <w:tcW w:type="dxa" w:w="639"/>
          </w:tcPr>
          <w:p>
            <w:pPr>
              <w:pStyle w:val="null3"/>
              <w:jc w:val="left"/>
            </w:pPr>
            <w:r>
              <w:rPr>
                <w:rFonts w:ascii="仿宋_GB2312" w:hAnsi="仿宋_GB2312" w:cs="仿宋_GB2312" w:eastAsia="仿宋_GB2312"/>
              </w:rPr>
              <w:t xml:space="preserve"> 套</w:t>
            </w:r>
          </w:p>
        </w:tc>
        <w:tc>
          <w:tcPr>
            <w:tcW w:type="dxa" w:w="639"/>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639"/>
          </w:tcPr>
          <w:p>
            <w:pPr>
              <w:pStyle w:val="null3"/>
              <w:jc w:val="left"/>
            </w:pPr>
            <w:r>
              <w:rPr>
                <w:rFonts w:ascii="仿宋_GB2312" w:hAnsi="仿宋_GB2312" w:cs="仿宋_GB2312" w:eastAsia="仿宋_GB2312"/>
              </w:rPr>
              <w:t xml:space="preserve"> {供应商响应}</w:t>
            </w:r>
          </w:p>
        </w:tc>
        <w:tc>
          <w:tcPr>
            <w:tcW w:type="dxa" w:w="639"/>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