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晋江市医院（上海市第六人民医院福建医院）血管内成像设备采购(二次)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CGXM-2024-350582-03049[2024]02360</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[350582]PC[GK]2025001-1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晋江市医院（上海市第六人民医院福建医院）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福建平诚工程造价咨询有限公司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2025年03月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福建平诚工程造价咨询有限公司</w:t>
      </w:r>
      <w:r>
        <w:rPr>
          <w:rFonts w:ascii="仿宋_GB2312" w:hAnsi="仿宋_GB2312" w:cs="仿宋_GB2312" w:eastAsia="仿宋_GB2312"/>
        </w:rPr>
        <w:t xml:space="preserve"> 采用公开招标方式组织 </w:t>
      </w:r>
      <w:r>
        <w:rPr>
          <w:rFonts w:ascii="仿宋_GB2312" w:hAnsi="仿宋_GB2312" w:cs="仿宋_GB2312" w:eastAsia="仿宋_GB2312"/>
        </w:rPr>
        <w:t>晋江市医院（上海市第六人民医院福建医院）血管内成像设备采购(二次)</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CGXM-2024-350582-03049[2024]02360</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[350582]PC[GK]2025001-1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特定条件1</w:t>
            </w:r>
          </w:p>
        </w:tc>
        <w:tc>
          <w:tcPr>
            <w:tcW w:type="dxa" w:w="4614"/>
          </w:tcPr>
          <w:p>
            <w:pPr>
              <w:pStyle w:val="null3"/>
              <w:jc w:val="left"/>
            </w:pPr>
            <w:r>
              <w:rPr>
                <w:rFonts w:ascii="仿宋_GB2312" w:hAnsi="仿宋_GB2312" w:cs="仿宋_GB2312" w:eastAsia="仿宋_GB2312"/>
              </w:rPr>
              <w:t>若投标人为生产企业：所投产品若属于第一类医疗器械产品的，应取得《第一类医疗器械生产备案凭证》；所投产品若属于第二类、三类医疗器械产品的，应取得《医疗器械生产许可证》。若投标人为经营企业：所投产品若属于第二类医疗器械产品的，应取得《第二类医疗器械经营备案凭证》；所投产品若属于第三类医疗器械产品的，应取得《医疗器械经营许可证》，所投产品若属于第一类医疗器械产品，则无需提供《医疗器械经营许可证》和《第一类医疗器械生产备案凭证》。（须提供有效的证书复印件并加盖投标人公章）</w:t>
            </w:r>
          </w:p>
        </w:tc>
      </w:tr>
      <w:tr>
        <w:tc>
          <w:tcPr>
            <w:tcW w:type="dxa" w:w="3692"/>
          </w:tcPr>
          <w:p>
            <w:pPr>
              <w:pStyle w:val="null3"/>
              <w:jc w:val="left"/>
            </w:pPr>
            <w:r>
              <w:rPr>
                <w:rFonts w:ascii="仿宋_GB2312" w:hAnsi="仿宋_GB2312" w:cs="仿宋_GB2312" w:eastAsia="仿宋_GB2312"/>
              </w:rPr>
              <w:t>特定条件2</w:t>
            </w:r>
          </w:p>
        </w:tc>
        <w:tc>
          <w:tcPr>
            <w:tcW w:type="dxa" w:w="4614"/>
          </w:tcPr>
          <w:p>
            <w:pPr>
              <w:pStyle w:val="null3"/>
              <w:jc w:val="left"/>
            </w:pPr>
            <w:r>
              <w:rPr>
                <w:rFonts w:ascii="仿宋_GB2312" w:hAnsi="仿宋_GB2312" w:cs="仿宋_GB2312" w:eastAsia="仿宋_GB2312"/>
              </w:rPr>
              <w:t>所投产品若属于第一类医疗器械产品的，必须具有《第一类医疗器械备案凭证》；若属于第二类、第三类医疗器械产品的必须具有《医疗器械注册证》及其附件（若有）。（须提供有效的证书复印件并加盖投标人公章）</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①本采购包属于专门面向中小企业采购，投标人应按招标文件第七章格式在投标文件中提供“中小企业声明函 (货物) ”，其中“招标文件中明确的所属行业”应填写 “工业”。 ②监狱企业、残疾人福利性单位视同小型、微型企业。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晋江市医院（上海市第六人民医院福建医院）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晋江市晋光路罗山段16号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362200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钟工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0595-82002295</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福建平诚工程造价咨询有限公司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福建省晋江市梅岭街道梅岭路421号益昌大厦16层</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3622000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 xml:space="preserve"> 0595-85762806</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福建平诚工程造价咨询有限公司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3,450,000.00</w:t>
      </w:r>
    </w:p>
    <w:p>
      <w:pPr>
        <w:pStyle w:val="null3"/>
        <w:jc w:val="left"/>
      </w:pPr>
      <w:r>
        <w:rPr>
          <w:rFonts w:ascii="仿宋_GB2312" w:hAnsi="仿宋_GB2312" w:cs="仿宋_GB2312" w:eastAsia="仿宋_GB2312"/>
        </w:rPr>
        <w:t>采购包最高限价（元）: 1,480,000.00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血管内成像设备</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3,450,000.00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血管内成像设备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血管内成像设备</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血管内成像设备</w:t>
            </w:r>
          </w:p>
        </w:tc>
        <w:tc>
          <w:tcPr>
            <w:tcW w:type="dxa" w:w="2076"/>
          </w:tcPr>
          <w:p>
            <w:pPr>
              <w:pStyle w:val="null3"/>
              <w:jc w:val="left"/>
            </w:pPr>
            <w:r>
              <w:rPr>
                <w:rFonts w:ascii="仿宋_GB2312" w:hAnsi="仿宋_GB2312" w:cs="仿宋_GB2312" w:eastAsia="仿宋_GB2312"/>
              </w:rPr>
              <w:t>血管内成像设备</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1,480,000.00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a.评标总得分相同的，按照评标价得分由高到低顺序排列； b.评标价得分相同的，按照技术指标得分由高到低顺序排列； c.技术指标得分相同的，按照商务指标得分由高到低顺序排列； d.若上述条件均相同时，则由评标委员会随机抽取。</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自中标通知书发出之日起20个日历日内。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福建平诚工程造价咨询有限公司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晋江市财政局政府采购监督管理办公室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代理服务费收费标准：以中标金额按差额定率累进法计算：100万元以下按1.5%；100万元-500万元按1.1%。中标人应在中标公告发布的七个工作日内向招标代理机构支付代理服务费。</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①各潜在投标人（须为有能力提供本采购项目全部服务内容的供应商）如需对本项目提出质疑，质疑函的格式应当参照中国政府采购网（www.ccgp.gov.cn）提供的质疑函范本，按照招标文件中关于质疑函的约定（针对同一采购程序环节的质疑应当在法定质疑期内一次性提出），将符合要求的质疑函，以书面形式（不接受邮寄或邮箱）现场提交至福建省晋江市梅岭街道梅岭路421号益昌大厦15层，否则福建平诚工程造价咨询有限公司将不予受理。 ②“远程不见面开标”注意事项：a.本项目采用“远程不见面开标”，投标人可不前往开标现场，但应确保自身设施、设备、网络环境状况良好，在开标时自行登录采购系统，线上观看开标流程，并按规定在开标时段对投标文件进行远程解密、远程签章。投标人因自身原因造成无法正常观看开标流程、远程解密或签章的，后果由投标人自行承担；b.在规定的时间内正确提交电子投标文件的投标人在开标时将由系统判定签到情况，具体信息以福建省政府采购网上公开信息系统所示为准；c.投标人应在远程解密开启后15分钟内使用CA数字证书进行投标文件的解密操作，逾期未解密的视为放弃投标；d.唱标结束后，投标人可对开标结果进行签章，并在远程签章开放后5分钟内完成，逾期未签章的视为认同开标结果；e.远程解密及远程签章的开放起始时间均在开标过程中临时开启，请投标人务必密切关注实时开标流程，并根据流程在系统内按时操作，否则产生的后果由投标人自行承担；f.开、评标期间，投标人代表应保证采购系统中预留的联系方式畅通（如招标代理拨打2次电话投标人代表均未接听的，视同招标代理已通知到位，投标人代表未能在专家设定的澄清时限内作出澄清的，视为投标人放弃澄清，产生不利后果由投标人承担责任）以便随时接收并答复评标委员会发起的澄清等事项，具体操作过程请下载供应商操作手册查看。 ③投标时，本项目不要求投标人递交投标保证金，但投标人出现法律法规或招标文件中规定的投标保证金不予退还情形的，投标人应按本项目预算金额的2%向采购人足额补缴投标保证金并依法承担违约责任。④投标人按第七章 电子投标文件格式“二-2-1 福建省政府采购供应商资格承诺函”的：第四章 资格审查与评标“①一般资格证明文件”中除“2.营业执照等证明文件”和“3.提供财务状况报告（财务报告、或资信证明）”、“4.依法缴纳税收证明材料”、“5.依法缴纳社会保障资金证明材料”、“6.具备履行合同所必需设备和专业技术能力的声明函(若有)”、“7.参加采购活动前三年内在经营活动中没有重大违法记录的声明”以外的其他内容以及“④.其他资格证明文件”中除“资格承诺函”外的其他内容，仍应按招标文件要求提供相关证明材料。 ⑤本项目所涉及的“上一年度财务报告”可提供2023年度财务报告或2024年度财务报告。⑥投标截止日（不含当日）前三年内投标人存在单位名称变更情形的，第四章 资格审查与评标“①一般资格证明文件”中“序号7参加采购活动前三年内在经营活动中没有重大违法记录的声明”和“序号8信用记录查询结果”所指的重大违法记录/信用记录均包含投标人单位名称变更前的记录，请投标人根据实际情况如实提交资格证明材料，否则视为提供虚假材料。⑦政府采购评审中出现《财政部关于印发关于在相关自由贸易试验区和自由贸易港开展推动解决政府采购异常低价问题试点工作的通知》（财办库〔2024〕265号）中启动异常低价投标（响应）审查程序情形的，相关供应商须在磋商小组规定的时间内提供书面说明及必要的证明材料，对投标（响应）价格作出解释。书面说明、证明材料主要是项目具体成本测算等与报价合理性相关的说明、材料。 如果投标（响应）供应商不提供书面说明、证明材料，或者提供的书面说明、证明材料不能证明其报价合理性的，将作为无效投标（响应）处理。</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a.投标人存在（3）⑥b.所规定的b1、b2、b3这三种情形之一的，除其投标无效外，还将被视为投标人串通投标，采购人、采购代理机构将书面报告本级财政部门，本级财政部门将组织开展调查，并依法追究相应的法律责任。 b.（3）⑥b4情形包括但不限于“投标人上传的电子投标文件出现使用本项目其他投标人的数字证书加密或加盖本项目的其他投标人的电子印章”。若发现投标人存在此情形的，除其投标无效外，视为投标人串通投标，采购人、采购代理机构将书面报告本级财政部门，本级财政部门将组织开展调查，并依法追究相应的法律责任。</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福建平诚工程造价咨询有限公司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福建平诚工程造价咨询有限公司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福建平诚工程造价咨询有限公司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福建平诚工程造价咨询有限公司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福建平诚工程造价咨询有限公司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福建平诚工程造价咨询有限公司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福建平诚工程造价咨询有限公司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福建平诚工程造价咨询有限公司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福建平诚工程造价咨询有限公司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福建平诚工程造价咨询有限公司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福建平诚工程造价咨询有限公司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福建平诚工程造价咨询有限公司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福建平诚工程造价咨询有限公司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福建平诚工程造价咨询有限公司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福建平诚工程造价咨询有限公司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福建平诚工程造价咨询有限公司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福建平诚工程造价咨询有限公司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福建平诚工程造价咨询有限公司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福建平诚工程造价咨询有限公司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福建平诚工程造价咨询有限公司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福建平诚工程造价咨询有限公司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福建平诚工程造价咨询有限公司</w:t>
      </w:r>
      <w:r>
        <w:rPr>
          <w:rFonts w:ascii="仿宋_GB2312" w:hAnsi="仿宋_GB2312" w:cs="仿宋_GB2312" w:eastAsia="仿宋_GB2312"/>
        </w:rPr>
        <w:t xml:space="preserve"> 提出询问， </w:t>
      </w:r>
      <w:r>
        <w:rPr>
          <w:rFonts w:ascii="仿宋_GB2312" w:hAnsi="仿宋_GB2312" w:cs="仿宋_GB2312" w:eastAsia="仿宋_GB2312"/>
        </w:rPr>
        <w:t>福建平诚工程造价咨询有限公司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福建平诚工程造价咨询有限公司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福建平诚工程造价咨询有限公司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由福建平诚工程造价咨询有限公司派出的工作人员至少1人，</w:t>
      </w:r>
      <w:r>
        <w:rPr>
          <w:rFonts w:ascii="仿宋_GB2312" w:hAnsi="仿宋_GB2312" w:cs="仿宋_GB2312" w:eastAsia="仿宋_GB2312"/>
        </w:rPr>
        <w:t>其余1人可为采购人代表或福建平诚工程造价咨询有限公司的工作人员。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特定条件1</w:t>
            </w:r>
          </w:p>
        </w:tc>
        <w:tc>
          <w:tcPr>
            <w:tcW w:type="dxa" w:w="4614"/>
          </w:tcPr>
          <w:p>
            <w:pPr>
              <w:pStyle w:val="null3"/>
              <w:jc w:val="left"/>
            </w:pPr>
            <w:r>
              <w:rPr>
                <w:rFonts w:ascii="仿宋_GB2312" w:hAnsi="仿宋_GB2312" w:cs="仿宋_GB2312" w:eastAsia="仿宋_GB2312"/>
              </w:rPr>
              <w:t>若投标人为生产企业：所投产品若属于第一类医疗器械产品的，应取得《第一类医疗器械生产备案凭证》；所投产品若属于第二类、三类医疗器械产品的，应取得《医疗器械生产许可证》。若投标人为经营企业：所投产品若属于第二类医疗器械产品的，应取得《第二类医疗器械经营备案凭证》；所投产品若属于第三类医疗器械产品的，应取得《医疗器械经营许可证》，所投产品若属于第一类医疗器械产品，则无需提供《医疗器械经营许可证》和《第一类医疗器械生产备案凭证》。（须提供有效的证书复印件并加盖投标人公章）</w:t>
            </w:r>
          </w:p>
        </w:tc>
      </w:tr>
      <w:tr>
        <w:tc>
          <w:tcPr>
            <w:tcW w:type="dxa" w:w="3692"/>
          </w:tcPr>
          <w:p>
            <w:pPr>
              <w:pStyle w:val="null3"/>
              <w:jc w:val="left"/>
            </w:pPr>
            <w:r>
              <w:rPr>
                <w:rFonts w:ascii="仿宋_GB2312" w:hAnsi="仿宋_GB2312" w:cs="仿宋_GB2312" w:eastAsia="仿宋_GB2312"/>
              </w:rPr>
              <w:t>特定条件2</w:t>
            </w:r>
          </w:p>
        </w:tc>
        <w:tc>
          <w:tcPr>
            <w:tcW w:type="dxa" w:w="4614"/>
          </w:tcPr>
          <w:p>
            <w:pPr>
              <w:pStyle w:val="null3"/>
              <w:jc w:val="left"/>
            </w:pPr>
            <w:r>
              <w:rPr>
                <w:rFonts w:ascii="仿宋_GB2312" w:hAnsi="仿宋_GB2312" w:cs="仿宋_GB2312" w:eastAsia="仿宋_GB2312"/>
              </w:rPr>
              <w:t>所投产品若属于第一类医疗器械产品的，必须具有《第一类医疗器械备案凭证》；若属于第二类、第三类医疗器械产品的必须具有《医疗器械注册证》及其附件（若有）。（须提供有效的证书复印件并加盖投标人公章）</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①本采购包属于专门面向中小企业采购，投标人应按招标文件第七章格式在投标文件中提供“中小企业声明函 (货物) ”，其中“招标文件中明确的所属行业”应填写 “工业”。 ②监狱企业、残疾人福利性单位视同小型、微型企业。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福建平诚工程造价咨询有限公司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福建平诚工程造价咨询有限公司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福建平诚工程造价咨询有限公司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福建平诚工程造价咨询有限公司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福建平诚工程造价咨询有限公司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未按招标文件第七章投标文件“技术商务部分”格式要求逐项响应第五章的“技术和服务要求”的；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未按招标文件第七章投标文件“技术商务部分”格式要求逐项响应第五章的“商务要求”的。</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技术符合性：无</w:t>
      </w:r>
    </w:p>
    <w:p>
      <w:pPr>
        <w:pStyle w:val="null3"/>
        <w:jc w:val="left"/>
      </w:pPr>
      <w:r>
        <w:rPr>
          <w:rFonts w:ascii="仿宋_GB2312" w:hAnsi="仿宋_GB2312" w:cs="仿宋_GB2312" w:eastAsia="仿宋_GB2312"/>
        </w:rPr>
        <w:t>商务符合性：无</w:t>
      </w:r>
    </w:p>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福建平诚工程造价咨询有限公司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技术项（F2×A2）满分为61.0000分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1、技术和服务要求响应情况</w:t>
            </w:r>
          </w:p>
        </w:tc>
        <w:tc>
          <w:tcPr>
            <w:tcW w:type="dxa" w:w="831"/>
          </w:tcPr>
          <w:p>
            <w:pPr>
              <w:pStyle w:val="null3"/>
              <w:jc w:val="right"/>
            </w:pPr>
            <w:r>
              <w:rPr>
                <w:rFonts w:ascii="仿宋_GB2312" w:hAnsi="仿宋_GB2312" w:cs="仿宋_GB2312" w:eastAsia="仿宋_GB2312"/>
              </w:rPr>
              <w:t>46.00</w:t>
            </w:r>
          </w:p>
        </w:tc>
        <w:tc>
          <w:tcPr>
            <w:tcW w:type="dxa" w:w="4153"/>
          </w:tcPr>
          <w:p>
            <w:pPr>
              <w:pStyle w:val="null3"/>
              <w:jc w:val="both"/>
            </w:pPr>
            <w:r>
              <w:rPr>
                <w:rFonts w:ascii="仿宋_GB2312" w:hAnsi="仿宋_GB2312" w:cs="仿宋_GB2312" w:eastAsia="仿宋_GB2312"/>
              </w:rPr>
              <w:t>1.1投标人提供的“技术和服务要求响应表”对招标文件第五章“二、技术和服务要求”中标注“【评审因素】”的23项内容均响应为无偏离或正偏离的得46分；任意一项中存在负偏离的，每项扣2分（响应为正偏离的，须提供相关说明或证明材料，否则按负偏离处理；若存在负偏离却响应为无偏离或正偏离的，按负偏离处理）。</w:t>
            </w:r>
          </w:p>
        </w:tc>
      </w:tr>
      <w:tr>
        <w:tc>
          <w:tcPr>
            <w:tcW w:type="dxa" w:w="3322"/>
          </w:tcPr>
          <w:p>
            <w:pPr>
              <w:pStyle w:val="null3"/>
              <w:jc w:val="both"/>
            </w:pPr>
            <w:r>
              <w:rPr>
                <w:rFonts w:ascii="仿宋_GB2312" w:hAnsi="仿宋_GB2312" w:cs="仿宋_GB2312" w:eastAsia="仿宋_GB2312"/>
              </w:rPr>
              <w:t>1、技术和服务要求响应情况</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both"/>
            </w:pPr>
            <w:r>
              <w:rPr>
                <w:rFonts w:ascii="仿宋_GB2312" w:hAnsi="仿宋_GB2312" w:cs="仿宋_GB2312" w:eastAsia="仿宋_GB2312"/>
              </w:rPr>
              <w:t>1.2投标人提供的“技术和服务要求响应表”对招标文件第五章“二、技术和服务要求”中“▲”标示的5项内容均响应为无偏离或正偏离的得15分；任意一项中存在负偏离的，每项扣3分（响应为正偏离的，须提供相关说明或证明材料，否则按负偏离处理；若存在负偏离却响应为无偏离或正偏离的，按负偏离处理）。</w:t>
            </w:r>
          </w:p>
        </w:tc>
      </w:tr>
    </w:tbl>
    <w:p>
      <w:pPr>
        <w:pStyle w:val="null3"/>
        <w:jc w:val="both"/>
      </w:pPr>
      <w:r>
        <w:rPr>
          <w:rFonts w:ascii="仿宋_GB2312" w:hAnsi="仿宋_GB2312" w:cs="仿宋_GB2312" w:eastAsia="仿宋_GB2312"/>
        </w:rPr>
        <w:t>商务项（F3×A3）满分为9.0000分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1、业绩经验</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1. 2020年1月1日至今(以合同签订时间为准)，投标人通过采购方式取得同类设备的销售业绩项目，每提供一份有效的业绩项目得1分，满分3分【须提供①采购合同、②中标/成交公告（提供相关网站中标公告的下载网页并注明网址）、③中标/成交通知书及④能够证明该业绩项目已经采购单位验收合格的相关证明文件复印件并加盖投标人单位公章，未按要求提供的不得分】。</w:t>
            </w:r>
          </w:p>
        </w:tc>
      </w:tr>
      <w:tr>
        <w:tc>
          <w:tcPr>
            <w:tcW w:type="dxa" w:w="3322"/>
          </w:tcPr>
          <w:p>
            <w:pPr>
              <w:pStyle w:val="null3"/>
              <w:jc w:val="both"/>
            </w:pPr>
            <w:r>
              <w:rPr>
                <w:rFonts w:ascii="仿宋_GB2312" w:hAnsi="仿宋_GB2312" w:cs="仿宋_GB2312" w:eastAsia="仿宋_GB2312"/>
              </w:rPr>
              <w:t>2、售后服务</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2.1根据投标人售后服务承诺（包括但不限于①具体售后服务内容；②维修响应时间及方式；③售后服务机构、专业人员配备情况及现有维修服务能力、备品备件；④质保期后维修服务的项目及费用承诺等），由评委进行评审： ①方案包含的要点齐全无缺漏项、内容与要点相符、每个要点均有展开详细的阐述且能够适用于本项目得2分； ②方案所包含的要点齐全、内容与要点相符、每个要点均有展开阐述且基本能够适用于本项目的得1分； ③方案所包含的要点有缺漏、内容与要点相符但仅有纲要、内容简略，未展开详细阐述但部分适用于本项目的得0.5分； ④未提供或内容存在明显错误、内容明显不适用于本项目需求的均不得分。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2、售后服务</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2.3投标人承诺在满足招标文件要求的免费质量保修期（5年）的基础上,每延长1年免费质量保修期的加1分，满分2分【须提供承诺函（格式自拟）并加盖投标人公章，未按要求提供不得分】。</w:t>
            </w:r>
          </w:p>
        </w:tc>
      </w:tr>
      <w:tr>
        <w:tc>
          <w:tcPr>
            <w:tcW w:type="dxa" w:w="3322"/>
          </w:tcPr>
          <w:p>
            <w:pPr>
              <w:pStyle w:val="null3"/>
              <w:jc w:val="both"/>
            </w:pPr>
            <w:r>
              <w:rPr>
                <w:rFonts w:ascii="仿宋_GB2312" w:hAnsi="仿宋_GB2312" w:cs="仿宋_GB2312" w:eastAsia="仿宋_GB2312"/>
              </w:rPr>
              <w:t>3、培训方案</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3.根据投标人对采购人的管理人员、操作人员产品应用及维护人员产品维护、排除一般故障进行培训等方案情况（包括但不限于：①培训时间及地点、②培训目标、③培训方式、④培训的具体内容、⑤培训效果预期及质量保障等内容），由评委进行评审： ①方案包含的要点齐全无缺漏项、内容与要点相符、每个要点均有展开详细的阐述且能够适用于本项目得2分； ②方案所包含的要点齐全、内容与要点相符、每个要点均有展开阐述且基本能够适用于本项目的得1分； ③方案所包含的要点有缺漏、内容与要点相符但仅有纲要、内容简略，未展开详细阐述但部分适用于本项目的得0.5分； ④未提供或内容存在明显错误、内容明显不适用于本项目需求的均不得分。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color w:val="000000"/>
        </w:rPr>
        <w:t>本次采购</w:t>
      </w:r>
      <w:r>
        <w:rPr>
          <w:rFonts w:ascii="仿宋_GB2312" w:hAnsi="仿宋_GB2312" w:cs="仿宋_GB2312" w:eastAsia="仿宋_GB2312"/>
          <w:sz w:val="24"/>
        </w:rPr>
        <w:t>项目为晋江市医院(上海市第六人民医院福建医院)血管内成像设备采购。</w:t>
      </w:r>
      <w:r>
        <w:rPr>
          <w:rFonts w:ascii="仿宋_GB2312" w:hAnsi="仿宋_GB2312" w:cs="仿宋_GB2312" w:eastAsia="仿宋_GB2312"/>
          <w:sz w:val="24"/>
          <w:color w:val="000000"/>
        </w:rPr>
        <w:t>投标人应根据招标文件所提出的技术规格、数量和服务要求，选择最佳方案前来投标，以充分显示投标人的竞争实力。</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）采购清单</w:t>
      </w:r>
    </w:p>
    <w:tbl>
      <w:tblPr>
        <w:tblW w:w="0" w:type="auto"/>
        <w:tblBorders>
          <w:top w:val="none" w:color="000000" w:sz="4"/>
          <w:left w:val="none" w:color="000000" w:sz="4"/>
          <w:bottom w:val="none" w:color="000000" w:sz="4"/>
          <w:right w:val="none" w:color="000000" w:sz="4"/>
          <w:insideH w:val="none"/>
          <w:insideV w:val="none"/>
        </w:tblBorders>
      </w:tblPr>
      <w:tblGrid>
        <w:gridCol w:w="1045"/>
        <w:gridCol w:w="4096"/>
        <w:gridCol w:w="1590"/>
        <w:gridCol w:w="1573"/>
      </w:tblGrid>
      <w:tr>
        <w:tc>
          <w:tcPr>
            <w:tcW w:type="dxa" w:w="1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40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产品名称</w:t>
            </w:r>
          </w:p>
        </w:tc>
        <w:tc>
          <w:tcPr>
            <w:tcW w:type="dxa" w:w="1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1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1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0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血管内成像设备（◆核心产品）</w:t>
            </w:r>
          </w:p>
        </w:tc>
        <w:tc>
          <w:tcPr>
            <w:tcW w:type="dxa" w:w="1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pPr>
        <w:pStyle w:val="null3"/>
        <w:ind w:firstLine="440"/>
      </w:pP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rPr>
        <w:t>★</w:t>
      </w:r>
      <w:r>
        <w:rPr>
          <w:rFonts w:ascii="仿宋_GB2312" w:hAnsi="仿宋_GB2312" w:cs="仿宋_GB2312" w:eastAsia="仿宋_GB2312"/>
          <w:sz w:val="24"/>
          <w:b/>
        </w:rPr>
        <w:t>配置清单</w:t>
      </w:r>
    </w:p>
    <w:tbl>
      <w:tblPr>
        <w:tblW w:w="0" w:type="auto"/>
        <w:tblBorders>
          <w:top w:val="none" w:color="000000" w:sz="4"/>
          <w:left w:val="none" w:color="000000" w:sz="4"/>
          <w:bottom w:val="none" w:color="000000" w:sz="4"/>
          <w:right w:val="none" w:color="000000" w:sz="4"/>
          <w:insideH w:val="none"/>
          <w:insideV w:val="none"/>
        </w:tblBorders>
      </w:tblPr>
      <w:tblGrid>
        <w:gridCol w:w="1028"/>
        <w:gridCol w:w="5241"/>
        <w:gridCol w:w="1096"/>
        <w:gridCol w:w="937"/>
      </w:tblGrid>
      <w:tr>
        <w:tc>
          <w:tcPr>
            <w:tcW w:type="dxa" w:w="1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产品名称</w:t>
            </w:r>
          </w:p>
        </w:tc>
        <w:tc>
          <w:tcPr>
            <w:tcW w:type="dxa" w:w="10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9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1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主机</w:t>
            </w:r>
          </w:p>
        </w:tc>
        <w:tc>
          <w:tcPr>
            <w:tcW w:type="dxa" w:w="10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应用软件套装</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一体化移动推车</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PIU探头接口单元</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操作者显示器</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术者显示器</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光电连接器</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血管内超声光相干断层成像混合引擎</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键盘</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鼠标</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5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操作手册</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份</w:t>
            </w:r>
          </w:p>
        </w:tc>
      </w:tr>
    </w:tbl>
    <w:p>
      <w:pPr>
        <w:pStyle w:val="null3"/>
        <w:ind w:firstLine="440"/>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技术参数要求</w:t>
      </w:r>
    </w:p>
    <w:p>
      <w:pPr>
        <w:pStyle w:val="null3"/>
        <w:ind w:firstLine="440"/>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、基本要求</w:t>
      </w:r>
    </w:p>
    <w:p>
      <w:pPr>
        <w:pStyle w:val="null3"/>
        <w:ind w:firstLine="440"/>
      </w:pPr>
      <w:r>
        <w:rPr>
          <w:rFonts w:ascii="仿宋_GB2312" w:hAnsi="仿宋_GB2312" w:cs="仿宋_GB2312" w:eastAsia="仿宋_GB2312"/>
          <w:sz w:val="24"/>
        </w:rPr>
        <w:t>(1)</w:t>
      </w:r>
      <w:r>
        <w:rPr>
          <w:rFonts w:ascii="仿宋_GB2312" w:hAnsi="仿宋_GB2312" w:cs="仿宋_GB2312" w:eastAsia="仿宋_GB2312"/>
          <w:sz w:val="24"/>
          <w:b/>
        </w:rPr>
        <w:t>【评审因素1】</w:t>
      </w:r>
      <w:r>
        <w:rPr>
          <w:rFonts w:ascii="仿宋_GB2312" w:hAnsi="仿宋_GB2312" w:cs="仿宋_GB2312" w:eastAsia="仿宋_GB2312"/>
          <w:sz w:val="24"/>
        </w:rPr>
        <w:t>设备用</w:t>
      </w:r>
      <w:r>
        <w:rPr>
          <w:rFonts w:ascii="仿宋_GB2312" w:hAnsi="仿宋_GB2312" w:cs="仿宋_GB2312" w:eastAsia="仿宋_GB2312"/>
          <w:sz w:val="24"/>
          <w:color w:val="000000"/>
        </w:rPr>
        <w:t>于在医疗机构中需要进行冠状动脉介入治疗患者的冠状动脉成像，可实现血管内超声成像（IVUS）、或光</w:t>
      </w:r>
      <w:r>
        <w:rPr>
          <w:rFonts w:ascii="仿宋_GB2312" w:hAnsi="仿宋_GB2312" w:cs="仿宋_GB2312" w:eastAsia="仿宋_GB2312"/>
          <w:sz w:val="24"/>
        </w:rPr>
        <w:t>学相干断层成像(OCT)、或IVUS-OCT同步融合成像。</w:t>
      </w:r>
    </w:p>
    <w:p>
      <w:pPr>
        <w:pStyle w:val="null3"/>
        <w:ind w:firstLine="440"/>
      </w:pPr>
      <w:r>
        <w:rPr>
          <w:rFonts w:ascii="仿宋_GB2312" w:hAnsi="仿宋_GB2312" w:cs="仿宋_GB2312" w:eastAsia="仿宋_GB2312"/>
          <w:sz w:val="24"/>
        </w:rPr>
        <w:t>(2)▲成像导管适用的冠脉血管直径范围是2.0mm-4.0mm</w:t>
      </w:r>
      <w:r>
        <w:rPr>
          <w:rFonts w:ascii="仿宋_GB2312" w:hAnsi="仿宋_GB2312" w:cs="仿宋_GB2312" w:eastAsia="仿宋_GB2312"/>
          <w:sz w:val="24"/>
          <w:b/>
          <w:u w:val="single"/>
        </w:rPr>
        <w:t>（</w:t>
      </w:r>
      <w:r>
        <w:rPr>
          <w:rFonts w:ascii="仿宋_GB2312" w:hAnsi="仿宋_GB2312" w:cs="仿宋_GB2312" w:eastAsia="仿宋_GB2312"/>
          <w:sz w:val="24"/>
          <w:b/>
          <w:u w:val="single"/>
        </w:rPr>
        <w:t>投标时，</w:t>
      </w:r>
      <w:r>
        <w:rPr>
          <w:rFonts w:ascii="仿宋_GB2312" w:hAnsi="仿宋_GB2312" w:cs="仿宋_GB2312" w:eastAsia="仿宋_GB2312"/>
          <w:sz w:val="24"/>
          <w:b/>
          <w:u w:val="single"/>
        </w:rPr>
        <w:t>须提供相关证明材料</w:t>
      </w:r>
      <w:r>
        <w:rPr>
          <w:rFonts w:ascii="仿宋_GB2312" w:hAnsi="仿宋_GB2312" w:cs="仿宋_GB2312" w:eastAsia="仿宋_GB2312"/>
          <w:sz w:val="24"/>
          <w:b/>
          <w:u w:val="single"/>
        </w:rPr>
        <w:t>或承诺函</w:t>
      </w:r>
      <w:r>
        <w:rPr>
          <w:rFonts w:ascii="仿宋_GB2312" w:hAnsi="仿宋_GB2312" w:cs="仿宋_GB2312" w:eastAsia="仿宋_GB2312"/>
          <w:sz w:val="24"/>
          <w:b/>
          <w:u w:val="single"/>
        </w:rPr>
        <w:t>并加盖投标人单位公章）。</w:t>
      </w:r>
    </w:p>
    <w:p>
      <w:pPr>
        <w:pStyle w:val="null3"/>
        <w:ind w:firstLine="440"/>
      </w:pPr>
      <w:r>
        <w:rPr>
          <w:rFonts w:ascii="仿宋_GB2312" w:hAnsi="仿宋_GB2312" w:cs="仿宋_GB2312" w:eastAsia="仿宋_GB2312"/>
          <w:sz w:val="24"/>
        </w:rPr>
        <w:t>(3)▲与该血管内成像设备配合使用的可选成像导管有三种，且导管外径≤1mm，导管具备快速交换接口</w:t>
      </w:r>
      <w:r>
        <w:rPr>
          <w:rFonts w:ascii="仿宋_GB2312" w:hAnsi="仿宋_GB2312" w:cs="仿宋_GB2312" w:eastAsia="仿宋_GB2312"/>
          <w:sz w:val="24"/>
          <w:b/>
          <w:u w:val="single"/>
        </w:rPr>
        <w:t>（</w:t>
      </w:r>
      <w:r>
        <w:rPr>
          <w:rFonts w:ascii="仿宋_GB2312" w:hAnsi="仿宋_GB2312" w:cs="仿宋_GB2312" w:eastAsia="仿宋_GB2312"/>
          <w:sz w:val="24"/>
          <w:b/>
          <w:u w:val="single"/>
        </w:rPr>
        <w:t>投标时，</w:t>
      </w:r>
      <w:r>
        <w:rPr>
          <w:rFonts w:ascii="仿宋_GB2312" w:hAnsi="仿宋_GB2312" w:cs="仿宋_GB2312" w:eastAsia="仿宋_GB2312"/>
          <w:sz w:val="24"/>
          <w:b/>
          <w:u w:val="single"/>
        </w:rPr>
        <w:t>须提供相关证明材料</w:t>
      </w:r>
      <w:r>
        <w:rPr>
          <w:rFonts w:ascii="仿宋_GB2312" w:hAnsi="仿宋_GB2312" w:cs="仿宋_GB2312" w:eastAsia="仿宋_GB2312"/>
          <w:sz w:val="24"/>
          <w:b/>
          <w:u w:val="single"/>
        </w:rPr>
        <w:t>或承诺函</w:t>
      </w:r>
      <w:r>
        <w:rPr>
          <w:rFonts w:ascii="仿宋_GB2312" w:hAnsi="仿宋_GB2312" w:cs="仿宋_GB2312" w:eastAsia="仿宋_GB2312"/>
          <w:sz w:val="24"/>
          <w:b/>
          <w:u w:val="single"/>
        </w:rPr>
        <w:t>并加盖投标人单位公章）。</w:t>
      </w:r>
    </w:p>
    <w:p>
      <w:pPr>
        <w:pStyle w:val="null3"/>
        <w:ind w:firstLine="440"/>
      </w:pPr>
      <w:r>
        <w:rPr>
          <w:rFonts w:ascii="仿宋_GB2312" w:hAnsi="仿宋_GB2312" w:cs="仿宋_GB2312" w:eastAsia="仿宋_GB2312"/>
          <w:sz w:val="24"/>
          <w:b/>
        </w:rPr>
        <w:t>2</w:t>
      </w:r>
      <w:r>
        <w:rPr>
          <w:rFonts w:ascii="仿宋_GB2312" w:hAnsi="仿宋_GB2312" w:cs="仿宋_GB2312" w:eastAsia="仿宋_GB2312"/>
          <w:sz w:val="24"/>
          <w:b/>
        </w:rPr>
        <w:t>、智能测量</w:t>
      </w:r>
    </w:p>
    <w:p>
      <w:pPr>
        <w:pStyle w:val="null3"/>
        <w:ind w:firstLine="440"/>
      </w:pPr>
      <w:r>
        <w:rPr>
          <w:rFonts w:ascii="仿宋_GB2312" w:hAnsi="仿宋_GB2312" w:cs="仿宋_GB2312" w:eastAsia="仿宋_GB2312"/>
          <w:sz w:val="24"/>
        </w:rPr>
        <w:t>(1)</w:t>
      </w:r>
      <w:r>
        <w:rPr>
          <w:rFonts w:ascii="仿宋_GB2312" w:hAnsi="仿宋_GB2312" w:cs="仿宋_GB2312" w:eastAsia="仿宋_GB2312"/>
          <w:sz w:val="24"/>
          <w:b/>
        </w:rPr>
        <w:t>【评审因素2】</w:t>
      </w:r>
      <w:r>
        <w:rPr>
          <w:rFonts w:ascii="仿宋_GB2312" w:hAnsi="仿宋_GB2312" w:cs="仿宋_GB2312" w:eastAsia="仿宋_GB2312"/>
          <w:sz w:val="24"/>
        </w:rPr>
        <w:t>同时具备自动和手动测量管腔病变部位的面积、直径、狭窄程度的功能。</w:t>
      </w:r>
    </w:p>
    <w:p>
      <w:pPr>
        <w:pStyle w:val="null3"/>
        <w:ind w:firstLine="440"/>
      </w:pPr>
      <w:r>
        <w:rPr>
          <w:rFonts w:ascii="仿宋_GB2312" w:hAnsi="仿宋_GB2312" w:cs="仿宋_GB2312" w:eastAsia="仿宋_GB2312"/>
          <w:sz w:val="24"/>
        </w:rPr>
        <w:t>(2)</w:t>
      </w:r>
      <w:r>
        <w:rPr>
          <w:rFonts w:ascii="仿宋_GB2312" w:hAnsi="仿宋_GB2312" w:cs="仿宋_GB2312" w:eastAsia="仿宋_GB2312"/>
          <w:sz w:val="24"/>
          <w:b/>
        </w:rPr>
        <w:t>【评审因素3】</w:t>
      </w:r>
      <w:r>
        <w:rPr>
          <w:rFonts w:ascii="仿宋_GB2312" w:hAnsi="仿宋_GB2312" w:cs="仿宋_GB2312" w:eastAsia="仿宋_GB2312"/>
          <w:sz w:val="24"/>
        </w:rPr>
        <w:t>可进行360度旋转的双长轴影像，血管三维重建体渲染和3D飞行导航功能，3D管腔模式下可实现管腔、管壁之间的一键切换。</w:t>
      </w:r>
    </w:p>
    <w:p>
      <w:pPr>
        <w:pStyle w:val="null3"/>
        <w:ind w:firstLine="440"/>
      </w:pPr>
      <w:r>
        <w:rPr>
          <w:rFonts w:ascii="仿宋_GB2312" w:hAnsi="仿宋_GB2312" w:cs="仿宋_GB2312" w:eastAsia="仿宋_GB2312"/>
          <w:sz w:val="24"/>
        </w:rPr>
        <w:t>(3)</w:t>
      </w:r>
      <w:r>
        <w:rPr>
          <w:rFonts w:ascii="仿宋_GB2312" w:hAnsi="仿宋_GB2312" w:cs="仿宋_GB2312" w:eastAsia="仿宋_GB2312"/>
          <w:sz w:val="24"/>
          <w:b/>
        </w:rPr>
        <w:t>【评审因素4】</w:t>
      </w:r>
      <w:r>
        <w:rPr>
          <w:rFonts w:ascii="仿宋_GB2312" w:hAnsi="仿宋_GB2312" w:cs="仿宋_GB2312" w:eastAsia="仿宋_GB2312"/>
          <w:sz w:val="24"/>
        </w:rPr>
        <w:t>支架贴壁不良阈值设定：支架小梁贴壁不良和良好会有不同颜色显示。</w:t>
      </w:r>
    </w:p>
    <w:p>
      <w:pPr>
        <w:pStyle w:val="null3"/>
        <w:ind w:firstLine="440"/>
      </w:pPr>
      <w:r>
        <w:rPr>
          <w:rFonts w:ascii="仿宋_GB2312" w:hAnsi="仿宋_GB2312" w:cs="仿宋_GB2312" w:eastAsia="仿宋_GB2312"/>
          <w:sz w:val="24"/>
        </w:rPr>
        <w:t>(4)</w:t>
      </w:r>
      <w:r>
        <w:rPr>
          <w:rFonts w:ascii="仿宋_GB2312" w:hAnsi="仿宋_GB2312" w:cs="仿宋_GB2312" w:eastAsia="仿宋_GB2312"/>
          <w:sz w:val="24"/>
          <w:b/>
        </w:rPr>
        <w:t>【评审因素5】</w:t>
      </w:r>
      <w:r>
        <w:rPr>
          <w:rFonts w:ascii="仿宋_GB2312" w:hAnsi="仿宋_GB2312" w:cs="仿宋_GB2312" w:eastAsia="仿宋_GB2312"/>
          <w:sz w:val="24"/>
        </w:rPr>
        <w:t>支架膨胀系数阈值可自定义，当实测值与所设阈值对比时，支架膨胀数据自动计算，并且膨胀良好和膨胀不良会以不同颜色显示。</w:t>
      </w:r>
    </w:p>
    <w:p>
      <w:pPr>
        <w:pStyle w:val="null3"/>
        <w:ind w:firstLine="440"/>
      </w:pPr>
      <w:r>
        <w:rPr>
          <w:rFonts w:ascii="仿宋_GB2312" w:hAnsi="仿宋_GB2312" w:cs="仿宋_GB2312" w:eastAsia="仿宋_GB2312"/>
          <w:sz w:val="24"/>
        </w:rPr>
        <w:t>(5)</w:t>
      </w:r>
      <w:r>
        <w:rPr>
          <w:rFonts w:ascii="仿宋_GB2312" w:hAnsi="仿宋_GB2312" w:cs="仿宋_GB2312" w:eastAsia="仿宋_GB2312"/>
          <w:sz w:val="24"/>
          <w:b/>
        </w:rPr>
        <w:t>【评审因素6】</w:t>
      </w:r>
      <w:r>
        <w:rPr>
          <w:rFonts w:ascii="仿宋_GB2312" w:hAnsi="仿宋_GB2312" w:cs="仿宋_GB2312" w:eastAsia="仿宋_GB2312"/>
          <w:sz w:val="24"/>
        </w:rPr>
        <w:t>能自动探测整个回拉图像的EEL。</w:t>
      </w:r>
    </w:p>
    <w:p>
      <w:pPr>
        <w:pStyle w:val="null3"/>
        <w:ind w:firstLine="440"/>
      </w:pPr>
      <w:r>
        <w:rPr>
          <w:rFonts w:ascii="仿宋_GB2312" w:hAnsi="仿宋_GB2312" w:cs="仿宋_GB2312" w:eastAsia="仿宋_GB2312"/>
          <w:sz w:val="24"/>
        </w:rPr>
        <w:t>(6)</w:t>
      </w:r>
      <w:r>
        <w:rPr>
          <w:rFonts w:ascii="仿宋_GB2312" w:hAnsi="仿宋_GB2312" w:cs="仿宋_GB2312" w:eastAsia="仿宋_GB2312"/>
          <w:sz w:val="24"/>
          <w:b/>
        </w:rPr>
        <w:t>【评审因素7】</w:t>
      </w:r>
      <w:r>
        <w:rPr>
          <w:rFonts w:ascii="仿宋_GB2312" w:hAnsi="仿宋_GB2312" w:cs="仿宋_GB2312" w:eastAsia="仿宋_GB2312"/>
          <w:sz w:val="24"/>
        </w:rPr>
        <w:t>具备自动测量每帧图像的斑块负荷。</w:t>
      </w:r>
    </w:p>
    <w:p>
      <w:pPr>
        <w:pStyle w:val="null3"/>
        <w:ind w:firstLine="440"/>
      </w:pPr>
      <w:r>
        <w:rPr>
          <w:rFonts w:ascii="仿宋_GB2312" w:hAnsi="仿宋_GB2312" w:cs="仿宋_GB2312" w:eastAsia="仿宋_GB2312"/>
          <w:sz w:val="24"/>
          <w:b/>
        </w:rPr>
        <w:t>3、</w:t>
      </w:r>
      <w:r>
        <w:rPr>
          <w:rFonts w:ascii="仿宋_GB2312" w:hAnsi="仿宋_GB2312" w:cs="仿宋_GB2312" w:eastAsia="仿宋_GB2312"/>
          <w:sz w:val="24"/>
          <w:b/>
        </w:rPr>
        <w:t>成像参数</w:t>
      </w:r>
    </w:p>
    <w:p>
      <w:pPr>
        <w:pStyle w:val="null3"/>
        <w:ind w:firstLine="440"/>
      </w:pPr>
      <w:r>
        <w:rPr>
          <w:rFonts w:ascii="仿宋_GB2312" w:hAnsi="仿宋_GB2312" w:cs="仿宋_GB2312" w:eastAsia="仿宋_GB2312"/>
          <w:sz w:val="24"/>
        </w:rPr>
        <w:t>(1)</w:t>
      </w:r>
      <w:r>
        <w:rPr>
          <w:rFonts w:ascii="仿宋_GB2312" w:hAnsi="仿宋_GB2312" w:cs="仿宋_GB2312" w:eastAsia="仿宋_GB2312"/>
          <w:sz w:val="24"/>
          <w:b/>
        </w:rPr>
        <w:t>【评审因素8】</w:t>
      </w:r>
      <w:r>
        <w:rPr>
          <w:rFonts w:ascii="仿宋_GB2312" w:hAnsi="仿宋_GB2312" w:cs="仿宋_GB2312" w:eastAsia="仿宋_GB2312"/>
          <w:sz w:val="24"/>
        </w:rPr>
        <w:t>超声工作频率≥35MHz；IVUS成像半径≥6.0mm。</w:t>
      </w:r>
    </w:p>
    <w:p>
      <w:pPr>
        <w:pStyle w:val="null3"/>
        <w:ind w:firstLine="440"/>
      </w:pPr>
      <w:r>
        <w:rPr>
          <w:rFonts w:ascii="仿宋_GB2312" w:hAnsi="仿宋_GB2312" w:cs="仿宋_GB2312" w:eastAsia="仿宋_GB2312"/>
          <w:sz w:val="24"/>
        </w:rPr>
        <w:t>(2)</w:t>
      </w:r>
      <w:r>
        <w:rPr>
          <w:rFonts w:ascii="仿宋_GB2312" w:hAnsi="仿宋_GB2312" w:cs="仿宋_GB2312" w:eastAsia="仿宋_GB2312"/>
          <w:sz w:val="24"/>
          <w:b/>
        </w:rPr>
        <w:t>【评审因素9】</w:t>
      </w:r>
      <w:r>
        <w:rPr>
          <w:rFonts w:ascii="仿宋_GB2312" w:hAnsi="仿宋_GB2312" w:cs="仿宋_GB2312" w:eastAsia="仿宋_GB2312"/>
          <w:sz w:val="24"/>
        </w:rPr>
        <w:t>IVUS轴向分辨力≤110μm，侧向分辨力≤220μm。</w:t>
      </w:r>
    </w:p>
    <w:p>
      <w:pPr>
        <w:pStyle w:val="null3"/>
        <w:ind w:firstLine="440"/>
      </w:pPr>
      <w:r>
        <w:rPr>
          <w:rFonts w:ascii="仿宋_GB2312" w:hAnsi="仿宋_GB2312" w:cs="仿宋_GB2312" w:eastAsia="仿宋_GB2312"/>
          <w:sz w:val="24"/>
        </w:rPr>
        <w:t>(3)</w:t>
      </w:r>
      <w:r>
        <w:rPr>
          <w:rFonts w:ascii="仿宋_GB2312" w:hAnsi="仿宋_GB2312" w:cs="仿宋_GB2312" w:eastAsia="仿宋_GB2312"/>
          <w:sz w:val="24"/>
          <w:b/>
        </w:rPr>
        <w:t>【评审因素10】</w:t>
      </w:r>
      <w:r>
        <w:rPr>
          <w:rFonts w:ascii="仿宋_GB2312" w:hAnsi="仿宋_GB2312" w:cs="仿宋_GB2312" w:eastAsia="仿宋_GB2312"/>
          <w:sz w:val="24"/>
        </w:rPr>
        <w:t>光学成像分辨力，轴向分辨力≤30μm；侧向分辨力≤30μm。</w:t>
      </w:r>
    </w:p>
    <w:p>
      <w:pPr>
        <w:pStyle w:val="null3"/>
        <w:ind w:firstLine="440"/>
      </w:pPr>
      <w:r>
        <w:rPr>
          <w:rFonts w:ascii="仿宋_GB2312" w:hAnsi="仿宋_GB2312" w:cs="仿宋_GB2312" w:eastAsia="仿宋_GB2312"/>
          <w:sz w:val="24"/>
        </w:rPr>
        <w:t>(4)</w:t>
      </w:r>
      <w:r>
        <w:rPr>
          <w:rFonts w:ascii="仿宋_GB2312" w:hAnsi="仿宋_GB2312" w:cs="仿宋_GB2312" w:eastAsia="仿宋_GB2312"/>
          <w:sz w:val="24"/>
          <w:b/>
        </w:rPr>
        <w:t>【评审因素11】</w:t>
      </w:r>
      <w:r>
        <w:rPr>
          <w:rFonts w:ascii="仿宋_GB2312" w:hAnsi="仿宋_GB2312" w:cs="仿宋_GB2312" w:eastAsia="仿宋_GB2312"/>
          <w:sz w:val="24"/>
        </w:rPr>
        <w:t>光源扫频速率是100kHz±5%；OCT光学成像半径≥5㎜。</w:t>
      </w:r>
    </w:p>
    <w:p>
      <w:pPr>
        <w:pStyle w:val="null3"/>
        <w:ind w:firstLine="440"/>
      </w:pPr>
      <w:r>
        <w:rPr>
          <w:rFonts w:ascii="仿宋_GB2312" w:hAnsi="仿宋_GB2312" w:cs="仿宋_GB2312" w:eastAsia="仿宋_GB2312"/>
          <w:sz w:val="24"/>
        </w:rPr>
        <w:t>(5)</w:t>
      </w:r>
      <w:r>
        <w:rPr>
          <w:rFonts w:ascii="仿宋_GB2312" w:hAnsi="仿宋_GB2312" w:cs="仿宋_GB2312" w:eastAsia="仿宋_GB2312"/>
          <w:sz w:val="24"/>
          <w:b/>
        </w:rPr>
        <w:t>【评审因素12】</w:t>
      </w:r>
      <w:r>
        <w:rPr>
          <w:rFonts w:ascii="仿宋_GB2312" w:hAnsi="仿宋_GB2312" w:cs="仿宋_GB2312" w:eastAsia="仿宋_GB2312"/>
          <w:sz w:val="24"/>
        </w:rPr>
        <w:t>扫描激光源中心波长:1310nm±20nm；输出功率：5mW-20mW。</w:t>
      </w:r>
    </w:p>
    <w:p>
      <w:pPr>
        <w:pStyle w:val="null3"/>
        <w:ind w:firstLine="440"/>
      </w:pPr>
      <w:r>
        <w:rPr>
          <w:rFonts w:ascii="仿宋_GB2312" w:hAnsi="仿宋_GB2312" w:cs="仿宋_GB2312" w:eastAsia="仿宋_GB2312"/>
          <w:sz w:val="24"/>
        </w:rPr>
        <w:t>(6)</w:t>
      </w:r>
      <w:r>
        <w:rPr>
          <w:rFonts w:ascii="仿宋_GB2312" w:hAnsi="仿宋_GB2312" w:cs="仿宋_GB2312" w:eastAsia="仿宋_GB2312"/>
          <w:sz w:val="24"/>
          <w:b/>
        </w:rPr>
        <w:t>【评审因素13】</w:t>
      </w:r>
      <w:r>
        <w:rPr>
          <w:rFonts w:ascii="仿宋_GB2312" w:hAnsi="仿宋_GB2312" w:cs="仿宋_GB2312" w:eastAsia="仿宋_GB2312"/>
          <w:sz w:val="24"/>
        </w:rPr>
        <w:t>指示光波长：650nm±25nm；指示光输出功率：＜0.3mW。</w:t>
      </w:r>
    </w:p>
    <w:p>
      <w:pPr>
        <w:pStyle w:val="null3"/>
        <w:ind w:firstLine="440"/>
      </w:pPr>
      <w:r>
        <w:rPr>
          <w:rFonts w:ascii="仿宋_GB2312" w:hAnsi="仿宋_GB2312" w:cs="仿宋_GB2312" w:eastAsia="仿宋_GB2312"/>
          <w:sz w:val="24"/>
        </w:rPr>
        <w:t>(7)▲一次性血管内成像导管有效长度是1380mm±30 mm</w:t>
      </w:r>
      <w:r>
        <w:rPr>
          <w:rFonts w:ascii="仿宋_GB2312" w:hAnsi="仿宋_GB2312" w:cs="仿宋_GB2312" w:eastAsia="仿宋_GB2312"/>
          <w:sz w:val="24"/>
          <w:b/>
          <w:u w:val="single"/>
        </w:rPr>
        <w:t>（</w:t>
      </w:r>
      <w:r>
        <w:rPr>
          <w:rFonts w:ascii="仿宋_GB2312" w:hAnsi="仿宋_GB2312" w:cs="仿宋_GB2312" w:eastAsia="仿宋_GB2312"/>
          <w:sz w:val="24"/>
          <w:b/>
          <w:u w:val="single"/>
        </w:rPr>
        <w:t>投标时，</w:t>
      </w:r>
      <w:r>
        <w:rPr>
          <w:rFonts w:ascii="仿宋_GB2312" w:hAnsi="仿宋_GB2312" w:cs="仿宋_GB2312" w:eastAsia="仿宋_GB2312"/>
          <w:sz w:val="24"/>
          <w:b/>
          <w:u w:val="single"/>
        </w:rPr>
        <w:t>须提供相关证明材料</w:t>
      </w:r>
      <w:r>
        <w:rPr>
          <w:rFonts w:ascii="仿宋_GB2312" w:hAnsi="仿宋_GB2312" w:cs="仿宋_GB2312" w:eastAsia="仿宋_GB2312"/>
          <w:sz w:val="24"/>
          <w:b/>
          <w:u w:val="single"/>
        </w:rPr>
        <w:t>或承诺函</w:t>
      </w:r>
      <w:r>
        <w:rPr>
          <w:rFonts w:ascii="仿宋_GB2312" w:hAnsi="仿宋_GB2312" w:cs="仿宋_GB2312" w:eastAsia="仿宋_GB2312"/>
          <w:sz w:val="24"/>
          <w:b/>
          <w:u w:val="single"/>
        </w:rPr>
        <w:t>并加盖投标人单位公章）。</w:t>
      </w:r>
    </w:p>
    <w:p>
      <w:pPr>
        <w:pStyle w:val="null3"/>
        <w:ind w:firstLine="440"/>
      </w:pPr>
      <w:r>
        <w:rPr>
          <w:rFonts w:ascii="仿宋_GB2312" w:hAnsi="仿宋_GB2312" w:cs="仿宋_GB2312" w:eastAsia="仿宋_GB2312"/>
          <w:sz w:val="24"/>
        </w:rPr>
        <w:t>(8)</w:t>
      </w:r>
      <w:r>
        <w:rPr>
          <w:rFonts w:ascii="仿宋_GB2312" w:hAnsi="仿宋_GB2312" w:cs="仿宋_GB2312" w:eastAsia="仿宋_GB2312"/>
          <w:sz w:val="24"/>
          <w:b/>
        </w:rPr>
        <w:t>【评审因素14】</w:t>
      </w:r>
      <w:r>
        <w:rPr>
          <w:rFonts w:ascii="仿宋_GB2312" w:hAnsi="仿宋_GB2312" w:cs="仿宋_GB2312" w:eastAsia="仿宋_GB2312"/>
          <w:sz w:val="24"/>
        </w:rPr>
        <w:t>最大单次回撤长度：≥150mm。</w:t>
      </w:r>
    </w:p>
    <w:p>
      <w:pPr>
        <w:pStyle w:val="null3"/>
        <w:ind w:firstLine="440"/>
      </w:pPr>
      <w:r>
        <w:rPr>
          <w:rFonts w:ascii="仿宋_GB2312" w:hAnsi="仿宋_GB2312" w:cs="仿宋_GB2312" w:eastAsia="仿宋_GB2312"/>
          <w:sz w:val="24"/>
        </w:rPr>
        <w:t>(9)▲回撤方式：手动、自动，单次最快回撤速度：≥40mm/s</w:t>
      </w:r>
      <w:r>
        <w:rPr>
          <w:rFonts w:ascii="仿宋_GB2312" w:hAnsi="仿宋_GB2312" w:cs="仿宋_GB2312" w:eastAsia="仿宋_GB2312"/>
          <w:sz w:val="24"/>
          <w:b/>
          <w:u w:val="single"/>
        </w:rPr>
        <w:t>（</w:t>
      </w:r>
      <w:r>
        <w:rPr>
          <w:rFonts w:ascii="仿宋_GB2312" w:hAnsi="仿宋_GB2312" w:cs="仿宋_GB2312" w:eastAsia="仿宋_GB2312"/>
          <w:sz w:val="24"/>
          <w:b/>
          <w:u w:val="single"/>
        </w:rPr>
        <w:t>投标时，</w:t>
      </w:r>
      <w:r>
        <w:rPr>
          <w:rFonts w:ascii="仿宋_GB2312" w:hAnsi="仿宋_GB2312" w:cs="仿宋_GB2312" w:eastAsia="仿宋_GB2312"/>
          <w:sz w:val="24"/>
          <w:b/>
          <w:u w:val="single"/>
        </w:rPr>
        <w:t>须提供相关证明材料</w:t>
      </w:r>
      <w:r>
        <w:rPr>
          <w:rFonts w:ascii="仿宋_GB2312" w:hAnsi="仿宋_GB2312" w:cs="仿宋_GB2312" w:eastAsia="仿宋_GB2312"/>
          <w:sz w:val="24"/>
          <w:b/>
          <w:u w:val="single"/>
        </w:rPr>
        <w:t>或承诺函</w:t>
      </w:r>
      <w:r>
        <w:rPr>
          <w:rFonts w:ascii="仿宋_GB2312" w:hAnsi="仿宋_GB2312" w:cs="仿宋_GB2312" w:eastAsia="仿宋_GB2312"/>
          <w:sz w:val="24"/>
          <w:b/>
          <w:u w:val="single"/>
        </w:rPr>
        <w:t>并加盖投标人单位公章）。</w:t>
      </w:r>
    </w:p>
    <w:p>
      <w:pPr>
        <w:pStyle w:val="null3"/>
        <w:ind w:firstLine="440"/>
      </w:pPr>
      <w:r>
        <w:rPr>
          <w:rFonts w:ascii="仿宋_GB2312" w:hAnsi="仿宋_GB2312" w:cs="仿宋_GB2312" w:eastAsia="仿宋_GB2312"/>
          <w:sz w:val="24"/>
        </w:rPr>
        <w:t>(10)▲最快成像帧速率：≥200帧/秒</w:t>
      </w:r>
      <w:r>
        <w:rPr>
          <w:rFonts w:ascii="仿宋_GB2312" w:hAnsi="仿宋_GB2312" w:cs="仿宋_GB2312" w:eastAsia="仿宋_GB2312"/>
          <w:sz w:val="24"/>
          <w:b/>
          <w:u w:val="single"/>
        </w:rPr>
        <w:t>（</w:t>
      </w:r>
      <w:r>
        <w:rPr>
          <w:rFonts w:ascii="仿宋_GB2312" w:hAnsi="仿宋_GB2312" w:cs="仿宋_GB2312" w:eastAsia="仿宋_GB2312"/>
          <w:sz w:val="24"/>
          <w:b/>
          <w:u w:val="single"/>
        </w:rPr>
        <w:t>投标时，</w:t>
      </w:r>
      <w:r>
        <w:rPr>
          <w:rFonts w:ascii="仿宋_GB2312" w:hAnsi="仿宋_GB2312" w:cs="仿宋_GB2312" w:eastAsia="仿宋_GB2312"/>
          <w:sz w:val="24"/>
          <w:b/>
          <w:u w:val="single"/>
        </w:rPr>
        <w:t>须提供相关证明材料</w:t>
      </w:r>
      <w:r>
        <w:rPr>
          <w:rFonts w:ascii="仿宋_GB2312" w:hAnsi="仿宋_GB2312" w:cs="仿宋_GB2312" w:eastAsia="仿宋_GB2312"/>
          <w:sz w:val="24"/>
          <w:b/>
          <w:u w:val="single"/>
        </w:rPr>
        <w:t>或承诺函</w:t>
      </w:r>
      <w:r>
        <w:rPr>
          <w:rFonts w:ascii="仿宋_GB2312" w:hAnsi="仿宋_GB2312" w:cs="仿宋_GB2312" w:eastAsia="仿宋_GB2312"/>
          <w:sz w:val="24"/>
          <w:b/>
          <w:u w:val="single"/>
        </w:rPr>
        <w:t>并加盖投标人单位公章）。</w:t>
      </w:r>
    </w:p>
    <w:p>
      <w:pPr>
        <w:pStyle w:val="null3"/>
        <w:ind w:firstLine="440"/>
      </w:pPr>
      <w:r>
        <w:rPr>
          <w:rFonts w:ascii="仿宋_GB2312" w:hAnsi="仿宋_GB2312" w:cs="仿宋_GB2312" w:eastAsia="仿宋_GB2312"/>
          <w:sz w:val="24"/>
          <w:b/>
        </w:rPr>
        <w:t>4</w:t>
      </w:r>
      <w:r>
        <w:rPr>
          <w:rFonts w:ascii="仿宋_GB2312" w:hAnsi="仿宋_GB2312" w:cs="仿宋_GB2312" w:eastAsia="仿宋_GB2312"/>
          <w:sz w:val="24"/>
          <w:b/>
        </w:rPr>
        <w:t>、图像获取及处理</w:t>
      </w:r>
    </w:p>
    <w:p>
      <w:pPr>
        <w:pStyle w:val="null3"/>
        <w:ind w:firstLine="440"/>
      </w:pPr>
      <w:r>
        <w:rPr>
          <w:rFonts w:ascii="仿宋_GB2312" w:hAnsi="仿宋_GB2312" w:cs="仿宋_GB2312" w:eastAsia="仿宋_GB2312"/>
          <w:sz w:val="24"/>
        </w:rPr>
        <w:t>(1)</w:t>
      </w:r>
      <w:r>
        <w:rPr>
          <w:rFonts w:ascii="仿宋_GB2312" w:hAnsi="仿宋_GB2312" w:cs="仿宋_GB2312" w:eastAsia="仿宋_GB2312"/>
          <w:sz w:val="24"/>
          <w:b/>
        </w:rPr>
        <w:t>【评审因素15】</w:t>
      </w:r>
      <w:r>
        <w:rPr>
          <w:rFonts w:ascii="仿宋_GB2312" w:hAnsi="仿宋_GB2312" w:cs="仿宋_GB2312" w:eastAsia="仿宋_GB2312"/>
          <w:sz w:val="24"/>
        </w:rPr>
        <w:t>捕获图像至少包括两种方式：截图和“捕获单帧图像”。</w:t>
      </w:r>
    </w:p>
    <w:p>
      <w:pPr>
        <w:pStyle w:val="null3"/>
        <w:ind w:firstLine="440"/>
      </w:pPr>
      <w:r>
        <w:rPr>
          <w:rFonts w:ascii="仿宋_GB2312" w:hAnsi="仿宋_GB2312" w:cs="仿宋_GB2312" w:eastAsia="仿宋_GB2312"/>
          <w:sz w:val="24"/>
        </w:rPr>
        <w:t>(2)</w:t>
      </w:r>
      <w:r>
        <w:rPr>
          <w:rFonts w:ascii="仿宋_GB2312" w:hAnsi="仿宋_GB2312" w:cs="仿宋_GB2312" w:eastAsia="仿宋_GB2312"/>
          <w:sz w:val="24"/>
          <w:b/>
        </w:rPr>
        <w:t>【评审因素16】</w:t>
      </w:r>
      <w:r>
        <w:rPr>
          <w:rFonts w:ascii="仿宋_GB2312" w:hAnsi="仿宋_GB2312" w:cs="仿宋_GB2312" w:eastAsia="仿宋_GB2312"/>
          <w:sz w:val="24"/>
        </w:rPr>
        <w:t>具备图像文件的输入、输出和管理功能，应能够用L-mode模式显示图像、回放控制、校准调整、书签控制、导出记录、捕获图像、记录图像、图像放大。</w:t>
      </w:r>
    </w:p>
    <w:p>
      <w:pPr>
        <w:pStyle w:val="null3"/>
        <w:ind w:firstLine="440"/>
      </w:pPr>
      <w:r>
        <w:rPr>
          <w:rFonts w:ascii="仿宋_GB2312" w:hAnsi="仿宋_GB2312" w:cs="仿宋_GB2312" w:eastAsia="仿宋_GB2312"/>
          <w:sz w:val="24"/>
        </w:rPr>
        <w:t>(3)</w:t>
      </w:r>
      <w:r>
        <w:rPr>
          <w:rFonts w:ascii="仿宋_GB2312" w:hAnsi="仿宋_GB2312" w:cs="仿宋_GB2312" w:eastAsia="仿宋_GB2312"/>
          <w:sz w:val="24"/>
          <w:b/>
        </w:rPr>
        <w:t>【评审因素17】</w:t>
      </w:r>
      <w:r>
        <w:rPr>
          <w:rFonts w:ascii="仿宋_GB2312" w:hAnsi="仿宋_GB2312" w:cs="仿宋_GB2312" w:eastAsia="仿宋_GB2312"/>
          <w:sz w:val="24"/>
        </w:rPr>
        <w:t>可DICOM 3.0标准存储影像。存储方式：光盘、USB或移动硬盘。导出方式：支持TIFF格式、JPEG格式、DICOM格式、AVI格式、RAW格式导出数据，交互方式灵活。</w:t>
      </w:r>
    </w:p>
    <w:p>
      <w:pPr>
        <w:pStyle w:val="null3"/>
        <w:ind w:firstLine="440"/>
      </w:pPr>
      <w:r>
        <w:rPr>
          <w:rFonts w:ascii="仿宋_GB2312" w:hAnsi="仿宋_GB2312" w:cs="仿宋_GB2312" w:eastAsia="仿宋_GB2312"/>
          <w:sz w:val="24"/>
        </w:rPr>
        <w:t>(4)</w:t>
      </w:r>
      <w:r>
        <w:rPr>
          <w:rFonts w:ascii="仿宋_GB2312" w:hAnsi="仿宋_GB2312" w:cs="仿宋_GB2312" w:eastAsia="仿宋_GB2312"/>
          <w:sz w:val="24"/>
          <w:b/>
        </w:rPr>
        <w:t>【评审因素18】</w:t>
      </w:r>
      <w:r>
        <w:rPr>
          <w:rFonts w:ascii="仿宋_GB2312" w:hAnsi="仿宋_GB2312" w:cs="仿宋_GB2312" w:eastAsia="仿宋_GB2312"/>
          <w:sz w:val="24"/>
        </w:rPr>
        <w:t>数据可以合并数据库归档，可导出生数据、标准图像和视频格式，可以使用图像工作站对生数据进行操作，或使用PC软件读取标准格式。</w:t>
      </w:r>
    </w:p>
    <w:p>
      <w:pPr>
        <w:pStyle w:val="null3"/>
        <w:ind w:firstLine="440"/>
      </w:pPr>
      <w:r>
        <w:rPr>
          <w:rFonts w:ascii="仿宋_GB2312" w:hAnsi="仿宋_GB2312" w:cs="仿宋_GB2312" w:eastAsia="仿宋_GB2312"/>
          <w:sz w:val="24"/>
          <w:b/>
        </w:rPr>
        <w:t>5</w:t>
      </w:r>
      <w:r>
        <w:rPr>
          <w:rFonts w:ascii="仿宋_GB2312" w:hAnsi="仿宋_GB2312" w:cs="仿宋_GB2312" w:eastAsia="仿宋_GB2312"/>
          <w:sz w:val="24"/>
          <w:b/>
        </w:rPr>
        <w:t>、硬件</w:t>
      </w:r>
    </w:p>
    <w:p>
      <w:pPr>
        <w:pStyle w:val="null3"/>
        <w:ind w:firstLine="440"/>
      </w:pPr>
      <w:r>
        <w:rPr>
          <w:rFonts w:ascii="仿宋_GB2312" w:hAnsi="仿宋_GB2312" w:cs="仿宋_GB2312" w:eastAsia="仿宋_GB2312"/>
          <w:sz w:val="24"/>
        </w:rPr>
        <w:t>(1)</w:t>
      </w:r>
      <w:r>
        <w:rPr>
          <w:rFonts w:ascii="仿宋_GB2312" w:hAnsi="仿宋_GB2312" w:cs="仿宋_GB2312" w:eastAsia="仿宋_GB2312"/>
          <w:sz w:val="24"/>
          <w:b/>
        </w:rPr>
        <w:t>【评审因素19】</w:t>
      </w:r>
      <w:r>
        <w:rPr>
          <w:rFonts w:ascii="仿宋_GB2312" w:hAnsi="仿宋_GB2312" w:cs="仿宋_GB2312" w:eastAsia="仿宋_GB2312"/>
          <w:sz w:val="24"/>
        </w:rPr>
        <w:t>CPU八核；硬盘≥1T；主机运行内存≥32G。</w:t>
      </w:r>
    </w:p>
    <w:p>
      <w:pPr>
        <w:pStyle w:val="null3"/>
        <w:ind w:firstLine="440"/>
      </w:pPr>
      <w:r>
        <w:rPr>
          <w:rFonts w:ascii="仿宋_GB2312" w:hAnsi="仿宋_GB2312" w:cs="仿宋_GB2312" w:eastAsia="仿宋_GB2312"/>
          <w:sz w:val="24"/>
        </w:rPr>
        <w:t>(2)</w:t>
      </w:r>
      <w:r>
        <w:rPr>
          <w:rFonts w:ascii="仿宋_GB2312" w:hAnsi="仿宋_GB2312" w:cs="仿宋_GB2312" w:eastAsia="仿宋_GB2312"/>
          <w:sz w:val="24"/>
          <w:b/>
        </w:rPr>
        <w:t>【评审因素20】</w:t>
      </w:r>
      <w:r>
        <w:rPr>
          <w:rFonts w:ascii="仿宋_GB2312" w:hAnsi="仿宋_GB2312" w:cs="仿宋_GB2312" w:eastAsia="仿宋_GB2312"/>
          <w:sz w:val="24"/>
        </w:rPr>
        <w:t>两台医学影像专用彩色液晶平板显视器≥21英寸，分辨率≥1920×1080。</w:t>
      </w:r>
    </w:p>
    <w:p>
      <w:pPr>
        <w:pStyle w:val="null3"/>
        <w:ind w:left="435"/>
      </w:pPr>
      <w:r>
        <w:rPr>
          <w:rFonts w:ascii="仿宋_GB2312" w:hAnsi="仿宋_GB2312" w:cs="仿宋_GB2312" w:eastAsia="仿宋_GB2312"/>
          <w:sz w:val="24"/>
          <w:b/>
        </w:rPr>
        <w:t>6</w:t>
      </w:r>
      <w:r>
        <w:rPr>
          <w:rFonts w:ascii="仿宋_GB2312" w:hAnsi="仿宋_GB2312" w:cs="仿宋_GB2312" w:eastAsia="仿宋_GB2312"/>
          <w:sz w:val="24"/>
          <w:b/>
        </w:rPr>
        <w:t>、其他功能</w:t>
      </w:r>
    </w:p>
    <w:p>
      <w:pPr>
        <w:pStyle w:val="null3"/>
        <w:ind w:firstLine="440"/>
      </w:pPr>
      <w:r>
        <w:rPr>
          <w:rFonts w:ascii="仿宋_GB2312" w:hAnsi="仿宋_GB2312" w:cs="仿宋_GB2312" w:eastAsia="仿宋_GB2312"/>
          <w:sz w:val="24"/>
        </w:rPr>
        <w:t>(1)</w:t>
      </w:r>
      <w:r>
        <w:rPr>
          <w:rFonts w:ascii="仿宋_GB2312" w:hAnsi="仿宋_GB2312" w:cs="仿宋_GB2312" w:eastAsia="仿宋_GB2312"/>
          <w:sz w:val="24"/>
          <w:b/>
        </w:rPr>
        <w:t>【评审因素21】</w:t>
      </w:r>
      <w:r>
        <w:rPr>
          <w:rFonts w:ascii="仿宋_GB2312" w:hAnsi="仿宋_GB2312" w:cs="仿宋_GB2312" w:eastAsia="仿宋_GB2312"/>
          <w:sz w:val="24"/>
        </w:rPr>
        <w:t>具备OCT检测设备与IVUS诊断设备的融合，可实现在同一主机上既可选择单模式OCT成像、单模式IVUS成像，也可选择双模</w:t>
      </w:r>
      <w:r>
        <w:rPr>
          <w:rFonts w:ascii="仿宋_GB2312" w:hAnsi="仿宋_GB2312" w:cs="仿宋_GB2312" w:eastAsia="仿宋_GB2312"/>
          <w:sz w:val="24"/>
        </w:rPr>
        <w:t>式</w:t>
      </w:r>
      <w:r>
        <w:rPr>
          <w:rFonts w:ascii="仿宋_GB2312" w:hAnsi="仿宋_GB2312" w:cs="仿宋_GB2312" w:eastAsia="仿宋_GB2312"/>
          <w:sz w:val="24"/>
        </w:rPr>
        <w:t>融合成像。</w:t>
      </w:r>
    </w:p>
    <w:p>
      <w:pPr>
        <w:pStyle w:val="null3"/>
        <w:ind w:firstLine="440"/>
      </w:pPr>
      <w:r>
        <w:rPr>
          <w:rFonts w:ascii="仿宋_GB2312" w:hAnsi="仿宋_GB2312" w:cs="仿宋_GB2312" w:eastAsia="仿宋_GB2312"/>
          <w:sz w:val="24"/>
        </w:rPr>
        <w:t>(2)</w:t>
      </w:r>
      <w:r>
        <w:rPr>
          <w:rFonts w:ascii="仿宋_GB2312" w:hAnsi="仿宋_GB2312" w:cs="仿宋_GB2312" w:eastAsia="仿宋_GB2312"/>
          <w:sz w:val="24"/>
          <w:b/>
        </w:rPr>
        <w:t>【评审因素22】</w:t>
      </w:r>
      <w:r>
        <w:rPr>
          <w:rFonts w:ascii="仿宋_GB2312" w:hAnsi="仿宋_GB2312" w:cs="仿宋_GB2312" w:eastAsia="仿宋_GB2312"/>
          <w:sz w:val="24"/>
        </w:rPr>
        <w:t>一体式工作站配置，同一主机通过一根导管一次回拉可以获取OCT和IVUS同时同位的管腔诊断信息，同一主机的同一屏幕呈现同一组织部位的OCT和IVUS横截面图像。</w:t>
      </w:r>
    </w:p>
    <w:p>
      <w:pPr>
        <w:pStyle w:val="null3"/>
        <w:ind w:firstLine="440"/>
      </w:pPr>
      <w:r>
        <w:rPr>
          <w:rFonts w:ascii="仿宋_GB2312" w:hAnsi="仿宋_GB2312" w:cs="仿宋_GB2312" w:eastAsia="仿宋_GB2312"/>
          <w:sz w:val="24"/>
        </w:rPr>
        <w:t>(3)</w:t>
      </w:r>
      <w:r>
        <w:rPr>
          <w:rFonts w:ascii="仿宋_GB2312" w:hAnsi="仿宋_GB2312" w:cs="仿宋_GB2312" w:eastAsia="仿宋_GB2312"/>
          <w:sz w:val="24"/>
          <w:b/>
        </w:rPr>
        <w:t>【评审因素23】</w:t>
      </w:r>
      <w:r>
        <w:rPr>
          <w:rFonts w:ascii="仿宋_GB2312" w:hAnsi="仿宋_GB2312" w:cs="仿宋_GB2312" w:eastAsia="仿宋_GB2312"/>
          <w:sz w:val="24"/>
        </w:rPr>
        <w:t>可通过OCT图像进行管腔相关测量和斑块性质评估，IVUS图像精准识别EEL测量斑块负荷，并能观测到脂质斑块后的深层病变信息，一次性全面获取管腔信息。</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自合同签订之日起30日内（具体以合同签订时间为准）。</w:t>
            </w:r>
          </w:p>
        </w:tc>
      </w:tr>
      <w:tr>
        <w:tc>
          <w:tcPr>
            <w:tcW w:type="dxa" w:w="2076"/>
          </w:tcPr>
          <w:p>
            <w:pPr>
              <w:pStyle w:val="null3"/>
              <w:jc w:val="both"/>
            </w:pPr>
            <w:r>
              <w:rPr>
                <w:rFonts w:ascii="仿宋_GB2312" w:hAnsi="仿宋_GB2312" w:cs="仿宋_GB2312" w:eastAsia="仿宋_GB2312"/>
              </w:rPr>
              <w:t>2</w:t>
            </w:r>
          </w:p>
        </w:tc>
        <w:tc>
          <w:tcPr>
            <w:tcW w:type="dxa" w:w="2076"/>
          </w:tcP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晋江市医院（上海市第六人民医院福建医院），具体以采购人指定的地点为准。</w:t>
            </w:r>
          </w:p>
        </w:tc>
      </w:tr>
      <w:tr>
        <w:tc>
          <w:tcPr>
            <w:tcW w:type="dxa" w:w="2076"/>
          </w:tcPr>
          <w:p>
            <w:pPr>
              <w:pStyle w:val="null3"/>
              <w:jc w:val="both"/>
            </w:pPr>
            <w:r>
              <w:rPr>
                <w:rFonts w:ascii="仿宋_GB2312" w:hAnsi="仿宋_GB2312" w:cs="仿宋_GB2312" w:eastAsia="仿宋_GB2312"/>
              </w:rPr>
              <w:t>3</w:t>
            </w:r>
          </w:p>
        </w:tc>
        <w:tc>
          <w:tcPr>
            <w:tcW w:type="dxa" w:w="2076"/>
          </w:tcP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所有货物安装调试且经最终验收合格，交付使用。</w:t>
            </w:r>
          </w:p>
        </w:tc>
      </w:tr>
      <w:tr>
        <w:tc>
          <w:tcPr>
            <w:tcW w:type="dxa" w:w="2076"/>
          </w:tcPr>
          <w:p>
            <w:pPr>
              <w:pStyle w:val="null3"/>
              <w:jc w:val="both"/>
            </w:pPr>
            <w:r>
              <w:rPr>
                <w:rFonts w:ascii="仿宋_GB2312" w:hAnsi="仿宋_GB2312" w:cs="仿宋_GB2312" w:eastAsia="仿宋_GB2312"/>
              </w:rPr>
              <w:t>4</w:t>
            </w:r>
          </w:p>
        </w:tc>
        <w:tc>
          <w:tcPr>
            <w:tcW w:type="dxa" w:w="2076"/>
          </w:tcP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1、验收标准：招标文件、中标人投标文件、合同、厂家货物技术标准说明、国家、行业或地方有关的质量标准，产品质量达到要求，各项指标符合技术参数要求且须通过相关部门的检验。所有检验、验收费用均由中标人承担。 1、出厂检验：货物在出厂前,应按产品技术标准规定的检验项目和试验方法进行全面检验。</w:t>
            </w:r>
          </w:p>
          <w:p>
            <w:pPr>
              <w:pStyle w:val="null3"/>
              <w:jc w:val="both"/>
            </w:pPr>
            <w:r>
              <w:rPr>
                <w:rFonts w:ascii="仿宋_GB2312" w:hAnsi="仿宋_GB2312" w:cs="仿宋_GB2312" w:eastAsia="仿宋_GB2312"/>
              </w:rPr>
              <w:t>2、期次2，说明：货到初步验收：所有货物到达后, 由采购人组织相关人员对设备的基本质量、外观、数量及规格型号进行初步验收(但不作为最终验收合格的保证)。该验收应达到合同规定的要求，初步验收后，货物仍由中标人负责保管，货物存放场地由采购人提供。</w:t>
            </w:r>
          </w:p>
          <w:p>
            <w:pPr>
              <w:pStyle w:val="null3"/>
              <w:jc w:val="both"/>
            </w:pPr>
            <w:r>
              <w:rPr>
                <w:rFonts w:ascii="仿宋_GB2312" w:hAnsi="仿宋_GB2312" w:cs="仿宋_GB2312" w:eastAsia="仿宋_GB2312"/>
              </w:rPr>
              <w:t>3、期次3，说明：最终验收：中标人完成所有设备安装调试并进行系统试运行且运行正常后，采购人与中标人按规定的标准要求联合进行最终验收。采购人根据项目的需要或可能邀请有资质的第三方测试单位进行系统性能测试，检测结果将作为验收的依据之一。验收不合格的，中标人应及时整改。中标人届时不派人参加的，验收结果以采购人的验收报告为最终验收结果。若验收不合格，中标人应立即整改直至满足验收要求，并承担相关违约责任。全部货物最终验收合格后，由双方共同签署最终验收意见（包含：正式验收记录表，各分项工程试运行记录表、资料审查表、验收结论汇总表等）。</w:t>
            </w:r>
          </w:p>
        </w:tc>
      </w:tr>
      <w:tr>
        <w:tc>
          <w:tcPr>
            <w:tcW w:type="dxa" w:w="2076"/>
          </w:tcPr>
          <w:p>
            <w:pPr>
              <w:pStyle w:val="null3"/>
              <w:jc w:val="both"/>
            </w:pPr>
            <w:r>
              <w:rPr>
                <w:rFonts w:ascii="仿宋_GB2312" w:hAnsi="仿宋_GB2312" w:cs="仿宋_GB2312" w:eastAsia="仿宋_GB2312"/>
              </w:rPr>
              <w:t>6</w:t>
            </w:r>
          </w:p>
        </w:tc>
        <w:tc>
          <w:tcPr>
            <w:tcW w:type="dxa" w:w="2076"/>
          </w:tcP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1、货物安装调试试运行结束并通过最终验收合格后，由中标人提供全额发票，经采购人财务流程审核通过后，达到付款条件起30日内，支付合同总金额的100.00%</w:t>
            </w:r>
          </w:p>
        </w:tc>
      </w:tr>
      <w:tr>
        <w:tc>
          <w:tcPr>
            <w:tcW w:type="dxa" w:w="2076"/>
          </w:tcPr>
          <w:p>
            <w:pPr>
              <w:pStyle w:val="null3"/>
              <w:jc w:val="both"/>
            </w:pPr>
            <w:r>
              <w:rPr>
                <w:rFonts w:ascii="仿宋_GB2312" w:hAnsi="仿宋_GB2312" w:cs="仿宋_GB2312" w:eastAsia="仿宋_GB2312"/>
              </w:rPr>
              <w:t>7</w:t>
            </w:r>
          </w:p>
        </w:tc>
        <w:tc>
          <w:tcPr>
            <w:tcW w:type="dxa" w:w="2076"/>
          </w:tcPr>
          <w:p/>
        </w:tc>
        <w:tc>
          <w:tcPr>
            <w:tcW w:type="dxa" w:w="2076"/>
          </w:tcPr>
          <w:p>
            <w:pPr>
              <w:pStyle w:val="null3"/>
              <w:jc w:val="both"/>
            </w:pPr>
            <w:r>
              <w:rPr>
                <w:rFonts w:ascii="仿宋_GB2312" w:hAnsi="仿宋_GB2312" w:cs="仿宋_GB2312" w:eastAsia="仿宋_GB2312"/>
              </w:rPr>
              <w:t>其他</w:t>
            </w:r>
          </w:p>
        </w:tc>
        <w:tc>
          <w:tcPr>
            <w:tcW w:type="dxa" w:w="2076"/>
          </w:tcPr>
          <w:p>
            <w:pPr>
              <w:pStyle w:val="null3"/>
              <w:jc w:val="both"/>
            </w:pPr>
            <w:r>
              <w:rPr>
                <w:rFonts w:ascii="仿宋_GB2312" w:hAnsi="仿宋_GB2312" w:cs="仿宋_GB2312" w:eastAsia="仿宋_GB2312"/>
              </w:rPr>
              <w:t>若中标人需申请预付款的，则按照以下支付方式进行支付:1、采购合同签订后，中标人提供由银行开具的担保金额为合同总价30%且不可撤销的、无追索权、见索即付的预付款保函；采购人收到预付款保函，经采购人财务流程审核通过后，达到付款条件起30日内，支付合同总金额的30.00%。2、货物安装调试试运行结束并通过最终验收合格后，由中标人提供全额发票，经采购人财务流程审核通过后，达到付款条件起30日内，支付合同总金额的70.00%。</w:t>
            </w:r>
          </w:p>
        </w:tc>
      </w:tr>
      <w:tr>
        <w:tc>
          <w:tcPr>
            <w:tcW w:type="dxa" w:w="2076"/>
          </w:tcPr>
          <w:p>
            <w:pPr>
              <w:pStyle w:val="null3"/>
              <w:jc w:val="both"/>
            </w:pPr>
            <w:r>
              <w:rPr>
                <w:rFonts w:ascii="仿宋_GB2312" w:hAnsi="仿宋_GB2312" w:cs="仿宋_GB2312" w:eastAsia="仿宋_GB2312"/>
              </w:rPr>
              <w:t>8</w:t>
            </w:r>
          </w:p>
        </w:tc>
        <w:tc>
          <w:tcPr>
            <w:tcW w:type="dxa" w:w="2076"/>
          </w:tcP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本采购包履约保证金为合同金额的2%</w:t>
            </w:r>
          </w:p>
          <w:p>
            <w:pPr>
              <w:pStyle w:val="null3"/>
              <w:jc w:val="both"/>
            </w:pPr>
            <w:r>
              <w:rPr>
                <w:rFonts w:ascii="仿宋_GB2312" w:hAnsi="仿宋_GB2312" w:cs="仿宋_GB2312" w:eastAsia="仿宋_GB2312"/>
              </w:rPr>
              <w:t>说明：中标人须在签订合同前，以银行转账或支票、汇票、本票或者金融机构、担保机构出具的保函等方式向采购人按中标总金额的2%提交履约保证金（若提供票据或保函的，须根据采购人的银行结算要求提供）。该履约保证金在合同履约完成后且没有质量问题后30个工作日内一次性无息退还【中标人未能按时提交该履约保证金的，采购人有权取消其中标资格，投标保证金不予退还，同时还应赔偿给采购人造成的全部损失。中标人未能履行合同规定的任何义务的，所产生的损失从该保证金或合同款项中扣除，同时还应赔偿给采购人造成的其他损失】。</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rPr>
        <w:t>1、供货</w:t>
      </w:r>
    </w:p>
    <w:p>
      <w:pPr>
        <w:pStyle w:val="null3"/>
        <w:ind w:firstLine="480"/>
        <w:jc w:val="both"/>
      </w:pPr>
      <w:r>
        <w:rPr>
          <w:rFonts w:ascii="仿宋_GB2312" w:hAnsi="仿宋_GB2312" w:cs="仿宋_GB2312" w:eastAsia="仿宋_GB2312"/>
          <w:sz w:val="24"/>
        </w:rPr>
        <w:t>（1）中标人提供货物须为原厂生产的(须提供原厂出厂证明)、全新的、未使用过的（包括零部件）合格产品且来源渠道合法，质量符合原厂质量检测标准</w:t>
      </w:r>
      <w:r>
        <w:rPr>
          <w:rFonts w:ascii="仿宋_GB2312" w:hAnsi="仿宋_GB2312" w:cs="仿宋_GB2312" w:eastAsia="仿宋_GB2312"/>
          <w:sz w:val="24"/>
          <w:color w:val="000000"/>
        </w:rPr>
        <w:t>、国家标准及招标文件要求。设备及配件标识应以中文或英文、易懂的通用符号来表示，应能够准确无误地表示设备的型号、规格、制造商、生产日期等内容。若发现所供设备非原厂生产或非全新产品的，采购人有权单方面解除本合同，不退还其履约保证金</w:t>
      </w:r>
      <w:r>
        <w:rPr>
          <w:rFonts w:ascii="仿宋_GB2312" w:hAnsi="仿宋_GB2312" w:cs="仿宋_GB2312" w:eastAsia="仿宋_GB2312"/>
          <w:sz w:val="24"/>
        </w:rPr>
        <w:t>（或通过履约保函进行索赔）</w:t>
      </w:r>
      <w:r>
        <w:rPr>
          <w:rFonts w:ascii="仿宋_GB2312" w:hAnsi="仿宋_GB2312" w:cs="仿宋_GB2312" w:eastAsia="仿宋_GB2312"/>
          <w:sz w:val="24"/>
          <w:color w:val="000000"/>
        </w:rPr>
        <w:t>并追究由此给采购人造成的所有损失。</w:t>
      </w:r>
    </w:p>
    <w:p>
      <w:pPr>
        <w:pStyle w:val="null3"/>
        <w:ind w:firstLine="480"/>
        <w:jc w:val="both"/>
      </w:pPr>
      <w:r>
        <w:rPr>
          <w:rFonts w:ascii="仿宋_GB2312" w:hAnsi="仿宋_GB2312" w:cs="仿宋_GB2312" w:eastAsia="仿宋_GB2312"/>
          <w:sz w:val="24"/>
          <w:color w:val="000000"/>
        </w:rPr>
        <w:t>（2）本项目所采购货物为国家强制性要求认证产品的（如3C认证），投标人必须提供相关认证材料。</w:t>
      </w:r>
    </w:p>
    <w:p>
      <w:pPr>
        <w:pStyle w:val="null3"/>
        <w:ind w:firstLine="480"/>
        <w:jc w:val="both"/>
      </w:pPr>
      <w:r>
        <w:rPr>
          <w:rFonts w:ascii="仿宋_GB2312" w:hAnsi="仿宋_GB2312" w:cs="仿宋_GB2312" w:eastAsia="仿宋_GB2312"/>
          <w:sz w:val="24"/>
          <w:color w:val="000000"/>
        </w:rPr>
        <w:t>（3）中标人必须能按照合同的规定，准时提供设备、配件、材料、备品备件、专用工具和易损件，并负责所供货物的包装、运输，并对所提供的产品按国家有关标准要求进行包装，选择安全可靠的运输方式运抵采购人指定地点，途中安全及费用全部由中标人负责。</w:t>
      </w:r>
    </w:p>
    <w:p>
      <w:pPr>
        <w:pStyle w:val="null3"/>
        <w:ind w:firstLine="480"/>
        <w:jc w:val="both"/>
      </w:pPr>
      <w:r>
        <w:rPr>
          <w:rFonts w:ascii="仿宋_GB2312" w:hAnsi="仿宋_GB2312" w:cs="仿宋_GB2312" w:eastAsia="仿宋_GB2312"/>
          <w:sz w:val="24"/>
          <w:color w:val="000000"/>
        </w:rPr>
        <w:t>（4）货物的装卸、运输和堆放均应做到安全、规范，如有破损应及时修复或调换。</w:t>
      </w:r>
    </w:p>
    <w:p>
      <w:pPr>
        <w:pStyle w:val="null3"/>
        <w:ind w:firstLine="482"/>
        <w:jc w:val="left"/>
      </w:pPr>
      <w:r>
        <w:rPr>
          <w:rFonts w:ascii="仿宋_GB2312" w:hAnsi="仿宋_GB2312" w:cs="仿宋_GB2312" w:eastAsia="仿宋_GB2312"/>
          <w:sz w:val="24"/>
          <w:color w:val="000000"/>
        </w:rPr>
        <w:t>2、安装和调试</w:t>
      </w:r>
    </w:p>
    <w:p>
      <w:pPr>
        <w:pStyle w:val="null3"/>
        <w:ind w:firstLine="480"/>
        <w:jc w:val="left"/>
      </w:pPr>
      <w:r>
        <w:rPr>
          <w:rFonts w:ascii="仿宋_GB2312" w:hAnsi="仿宋_GB2312" w:cs="仿宋_GB2312" w:eastAsia="仿宋_GB2312"/>
          <w:sz w:val="24"/>
          <w:color w:val="000000"/>
        </w:rPr>
        <w:t>（1）中标人在货物安装、调试过程中，应自行负责，所发生的配合费由中标人自行承担。</w:t>
      </w:r>
    </w:p>
    <w:p>
      <w:pPr>
        <w:pStyle w:val="null3"/>
        <w:ind w:firstLine="480"/>
        <w:jc w:val="left"/>
      </w:pPr>
      <w:r>
        <w:rPr>
          <w:rFonts w:ascii="仿宋_GB2312" w:hAnsi="仿宋_GB2312" w:cs="仿宋_GB2312" w:eastAsia="仿宋_GB2312"/>
          <w:sz w:val="24"/>
          <w:color w:val="000000"/>
        </w:rPr>
        <w:t>（2）在接到采购人要求开始安装的通知后7天内，中标人必须派合适的人员到现场进行安装、调试等工作，安装应符合招标文件及国家有关法规的要求，所有设备、配件等安装须结合现场实际情况进行。中标人派出的人员除具备相关的专业知识及技术水平，还应熟悉本项目设备的规格、技术指标及安装工艺，应有足够能力安装本项目设备。</w:t>
      </w:r>
    </w:p>
    <w:p>
      <w:pPr>
        <w:pStyle w:val="null3"/>
        <w:ind w:firstLine="480"/>
        <w:jc w:val="left"/>
      </w:pPr>
      <w:r>
        <w:rPr>
          <w:rFonts w:ascii="仿宋_GB2312" w:hAnsi="仿宋_GB2312" w:cs="仿宋_GB2312" w:eastAsia="仿宋_GB2312"/>
          <w:sz w:val="24"/>
          <w:color w:val="000000"/>
        </w:rPr>
        <w:t>（3）中标人应负责按本项目技术规格及要求中有关条款、采购人的要求或其提供的相关信息，作好与其它设备的接口工作。</w:t>
      </w:r>
    </w:p>
    <w:p>
      <w:pPr>
        <w:pStyle w:val="null3"/>
        <w:ind w:firstLine="480"/>
        <w:jc w:val="left"/>
      </w:pPr>
      <w:r>
        <w:rPr>
          <w:rFonts w:ascii="仿宋_GB2312" w:hAnsi="仿宋_GB2312" w:cs="仿宋_GB2312" w:eastAsia="仿宋_GB2312"/>
          <w:sz w:val="24"/>
          <w:color w:val="000000"/>
        </w:rPr>
        <w:t>（4）安装、调试完毕后，应及时清理现场。因中标人原因造成安装现场的任何损坏，由中标人负责修复或赔偿修复费用。</w:t>
      </w:r>
    </w:p>
    <w:p>
      <w:pPr>
        <w:pStyle w:val="null3"/>
        <w:ind w:firstLine="482"/>
        <w:jc w:val="left"/>
      </w:pPr>
      <w:r>
        <w:rPr>
          <w:rFonts w:ascii="仿宋_GB2312" w:hAnsi="仿宋_GB2312" w:cs="仿宋_GB2312" w:eastAsia="仿宋_GB2312"/>
          <w:sz w:val="24"/>
          <w:color w:val="000000"/>
        </w:rPr>
        <w:t>3、培训</w:t>
      </w:r>
    </w:p>
    <w:p>
      <w:pPr>
        <w:pStyle w:val="null3"/>
        <w:ind w:firstLine="480"/>
        <w:jc w:val="both"/>
      </w:pPr>
      <w:r>
        <w:rPr>
          <w:rFonts w:ascii="仿宋_GB2312" w:hAnsi="仿宋_GB2312" w:cs="仿宋_GB2312" w:eastAsia="仿宋_GB2312"/>
          <w:sz w:val="24"/>
          <w:color w:val="000000"/>
        </w:rPr>
        <w:t>中标人应结合设备的安装、调试及试运行过程，有计划地对采购人派出的管理、维护人员进行设备的基本知识、使用、维护及保养技术的现场培训以保证设备的良好运行，并免费提供必要的技术资料、图纸、设备和安全防护用具，因此发生的一切费用包括但不限于工资、差旅费、办公及通讯联络等均包括在合同价内。</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文本资料</w:t>
      </w:r>
    </w:p>
    <w:p>
      <w:pPr>
        <w:pStyle w:val="null3"/>
        <w:ind w:firstLine="480"/>
        <w:jc w:val="left"/>
      </w:pPr>
      <w:r>
        <w:rPr>
          <w:rFonts w:ascii="仿宋_GB2312" w:hAnsi="仿宋_GB2312" w:cs="仿宋_GB2312" w:eastAsia="仿宋_GB2312"/>
          <w:sz w:val="24"/>
        </w:rPr>
        <w:t>中标人应随同货物提供厂家提供的标准免费的技术资料，如：</w:t>
      </w:r>
    </w:p>
    <w:p>
      <w:pPr>
        <w:pStyle w:val="null3"/>
        <w:ind w:firstLine="482"/>
        <w:jc w:val="left"/>
      </w:pPr>
      <w:r>
        <w:rPr>
          <w:rFonts w:ascii="仿宋_GB2312" w:hAnsi="仿宋_GB2312" w:cs="仿宋_GB2312" w:eastAsia="仿宋_GB2312"/>
          <w:sz w:val="24"/>
        </w:rPr>
        <w:t>（1）使用、运行、保养、维护手册（或说明书）；</w:t>
      </w:r>
    </w:p>
    <w:p>
      <w:pPr>
        <w:pStyle w:val="null3"/>
        <w:ind w:firstLine="482"/>
        <w:jc w:val="left"/>
      </w:pPr>
      <w:r>
        <w:rPr>
          <w:rFonts w:ascii="仿宋_GB2312" w:hAnsi="仿宋_GB2312" w:cs="仿宋_GB2312" w:eastAsia="仿宋_GB2312"/>
          <w:sz w:val="24"/>
        </w:rPr>
        <w:t>（2）产品技术标准（含验收标准）和试验方法，产品原 产地出厂合格证；</w:t>
      </w:r>
    </w:p>
    <w:p>
      <w:pPr>
        <w:pStyle w:val="null3"/>
        <w:ind w:firstLine="482"/>
        <w:jc w:val="left"/>
      </w:pPr>
      <w:r>
        <w:rPr>
          <w:rFonts w:ascii="仿宋_GB2312" w:hAnsi="仿宋_GB2312" w:cs="仿宋_GB2312" w:eastAsia="仿宋_GB2312"/>
          <w:sz w:val="24"/>
        </w:rPr>
        <w:t>（3）检验记录、试验报告、品牌证书及产品质量合格证等出厂报告、装箱单；</w:t>
      </w:r>
    </w:p>
    <w:p>
      <w:pPr>
        <w:pStyle w:val="null3"/>
        <w:ind w:firstLine="482"/>
        <w:jc w:val="left"/>
      </w:pPr>
      <w:r>
        <w:rPr>
          <w:rFonts w:ascii="仿宋_GB2312" w:hAnsi="仿宋_GB2312" w:cs="仿宋_GB2312" w:eastAsia="仿宋_GB2312"/>
          <w:sz w:val="24"/>
        </w:rPr>
        <w:t>（4）专用工具：中标人应向采购人提供一套维修所需的专用工具及清单(如有)。</w:t>
      </w:r>
    </w:p>
    <w:p>
      <w:pPr>
        <w:pStyle w:val="null3"/>
        <w:ind w:firstLine="482"/>
        <w:jc w:val="left"/>
      </w:pPr>
      <w:r>
        <w:rPr>
          <w:rFonts w:ascii="仿宋_GB2312" w:hAnsi="仿宋_GB2312" w:cs="仿宋_GB2312" w:eastAsia="仿宋_GB2312"/>
          <w:sz w:val="24"/>
        </w:rPr>
        <w:t>（5）特殊工具：中标人应向采购人提供货物安装和维修所需的特殊工具及清单和中文说明书，其费用包含在投标总价内（如有）。</w:t>
      </w:r>
    </w:p>
    <w:p>
      <w:pPr>
        <w:pStyle w:val="null3"/>
        <w:ind w:firstLine="482"/>
        <w:jc w:val="left"/>
      </w:pPr>
      <w:r>
        <w:rPr>
          <w:rFonts w:ascii="仿宋_GB2312" w:hAnsi="仿宋_GB2312" w:cs="仿宋_GB2312" w:eastAsia="仿宋_GB2312"/>
          <w:sz w:val="24"/>
          <w:color w:val="000000"/>
        </w:rPr>
        <w:t>（6）投标人认为需要提交的其他资料。</w:t>
      </w:r>
    </w:p>
    <w:p>
      <w:pPr>
        <w:pStyle w:val="null3"/>
        <w:ind w:firstLine="482"/>
        <w:jc w:val="left"/>
      </w:pPr>
      <w:r>
        <w:rPr>
          <w:rFonts w:ascii="仿宋_GB2312" w:hAnsi="仿宋_GB2312" w:cs="仿宋_GB2312" w:eastAsia="仿宋_GB2312"/>
          <w:sz w:val="24"/>
          <w:color w:val="000000"/>
        </w:rPr>
        <w:t>根据项目实际情况，如采购人认为所提供的技术资料不能满足实际需要时，中标人应按要求免费提供所需补充的技术资料。</w:t>
      </w:r>
    </w:p>
    <w:p>
      <w:pPr>
        <w:pStyle w:val="null3"/>
        <w:ind w:firstLine="482"/>
        <w:jc w:val="left"/>
      </w:pPr>
      <w:r>
        <w:rPr>
          <w:rFonts w:ascii="仿宋_GB2312" w:hAnsi="仿宋_GB2312" w:cs="仿宋_GB2312" w:eastAsia="仿宋_GB2312"/>
          <w:sz w:val="24"/>
          <w:color w:val="000000"/>
        </w:rPr>
        <w:t>5、免费质量保修期及售后服务要求：</w:t>
      </w:r>
    </w:p>
    <w:p>
      <w:pPr>
        <w:pStyle w:val="null3"/>
        <w:ind w:firstLine="480"/>
        <w:jc w:val="left"/>
      </w:pPr>
      <w:r>
        <w:rPr>
          <w:rFonts w:ascii="仿宋_GB2312" w:hAnsi="仿宋_GB2312" w:cs="仿宋_GB2312" w:eastAsia="仿宋_GB2312"/>
          <w:sz w:val="24"/>
        </w:rPr>
        <w:t>（1）本项目整机免费质量保修期限为项目经最终验收合格、各种资料移交完毕之日起5年（厂家或国家有更长免费质量保修期限规定的从其规定）。</w:t>
      </w:r>
    </w:p>
    <w:p>
      <w:pPr>
        <w:pStyle w:val="null3"/>
        <w:ind w:firstLine="480"/>
        <w:jc w:val="left"/>
      </w:pPr>
      <w:r>
        <w:rPr>
          <w:rFonts w:ascii="仿宋_GB2312" w:hAnsi="仿宋_GB2312" w:cs="仿宋_GB2312" w:eastAsia="仿宋_GB2312"/>
          <w:sz w:val="24"/>
        </w:rPr>
        <w:t>（2）免费质量保修期内，中标人为采购人提供免费的系统技术咨询及设备检修和保养，若非因操作不当造成货物质量问题的，由中标人及时免费保修及更换。维修人员在接到采购人电话通知后2小时内赶到进行现场分析、提供质量问题解决方案，24小时内修复；维修响应时间内中标人未到达现场进行维修的，须支付违约金1000元/小时（以采购人拨出电话的通话记录为准，不足1小时按1小时计算）；24小时内无法修复的，中标人应提供相同规格的代用产品或更换新产品，由此发生的费用由中标人承担；超过48小时仍未能修复的，采购人可另行聘请第三方进行维修，所需费用由中标人承担。</w:t>
      </w:r>
    </w:p>
    <w:p>
      <w:pPr>
        <w:pStyle w:val="null3"/>
        <w:ind w:firstLine="480"/>
        <w:jc w:val="left"/>
      </w:pPr>
      <w:r>
        <w:rPr>
          <w:rFonts w:ascii="仿宋_GB2312" w:hAnsi="仿宋_GB2312" w:cs="仿宋_GB2312" w:eastAsia="仿宋_GB2312"/>
          <w:sz w:val="24"/>
        </w:rPr>
        <w:t>（3）投标人应根据项目的具体要求，提供售后、保修服务方案，提供终身售后服务及长期提供优良的技术支持，并进行定期维护和修理，更换零配件时只收取零配件的成本费。</w:t>
      </w:r>
    </w:p>
    <w:p>
      <w:pPr>
        <w:pStyle w:val="null3"/>
        <w:ind w:firstLine="480"/>
        <w:jc w:val="both"/>
      </w:pPr>
      <w:r>
        <w:rPr>
          <w:rFonts w:ascii="仿宋_GB2312" w:hAnsi="仿宋_GB2312" w:cs="仿宋_GB2312" w:eastAsia="仿宋_GB2312"/>
          <w:sz w:val="24"/>
        </w:rPr>
        <w:t>6、根据现场安装条件，应允许采购人对于采购数量、安装顺序、项目范围等方面的适度调整。投标人应该充分估计和接受因上述调整给自身带来的计划变更及损失，不得以任何理由拒绝。</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b/>
        </w:rPr>
        <w:t>采购人不组织现场踏勘</w:t>
      </w:r>
      <w:r>
        <w:rPr>
          <w:rFonts w:ascii="仿宋_GB2312" w:hAnsi="仿宋_GB2312" w:cs="仿宋_GB2312" w:eastAsia="仿宋_GB2312"/>
          <w:sz w:val="24"/>
        </w:rPr>
        <w:t>，投标人可自行对货物使用地进行勘察，以获取编制投标文件和签署合同所需的资料。勘察现场所发生的费用由投标人自己承担。采购人提供的有关资料和数据，仅供参考，采购人对投标人由此而做出的推论、理解和结论概不负责。投标人因自身原因未到现场实地踏勘的，签订合同时和履约过程中，不得以不完全了解现场情况为由，提出任何形式的增加款项或索赔的要求。</w:t>
      </w:r>
    </w:p>
    <w:p>
      <w:pPr>
        <w:pStyle w:val="null3"/>
        <w:ind w:firstLine="480"/>
        <w:jc w:val="both"/>
      </w:pPr>
      <w:r>
        <w:rPr>
          <w:rFonts w:ascii="仿宋_GB2312" w:hAnsi="仿宋_GB2312" w:cs="仿宋_GB2312" w:eastAsia="仿宋_GB2312"/>
          <w:sz w:val="24"/>
        </w:rPr>
        <w:t>8、投标报价：</w:t>
      </w:r>
    </w:p>
    <w:p>
      <w:pPr>
        <w:pStyle w:val="null3"/>
        <w:ind w:firstLine="480"/>
        <w:jc w:val="both"/>
      </w:pPr>
      <w:r>
        <w:rPr>
          <w:rFonts w:ascii="仿宋_GB2312" w:hAnsi="仿宋_GB2312" w:cs="仿宋_GB2312" w:eastAsia="仿宋_GB2312"/>
          <w:sz w:val="24"/>
        </w:rPr>
        <w:t>（1）按招标文件要求，将项目全部货物送达、最终验收合格交付采购人使用所需的一切费用，包括但不限于：项目所需的货物（含易损件、系统、配件及辅材）的价格、包装费、运输搬运费、货物运至采购人指定地点后的保管费、安装调试费、技术服务费、培训费、保险费、检验（包括海关、商检等）检测费、验收费、质量保修期内的货物维护费用、为完成本项目工作所产生的所有税费、企业管理费、利润及招标代理服务费等。</w:t>
      </w:r>
    </w:p>
    <w:p>
      <w:pPr>
        <w:pStyle w:val="null3"/>
        <w:ind w:firstLine="480"/>
        <w:jc w:val="both"/>
      </w:pPr>
      <w:r>
        <w:rPr>
          <w:rFonts w:ascii="仿宋_GB2312" w:hAnsi="仿宋_GB2312" w:cs="仿宋_GB2312" w:eastAsia="仿宋_GB2312"/>
          <w:sz w:val="24"/>
        </w:rPr>
        <w:t>（2）上述费用均应包含在每一单项细目的单价中，所有单价均为综合单价，该单价包括以上明确或未明确的所有费用，投标人可在分项报价表中详细列出报价，如果所列分项报价不含以上内容，则视为已含在投标总价中。投标人必须充分考虑上述费用因素，并在此基础上提供合理报价，不得恶意低价，否则若无法按要求履行合同将承担违约责任，采购人不退还其履约保证金（或通过履约保函进行索赔）并追究由此给采购人造成的所有损失。</w:t>
      </w:r>
    </w:p>
    <w:p>
      <w:pPr>
        <w:pStyle w:val="null3"/>
        <w:ind w:firstLine="482"/>
        <w:jc w:val="left"/>
      </w:pPr>
      <w:r>
        <w:rPr>
          <w:rFonts w:ascii="仿宋_GB2312" w:hAnsi="仿宋_GB2312" w:cs="仿宋_GB2312" w:eastAsia="仿宋_GB2312"/>
          <w:sz w:val="24"/>
        </w:rPr>
        <w:t>（3）招标文件中的采购标的一览表作为报价依据，除采购标的一览表有变更外，中标金额及服务不再调整，为一次性包干价，投标人应充分考虑各项报价，如有漏报，视同含在投标报价中；因采购标的一览表有调整的，结算金额按中标单价与实际采购数量，按实结算。本项目只能有一个投标品牌和规格型号，任何选择性的投标品牌或规格型号将导致投标无效。</w:t>
      </w:r>
    </w:p>
    <w:p>
      <w:pPr>
        <w:pStyle w:val="null3"/>
        <w:ind w:firstLine="482"/>
        <w:jc w:val="both"/>
      </w:pPr>
      <w:r>
        <w:rPr>
          <w:rFonts w:ascii="仿宋_GB2312" w:hAnsi="仿宋_GB2312" w:cs="仿宋_GB2312" w:eastAsia="仿宋_GB2312"/>
          <w:sz w:val="24"/>
        </w:rPr>
        <w:t>（4）投标人应提供详细供货清单，清单中依次说明货物及选用</w:t>
      </w:r>
      <w:r>
        <w:rPr>
          <w:rFonts w:ascii="仿宋_GB2312" w:hAnsi="仿宋_GB2312" w:cs="仿宋_GB2312" w:eastAsia="仿宋_GB2312"/>
          <w:sz w:val="24"/>
          <w:color w:val="000000"/>
        </w:rPr>
        <w:t>的配件、备品备件、专用工具和易损件的品牌、规格型号、数量、产地、生产厂家及货物的功能、用途、技术参数及性能指标等内容。对于属于整套设备运行和安装所必需的配件，如采购标的一览表未列出或数量不足，中标人仍须在执行合同时补足，且不增加合同总价。</w:t>
      </w:r>
    </w:p>
    <w:p>
      <w:pPr>
        <w:pStyle w:val="null3"/>
        <w:ind w:firstLine="480"/>
        <w:jc w:val="both"/>
      </w:pPr>
      <w:r>
        <w:rPr>
          <w:rFonts w:ascii="仿宋_GB2312" w:hAnsi="仿宋_GB2312" w:cs="仿宋_GB2312" w:eastAsia="仿宋_GB2312"/>
          <w:sz w:val="24"/>
          <w:color w:val="000000"/>
        </w:rPr>
        <w:t>（5）供货时，若出现因中标产品升级、断货等无法预估情形需更换产品的，应更换为不低于中标产品档次质量的产品并经采购人同意，原则上合同价格不变。</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rPr>
        <w:t>6）中标人应提供货物在免费保修期内所需易损件的备品备件（如有），安装和维修所需的特殊专用工具及清单(如有),其费用含在投标总价中。</w:t>
      </w:r>
    </w:p>
    <w:p>
      <w:pPr>
        <w:pStyle w:val="null3"/>
        <w:ind w:firstLine="480"/>
        <w:jc w:val="both"/>
      </w:pPr>
      <w:r>
        <w:rPr>
          <w:rFonts w:ascii="仿宋_GB2312" w:hAnsi="仿宋_GB2312" w:cs="仿宋_GB2312" w:eastAsia="仿宋_GB2312"/>
          <w:sz w:val="24"/>
        </w:rPr>
        <w:t>9、本项目评审时，仅认可通过福建省政府采购网上公开信息系统注册的投标人的相关资料参与评审，与投标人存在子公司、分公司、总公司等其他任何关系的公司提供的相关资料均不得参与评审。除银行、保险、石油石化、电力、电信等行业外（这几类行业分公司参与投标的，投标文件中须出具总公司的授权书原件扫描件），不接受其他行业法人的分支机构等不能独立承担民事责任的主体参与投标。</w:t>
      </w:r>
    </w:p>
    <w:p>
      <w:pPr>
        <w:pStyle w:val="null3"/>
        <w:ind w:firstLine="480"/>
        <w:jc w:val="both"/>
      </w:pPr>
      <w:r>
        <w:rPr>
          <w:rFonts w:ascii="仿宋_GB2312" w:hAnsi="仿宋_GB2312" w:cs="仿宋_GB2312" w:eastAsia="仿宋_GB2312"/>
          <w:sz w:val="24"/>
        </w:rPr>
        <w:t>10、中标后，采购人有权要求中标人提供其投标文件中所附证明材料的原件供采购人核查，中标人未能提供原件或提供的与响应承诺不一致的，采购人将上报主管部门。若存在虚假应标等违法违规情形的，采购人有权根据项目进度对中标人采取包括但不限于不予退还投标保证金、取消中标资格、不予签订合同、不予退还履约保证金（或通过履约保函进行索赔）、解除合同等措施，不予退还的保证金不足以弥补采购人损失的，中标人还须足额赔偿因此给采购人造成的全部损失。</w:t>
      </w:r>
    </w:p>
    <w:p>
      <w:pPr>
        <w:pStyle w:val="null3"/>
        <w:ind w:firstLine="480"/>
        <w:jc w:val="both"/>
      </w:pPr>
      <w:r>
        <w:rPr>
          <w:rFonts w:ascii="仿宋_GB2312" w:hAnsi="仿宋_GB2312" w:cs="仿宋_GB2312" w:eastAsia="仿宋_GB2312"/>
          <w:sz w:val="24"/>
        </w:rPr>
        <w:t>11、 中标人要求付款时应提前将以下单据提交采购人：</w:t>
      </w:r>
    </w:p>
    <w:p>
      <w:pPr>
        <w:pStyle w:val="null3"/>
        <w:ind w:firstLine="480"/>
        <w:jc w:val="both"/>
      </w:pPr>
      <w:r>
        <w:rPr>
          <w:rFonts w:ascii="仿宋_GB2312" w:hAnsi="仿宋_GB2312" w:cs="仿宋_GB2312" w:eastAsia="仿宋_GB2312"/>
          <w:sz w:val="24"/>
        </w:rPr>
        <w:t>（1）增值税发票；</w:t>
      </w:r>
    </w:p>
    <w:p>
      <w:pPr>
        <w:pStyle w:val="null3"/>
        <w:ind w:firstLine="480"/>
        <w:jc w:val="both"/>
      </w:pPr>
      <w:r>
        <w:rPr>
          <w:rFonts w:ascii="仿宋_GB2312" w:hAnsi="仿宋_GB2312" w:cs="仿宋_GB2312" w:eastAsia="仿宋_GB2312"/>
          <w:sz w:val="24"/>
        </w:rPr>
        <w:t>（2）验收合格报告书（包含能够证明该项目已经采购人验收合格的相关证明文件复印件）；</w:t>
      </w:r>
    </w:p>
    <w:p>
      <w:pPr>
        <w:pStyle w:val="null3"/>
        <w:ind w:firstLine="480"/>
        <w:jc w:val="both"/>
      </w:pPr>
      <w:r>
        <w:rPr>
          <w:rFonts w:ascii="仿宋_GB2312" w:hAnsi="仿宋_GB2312" w:cs="仿宋_GB2312" w:eastAsia="仿宋_GB2312"/>
          <w:sz w:val="24"/>
        </w:rPr>
        <w:t>（3）采购人要求的其他材料。</w:t>
      </w:r>
    </w:p>
    <w:p>
      <w:pPr>
        <w:pStyle w:val="null3"/>
        <w:ind w:firstLine="480"/>
        <w:jc w:val="both"/>
      </w:pPr>
      <w:r>
        <w:rPr>
          <w:rFonts w:ascii="仿宋_GB2312" w:hAnsi="仿宋_GB2312" w:cs="仿宋_GB2312" w:eastAsia="仿宋_GB2312"/>
          <w:sz w:val="24"/>
        </w:rPr>
        <w:t>12、 违约责任</w:t>
      </w:r>
    </w:p>
    <w:p>
      <w:pPr>
        <w:pStyle w:val="null3"/>
        <w:ind w:firstLine="480"/>
        <w:jc w:val="both"/>
      </w:pPr>
      <w:r>
        <w:rPr>
          <w:rFonts w:ascii="仿宋_GB2312" w:hAnsi="仿宋_GB2312" w:cs="仿宋_GB2312" w:eastAsia="仿宋_GB2312"/>
          <w:sz w:val="24"/>
        </w:rPr>
        <w:t>（1）采购人违约责任</w:t>
      </w:r>
    </w:p>
    <w:p>
      <w:pPr>
        <w:pStyle w:val="null3"/>
        <w:ind w:firstLine="480"/>
        <w:jc w:val="both"/>
      </w:pPr>
      <w:r>
        <w:rPr>
          <w:rFonts w:ascii="仿宋_GB2312" w:hAnsi="仿宋_GB2312" w:cs="仿宋_GB2312" w:eastAsia="仿宋_GB2312"/>
          <w:sz w:val="24"/>
        </w:rPr>
        <w:t>1）采购人无正当理由拒收中标人交付的合格产品的，采购人向中标人偿付拒收货款总值 0.1%的违约金。</w:t>
      </w:r>
    </w:p>
    <w:p>
      <w:pPr>
        <w:pStyle w:val="null3"/>
        <w:ind w:firstLine="480"/>
        <w:jc w:val="both"/>
      </w:pPr>
      <w:r>
        <w:rPr>
          <w:rFonts w:ascii="仿宋_GB2312" w:hAnsi="仿宋_GB2312" w:cs="仿宋_GB2312" w:eastAsia="仿宋_GB2312"/>
          <w:sz w:val="24"/>
        </w:rPr>
        <w:t>2）采购人无故逾期验收和办理合同款项支付手续的, 采购人应按逾期付款总额每日100元向中标人支付违约金。</w:t>
      </w:r>
    </w:p>
    <w:p>
      <w:pPr>
        <w:pStyle w:val="null3"/>
        <w:ind w:firstLine="480"/>
        <w:jc w:val="both"/>
      </w:pPr>
      <w:r>
        <w:rPr>
          <w:rFonts w:ascii="仿宋_GB2312" w:hAnsi="仿宋_GB2312" w:cs="仿宋_GB2312" w:eastAsia="仿宋_GB2312"/>
          <w:sz w:val="24"/>
        </w:rPr>
        <w:t>（2）中标人违约责任</w:t>
      </w:r>
    </w:p>
    <w:p>
      <w:pPr>
        <w:pStyle w:val="null3"/>
        <w:ind w:firstLine="480"/>
        <w:jc w:val="both"/>
      </w:pPr>
      <w:r>
        <w:rPr>
          <w:rFonts w:ascii="仿宋_GB2312" w:hAnsi="仿宋_GB2312" w:cs="仿宋_GB2312" w:eastAsia="仿宋_GB2312"/>
          <w:sz w:val="24"/>
        </w:rPr>
        <w:t>1） 除本合同另有约定外，合同生效后无正当理由，采购人、中标人均不得随意解除合同。否则提出解除合同一方，向另一方支付合同总金额10％违约金。因中标人无故提出解除合同的，除应支付违约金外，其履约保证金不予退还（或通过履约保函进行索赔）。若发生以上情况时中标人未开始服务工作的，应退还采购人已付款项（若有）；中标人已开始供货的，相关费用不予支付，采购人还有权对因中标人违约造成的实际损失进行追偿。</w:t>
      </w:r>
    </w:p>
    <w:p>
      <w:pPr>
        <w:pStyle w:val="null3"/>
        <w:ind w:firstLine="480"/>
        <w:jc w:val="both"/>
      </w:pPr>
      <w:r>
        <w:rPr>
          <w:rFonts w:ascii="仿宋_GB2312" w:hAnsi="仿宋_GB2312" w:cs="仿宋_GB2312" w:eastAsia="仿宋_GB2312"/>
          <w:sz w:val="24"/>
        </w:rPr>
        <w:t>2）中标人不能按期交货进场或完成安装验收合格的，每延误1日，中标人应按合同总金额的0.03%向采购人支付违约金；逾期超过15日的，采购人有权单方面解除本合同、履约保证金不予退还（或通过履约保函进行索赔），中标人仍应按上述约定支付延期交货违约金，采购人有权从未付的合同货款中予以扣除，中标人已经交付且验收合格的货物按中标单价的80%予以结算，若因此给采购人造成的损失或者造成采购人应向第三方承担违约责任的，中标人还应予以赔偿，中标人支付逾期交付违约金不能免除该赔偿责任。</w:t>
      </w:r>
    </w:p>
    <w:p>
      <w:pPr>
        <w:pStyle w:val="null3"/>
        <w:ind w:firstLine="480"/>
        <w:jc w:val="both"/>
      </w:pPr>
      <w:r>
        <w:rPr>
          <w:rFonts w:ascii="仿宋_GB2312" w:hAnsi="仿宋_GB2312" w:cs="仿宋_GB2312" w:eastAsia="仿宋_GB2312"/>
          <w:sz w:val="24"/>
        </w:rPr>
        <w:t>3）若中标人所交货不合格（包括所交货物不符合合同约定视为不合格），中标人应在7日内将不合格产品更换为合格产品，中标人每逾期1日，中标人应按合同总金额的0.03%向采购人支付违约金，逾期超过7日的，采购人有权单方面解除本合同、履约保证金不予退还（或通过履约保函进行索赔）。</w:t>
      </w:r>
    </w:p>
    <w:p>
      <w:pPr>
        <w:pStyle w:val="null3"/>
        <w:ind w:firstLine="480"/>
        <w:jc w:val="both"/>
      </w:pPr>
      <w:r>
        <w:rPr>
          <w:rFonts w:ascii="仿宋_GB2312" w:hAnsi="仿宋_GB2312" w:cs="仿宋_GB2312" w:eastAsia="仿宋_GB2312"/>
          <w:sz w:val="24"/>
        </w:rPr>
        <w:t>4） 在采购人发出的违约通知后7天内（或经采购人书面确认的更长时间内）仍未纠正其下述任何一种违约行为，采购人有权单方面解除合同、履约保证金不予退还（或通过履约保函进行索赔），若因此给采购人造成的损失或者造成采购人应向第三方承担违约责任的，中标人还应予以赔偿：</w:t>
      </w:r>
    </w:p>
    <w:p>
      <w:pPr>
        <w:pStyle w:val="null3"/>
        <w:ind w:firstLine="480"/>
        <w:jc w:val="both"/>
      </w:pPr>
      <w:r>
        <w:rPr>
          <w:rFonts w:ascii="仿宋_GB2312" w:hAnsi="仿宋_GB2312" w:cs="仿宋_GB2312" w:eastAsia="仿宋_GB2312"/>
          <w:sz w:val="24"/>
          <w:color w:val="000000"/>
        </w:rPr>
        <w:t>a)所提供的货物、配件与投标文件的承诺不相符；</w:t>
      </w:r>
    </w:p>
    <w:p>
      <w:pPr>
        <w:pStyle w:val="null3"/>
        <w:ind w:firstLine="480"/>
        <w:jc w:val="both"/>
      </w:pPr>
      <w:r>
        <w:rPr>
          <w:rFonts w:ascii="仿宋_GB2312" w:hAnsi="仿宋_GB2312" w:cs="仿宋_GB2312" w:eastAsia="仿宋_GB2312"/>
          <w:sz w:val="24"/>
          <w:color w:val="000000"/>
        </w:rPr>
        <w:t>b)不能达到行业、国家或国际相关标准或要求；</w:t>
      </w:r>
    </w:p>
    <w:p>
      <w:pPr>
        <w:pStyle w:val="null3"/>
        <w:ind w:firstLine="480"/>
        <w:jc w:val="both"/>
      </w:pPr>
      <w:r>
        <w:rPr>
          <w:rFonts w:ascii="仿宋_GB2312" w:hAnsi="仿宋_GB2312" w:cs="仿宋_GB2312" w:eastAsia="仿宋_GB2312"/>
          <w:sz w:val="24"/>
          <w:color w:val="000000"/>
        </w:rPr>
        <w:t>c)中标人违反承诺的品牌、生产厂家、报价、质量和招标文件规定的质量、技术与性能、售后服务的内容行为；</w:t>
      </w:r>
    </w:p>
    <w:p>
      <w:pPr>
        <w:pStyle w:val="null3"/>
        <w:ind w:firstLine="480"/>
        <w:jc w:val="both"/>
      </w:pPr>
      <w:r>
        <w:rPr>
          <w:rFonts w:ascii="仿宋_GB2312" w:hAnsi="仿宋_GB2312" w:cs="仿宋_GB2312" w:eastAsia="仿宋_GB2312"/>
          <w:sz w:val="24"/>
          <w:color w:val="000000"/>
        </w:rPr>
        <w:t>d)未经采购人同意将项目分包或转包他人。</w:t>
      </w:r>
    </w:p>
    <w:p>
      <w:pPr>
        <w:pStyle w:val="null3"/>
        <w:ind w:firstLine="480"/>
        <w:jc w:val="both"/>
      </w:pPr>
      <w:r>
        <w:rPr>
          <w:rFonts w:ascii="仿宋_GB2312" w:hAnsi="仿宋_GB2312" w:cs="仿宋_GB2312" w:eastAsia="仿宋_GB2312"/>
          <w:sz w:val="24"/>
          <w:color w:val="000000"/>
        </w:rPr>
        <w:t>e)中标人不配合采购人参加验收工作或不提供有关资料；</w:t>
      </w:r>
    </w:p>
    <w:p>
      <w:pPr>
        <w:pStyle w:val="null3"/>
        <w:ind w:firstLine="480"/>
        <w:jc w:val="both"/>
      </w:pPr>
      <w:r>
        <w:rPr>
          <w:rFonts w:ascii="仿宋_GB2312" w:hAnsi="仿宋_GB2312" w:cs="仿宋_GB2312" w:eastAsia="仿宋_GB2312"/>
          <w:sz w:val="24"/>
          <w:color w:val="000000"/>
        </w:rPr>
        <w:t>f)发生破产、重组或停业整顿，或相应资质被有关部门吊销等，无法继续履约的；</w:t>
      </w:r>
    </w:p>
    <w:p>
      <w:pPr>
        <w:pStyle w:val="null3"/>
        <w:ind w:firstLine="480"/>
        <w:jc w:val="both"/>
      </w:pPr>
      <w:r>
        <w:rPr>
          <w:rFonts w:ascii="仿宋_GB2312" w:hAnsi="仿宋_GB2312" w:cs="仿宋_GB2312" w:eastAsia="仿宋_GB2312"/>
          <w:sz w:val="24"/>
          <w:color w:val="000000"/>
        </w:rPr>
        <w:t>g)无正当理由不履行本合同项下的义务。</w:t>
      </w:r>
    </w:p>
    <w:p>
      <w:pPr>
        <w:pStyle w:val="null3"/>
        <w:ind w:firstLine="480"/>
        <w:jc w:val="both"/>
      </w:pPr>
      <w:r>
        <w:rPr>
          <w:rFonts w:ascii="仿宋_GB2312" w:hAnsi="仿宋_GB2312" w:cs="仿宋_GB2312" w:eastAsia="仿宋_GB2312"/>
          <w:sz w:val="24"/>
          <w:color w:val="000000"/>
        </w:rPr>
        <w:t>5）中标人在货物运输、装卸等履行合同的各种环节中产生的一切意外事故，如人员伤害、货物的损坏等概由中标人负责。</w:t>
      </w:r>
    </w:p>
    <w:p>
      <w:pPr>
        <w:pStyle w:val="null3"/>
        <w:ind w:firstLine="480"/>
        <w:jc w:val="both"/>
      </w:pPr>
      <w:r>
        <w:rPr>
          <w:rFonts w:ascii="仿宋_GB2312" w:hAnsi="仿宋_GB2312" w:cs="仿宋_GB2312" w:eastAsia="仿宋_GB2312"/>
          <w:sz w:val="24"/>
          <w:color w:val="000000"/>
        </w:rPr>
        <w:t>6）中标人的货物提前交货的，因提前交货所发生的仓储和保管费用由中标人承担，货物提前进场，采购人在验收后，仍可按合同约定的时间付款；中标人货物进场至货物在安装验收合格交付使用之前的仓储费、保管费等均由中标人承担，所发生的损坏、丢失等风险均由中标人自行承担。</w:t>
      </w:r>
    </w:p>
    <w:p>
      <w:pPr>
        <w:pStyle w:val="null3"/>
        <w:ind w:firstLine="480"/>
        <w:jc w:val="both"/>
      </w:pPr>
      <w:r>
        <w:rPr>
          <w:rFonts w:ascii="仿宋_GB2312" w:hAnsi="仿宋_GB2312" w:cs="仿宋_GB2312" w:eastAsia="仿宋_GB2312"/>
          <w:sz w:val="24"/>
          <w:color w:val="000000"/>
        </w:rPr>
        <w:t>7）情形一：中标后，因不可抗力因素（地震、台风、洪水、火灾、政府行为、法律规定或其适用的变化或者其他任何无法预见、避免或者控制的事件或其他客观因素等。下同），造成不能签订合同的，遭受不可抗力一方应及时向对方通报不能签订合同的理由，并在随后取得有关主管机关证明后的15日内向另一方提供不可抗力发生及持续期间的充分证据。基于以上行为，允许遭受不可抗力一方不能签订合同，并根据情况可部分或全部免于承担相关责任，本项目依法重新招标或终止。情形二：若合同履行期间，因不可抗力因素，造成不能履行或不能完全履行合同的，遭受不可抗力一方应及时向对方通报不能履行或不能完全履行的理由，并提供相关证明材料。基于上述情况，遭受不可抗力一方延期履行、部分履行或不履行合同的，根据实际情况可部分或全部免于承担违约责任。中标人为本项目已付出的经采购人认可的工作等所产生的费用，采购人按实支付。</w:t>
      </w:r>
    </w:p>
    <w:p>
      <w:pPr>
        <w:pStyle w:val="null3"/>
        <w:ind w:firstLine="480"/>
        <w:jc w:val="both"/>
      </w:pPr>
      <w:r>
        <w:rPr>
          <w:rFonts w:ascii="仿宋_GB2312" w:hAnsi="仿宋_GB2312" w:cs="仿宋_GB2312" w:eastAsia="仿宋_GB2312"/>
          <w:sz w:val="24"/>
          <w:color w:val="000000"/>
        </w:rPr>
        <w:t>8）在明确违约责任后，中标人应在接到采购人发出书面通知书后七天内支付违约金、赔偿金等(采购人有权从履约保证金或合同款中直接扣除)。</w:t>
      </w:r>
    </w:p>
    <w:p>
      <w:pPr>
        <w:pStyle w:val="null3"/>
        <w:ind w:firstLine="480"/>
        <w:jc w:val="both"/>
      </w:pPr>
      <w:r>
        <w:rPr>
          <w:rFonts w:ascii="仿宋_GB2312" w:hAnsi="仿宋_GB2312" w:cs="仿宋_GB2312" w:eastAsia="仿宋_GB2312"/>
          <w:sz w:val="24"/>
          <w:color w:val="000000"/>
        </w:rPr>
        <w:t>9)违约方除承担上述责任外，还应承担守约方因违约方之违约行为而支出的相关费用(包括但不限于律师费、诉讼费用、诉讼保全费用、保函费用、鉴定费、公证费、执行费、差旅费等)。</w:t>
      </w:r>
    </w:p>
    <w:p>
      <w:pPr>
        <w:pStyle w:val="null3"/>
        <w:spacing w:after="195"/>
        <w:ind w:firstLine="480"/>
        <w:jc w:val="left"/>
      </w:pPr>
      <w:r>
        <w:rPr>
          <w:rFonts w:ascii="仿宋_GB2312" w:hAnsi="仿宋_GB2312" w:cs="仿宋_GB2312" w:eastAsia="仿宋_GB2312"/>
          <w:sz w:val="24"/>
          <w:b/>
          <w:color w:val="000000"/>
        </w:rPr>
        <w:t>13、</w:t>
      </w:r>
      <w:r>
        <w:rPr>
          <w:rFonts w:ascii="仿宋_GB2312" w:hAnsi="仿宋_GB2312" w:cs="仿宋_GB2312" w:eastAsia="仿宋_GB2312"/>
          <w:sz w:val="24"/>
          <w:b/>
          <w:color w:val="000000"/>
          <w:u w:val="single"/>
        </w:rPr>
        <w:t>★本项目商务要求均为不允许负偏离的实质性要求，各投标人须在响应表中逐一无偏离或正偏离响应。</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根据《泉州市财政局关于进一步落实中小企业政府采购合同融资有关事项的通知》及《关于印发（福建省支持中小企业政府采购合同融资暂行办法）的通知》（闽财购[2018]7号）的通知，现我市政府采购活动中依法中标后的中小企业供应商可申请政府采购合同融资： （1）凡参与政府采购并依法取得政府采购合同的供应商，均可使用政府采购合同向福建省政府采购网发布的政府采购合同融资业务信息的银行业金融机构申请融资，可在“政采贷”模块进行具体操作。 （2）企业申请所需提交的材料可登录“福建省政府采购网”查询。 （3）融资主要条件：①担保条件：除法定代表人或实际控制人担保外，如融资金额未超过政府采购合同金额的，银行不要求企业供应商提供财产抵质押或第三方担保，或附加其他担保条件。②专用账户：当银行同意授信后，企业供应商在该行开立封闭式专用账户，与采购人在合同中或通过签订补充协议约定唯一收款账号。 ③支付约定：银行发放贷款的同时，办理政府采购合同应收账款质押查询和登记，合同履行并验收后，采购人需将采购资金按合同约定支付到约定收款账户。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[350582]PC[GK]2025001-1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晋江市医院（上海市第六人民医院福建医院）血管内成像设备采购(二次)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血管内成像设备</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血管内成像设备</w:t>
            </w:r>
          </w:p>
        </w:tc>
        <w:tc>
          <w:tcPr>
            <w:tcW w:type="dxa" w:w="1661"/>
          </w:tcPr>
          <w:p>
            <w:pPr>
              <w:pStyle w:val="null3"/>
              <w:jc w:val="left"/>
            </w:pPr>
            <w:r>
              <w:rPr>
                <w:rFonts w:ascii="仿宋_GB2312" w:hAnsi="仿宋_GB2312" w:cs="仿宋_GB2312" w:eastAsia="仿宋_GB2312"/>
              </w:rPr>
              <w:t xml:space="preserve"> 1480000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[350582]PC[GK]2025001-1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晋江市医院（上海市第六人民医院福建医院）血管内成像设备采购(二次)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血管内成像设备</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血管内成像设备</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货物名称</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制造商名称</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血管内成像设备</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1480000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