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E408B">
      <w:pPr>
        <w:widowControl/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附件1+报价明细表</w:t>
      </w:r>
    </w:p>
    <w:p w14:paraId="7647FB16">
      <w:pPr>
        <w:widowControl/>
        <w:spacing w:line="360" w:lineRule="atLeast"/>
        <w:jc w:val="left"/>
        <w:outlineLvl w:val="1"/>
        <w:rPr>
          <w:rFonts w:hint="default" w:ascii="宋体" w:hAnsi="宋体" w:cs="宋体"/>
          <w:b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项目名称： 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                   </w:t>
      </w:r>
    </w:p>
    <w:p w14:paraId="66BD5FEC">
      <w:pPr>
        <w:widowControl/>
        <w:spacing w:line="360" w:lineRule="atLeast"/>
        <w:jc w:val="left"/>
        <w:outlineLvl w:val="1"/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项目编号：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                      </w:t>
      </w:r>
    </w:p>
    <w:tbl>
      <w:tblPr>
        <w:tblStyle w:val="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939"/>
        <w:gridCol w:w="1804"/>
        <w:gridCol w:w="2437"/>
        <w:gridCol w:w="1493"/>
      </w:tblGrid>
      <w:tr w14:paraId="6D433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27" w:type="dxa"/>
            <w:noWrap w:val="0"/>
            <w:vAlign w:val="center"/>
          </w:tcPr>
          <w:p w14:paraId="0D5C897B">
            <w:pPr>
              <w:pStyle w:val="4"/>
              <w:spacing w:before="156" w:beforeLines="50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39" w:type="dxa"/>
            <w:noWrap w:val="0"/>
            <w:vAlign w:val="center"/>
          </w:tcPr>
          <w:p w14:paraId="7DB6DEF2">
            <w:pPr>
              <w:pStyle w:val="4"/>
              <w:spacing w:before="156" w:beforeLines="50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服务区域</w:t>
            </w:r>
          </w:p>
        </w:tc>
        <w:tc>
          <w:tcPr>
            <w:tcW w:w="1804" w:type="dxa"/>
            <w:noWrap w:val="0"/>
            <w:vAlign w:val="center"/>
          </w:tcPr>
          <w:p w14:paraId="4F7CC133">
            <w:pPr>
              <w:pStyle w:val="4"/>
              <w:spacing w:before="156" w:beforeLines="50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预计数量</w:t>
            </w:r>
          </w:p>
          <w:p w14:paraId="34ABFC2C">
            <w:pPr>
              <w:pStyle w:val="4"/>
              <w:spacing w:before="156" w:beforeLines="50"/>
              <w:jc w:val="both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（单位：件/年）</w:t>
            </w:r>
          </w:p>
        </w:tc>
        <w:tc>
          <w:tcPr>
            <w:tcW w:w="2437" w:type="dxa"/>
            <w:noWrap w:val="0"/>
            <w:vAlign w:val="center"/>
          </w:tcPr>
          <w:p w14:paraId="18431297">
            <w:pPr>
              <w:pStyle w:val="4"/>
              <w:spacing w:before="156" w:beforeLines="50"/>
              <w:jc w:val="center"/>
              <w:rPr>
                <w:rFonts w:hint="default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单件价格</w:t>
            </w:r>
            <w:r>
              <w:rPr>
                <w:rFonts w:hint="eastAsia" w:hAnsi="宋体"/>
                <w:color w:val="auto"/>
                <w:sz w:val="24"/>
                <w:highlight w:val="none"/>
                <w:lang w:val="en-US" w:eastAsia="zh-CN"/>
              </w:rPr>
              <w:t>最高限价（单位：元/件）</w:t>
            </w:r>
          </w:p>
        </w:tc>
        <w:tc>
          <w:tcPr>
            <w:tcW w:w="1493" w:type="dxa"/>
            <w:noWrap w:val="0"/>
            <w:vAlign w:val="center"/>
          </w:tcPr>
          <w:p w14:paraId="56B5D334">
            <w:pPr>
              <w:pStyle w:val="4"/>
              <w:spacing w:before="156" w:beforeLines="50"/>
              <w:jc w:val="center"/>
              <w:rPr>
                <w:rFonts w:hint="default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  <w:lang w:val="en-US" w:eastAsia="zh-CN"/>
              </w:rPr>
              <w:t>响应下浮率（%）</w:t>
            </w:r>
          </w:p>
        </w:tc>
      </w:tr>
      <w:tr w14:paraId="35127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vAlign w:val="center"/>
          </w:tcPr>
          <w:p w14:paraId="0017BDE1">
            <w:pPr>
              <w:snapToGrid w:val="0"/>
              <w:spacing w:line="360" w:lineRule="auto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39" w:type="dxa"/>
            <w:noWrap w:val="0"/>
            <w:vAlign w:val="center"/>
          </w:tcPr>
          <w:p w14:paraId="7715C84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龙泉区域内</w:t>
            </w:r>
          </w:p>
        </w:tc>
        <w:tc>
          <w:tcPr>
            <w:tcW w:w="1804" w:type="dxa"/>
            <w:noWrap w:val="0"/>
            <w:vAlign w:val="center"/>
          </w:tcPr>
          <w:p w14:paraId="0FD2831D">
            <w:pPr>
              <w:pStyle w:val="4"/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54400</w:t>
            </w:r>
          </w:p>
        </w:tc>
        <w:tc>
          <w:tcPr>
            <w:tcW w:w="2437" w:type="dxa"/>
            <w:noWrap w:val="0"/>
            <w:vAlign w:val="top"/>
          </w:tcPr>
          <w:p w14:paraId="1F8A0FB2">
            <w:pPr>
              <w:pStyle w:val="4"/>
              <w:spacing w:line="360" w:lineRule="auto"/>
              <w:jc w:val="center"/>
              <w:rPr>
                <w:rFonts w:hint="default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493" w:type="dxa"/>
            <w:vMerge w:val="restart"/>
            <w:noWrap w:val="0"/>
            <w:vAlign w:val="center"/>
          </w:tcPr>
          <w:p w14:paraId="1EEE8BFE">
            <w:pPr>
              <w:pStyle w:val="4"/>
              <w:spacing w:line="360" w:lineRule="auto"/>
              <w:jc w:val="both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437E4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vAlign w:val="center"/>
          </w:tcPr>
          <w:p w14:paraId="72FB1553">
            <w:pPr>
              <w:snapToGrid w:val="0"/>
              <w:spacing w:line="360" w:lineRule="auto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39" w:type="dxa"/>
            <w:noWrap w:val="0"/>
            <w:vAlign w:val="center"/>
          </w:tcPr>
          <w:p w14:paraId="52FAF83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成都市内</w:t>
            </w:r>
          </w:p>
        </w:tc>
        <w:tc>
          <w:tcPr>
            <w:tcW w:w="1804" w:type="dxa"/>
            <w:noWrap w:val="0"/>
            <w:vAlign w:val="center"/>
          </w:tcPr>
          <w:p w14:paraId="7521D69B">
            <w:pPr>
              <w:pStyle w:val="4"/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8000</w:t>
            </w:r>
          </w:p>
        </w:tc>
        <w:tc>
          <w:tcPr>
            <w:tcW w:w="2437" w:type="dxa"/>
            <w:noWrap w:val="0"/>
            <w:vAlign w:val="top"/>
          </w:tcPr>
          <w:p w14:paraId="45AC2339">
            <w:pPr>
              <w:pStyle w:val="4"/>
              <w:spacing w:line="360" w:lineRule="auto"/>
              <w:jc w:val="center"/>
              <w:rPr>
                <w:rFonts w:hint="default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  <w:lang w:val="en-US" w:eastAsia="zh-CN"/>
              </w:rPr>
              <w:t>11.25</w:t>
            </w:r>
          </w:p>
        </w:tc>
        <w:tc>
          <w:tcPr>
            <w:tcW w:w="1493" w:type="dxa"/>
            <w:vMerge w:val="continue"/>
            <w:noWrap w:val="0"/>
            <w:vAlign w:val="top"/>
          </w:tcPr>
          <w:p w14:paraId="03A6FB81">
            <w:pPr>
              <w:pStyle w:val="4"/>
              <w:spacing w:line="360" w:lineRule="auto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473FF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vAlign w:val="center"/>
          </w:tcPr>
          <w:p w14:paraId="145C5ACB">
            <w:pPr>
              <w:snapToGrid w:val="0"/>
              <w:spacing w:line="360" w:lineRule="auto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39" w:type="dxa"/>
            <w:noWrap w:val="0"/>
            <w:vAlign w:val="center"/>
          </w:tcPr>
          <w:p w14:paraId="245439F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四川省（除攀枝花、甘孜州、阿坝州、凉山州以外）区域内</w:t>
            </w:r>
          </w:p>
        </w:tc>
        <w:tc>
          <w:tcPr>
            <w:tcW w:w="1804" w:type="dxa"/>
            <w:noWrap w:val="0"/>
            <w:vAlign w:val="center"/>
          </w:tcPr>
          <w:p w14:paraId="650E084B">
            <w:pPr>
              <w:pStyle w:val="4"/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6400</w:t>
            </w:r>
          </w:p>
        </w:tc>
        <w:tc>
          <w:tcPr>
            <w:tcW w:w="2437" w:type="dxa"/>
            <w:noWrap w:val="0"/>
            <w:vAlign w:val="center"/>
          </w:tcPr>
          <w:p w14:paraId="164D8CCD">
            <w:pPr>
              <w:pStyle w:val="4"/>
              <w:spacing w:line="360" w:lineRule="auto"/>
              <w:jc w:val="center"/>
              <w:rPr>
                <w:rFonts w:hint="default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1493" w:type="dxa"/>
            <w:vMerge w:val="continue"/>
            <w:noWrap w:val="0"/>
            <w:vAlign w:val="top"/>
          </w:tcPr>
          <w:p w14:paraId="04771B95">
            <w:pPr>
              <w:pStyle w:val="4"/>
              <w:spacing w:line="360" w:lineRule="auto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78446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vAlign w:val="center"/>
          </w:tcPr>
          <w:p w14:paraId="0DF179A8">
            <w:pPr>
              <w:snapToGrid w:val="0"/>
              <w:spacing w:line="360" w:lineRule="auto"/>
              <w:jc w:val="center"/>
              <w:rPr>
                <w:rFonts w:hint="eastAsia" w:hAnsi="宋体" w:eastAsia="方正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39" w:type="dxa"/>
            <w:noWrap w:val="0"/>
            <w:vAlign w:val="center"/>
          </w:tcPr>
          <w:p w14:paraId="3890189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攀枝花、甘孜州、阿坝州、凉山州区域内</w:t>
            </w:r>
          </w:p>
        </w:tc>
        <w:tc>
          <w:tcPr>
            <w:tcW w:w="1804" w:type="dxa"/>
            <w:noWrap w:val="0"/>
            <w:vAlign w:val="center"/>
          </w:tcPr>
          <w:p w14:paraId="535FD269">
            <w:pPr>
              <w:pStyle w:val="4"/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2400</w:t>
            </w:r>
          </w:p>
        </w:tc>
        <w:tc>
          <w:tcPr>
            <w:tcW w:w="2437" w:type="dxa"/>
            <w:noWrap w:val="0"/>
            <w:vAlign w:val="center"/>
          </w:tcPr>
          <w:p w14:paraId="3021A37D">
            <w:pPr>
              <w:pStyle w:val="4"/>
              <w:spacing w:line="360" w:lineRule="auto"/>
              <w:jc w:val="center"/>
              <w:rPr>
                <w:rFonts w:hint="default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  <w:lang w:val="en-US" w:eastAsia="zh-CN"/>
              </w:rPr>
              <w:t>18.75</w:t>
            </w:r>
          </w:p>
        </w:tc>
        <w:tc>
          <w:tcPr>
            <w:tcW w:w="1493" w:type="dxa"/>
            <w:vMerge w:val="continue"/>
            <w:noWrap w:val="0"/>
            <w:vAlign w:val="top"/>
          </w:tcPr>
          <w:p w14:paraId="2ACC2409">
            <w:pPr>
              <w:pStyle w:val="4"/>
              <w:spacing w:line="360" w:lineRule="auto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4680B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vAlign w:val="center"/>
          </w:tcPr>
          <w:p w14:paraId="2AF93126">
            <w:pPr>
              <w:snapToGrid w:val="0"/>
              <w:spacing w:line="360" w:lineRule="auto"/>
              <w:jc w:val="center"/>
              <w:rPr>
                <w:rFonts w:hint="default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939" w:type="dxa"/>
            <w:noWrap w:val="0"/>
            <w:vAlign w:val="center"/>
          </w:tcPr>
          <w:p w14:paraId="4B4ACEF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四川省区域以外的国内地区</w:t>
            </w:r>
          </w:p>
        </w:tc>
        <w:tc>
          <w:tcPr>
            <w:tcW w:w="1804" w:type="dxa"/>
            <w:noWrap w:val="0"/>
            <w:vAlign w:val="center"/>
          </w:tcPr>
          <w:p w14:paraId="5BF00CDF">
            <w:pPr>
              <w:pStyle w:val="4"/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4000</w:t>
            </w:r>
          </w:p>
        </w:tc>
        <w:tc>
          <w:tcPr>
            <w:tcW w:w="2437" w:type="dxa"/>
            <w:noWrap w:val="0"/>
            <w:vAlign w:val="center"/>
          </w:tcPr>
          <w:p w14:paraId="7263CC13">
            <w:pPr>
              <w:pStyle w:val="4"/>
              <w:spacing w:line="360" w:lineRule="auto"/>
              <w:jc w:val="center"/>
              <w:rPr>
                <w:rFonts w:hint="default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493" w:type="dxa"/>
            <w:vMerge w:val="continue"/>
            <w:noWrap w:val="0"/>
            <w:vAlign w:val="top"/>
          </w:tcPr>
          <w:p w14:paraId="1829CC67">
            <w:pPr>
              <w:pStyle w:val="4"/>
              <w:spacing w:line="360" w:lineRule="auto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</w:tbl>
    <w:p w14:paraId="193C9F5B">
      <w:pPr>
        <w:widowControl/>
        <w:spacing w:line="360" w:lineRule="atLeast"/>
        <w:jc w:val="left"/>
        <w:outlineLvl w:val="1"/>
        <w:rPr>
          <w:rFonts w:hint="default" w:ascii="宋体" w:hAnsi="宋体" w:cs="宋体"/>
          <w:b/>
          <w:sz w:val="28"/>
          <w:szCs w:val="28"/>
          <w:u w:val="single"/>
          <w:lang w:val="en-US" w:eastAsia="zh-CN"/>
        </w:rPr>
      </w:pPr>
    </w:p>
    <w:p w14:paraId="55690AA7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注意：</w:t>
      </w:r>
    </w:p>
    <w:p w14:paraId="11FF335A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1、响应单价=</w:t>
      </w:r>
      <w:r>
        <w:rPr>
          <w:rFonts w:hint="eastAsia" w:hAnsi="宋体"/>
          <w:color w:val="auto"/>
          <w:sz w:val="24"/>
          <w:highlight w:val="none"/>
        </w:rPr>
        <w:t>单件价格</w:t>
      </w:r>
      <w:r>
        <w:rPr>
          <w:rFonts w:hint="eastAsia" w:hAnsi="宋体"/>
          <w:color w:val="auto"/>
          <w:sz w:val="24"/>
          <w:highlight w:val="none"/>
          <w:lang w:val="en-US" w:eastAsia="zh-CN"/>
        </w:rPr>
        <w:t>最高限价</w:t>
      </w:r>
      <w:r>
        <w:rPr>
          <w:rFonts w:hint="eastAsia" w:ascii="宋体" w:hAnsi="宋体" w:cs="宋体"/>
          <w:sz w:val="24"/>
          <w:szCs w:val="24"/>
          <w:lang w:val="en-US" w:eastAsia="zh-CN"/>
        </w:rPr>
        <w:t>×（1-响应下浮率）。</w:t>
      </w:r>
    </w:p>
    <w:p w14:paraId="3299787B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2、本项目只允许报唯一响应下浮率。</w:t>
      </w:r>
    </w:p>
    <w:p w14:paraId="66071072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2F908C61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             （</w:t>
      </w:r>
      <w:r>
        <w:rPr>
          <w:rFonts w:hint="eastAsia" w:ascii="宋体" w:hAnsi="宋体"/>
          <w:sz w:val="24"/>
          <w:szCs w:val="24"/>
        </w:rPr>
        <w:t>盖章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06292BAE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</w:p>
    <w:p w14:paraId="1362950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1MDRhOGY2NjQxZDY2MDgwMTRlNjdlNTViNTE5NGQifQ=="/>
  </w:docVars>
  <w:rsids>
    <w:rsidRoot w:val="79C55204"/>
    <w:rsid w:val="13D24107"/>
    <w:rsid w:val="1B570722"/>
    <w:rsid w:val="1BFD1FDA"/>
    <w:rsid w:val="1D5C5F16"/>
    <w:rsid w:val="1DC35F95"/>
    <w:rsid w:val="20A84D34"/>
    <w:rsid w:val="2B1151B3"/>
    <w:rsid w:val="324B1D1F"/>
    <w:rsid w:val="34C2779C"/>
    <w:rsid w:val="395F2BBE"/>
    <w:rsid w:val="3B194FEF"/>
    <w:rsid w:val="77C51A8C"/>
    <w:rsid w:val="78D80545"/>
    <w:rsid w:val="79C55204"/>
    <w:rsid w:val="7B5A267C"/>
    <w:rsid w:val="7F2A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宋体"/>
      <w:kern w:val="0"/>
      <w:sz w:val="34"/>
      <w:szCs w:val="20"/>
    </w:rPr>
  </w:style>
  <w:style w:type="paragraph" w:styleId="3">
    <w:name w:val="Salutation"/>
    <w:basedOn w:val="1"/>
    <w:next w:val="1"/>
    <w:qFormat/>
    <w:uiPriority w:val="0"/>
    <w:rPr>
      <w:rFonts w:ascii="Calibri" w:hAnsi="Calibri" w:eastAsia="宋体"/>
      <w:sz w:val="21"/>
      <w:szCs w:val="22"/>
    </w:rPr>
  </w:style>
  <w:style w:type="paragraph" w:styleId="4">
    <w:name w:val="Plain Text"/>
    <w:basedOn w:val="1"/>
    <w:qFormat/>
    <w:uiPriority w:val="0"/>
    <w:rPr>
      <w:rFonts w:ascii="宋体" w:hAnsi="Courier New" w:eastAsia="宋体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383</Characters>
  <Lines>0</Lines>
  <Paragraphs>0</Paragraphs>
  <TotalTime>2</TotalTime>
  <ScaleCrop>false</ScaleCrop>
  <LinksUpToDate>false</LinksUpToDate>
  <CharactersWithSpaces>440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2024-10-09T06:02:00Z</dcterms:created>
  <dc:creator>後來。</dc:creator>
  <cp:lastModifiedBy>後來。</cp:lastModifiedBy>
  <dcterms:modified xsi:type="dcterms:W3CDTF">2025-02-20T06:00:18Z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01284E18E37C47D08F7A403BAB931105_11</vt:lpwstr>
  </property>
  <property fmtid="{D5CDD505-2E9C-101B-9397-08002B2CF9AE}" pid="4" name="KSOTemplateDocerSaveRecord">
    <vt:lpwstr>eyJoZGlkIjoiNmU0MWFlNGVkNjkwOTYzYTAzMTM3NzVjMWVjODEzYzUiLCJ1c2VySWQiOiIzOTg4ODE2MTkifQ==</vt:lpwstr>
  </property>
</Properties>
</file>