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2025年春季义务植树采购项目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CGXM-2025-350582-00044[2025]00101</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[350582]FJDL[CS]2025002</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晋江市林业和园林绿化局</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福建带路建设项目咨询有限公司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2025年03月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晋江市林业和园林绿化局</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2025年春季义务植树采购项目</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福建带路建设项目咨询有限公司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2025年春季义务植树采购项目</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CGXM-2025-350582-00044[2025]00101</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[350582]FJDL[CS]2025002</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1,983,800.00</w:t>
      </w:r>
    </w:p>
    <w:p>
      <w:pPr>
        <w:pStyle w:val="null3"/>
        <w:jc w:val="left"/>
      </w:pPr>
      <w:r>
        <w:rPr>
          <w:rFonts w:ascii="仿宋_GB2312" w:hAnsi="仿宋_GB2312" w:cs="仿宋_GB2312" w:eastAsia="仿宋_GB2312"/>
        </w:rPr>
        <w:t>采购包最高限价（元）: 1,983,800.00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苗木类</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1,983,800.00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农、林、牧、渔业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苗木类</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1,983,800.00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苗木类</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黄槿</w:t>
            </w:r>
          </w:p>
        </w:tc>
        <w:tc>
          <w:tcPr>
            <w:tcW w:type="dxa" w:w="2076"/>
          </w:tcPr>
          <w:p>
            <w:pPr>
              <w:pStyle w:val="null3"/>
              <w:jc w:val="left"/>
            </w:pPr>
            <w:r>
              <w:rPr>
                <w:rFonts w:ascii="仿宋_GB2312" w:hAnsi="仿宋_GB2312" w:cs="仿宋_GB2312" w:eastAsia="仿宋_GB2312"/>
              </w:rPr>
              <w:t>详见竞争性磋商文件“第三章采购内容及要求”</w:t>
            </w:r>
          </w:p>
        </w:tc>
        <w:tc>
          <w:tcPr>
            <w:tcW w:type="dxa" w:w="415"/>
          </w:tcPr>
          <w:p>
            <w:pPr>
              <w:pStyle w:val="null3"/>
              <w:jc w:val="left"/>
            </w:pPr>
            <w:r>
              <w:rPr>
                <w:rFonts w:ascii="仿宋_GB2312" w:hAnsi="仿宋_GB2312" w:cs="仿宋_GB2312" w:eastAsia="仿宋_GB2312"/>
              </w:rPr>
              <w:t>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详见竞争性磋商文件“第三章采购内容及要求”</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油茶(注：不同品种三种及以上)</w:t>
            </w:r>
          </w:p>
        </w:tc>
        <w:tc>
          <w:tcPr>
            <w:tcW w:type="dxa" w:w="2076"/>
          </w:tcPr>
          <w:p>
            <w:pPr>
              <w:pStyle w:val="null3"/>
              <w:jc w:val="left"/>
            </w:pPr>
            <w:r>
              <w:rPr>
                <w:rFonts w:ascii="仿宋_GB2312" w:hAnsi="仿宋_GB2312" w:cs="仿宋_GB2312" w:eastAsia="仿宋_GB2312"/>
              </w:rPr>
              <w:t>详见竞争性磋商文件“第三章采购内容及要求”</w:t>
            </w:r>
          </w:p>
        </w:tc>
        <w:tc>
          <w:tcPr>
            <w:tcW w:type="dxa" w:w="415"/>
          </w:tcPr>
          <w:p>
            <w:pPr>
              <w:pStyle w:val="null3"/>
              <w:jc w:val="left"/>
            </w:pPr>
            <w:r>
              <w:rPr>
                <w:rFonts w:ascii="仿宋_GB2312" w:hAnsi="仿宋_GB2312" w:cs="仿宋_GB2312" w:eastAsia="仿宋_GB2312"/>
              </w:rPr>
              <w:t>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详见竞争性磋商文件“第三章采购内容及要求”</w:t>
            </w:r>
          </w:p>
        </w:tc>
      </w:tr>
      <w:tr>
        <w:tc>
          <w:tcPr>
            <w:tcW w:type="dxa" w:w="415"/>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深山含笑</w:t>
            </w:r>
          </w:p>
        </w:tc>
        <w:tc>
          <w:tcPr>
            <w:tcW w:type="dxa" w:w="2076"/>
          </w:tcPr>
          <w:p>
            <w:pPr>
              <w:pStyle w:val="null3"/>
              <w:jc w:val="left"/>
            </w:pPr>
            <w:r>
              <w:rPr>
                <w:rFonts w:ascii="仿宋_GB2312" w:hAnsi="仿宋_GB2312" w:cs="仿宋_GB2312" w:eastAsia="仿宋_GB2312"/>
              </w:rPr>
              <w:t>详见竞争性磋商文件“第三章采购内容及要求”</w:t>
            </w:r>
          </w:p>
        </w:tc>
        <w:tc>
          <w:tcPr>
            <w:tcW w:type="dxa" w:w="415"/>
          </w:tcPr>
          <w:p>
            <w:pPr>
              <w:pStyle w:val="null3"/>
              <w:jc w:val="left"/>
            </w:pPr>
            <w:r>
              <w:rPr>
                <w:rFonts w:ascii="仿宋_GB2312" w:hAnsi="仿宋_GB2312" w:cs="仿宋_GB2312" w:eastAsia="仿宋_GB2312"/>
              </w:rPr>
              <w:t>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详见竞争性磋商文件“第三章采购内容及要求”</w:t>
            </w:r>
          </w:p>
        </w:tc>
      </w:tr>
      <w:tr>
        <w:tc>
          <w:tcPr>
            <w:tcW w:type="dxa" w:w="415"/>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福建樱花</w:t>
            </w:r>
          </w:p>
        </w:tc>
        <w:tc>
          <w:tcPr>
            <w:tcW w:type="dxa" w:w="2076"/>
          </w:tcPr>
          <w:p>
            <w:pPr>
              <w:pStyle w:val="null3"/>
              <w:jc w:val="left"/>
            </w:pPr>
            <w:r>
              <w:rPr>
                <w:rFonts w:ascii="仿宋_GB2312" w:hAnsi="仿宋_GB2312" w:cs="仿宋_GB2312" w:eastAsia="仿宋_GB2312"/>
              </w:rPr>
              <w:t>详见竞争性磋商文件“第三章采购内容及要求”</w:t>
            </w:r>
          </w:p>
        </w:tc>
        <w:tc>
          <w:tcPr>
            <w:tcW w:type="dxa" w:w="415"/>
          </w:tcPr>
          <w:p>
            <w:pPr>
              <w:pStyle w:val="null3"/>
              <w:jc w:val="left"/>
            </w:pPr>
            <w:r>
              <w:rPr>
                <w:rFonts w:ascii="仿宋_GB2312" w:hAnsi="仿宋_GB2312" w:cs="仿宋_GB2312" w:eastAsia="仿宋_GB2312"/>
              </w:rPr>
              <w:t>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详见竞争性磋商文件“第三章采购内容及要求”</w:t>
            </w:r>
          </w:p>
        </w:tc>
      </w:tr>
      <w:tr>
        <w:tc>
          <w:tcPr>
            <w:tcW w:type="dxa" w:w="415"/>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富贵榕</w:t>
            </w:r>
          </w:p>
        </w:tc>
        <w:tc>
          <w:tcPr>
            <w:tcW w:type="dxa" w:w="2076"/>
          </w:tcPr>
          <w:p>
            <w:pPr>
              <w:pStyle w:val="null3"/>
              <w:jc w:val="left"/>
            </w:pPr>
            <w:r>
              <w:rPr>
                <w:rFonts w:ascii="仿宋_GB2312" w:hAnsi="仿宋_GB2312" w:cs="仿宋_GB2312" w:eastAsia="仿宋_GB2312"/>
              </w:rPr>
              <w:t>详见竞争性磋商文件“第三章采购内容及要求”</w:t>
            </w:r>
          </w:p>
        </w:tc>
        <w:tc>
          <w:tcPr>
            <w:tcW w:type="dxa" w:w="415"/>
          </w:tcPr>
          <w:p>
            <w:pPr>
              <w:pStyle w:val="null3"/>
              <w:jc w:val="left"/>
            </w:pPr>
            <w:r>
              <w:rPr>
                <w:rFonts w:ascii="仿宋_GB2312" w:hAnsi="仿宋_GB2312" w:cs="仿宋_GB2312" w:eastAsia="仿宋_GB2312"/>
              </w:rPr>
              <w:t>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详见竞争性磋商文件“第三章采购内容及要求”</w:t>
            </w:r>
          </w:p>
        </w:tc>
      </w:tr>
      <w:tr>
        <w:tc>
          <w:tcPr>
            <w:tcW w:type="dxa" w:w="415"/>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香樟</w:t>
            </w:r>
          </w:p>
        </w:tc>
        <w:tc>
          <w:tcPr>
            <w:tcW w:type="dxa" w:w="2076"/>
          </w:tcPr>
          <w:p>
            <w:pPr>
              <w:pStyle w:val="null3"/>
              <w:jc w:val="left"/>
            </w:pPr>
            <w:r>
              <w:rPr>
                <w:rFonts w:ascii="仿宋_GB2312" w:hAnsi="仿宋_GB2312" w:cs="仿宋_GB2312" w:eastAsia="仿宋_GB2312"/>
              </w:rPr>
              <w:t>详见竞争性磋商文件“第三章采购内容及要求”</w:t>
            </w:r>
          </w:p>
        </w:tc>
        <w:tc>
          <w:tcPr>
            <w:tcW w:type="dxa" w:w="415"/>
          </w:tcPr>
          <w:p>
            <w:pPr>
              <w:pStyle w:val="null3"/>
              <w:jc w:val="left"/>
            </w:pPr>
            <w:r>
              <w:rPr>
                <w:rFonts w:ascii="仿宋_GB2312" w:hAnsi="仿宋_GB2312" w:cs="仿宋_GB2312" w:eastAsia="仿宋_GB2312"/>
              </w:rPr>
              <w:t>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详见竞争性磋商文件“第三章采购内容及要求”</w:t>
            </w:r>
          </w:p>
        </w:tc>
      </w:tr>
      <w:tr>
        <w:tc>
          <w:tcPr>
            <w:tcW w:type="dxa" w:w="415"/>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台湾栾树</w:t>
            </w:r>
          </w:p>
        </w:tc>
        <w:tc>
          <w:tcPr>
            <w:tcW w:type="dxa" w:w="2076"/>
          </w:tcPr>
          <w:p>
            <w:pPr>
              <w:pStyle w:val="null3"/>
              <w:jc w:val="left"/>
            </w:pPr>
            <w:r>
              <w:rPr>
                <w:rFonts w:ascii="仿宋_GB2312" w:hAnsi="仿宋_GB2312" w:cs="仿宋_GB2312" w:eastAsia="仿宋_GB2312"/>
              </w:rPr>
              <w:t>详见竞争性磋商文件“第三章采购内容及要求”</w:t>
            </w:r>
          </w:p>
        </w:tc>
        <w:tc>
          <w:tcPr>
            <w:tcW w:type="dxa" w:w="415"/>
          </w:tcPr>
          <w:p>
            <w:pPr>
              <w:pStyle w:val="null3"/>
              <w:jc w:val="left"/>
            </w:pPr>
            <w:r>
              <w:rPr>
                <w:rFonts w:ascii="仿宋_GB2312" w:hAnsi="仿宋_GB2312" w:cs="仿宋_GB2312" w:eastAsia="仿宋_GB2312"/>
              </w:rPr>
              <w:t>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详见竞争性磋商文件“第三章采购内容及要求”</w:t>
            </w:r>
          </w:p>
        </w:tc>
      </w:tr>
      <w:tr>
        <w:tc>
          <w:tcPr>
            <w:tcW w:type="dxa" w:w="415"/>
          </w:tcPr>
          <w:p>
            <w:pPr>
              <w:pStyle w:val="null3"/>
              <w:jc w:val="left"/>
            </w:pPr>
            <w:r>
              <w:rPr>
                <w:rFonts w:ascii="仿宋_GB2312" w:hAnsi="仿宋_GB2312" w:cs="仿宋_GB2312" w:eastAsia="仿宋_GB2312"/>
              </w:rPr>
              <w:t>8</w:t>
            </w:r>
          </w:p>
        </w:tc>
        <w:tc>
          <w:tcPr>
            <w:tcW w:type="dxa" w:w="2076"/>
          </w:tcPr>
          <w:p>
            <w:pPr>
              <w:pStyle w:val="null3"/>
              <w:jc w:val="left"/>
            </w:pPr>
            <w:r>
              <w:rPr>
                <w:rFonts w:ascii="仿宋_GB2312" w:hAnsi="仿宋_GB2312" w:cs="仿宋_GB2312" w:eastAsia="仿宋_GB2312"/>
              </w:rPr>
              <w:t>美丽异木棉</w:t>
            </w:r>
          </w:p>
        </w:tc>
        <w:tc>
          <w:tcPr>
            <w:tcW w:type="dxa" w:w="2076"/>
          </w:tcPr>
          <w:p>
            <w:pPr>
              <w:pStyle w:val="null3"/>
              <w:jc w:val="left"/>
            </w:pPr>
            <w:r>
              <w:rPr>
                <w:rFonts w:ascii="仿宋_GB2312" w:hAnsi="仿宋_GB2312" w:cs="仿宋_GB2312" w:eastAsia="仿宋_GB2312"/>
              </w:rPr>
              <w:t>详见竞争性磋商文件“第三章采购内容及要求”</w:t>
            </w:r>
          </w:p>
        </w:tc>
        <w:tc>
          <w:tcPr>
            <w:tcW w:type="dxa" w:w="415"/>
          </w:tcPr>
          <w:p>
            <w:pPr>
              <w:pStyle w:val="null3"/>
              <w:jc w:val="left"/>
            </w:pPr>
            <w:r>
              <w:rPr>
                <w:rFonts w:ascii="仿宋_GB2312" w:hAnsi="仿宋_GB2312" w:cs="仿宋_GB2312" w:eastAsia="仿宋_GB2312"/>
              </w:rPr>
              <w:t>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详见竞争性磋商文件“第三章采购内容及要求”</w:t>
            </w:r>
          </w:p>
        </w:tc>
      </w:tr>
      <w:tr>
        <w:tc>
          <w:tcPr>
            <w:tcW w:type="dxa" w:w="415"/>
          </w:tcPr>
          <w:p>
            <w:pPr>
              <w:pStyle w:val="null3"/>
              <w:jc w:val="left"/>
            </w:pPr>
            <w:r>
              <w:rPr>
                <w:rFonts w:ascii="仿宋_GB2312" w:hAnsi="仿宋_GB2312" w:cs="仿宋_GB2312" w:eastAsia="仿宋_GB2312"/>
              </w:rPr>
              <w:t>9</w:t>
            </w:r>
          </w:p>
        </w:tc>
        <w:tc>
          <w:tcPr>
            <w:tcW w:type="dxa" w:w="2076"/>
          </w:tcPr>
          <w:p>
            <w:pPr>
              <w:pStyle w:val="null3"/>
              <w:jc w:val="left"/>
            </w:pPr>
            <w:r>
              <w:rPr>
                <w:rFonts w:ascii="仿宋_GB2312" w:hAnsi="仿宋_GB2312" w:cs="仿宋_GB2312" w:eastAsia="仿宋_GB2312"/>
              </w:rPr>
              <w:t>碧桃</w:t>
            </w:r>
          </w:p>
        </w:tc>
        <w:tc>
          <w:tcPr>
            <w:tcW w:type="dxa" w:w="2076"/>
          </w:tcPr>
          <w:p>
            <w:pPr>
              <w:pStyle w:val="null3"/>
              <w:jc w:val="left"/>
            </w:pPr>
            <w:r>
              <w:rPr>
                <w:rFonts w:ascii="仿宋_GB2312" w:hAnsi="仿宋_GB2312" w:cs="仿宋_GB2312" w:eastAsia="仿宋_GB2312"/>
              </w:rPr>
              <w:t>详见竞争性磋商文件“第三章采购内容及要求”</w:t>
            </w:r>
          </w:p>
        </w:tc>
        <w:tc>
          <w:tcPr>
            <w:tcW w:type="dxa" w:w="415"/>
          </w:tcPr>
          <w:p>
            <w:pPr>
              <w:pStyle w:val="null3"/>
              <w:jc w:val="left"/>
            </w:pPr>
            <w:r>
              <w:rPr>
                <w:rFonts w:ascii="仿宋_GB2312" w:hAnsi="仿宋_GB2312" w:cs="仿宋_GB2312" w:eastAsia="仿宋_GB2312"/>
              </w:rPr>
              <w:t>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详见竞争性磋商文件“第三章采购内容及要求”</w:t>
            </w:r>
          </w:p>
        </w:tc>
      </w:tr>
      <w:tr>
        <w:tc>
          <w:tcPr>
            <w:tcW w:type="dxa" w:w="415"/>
          </w:tcPr>
          <w:p>
            <w:pPr>
              <w:pStyle w:val="null3"/>
              <w:jc w:val="left"/>
            </w:pPr>
            <w:r>
              <w:rPr>
                <w:rFonts w:ascii="仿宋_GB2312" w:hAnsi="仿宋_GB2312" w:cs="仿宋_GB2312" w:eastAsia="仿宋_GB2312"/>
              </w:rPr>
              <w:t>10</w:t>
            </w:r>
          </w:p>
        </w:tc>
        <w:tc>
          <w:tcPr>
            <w:tcW w:type="dxa" w:w="2076"/>
          </w:tcPr>
          <w:p>
            <w:pPr>
              <w:pStyle w:val="null3"/>
              <w:jc w:val="left"/>
            </w:pPr>
            <w:r>
              <w:rPr>
                <w:rFonts w:ascii="仿宋_GB2312" w:hAnsi="仿宋_GB2312" w:cs="仿宋_GB2312" w:eastAsia="仿宋_GB2312"/>
              </w:rPr>
              <w:t>宫粉紫荆</w:t>
            </w:r>
          </w:p>
        </w:tc>
        <w:tc>
          <w:tcPr>
            <w:tcW w:type="dxa" w:w="2076"/>
          </w:tcPr>
          <w:p>
            <w:pPr>
              <w:pStyle w:val="null3"/>
              <w:jc w:val="left"/>
            </w:pPr>
            <w:r>
              <w:rPr>
                <w:rFonts w:ascii="仿宋_GB2312" w:hAnsi="仿宋_GB2312" w:cs="仿宋_GB2312" w:eastAsia="仿宋_GB2312"/>
              </w:rPr>
              <w:t>详见竞争性磋商文件“第三章采购内容及要求”</w:t>
            </w:r>
          </w:p>
        </w:tc>
        <w:tc>
          <w:tcPr>
            <w:tcW w:type="dxa" w:w="415"/>
          </w:tcPr>
          <w:p>
            <w:pPr>
              <w:pStyle w:val="null3"/>
              <w:jc w:val="left"/>
            </w:pPr>
            <w:r>
              <w:rPr>
                <w:rFonts w:ascii="仿宋_GB2312" w:hAnsi="仿宋_GB2312" w:cs="仿宋_GB2312" w:eastAsia="仿宋_GB2312"/>
              </w:rPr>
              <w:t>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详见竞争性磋商文件“第三章采购内容及要求”</w:t>
            </w:r>
          </w:p>
        </w:tc>
      </w:tr>
      <w:tr>
        <w:tc>
          <w:tcPr>
            <w:tcW w:type="dxa" w:w="415"/>
          </w:tcPr>
          <w:p>
            <w:pPr>
              <w:pStyle w:val="null3"/>
              <w:jc w:val="left"/>
            </w:pPr>
            <w:r>
              <w:rPr>
                <w:rFonts w:ascii="仿宋_GB2312" w:hAnsi="仿宋_GB2312" w:cs="仿宋_GB2312" w:eastAsia="仿宋_GB2312"/>
              </w:rPr>
              <w:t>11</w:t>
            </w:r>
          </w:p>
        </w:tc>
        <w:tc>
          <w:tcPr>
            <w:tcW w:type="dxa" w:w="2076"/>
          </w:tcPr>
          <w:p>
            <w:pPr>
              <w:pStyle w:val="null3"/>
              <w:jc w:val="left"/>
            </w:pPr>
            <w:r>
              <w:rPr>
                <w:rFonts w:ascii="仿宋_GB2312" w:hAnsi="仿宋_GB2312" w:cs="仿宋_GB2312" w:eastAsia="仿宋_GB2312"/>
              </w:rPr>
              <w:t>泡桐</w:t>
            </w:r>
          </w:p>
        </w:tc>
        <w:tc>
          <w:tcPr>
            <w:tcW w:type="dxa" w:w="2076"/>
          </w:tcPr>
          <w:p>
            <w:pPr>
              <w:pStyle w:val="null3"/>
              <w:jc w:val="left"/>
            </w:pPr>
            <w:r>
              <w:rPr>
                <w:rFonts w:ascii="仿宋_GB2312" w:hAnsi="仿宋_GB2312" w:cs="仿宋_GB2312" w:eastAsia="仿宋_GB2312"/>
              </w:rPr>
              <w:t>详见竞争性磋商文件“第三章采购内容及要求”</w:t>
            </w:r>
          </w:p>
        </w:tc>
        <w:tc>
          <w:tcPr>
            <w:tcW w:type="dxa" w:w="415"/>
          </w:tcPr>
          <w:p>
            <w:pPr>
              <w:pStyle w:val="null3"/>
              <w:jc w:val="left"/>
            </w:pPr>
            <w:r>
              <w:rPr>
                <w:rFonts w:ascii="仿宋_GB2312" w:hAnsi="仿宋_GB2312" w:cs="仿宋_GB2312" w:eastAsia="仿宋_GB2312"/>
              </w:rPr>
              <w:t>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详见竞争性磋商文件“第三章采购内容及要求”</w:t>
            </w:r>
          </w:p>
        </w:tc>
      </w:tr>
      <w:tr>
        <w:tc>
          <w:tcPr>
            <w:tcW w:type="dxa" w:w="415"/>
          </w:tcPr>
          <w:p>
            <w:pPr>
              <w:pStyle w:val="null3"/>
              <w:jc w:val="left"/>
            </w:pPr>
            <w:r>
              <w:rPr>
                <w:rFonts w:ascii="仿宋_GB2312" w:hAnsi="仿宋_GB2312" w:cs="仿宋_GB2312" w:eastAsia="仿宋_GB2312"/>
              </w:rPr>
              <w:t>12</w:t>
            </w:r>
          </w:p>
        </w:tc>
        <w:tc>
          <w:tcPr>
            <w:tcW w:type="dxa" w:w="2076"/>
          </w:tcPr>
          <w:p>
            <w:pPr>
              <w:pStyle w:val="null3"/>
              <w:jc w:val="left"/>
            </w:pPr>
            <w:r>
              <w:rPr>
                <w:rFonts w:ascii="仿宋_GB2312" w:hAnsi="仿宋_GB2312" w:cs="仿宋_GB2312" w:eastAsia="仿宋_GB2312"/>
              </w:rPr>
              <w:t>紫花风铃木</w:t>
            </w:r>
          </w:p>
        </w:tc>
        <w:tc>
          <w:tcPr>
            <w:tcW w:type="dxa" w:w="2076"/>
          </w:tcPr>
          <w:p>
            <w:pPr>
              <w:pStyle w:val="null3"/>
              <w:jc w:val="left"/>
            </w:pPr>
            <w:r>
              <w:rPr>
                <w:rFonts w:ascii="仿宋_GB2312" w:hAnsi="仿宋_GB2312" w:cs="仿宋_GB2312" w:eastAsia="仿宋_GB2312"/>
              </w:rPr>
              <w:t>详见竞争性磋商文件“第三章采购内容及要求”</w:t>
            </w:r>
          </w:p>
        </w:tc>
        <w:tc>
          <w:tcPr>
            <w:tcW w:type="dxa" w:w="415"/>
          </w:tcPr>
          <w:p>
            <w:pPr>
              <w:pStyle w:val="null3"/>
              <w:jc w:val="left"/>
            </w:pPr>
            <w:r>
              <w:rPr>
                <w:rFonts w:ascii="仿宋_GB2312" w:hAnsi="仿宋_GB2312" w:cs="仿宋_GB2312" w:eastAsia="仿宋_GB2312"/>
              </w:rPr>
              <w:t>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详见竞争性磋商文件“第三章采购内容及要求”</w:t>
            </w:r>
          </w:p>
        </w:tc>
      </w:tr>
      <w:tr>
        <w:tc>
          <w:tcPr>
            <w:tcW w:type="dxa" w:w="415"/>
          </w:tcPr>
          <w:p>
            <w:pPr>
              <w:pStyle w:val="null3"/>
              <w:jc w:val="left"/>
            </w:pPr>
            <w:r>
              <w:rPr>
                <w:rFonts w:ascii="仿宋_GB2312" w:hAnsi="仿宋_GB2312" w:cs="仿宋_GB2312" w:eastAsia="仿宋_GB2312"/>
              </w:rPr>
              <w:t>13</w:t>
            </w:r>
          </w:p>
        </w:tc>
        <w:tc>
          <w:tcPr>
            <w:tcW w:type="dxa" w:w="2076"/>
          </w:tcPr>
          <w:p>
            <w:pPr>
              <w:pStyle w:val="null3"/>
              <w:jc w:val="left"/>
            </w:pPr>
            <w:r>
              <w:rPr>
                <w:rFonts w:ascii="仿宋_GB2312" w:hAnsi="仿宋_GB2312" w:cs="仿宋_GB2312" w:eastAsia="仿宋_GB2312"/>
              </w:rPr>
              <w:t>落羽杉</w:t>
            </w:r>
          </w:p>
        </w:tc>
        <w:tc>
          <w:tcPr>
            <w:tcW w:type="dxa" w:w="2076"/>
          </w:tcPr>
          <w:p>
            <w:pPr>
              <w:pStyle w:val="null3"/>
              <w:jc w:val="left"/>
            </w:pPr>
            <w:r>
              <w:rPr>
                <w:rFonts w:ascii="仿宋_GB2312" w:hAnsi="仿宋_GB2312" w:cs="仿宋_GB2312" w:eastAsia="仿宋_GB2312"/>
              </w:rPr>
              <w:t>详见竞争性磋商文件“第三章采购内容及要求”</w:t>
            </w:r>
          </w:p>
        </w:tc>
        <w:tc>
          <w:tcPr>
            <w:tcW w:type="dxa" w:w="415"/>
          </w:tcPr>
          <w:p>
            <w:pPr>
              <w:pStyle w:val="null3"/>
              <w:jc w:val="left"/>
            </w:pPr>
            <w:r>
              <w:rPr>
                <w:rFonts w:ascii="仿宋_GB2312" w:hAnsi="仿宋_GB2312" w:cs="仿宋_GB2312" w:eastAsia="仿宋_GB2312"/>
              </w:rPr>
              <w:t>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详见竞争性磋商文件“第三章采购内容及要求”</w:t>
            </w:r>
          </w:p>
        </w:tc>
      </w:tr>
      <w:tr>
        <w:tc>
          <w:tcPr>
            <w:tcW w:type="dxa" w:w="415"/>
          </w:tcPr>
          <w:p>
            <w:pPr>
              <w:pStyle w:val="null3"/>
              <w:jc w:val="left"/>
            </w:pPr>
            <w:r>
              <w:rPr>
                <w:rFonts w:ascii="仿宋_GB2312" w:hAnsi="仿宋_GB2312" w:cs="仿宋_GB2312" w:eastAsia="仿宋_GB2312"/>
              </w:rPr>
              <w:t>14</w:t>
            </w:r>
          </w:p>
        </w:tc>
        <w:tc>
          <w:tcPr>
            <w:tcW w:type="dxa" w:w="2076"/>
          </w:tcPr>
          <w:p>
            <w:pPr>
              <w:pStyle w:val="null3"/>
              <w:jc w:val="left"/>
            </w:pPr>
            <w:r>
              <w:rPr>
                <w:rFonts w:ascii="仿宋_GB2312" w:hAnsi="仿宋_GB2312" w:cs="仿宋_GB2312" w:eastAsia="仿宋_GB2312"/>
              </w:rPr>
              <w:t>银杏</w:t>
            </w:r>
          </w:p>
        </w:tc>
        <w:tc>
          <w:tcPr>
            <w:tcW w:type="dxa" w:w="2076"/>
          </w:tcPr>
          <w:p>
            <w:pPr>
              <w:pStyle w:val="null3"/>
              <w:jc w:val="left"/>
            </w:pPr>
            <w:r>
              <w:rPr>
                <w:rFonts w:ascii="仿宋_GB2312" w:hAnsi="仿宋_GB2312" w:cs="仿宋_GB2312" w:eastAsia="仿宋_GB2312"/>
              </w:rPr>
              <w:t>详见竞争性磋商文件“第三章采购内容及要求”</w:t>
            </w:r>
          </w:p>
        </w:tc>
        <w:tc>
          <w:tcPr>
            <w:tcW w:type="dxa" w:w="415"/>
          </w:tcPr>
          <w:p>
            <w:pPr>
              <w:pStyle w:val="null3"/>
              <w:jc w:val="left"/>
            </w:pPr>
            <w:r>
              <w:rPr>
                <w:rFonts w:ascii="仿宋_GB2312" w:hAnsi="仿宋_GB2312" w:cs="仿宋_GB2312" w:eastAsia="仿宋_GB2312"/>
              </w:rPr>
              <w:t>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详见竞争性磋商文件“第三章采购内容及要求”</w:t>
            </w:r>
          </w:p>
        </w:tc>
      </w:tr>
      <w:tr>
        <w:tc>
          <w:tcPr>
            <w:tcW w:type="dxa" w:w="415"/>
          </w:tcPr>
          <w:p>
            <w:pPr>
              <w:pStyle w:val="null3"/>
              <w:jc w:val="left"/>
            </w:pPr>
            <w:r>
              <w:rPr>
                <w:rFonts w:ascii="仿宋_GB2312" w:hAnsi="仿宋_GB2312" w:cs="仿宋_GB2312" w:eastAsia="仿宋_GB2312"/>
              </w:rPr>
              <w:t>15</w:t>
            </w:r>
          </w:p>
        </w:tc>
        <w:tc>
          <w:tcPr>
            <w:tcW w:type="dxa" w:w="2076"/>
          </w:tcPr>
          <w:p>
            <w:pPr>
              <w:pStyle w:val="null3"/>
              <w:jc w:val="left"/>
            </w:pPr>
            <w:r>
              <w:rPr>
                <w:rFonts w:ascii="仿宋_GB2312" w:hAnsi="仿宋_GB2312" w:cs="仿宋_GB2312" w:eastAsia="仿宋_GB2312"/>
              </w:rPr>
              <w:t>凤凰木</w:t>
            </w:r>
          </w:p>
        </w:tc>
        <w:tc>
          <w:tcPr>
            <w:tcW w:type="dxa" w:w="2076"/>
          </w:tcPr>
          <w:p>
            <w:pPr>
              <w:pStyle w:val="null3"/>
              <w:jc w:val="left"/>
            </w:pPr>
            <w:r>
              <w:rPr>
                <w:rFonts w:ascii="仿宋_GB2312" w:hAnsi="仿宋_GB2312" w:cs="仿宋_GB2312" w:eastAsia="仿宋_GB2312"/>
              </w:rPr>
              <w:t>详见竞争性磋商文件“第三章采购内容及要求”</w:t>
            </w:r>
          </w:p>
        </w:tc>
        <w:tc>
          <w:tcPr>
            <w:tcW w:type="dxa" w:w="415"/>
          </w:tcPr>
          <w:p>
            <w:pPr>
              <w:pStyle w:val="null3"/>
              <w:jc w:val="left"/>
            </w:pPr>
            <w:r>
              <w:rPr>
                <w:rFonts w:ascii="仿宋_GB2312" w:hAnsi="仿宋_GB2312" w:cs="仿宋_GB2312" w:eastAsia="仿宋_GB2312"/>
              </w:rPr>
              <w:t>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详见竞争性磋商文件“第三章采购内容及要求”</w:t>
            </w:r>
          </w:p>
        </w:tc>
      </w:tr>
      <w:tr>
        <w:tc>
          <w:tcPr>
            <w:tcW w:type="dxa" w:w="415"/>
          </w:tcPr>
          <w:p>
            <w:pPr>
              <w:pStyle w:val="null3"/>
              <w:jc w:val="left"/>
            </w:pPr>
            <w:r>
              <w:rPr>
                <w:rFonts w:ascii="仿宋_GB2312" w:hAnsi="仿宋_GB2312" w:cs="仿宋_GB2312" w:eastAsia="仿宋_GB2312"/>
              </w:rPr>
              <w:t>16</w:t>
            </w:r>
          </w:p>
        </w:tc>
        <w:tc>
          <w:tcPr>
            <w:tcW w:type="dxa" w:w="2076"/>
          </w:tcPr>
          <w:p>
            <w:pPr>
              <w:pStyle w:val="null3"/>
              <w:jc w:val="left"/>
            </w:pPr>
            <w:r>
              <w:rPr>
                <w:rFonts w:ascii="仿宋_GB2312" w:hAnsi="仿宋_GB2312" w:cs="仿宋_GB2312" w:eastAsia="仿宋_GB2312"/>
              </w:rPr>
              <w:t>黄连木</w:t>
            </w:r>
          </w:p>
        </w:tc>
        <w:tc>
          <w:tcPr>
            <w:tcW w:type="dxa" w:w="2076"/>
          </w:tcPr>
          <w:p>
            <w:pPr>
              <w:pStyle w:val="null3"/>
              <w:jc w:val="left"/>
            </w:pPr>
            <w:r>
              <w:rPr>
                <w:rFonts w:ascii="仿宋_GB2312" w:hAnsi="仿宋_GB2312" w:cs="仿宋_GB2312" w:eastAsia="仿宋_GB2312"/>
              </w:rPr>
              <w:t>详见竞争性磋商文件“第三章采购内容及要求”</w:t>
            </w:r>
          </w:p>
        </w:tc>
        <w:tc>
          <w:tcPr>
            <w:tcW w:type="dxa" w:w="415"/>
          </w:tcPr>
          <w:p>
            <w:pPr>
              <w:pStyle w:val="null3"/>
              <w:jc w:val="left"/>
            </w:pPr>
            <w:r>
              <w:rPr>
                <w:rFonts w:ascii="仿宋_GB2312" w:hAnsi="仿宋_GB2312" w:cs="仿宋_GB2312" w:eastAsia="仿宋_GB2312"/>
              </w:rPr>
              <w:t>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详见竞争性磋商文件“第三章采购内容及要求”</w:t>
            </w:r>
          </w:p>
        </w:tc>
      </w:tr>
      <w:tr>
        <w:tc>
          <w:tcPr>
            <w:tcW w:type="dxa" w:w="415"/>
          </w:tcPr>
          <w:p>
            <w:pPr>
              <w:pStyle w:val="null3"/>
              <w:jc w:val="left"/>
            </w:pPr>
            <w:r>
              <w:rPr>
                <w:rFonts w:ascii="仿宋_GB2312" w:hAnsi="仿宋_GB2312" w:cs="仿宋_GB2312" w:eastAsia="仿宋_GB2312"/>
              </w:rPr>
              <w:t>17</w:t>
            </w:r>
          </w:p>
        </w:tc>
        <w:tc>
          <w:tcPr>
            <w:tcW w:type="dxa" w:w="2076"/>
          </w:tcPr>
          <w:p>
            <w:pPr>
              <w:pStyle w:val="null3"/>
              <w:jc w:val="left"/>
            </w:pPr>
            <w:r>
              <w:rPr>
                <w:rFonts w:ascii="仿宋_GB2312" w:hAnsi="仿宋_GB2312" w:cs="仿宋_GB2312" w:eastAsia="仿宋_GB2312"/>
              </w:rPr>
              <w:t>毛杜鹃</w:t>
            </w:r>
          </w:p>
        </w:tc>
        <w:tc>
          <w:tcPr>
            <w:tcW w:type="dxa" w:w="2076"/>
          </w:tcPr>
          <w:p>
            <w:pPr>
              <w:pStyle w:val="null3"/>
              <w:jc w:val="left"/>
            </w:pPr>
            <w:r>
              <w:rPr>
                <w:rFonts w:ascii="仿宋_GB2312" w:hAnsi="仿宋_GB2312" w:cs="仿宋_GB2312" w:eastAsia="仿宋_GB2312"/>
              </w:rPr>
              <w:t>详见竞争性磋商文件“第三章采购内容及要求”</w:t>
            </w:r>
          </w:p>
        </w:tc>
        <w:tc>
          <w:tcPr>
            <w:tcW w:type="dxa" w:w="415"/>
          </w:tcPr>
          <w:p>
            <w:pPr>
              <w:pStyle w:val="null3"/>
              <w:jc w:val="left"/>
            </w:pPr>
            <w:r>
              <w:rPr>
                <w:rFonts w:ascii="仿宋_GB2312" w:hAnsi="仿宋_GB2312" w:cs="仿宋_GB2312" w:eastAsia="仿宋_GB2312"/>
              </w:rPr>
              <w:t>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详见竞争性磋商文件“第三章采购内容及要求”</w:t>
            </w:r>
          </w:p>
        </w:tc>
      </w:tr>
      <w:tr>
        <w:tc>
          <w:tcPr>
            <w:tcW w:type="dxa" w:w="415"/>
          </w:tcPr>
          <w:p>
            <w:pPr>
              <w:pStyle w:val="null3"/>
              <w:jc w:val="left"/>
            </w:pPr>
            <w:r>
              <w:rPr>
                <w:rFonts w:ascii="仿宋_GB2312" w:hAnsi="仿宋_GB2312" w:cs="仿宋_GB2312" w:eastAsia="仿宋_GB2312"/>
              </w:rPr>
              <w:t>18</w:t>
            </w:r>
          </w:p>
        </w:tc>
        <w:tc>
          <w:tcPr>
            <w:tcW w:type="dxa" w:w="2076"/>
          </w:tcPr>
          <w:p>
            <w:pPr>
              <w:pStyle w:val="null3"/>
              <w:jc w:val="left"/>
            </w:pPr>
            <w:r>
              <w:rPr>
                <w:rFonts w:ascii="仿宋_GB2312" w:hAnsi="仿宋_GB2312" w:cs="仿宋_GB2312" w:eastAsia="仿宋_GB2312"/>
              </w:rPr>
              <w:t>绣球花</w:t>
            </w:r>
          </w:p>
        </w:tc>
        <w:tc>
          <w:tcPr>
            <w:tcW w:type="dxa" w:w="2076"/>
          </w:tcPr>
          <w:p>
            <w:pPr>
              <w:pStyle w:val="null3"/>
              <w:jc w:val="left"/>
            </w:pPr>
            <w:r>
              <w:rPr>
                <w:rFonts w:ascii="仿宋_GB2312" w:hAnsi="仿宋_GB2312" w:cs="仿宋_GB2312" w:eastAsia="仿宋_GB2312"/>
              </w:rPr>
              <w:t>详见竞争性磋商文件“第三章采购内容及要求”</w:t>
            </w:r>
          </w:p>
        </w:tc>
        <w:tc>
          <w:tcPr>
            <w:tcW w:type="dxa" w:w="415"/>
          </w:tcPr>
          <w:p>
            <w:pPr>
              <w:pStyle w:val="null3"/>
              <w:jc w:val="left"/>
            </w:pPr>
            <w:r>
              <w:rPr>
                <w:rFonts w:ascii="仿宋_GB2312" w:hAnsi="仿宋_GB2312" w:cs="仿宋_GB2312" w:eastAsia="仿宋_GB2312"/>
              </w:rPr>
              <w:t>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详见竞争性磋商文件“第三章采购内容及要求”</w:t>
            </w:r>
          </w:p>
        </w:tc>
      </w:tr>
      <w:tr>
        <w:tc>
          <w:tcPr>
            <w:tcW w:type="dxa" w:w="415"/>
          </w:tcPr>
          <w:p>
            <w:pPr>
              <w:pStyle w:val="null3"/>
              <w:jc w:val="left"/>
            </w:pPr>
            <w:r>
              <w:rPr>
                <w:rFonts w:ascii="仿宋_GB2312" w:hAnsi="仿宋_GB2312" w:cs="仿宋_GB2312" w:eastAsia="仿宋_GB2312"/>
              </w:rPr>
              <w:t>19</w:t>
            </w:r>
          </w:p>
        </w:tc>
        <w:tc>
          <w:tcPr>
            <w:tcW w:type="dxa" w:w="2076"/>
          </w:tcPr>
          <w:p>
            <w:pPr>
              <w:pStyle w:val="null3"/>
              <w:jc w:val="left"/>
            </w:pPr>
            <w:r>
              <w:rPr>
                <w:rFonts w:ascii="仿宋_GB2312" w:hAnsi="仿宋_GB2312" w:cs="仿宋_GB2312" w:eastAsia="仿宋_GB2312"/>
              </w:rPr>
              <w:t>三角梅</w:t>
            </w:r>
          </w:p>
        </w:tc>
        <w:tc>
          <w:tcPr>
            <w:tcW w:type="dxa" w:w="2076"/>
          </w:tcPr>
          <w:p>
            <w:pPr>
              <w:pStyle w:val="null3"/>
              <w:jc w:val="left"/>
            </w:pPr>
            <w:r>
              <w:rPr>
                <w:rFonts w:ascii="仿宋_GB2312" w:hAnsi="仿宋_GB2312" w:cs="仿宋_GB2312" w:eastAsia="仿宋_GB2312"/>
              </w:rPr>
              <w:t>详见竞争性磋商文件“第三章采购内容及要求”</w:t>
            </w:r>
          </w:p>
        </w:tc>
        <w:tc>
          <w:tcPr>
            <w:tcW w:type="dxa" w:w="415"/>
          </w:tcPr>
          <w:p>
            <w:pPr>
              <w:pStyle w:val="null3"/>
              <w:jc w:val="left"/>
            </w:pPr>
            <w:r>
              <w:rPr>
                <w:rFonts w:ascii="仿宋_GB2312" w:hAnsi="仿宋_GB2312" w:cs="仿宋_GB2312" w:eastAsia="仿宋_GB2312"/>
              </w:rPr>
              <w:t>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详见竞争性磋商文件“第三章采购内容及要求”</w:t>
            </w:r>
          </w:p>
        </w:tc>
      </w:tr>
      <w:tr>
        <w:tc>
          <w:tcPr>
            <w:tcW w:type="dxa" w:w="415"/>
          </w:tcPr>
          <w:p>
            <w:pPr>
              <w:pStyle w:val="null3"/>
              <w:jc w:val="left"/>
            </w:pPr>
            <w:r>
              <w:rPr>
                <w:rFonts w:ascii="仿宋_GB2312" w:hAnsi="仿宋_GB2312" w:cs="仿宋_GB2312" w:eastAsia="仿宋_GB2312"/>
              </w:rPr>
              <w:t>20</w:t>
            </w:r>
          </w:p>
        </w:tc>
        <w:tc>
          <w:tcPr>
            <w:tcW w:type="dxa" w:w="2076"/>
          </w:tcPr>
          <w:p>
            <w:pPr>
              <w:pStyle w:val="null3"/>
              <w:jc w:val="left"/>
            </w:pPr>
            <w:r>
              <w:rPr>
                <w:rFonts w:ascii="仿宋_GB2312" w:hAnsi="仿宋_GB2312" w:cs="仿宋_GB2312" w:eastAsia="仿宋_GB2312"/>
              </w:rPr>
              <w:t>鼠尾草</w:t>
            </w:r>
          </w:p>
        </w:tc>
        <w:tc>
          <w:tcPr>
            <w:tcW w:type="dxa" w:w="2076"/>
          </w:tcPr>
          <w:p>
            <w:pPr>
              <w:pStyle w:val="null3"/>
              <w:jc w:val="left"/>
            </w:pPr>
            <w:r>
              <w:rPr>
                <w:rFonts w:ascii="仿宋_GB2312" w:hAnsi="仿宋_GB2312" w:cs="仿宋_GB2312" w:eastAsia="仿宋_GB2312"/>
              </w:rPr>
              <w:t>详见竞争性磋商文件“第三章采购内容及要求”</w:t>
            </w:r>
          </w:p>
        </w:tc>
        <w:tc>
          <w:tcPr>
            <w:tcW w:type="dxa" w:w="415"/>
          </w:tcPr>
          <w:p>
            <w:pPr>
              <w:pStyle w:val="null3"/>
              <w:jc w:val="left"/>
            </w:pPr>
            <w:r>
              <w:rPr>
                <w:rFonts w:ascii="仿宋_GB2312" w:hAnsi="仿宋_GB2312" w:cs="仿宋_GB2312" w:eastAsia="仿宋_GB2312"/>
              </w:rPr>
              <w:t>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详见竞争性磋商文件“第三章采购内容及要求”</w:t>
            </w:r>
          </w:p>
        </w:tc>
      </w:tr>
      <w:tr>
        <w:tc>
          <w:tcPr>
            <w:tcW w:type="dxa" w:w="415"/>
          </w:tcPr>
          <w:p>
            <w:pPr>
              <w:pStyle w:val="null3"/>
              <w:jc w:val="left"/>
            </w:pPr>
            <w:r>
              <w:rPr>
                <w:rFonts w:ascii="仿宋_GB2312" w:hAnsi="仿宋_GB2312" w:cs="仿宋_GB2312" w:eastAsia="仿宋_GB2312"/>
              </w:rPr>
              <w:t>21</w:t>
            </w:r>
          </w:p>
        </w:tc>
        <w:tc>
          <w:tcPr>
            <w:tcW w:type="dxa" w:w="2076"/>
          </w:tcPr>
          <w:p>
            <w:pPr>
              <w:pStyle w:val="null3"/>
              <w:jc w:val="left"/>
            </w:pPr>
            <w:r>
              <w:rPr>
                <w:rFonts w:ascii="仿宋_GB2312" w:hAnsi="仿宋_GB2312" w:cs="仿宋_GB2312" w:eastAsia="仿宋_GB2312"/>
              </w:rPr>
              <w:t>狼牙草</w:t>
            </w:r>
          </w:p>
        </w:tc>
        <w:tc>
          <w:tcPr>
            <w:tcW w:type="dxa" w:w="2076"/>
          </w:tcPr>
          <w:p>
            <w:pPr>
              <w:pStyle w:val="null3"/>
              <w:jc w:val="left"/>
            </w:pPr>
            <w:r>
              <w:rPr>
                <w:rFonts w:ascii="仿宋_GB2312" w:hAnsi="仿宋_GB2312" w:cs="仿宋_GB2312" w:eastAsia="仿宋_GB2312"/>
              </w:rPr>
              <w:t>详见竞争性磋商文件“第三章采购内容及要求”</w:t>
            </w:r>
          </w:p>
        </w:tc>
        <w:tc>
          <w:tcPr>
            <w:tcW w:type="dxa" w:w="415"/>
          </w:tcPr>
          <w:p>
            <w:pPr>
              <w:pStyle w:val="null3"/>
              <w:jc w:val="left"/>
            </w:pPr>
            <w:r>
              <w:rPr>
                <w:rFonts w:ascii="仿宋_GB2312" w:hAnsi="仿宋_GB2312" w:cs="仿宋_GB2312" w:eastAsia="仿宋_GB2312"/>
              </w:rPr>
              <w:t>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详见竞争性磋商文件“第三章采购内容及要求”</w:t>
            </w:r>
          </w:p>
        </w:tc>
      </w:tr>
      <w:tr>
        <w:tc>
          <w:tcPr>
            <w:tcW w:type="dxa" w:w="415"/>
          </w:tcPr>
          <w:p>
            <w:pPr>
              <w:pStyle w:val="null3"/>
              <w:jc w:val="left"/>
            </w:pPr>
            <w:r>
              <w:rPr>
                <w:rFonts w:ascii="仿宋_GB2312" w:hAnsi="仿宋_GB2312" w:cs="仿宋_GB2312" w:eastAsia="仿宋_GB2312"/>
              </w:rPr>
              <w:t>22</w:t>
            </w:r>
          </w:p>
        </w:tc>
        <w:tc>
          <w:tcPr>
            <w:tcW w:type="dxa" w:w="2076"/>
          </w:tcPr>
          <w:p>
            <w:pPr>
              <w:pStyle w:val="null3"/>
              <w:jc w:val="left"/>
            </w:pPr>
            <w:r>
              <w:rPr>
                <w:rFonts w:ascii="仿宋_GB2312" w:hAnsi="仿宋_GB2312" w:cs="仿宋_GB2312" w:eastAsia="仿宋_GB2312"/>
              </w:rPr>
              <w:t>翠芦莉</w:t>
            </w:r>
          </w:p>
        </w:tc>
        <w:tc>
          <w:tcPr>
            <w:tcW w:type="dxa" w:w="2076"/>
          </w:tcPr>
          <w:p>
            <w:pPr>
              <w:pStyle w:val="null3"/>
              <w:jc w:val="left"/>
            </w:pPr>
            <w:r>
              <w:rPr>
                <w:rFonts w:ascii="仿宋_GB2312" w:hAnsi="仿宋_GB2312" w:cs="仿宋_GB2312" w:eastAsia="仿宋_GB2312"/>
              </w:rPr>
              <w:t>详见竞争性磋商文件“第三章采购内容及要求”</w:t>
            </w:r>
          </w:p>
        </w:tc>
        <w:tc>
          <w:tcPr>
            <w:tcW w:type="dxa" w:w="415"/>
          </w:tcPr>
          <w:p>
            <w:pPr>
              <w:pStyle w:val="null3"/>
              <w:jc w:val="left"/>
            </w:pPr>
            <w:r>
              <w:rPr>
                <w:rFonts w:ascii="仿宋_GB2312" w:hAnsi="仿宋_GB2312" w:cs="仿宋_GB2312" w:eastAsia="仿宋_GB2312"/>
              </w:rPr>
              <w:t>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详见竞争性磋商文件“第三章采购内容及要求”</w:t>
            </w:r>
          </w:p>
        </w:tc>
      </w:tr>
      <w:tr>
        <w:tc>
          <w:tcPr>
            <w:tcW w:type="dxa" w:w="415"/>
          </w:tcPr>
          <w:p>
            <w:pPr>
              <w:pStyle w:val="null3"/>
              <w:jc w:val="left"/>
            </w:pPr>
            <w:r>
              <w:rPr>
                <w:rFonts w:ascii="仿宋_GB2312" w:hAnsi="仿宋_GB2312" w:cs="仿宋_GB2312" w:eastAsia="仿宋_GB2312"/>
              </w:rPr>
              <w:t>23</w:t>
            </w:r>
          </w:p>
        </w:tc>
        <w:tc>
          <w:tcPr>
            <w:tcW w:type="dxa" w:w="2076"/>
          </w:tcPr>
          <w:p>
            <w:pPr>
              <w:pStyle w:val="null3"/>
              <w:jc w:val="left"/>
            </w:pPr>
            <w:r>
              <w:rPr>
                <w:rFonts w:ascii="仿宋_GB2312" w:hAnsi="仿宋_GB2312" w:cs="仿宋_GB2312" w:eastAsia="仿宋_GB2312"/>
              </w:rPr>
              <w:t>花叶良姜</w:t>
            </w:r>
          </w:p>
        </w:tc>
        <w:tc>
          <w:tcPr>
            <w:tcW w:type="dxa" w:w="2076"/>
          </w:tcPr>
          <w:p>
            <w:pPr>
              <w:pStyle w:val="null3"/>
              <w:jc w:val="left"/>
            </w:pPr>
            <w:r>
              <w:rPr>
                <w:rFonts w:ascii="仿宋_GB2312" w:hAnsi="仿宋_GB2312" w:cs="仿宋_GB2312" w:eastAsia="仿宋_GB2312"/>
              </w:rPr>
              <w:t>详见竞争性磋商文件“第三章采购内容及要求”</w:t>
            </w:r>
          </w:p>
        </w:tc>
        <w:tc>
          <w:tcPr>
            <w:tcW w:type="dxa" w:w="415"/>
          </w:tcPr>
          <w:p>
            <w:pPr>
              <w:pStyle w:val="null3"/>
              <w:jc w:val="left"/>
            </w:pPr>
            <w:r>
              <w:rPr>
                <w:rFonts w:ascii="仿宋_GB2312" w:hAnsi="仿宋_GB2312" w:cs="仿宋_GB2312" w:eastAsia="仿宋_GB2312"/>
              </w:rPr>
              <w:t>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详见竞争性磋商文件“第三章采购内容及要求”</w:t>
            </w:r>
          </w:p>
        </w:tc>
      </w:tr>
      <w:tr>
        <w:tc>
          <w:tcPr>
            <w:tcW w:type="dxa" w:w="415"/>
          </w:tcPr>
          <w:p>
            <w:pPr>
              <w:pStyle w:val="null3"/>
              <w:jc w:val="left"/>
            </w:pPr>
            <w:r>
              <w:rPr>
                <w:rFonts w:ascii="仿宋_GB2312" w:hAnsi="仿宋_GB2312" w:cs="仿宋_GB2312" w:eastAsia="仿宋_GB2312"/>
              </w:rPr>
              <w:t>24</w:t>
            </w:r>
          </w:p>
        </w:tc>
        <w:tc>
          <w:tcPr>
            <w:tcW w:type="dxa" w:w="2076"/>
          </w:tcPr>
          <w:p>
            <w:pPr>
              <w:pStyle w:val="null3"/>
              <w:jc w:val="left"/>
            </w:pPr>
            <w:r>
              <w:rPr>
                <w:rFonts w:ascii="仿宋_GB2312" w:hAnsi="仿宋_GB2312" w:cs="仿宋_GB2312" w:eastAsia="仿宋_GB2312"/>
              </w:rPr>
              <w:t>炮仗花</w:t>
            </w:r>
          </w:p>
        </w:tc>
        <w:tc>
          <w:tcPr>
            <w:tcW w:type="dxa" w:w="2076"/>
          </w:tcPr>
          <w:p>
            <w:pPr>
              <w:pStyle w:val="null3"/>
              <w:jc w:val="left"/>
            </w:pPr>
            <w:r>
              <w:rPr>
                <w:rFonts w:ascii="仿宋_GB2312" w:hAnsi="仿宋_GB2312" w:cs="仿宋_GB2312" w:eastAsia="仿宋_GB2312"/>
              </w:rPr>
              <w:t>详见竞争性磋商文件“第三章采购内容及要求”</w:t>
            </w:r>
          </w:p>
        </w:tc>
        <w:tc>
          <w:tcPr>
            <w:tcW w:type="dxa" w:w="415"/>
          </w:tcPr>
          <w:p>
            <w:pPr>
              <w:pStyle w:val="null3"/>
              <w:jc w:val="left"/>
            </w:pPr>
            <w:r>
              <w:rPr>
                <w:rFonts w:ascii="仿宋_GB2312" w:hAnsi="仿宋_GB2312" w:cs="仿宋_GB2312" w:eastAsia="仿宋_GB2312"/>
              </w:rPr>
              <w:t>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详见竞争性磋商文件“第三章采购内容及要求”</w:t>
            </w:r>
          </w:p>
        </w:tc>
      </w:tr>
      <w:tr>
        <w:tc>
          <w:tcPr>
            <w:tcW w:type="dxa" w:w="415"/>
          </w:tcPr>
          <w:p>
            <w:pPr>
              <w:pStyle w:val="null3"/>
              <w:jc w:val="left"/>
            </w:pPr>
            <w:r>
              <w:rPr>
                <w:rFonts w:ascii="仿宋_GB2312" w:hAnsi="仿宋_GB2312" w:cs="仿宋_GB2312" w:eastAsia="仿宋_GB2312"/>
              </w:rPr>
              <w:t>25</w:t>
            </w:r>
          </w:p>
        </w:tc>
        <w:tc>
          <w:tcPr>
            <w:tcW w:type="dxa" w:w="2076"/>
          </w:tcPr>
          <w:p>
            <w:pPr>
              <w:pStyle w:val="null3"/>
              <w:jc w:val="left"/>
            </w:pPr>
            <w:r>
              <w:rPr>
                <w:rFonts w:ascii="仿宋_GB2312" w:hAnsi="仿宋_GB2312" w:cs="仿宋_GB2312" w:eastAsia="仿宋_GB2312"/>
              </w:rPr>
              <w:t>夹竹桃</w:t>
            </w:r>
          </w:p>
        </w:tc>
        <w:tc>
          <w:tcPr>
            <w:tcW w:type="dxa" w:w="2076"/>
          </w:tcPr>
          <w:p>
            <w:pPr>
              <w:pStyle w:val="null3"/>
              <w:jc w:val="left"/>
            </w:pPr>
            <w:r>
              <w:rPr>
                <w:rFonts w:ascii="仿宋_GB2312" w:hAnsi="仿宋_GB2312" w:cs="仿宋_GB2312" w:eastAsia="仿宋_GB2312"/>
              </w:rPr>
              <w:t>详见竞争性磋商文件“第三章采购内容及要求”</w:t>
            </w:r>
          </w:p>
        </w:tc>
        <w:tc>
          <w:tcPr>
            <w:tcW w:type="dxa" w:w="415"/>
          </w:tcPr>
          <w:p>
            <w:pPr>
              <w:pStyle w:val="null3"/>
              <w:jc w:val="left"/>
            </w:pPr>
            <w:r>
              <w:rPr>
                <w:rFonts w:ascii="仿宋_GB2312" w:hAnsi="仿宋_GB2312" w:cs="仿宋_GB2312" w:eastAsia="仿宋_GB2312"/>
              </w:rPr>
              <w:t>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详见竞争性磋商文件“第三章采购内容及要求”</w:t>
            </w:r>
          </w:p>
        </w:tc>
      </w:tr>
      <w:tr>
        <w:tc>
          <w:tcPr>
            <w:tcW w:type="dxa" w:w="415"/>
          </w:tcPr>
          <w:p>
            <w:pPr>
              <w:pStyle w:val="null3"/>
              <w:jc w:val="left"/>
            </w:pPr>
            <w:r>
              <w:rPr>
                <w:rFonts w:ascii="仿宋_GB2312" w:hAnsi="仿宋_GB2312" w:cs="仿宋_GB2312" w:eastAsia="仿宋_GB2312"/>
              </w:rPr>
              <w:t>26</w:t>
            </w:r>
          </w:p>
        </w:tc>
        <w:tc>
          <w:tcPr>
            <w:tcW w:type="dxa" w:w="2076"/>
          </w:tcPr>
          <w:p>
            <w:pPr>
              <w:pStyle w:val="null3"/>
              <w:jc w:val="left"/>
            </w:pPr>
            <w:r>
              <w:rPr>
                <w:rFonts w:ascii="仿宋_GB2312" w:hAnsi="仿宋_GB2312" w:cs="仿宋_GB2312" w:eastAsia="仿宋_GB2312"/>
              </w:rPr>
              <w:t>木麻黄</w:t>
            </w:r>
          </w:p>
        </w:tc>
        <w:tc>
          <w:tcPr>
            <w:tcW w:type="dxa" w:w="2076"/>
          </w:tcPr>
          <w:p>
            <w:pPr>
              <w:pStyle w:val="null3"/>
              <w:jc w:val="left"/>
            </w:pPr>
            <w:r>
              <w:rPr>
                <w:rFonts w:ascii="仿宋_GB2312" w:hAnsi="仿宋_GB2312" w:cs="仿宋_GB2312" w:eastAsia="仿宋_GB2312"/>
              </w:rPr>
              <w:t>详见竞争性磋商文件“第三章采购内容及要求”</w:t>
            </w:r>
          </w:p>
        </w:tc>
        <w:tc>
          <w:tcPr>
            <w:tcW w:type="dxa" w:w="415"/>
          </w:tcPr>
          <w:p>
            <w:pPr>
              <w:pStyle w:val="null3"/>
              <w:jc w:val="left"/>
            </w:pPr>
            <w:r>
              <w:rPr>
                <w:rFonts w:ascii="仿宋_GB2312" w:hAnsi="仿宋_GB2312" w:cs="仿宋_GB2312" w:eastAsia="仿宋_GB2312"/>
              </w:rPr>
              <w:t>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详见竞争性磋商文件“第三章采购内容及要求”</w:t>
            </w:r>
          </w:p>
        </w:tc>
      </w:tr>
      <w:tr>
        <w:tc>
          <w:tcPr>
            <w:tcW w:type="dxa" w:w="415"/>
          </w:tcPr>
          <w:p>
            <w:pPr>
              <w:pStyle w:val="null3"/>
              <w:jc w:val="left"/>
            </w:pPr>
            <w:r>
              <w:rPr>
                <w:rFonts w:ascii="仿宋_GB2312" w:hAnsi="仿宋_GB2312" w:cs="仿宋_GB2312" w:eastAsia="仿宋_GB2312"/>
              </w:rPr>
              <w:t>27</w:t>
            </w:r>
          </w:p>
        </w:tc>
        <w:tc>
          <w:tcPr>
            <w:tcW w:type="dxa" w:w="2076"/>
          </w:tcPr>
          <w:p>
            <w:pPr>
              <w:pStyle w:val="null3"/>
              <w:jc w:val="left"/>
            </w:pPr>
            <w:r>
              <w:rPr>
                <w:rFonts w:ascii="仿宋_GB2312" w:hAnsi="仿宋_GB2312" w:cs="仿宋_GB2312" w:eastAsia="仿宋_GB2312"/>
              </w:rPr>
              <w:t>黑麦草</w:t>
            </w:r>
          </w:p>
        </w:tc>
        <w:tc>
          <w:tcPr>
            <w:tcW w:type="dxa" w:w="2076"/>
          </w:tcPr>
          <w:p>
            <w:pPr>
              <w:pStyle w:val="null3"/>
              <w:jc w:val="left"/>
            </w:pPr>
            <w:r>
              <w:rPr>
                <w:rFonts w:ascii="仿宋_GB2312" w:hAnsi="仿宋_GB2312" w:cs="仿宋_GB2312" w:eastAsia="仿宋_GB2312"/>
              </w:rPr>
              <w:t>详见竞争性磋商文件“第三章采购内容及要求”</w:t>
            </w:r>
          </w:p>
        </w:tc>
        <w:tc>
          <w:tcPr>
            <w:tcW w:type="dxa" w:w="415"/>
          </w:tcPr>
          <w:p>
            <w:pPr>
              <w:pStyle w:val="null3"/>
              <w:jc w:val="left"/>
            </w:pPr>
            <w:r>
              <w:rPr>
                <w:rFonts w:ascii="仿宋_GB2312" w:hAnsi="仿宋_GB2312" w:cs="仿宋_GB2312" w:eastAsia="仿宋_GB2312"/>
              </w:rPr>
              <w:t>kg</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详见竞争性磋商文件“第三章采购内容及要求”</w:t>
            </w:r>
          </w:p>
        </w:tc>
      </w:tr>
      <w:tr>
        <w:tc>
          <w:tcPr>
            <w:tcW w:type="dxa" w:w="415"/>
          </w:tcPr>
          <w:p>
            <w:pPr>
              <w:pStyle w:val="null3"/>
              <w:jc w:val="left"/>
            </w:pPr>
            <w:r>
              <w:rPr>
                <w:rFonts w:ascii="仿宋_GB2312" w:hAnsi="仿宋_GB2312" w:cs="仿宋_GB2312" w:eastAsia="仿宋_GB2312"/>
              </w:rPr>
              <w:t>28</w:t>
            </w:r>
          </w:p>
        </w:tc>
        <w:tc>
          <w:tcPr>
            <w:tcW w:type="dxa" w:w="2076"/>
          </w:tcPr>
          <w:p>
            <w:pPr>
              <w:pStyle w:val="null3"/>
              <w:jc w:val="left"/>
            </w:pPr>
            <w:r>
              <w:rPr>
                <w:rFonts w:ascii="仿宋_GB2312" w:hAnsi="仿宋_GB2312" w:cs="仿宋_GB2312" w:eastAsia="仿宋_GB2312"/>
              </w:rPr>
              <w:t>紫云英</w:t>
            </w:r>
          </w:p>
        </w:tc>
        <w:tc>
          <w:tcPr>
            <w:tcW w:type="dxa" w:w="2076"/>
          </w:tcPr>
          <w:p>
            <w:pPr>
              <w:pStyle w:val="null3"/>
              <w:jc w:val="left"/>
            </w:pPr>
            <w:r>
              <w:rPr>
                <w:rFonts w:ascii="仿宋_GB2312" w:hAnsi="仿宋_GB2312" w:cs="仿宋_GB2312" w:eastAsia="仿宋_GB2312"/>
              </w:rPr>
              <w:t>详见竞争性磋商文件“第三章采购内容及要求”</w:t>
            </w:r>
          </w:p>
        </w:tc>
        <w:tc>
          <w:tcPr>
            <w:tcW w:type="dxa" w:w="415"/>
          </w:tcPr>
          <w:p>
            <w:pPr>
              <w:pStyle w:val="null3"/>
              <w:jc w:val="left"/>
            </w:pPr>
            <w:r>
              <w:rPr>
                <w:rFonts w:ascii="仿宋_GB2312" w:hAnsi="仿宋_GB2312" w:cs="仿宋_GB2312" w:eastAsia="仿宋_GB2312"/>
              </w:rPr>
              <w:t>kg</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详见竞争性磋商文件“第三章采购内容及要求”</w:t>
            </w:r>
          </w:p>
        </w:tc>
      </w:tr>
      <w:tr>
        <w:tc>
          <w:tcPr>
            <w:tcW w:type="dxa" w:w="415"/>
          </w:tcPr>
          <w:p>
            <w:pPr>
              <w:pStyle w:val="null3"/>
              <w:jc w:val="left"/>
            </w:pPr>
            <w:r>
              <w:rPr>
                <w:rFonts w:ascii="仿宋_GB2312" w:hAnsi="仿宋_GB2312" w:cs="仿宋_GB2312" w:eastAsia="仿宋_GB2312"/>
              </w:rPr>
              <w:t>29</w:t>
            </w:r>
          </w:p>
        </w:tc>
        <w:tc>
          <w:tcPr>
            <w:tcW w:type="dxa" w:w="2076"/>
          </w:tcPr>
          <w:p>
            <w:pPr>
              <w:pStyle w:val="null3"/>
              <w:jc w:val="left"/>
            </w:pPr>
            <w:r>
              <w:rPr>
                <w:rFonts w:ascii="仿宋_GB2312" w:hAnsi="仿宋_GB2312" w:cs="仿宋_GB2312" w:eastAsia="仿宋_GB2312"/>
              </w:rPr>
              <w:t>金光菊</w:t>
            </w:r>
          </w:p>
        </w:tc>
        <w:tc>
          <w:tcPr>
            <w:tcW w:type="dxa" w:w="2076"/>
          </w:tcPr>
          <w:p>
            <w:pPr>
              <w:pStyle w:val="null3"/>
              <w:jc w:val="left"/>
            </w:pPr>
            <w:r>
              <w:rPr>
                <w:rFonts w:ascii="仿宋_GB2312" w:hAnsi="仿宋_GB2312" w:cs="仿宋_GB2312" w:eastAsia="仿宋_GB2312"/>
              </w:rPr>
              <w:t>详见竞争性磋商文件“第三章采购内容及要求”</w:t>
            </w:r>
          </w:p>
        </w:tc>
        <w:tc>
          <w:tcPr>
            <w:tcW w:type="dxa" w:w="415"/>
          </w:tcPr>
          <w:p>
            <w:pPr>
              <w:pStyle w:val="null3"/>
              <w:jc w:val="left"/>
            </w:pPr>
            <w:r>
              <w:rPr>
                <w:rFonts w:ascii="仿宋_GB2312" w:hAnsi="仿宋_GB2312" w:cs="仿宋_GB2312" w:eastAsia="仿宋_GB2312"/>
              </w:rPr>
              <w:t>kg</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详见竞争性磋商文件“第三章采购内容及要求”</w:t>
            </w:r>
          </w:p>
        </w:tc>
      </w:tr>
      <w:tr>
        <w:tc>
          <w:tcPr>
            <w:tcW w:type="dxa" w:w="415"/>
          </w:tcPr>
          <w:p>
            <w:pPr>
              <w:pStyle w:val="null3"/>
              <w:jc w:val="left"/>
            </w:pPr>
            <w:r>
              <w:rPr>
                <w:rFonts w:ascii="仿宋_GB2312" w:hAnsi="仿宋_GB2312" w:cs="仿宋_GB2312" w:eastAsia="仿宋_GB2312"/>
              </w:rPr>
              <w:t>30</w:t>
            </w:r>
          </w:p>
        </w:tc>
        <w:tc>
          <w:tcPr>
            <w:tcW w:type="dxa" w:w="2076"/>
          </w:tcPr>
          <w:p>
            <w:pPr>
              <w:pStyle w:val="null3"/>
              <w:jc w:val="left"/>
            </w:pPr>
            <w:r>
              <w:rPr>
                <w:rFonts w:ascii="仿宋_GB2312" w:hAnsi="仿宋_GB2312" w:cs="仿宋_GB2312" w:eastAsia="仿宋_GB2312"/>
              </w:rPr>
              <w:t>大滨菊</w:t>
            </w:r>
          </w:p>
        </w:tc>
        <w:tc>
          <w:tcPr>
            <w:tcW w:type="dxa" w:w="2076"/>
          </w:tcPr>
          <w:p>
            <w:pPr>
              <w:pStyle w:val="null3"/>
              <w:jc w:val="left"/>
            </w:pPr>
            <w:r>
              <w:rPr>
                <w:rFonts w:ascii="仿宋_GB2312" w:hAnsi="仿宋_GB2312" w:cs="仿宋_GB2312" w:eastAsia="仿宋_GB2312"/>
              </w:rPr>
              <w:t>详见竞争性磋商文件“第三章采购内容及要求”</w:t>
            </w:r>
          </w:p>
        </w:tc>
        <w:tc>
          <w:tcPr>
            <w:tcW w:type="dxa" w:w="415"/>
          </w:tcPr>
          <w:p>
            <w:pPr>
              <w:pStyle w:val="null3"/>
              <w:jc w:val="left"/>
            </w:pPr>
            <w:r>
              <w:rPr>
                <w:rFonts w:ascii="仿宋_GB2312" w:hAnsi="仿宋_GB2312" w:cs="仿宋_GB2312" w:eastAsia="仿宋_GB2312"/>
              </w:rPr>
              <w:t>kg</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详见竞争性磋商文件“第三章采购内容及要求”</w:t>
            </w:r>
          </w:p>
        </w:tc>
      </w:tr>
      <w:tr>
        <w:tc>
          <w:tcPr>
            <w:tcW w:type="dxa" w:w="415"/>
          </w:tcPr>
          <w:p>
            <w:pPr>
              <w:pStyle w:val="null3"/>
              <w:jc w:val="left"/>
            </w:pPr>
            <w:r>
              <w:rPr>
                <w:rFonts w:ascii="仿宋_GB2312" w:hAnsi="仿宋_GB2312" w:cs="仿宋_GB2312" w:eastAsia="仿宋_GB2312"/>
              </w:rPr>
              <w:t>31</w:t>
            </w:r>
          </w:p>
        </w:tc>
        <w:tc>
          <w:tcPr>
            <w:tcW w:type="dxa" w:w="2076"/>
          </w:tcPr>
          <w:p>
            <w:pPr>
              <w:pStyle w:val="null3"/>
              <w:jc w:val="left"/>
            </w:pPr>
            <w:r>
              <w:rPr>
                <w:rFonts w:ascii="仿宋_GB2312" w:hAnsi="仿宋_GB2312" w:cs="仿宋_GB2312" w:eastAsia="仿宋_GB2312"/>
              </w:rPr>
              <w:t>泡桐</w:t>
            </w:r>
          </w:p>
        </w:tc>
        <w:tc>
          <w:tcPr>
            <w:tcW w:type="dxa" w:w="2076"/>
          </w:tcPr>
          <w:p>
            <w:pPr>
              <w:pStyle w:val="null3"/>
              <w:jc w:val="left"/>
            </w:pPr>
            <w:r>
              <w:rPr>
                <w:rFonts w:ascii="仿宋_GB2312" w:hAnsi="仿宋_GB2312" w:cs="仿宋_GB2312" w:eastAsia="仿宋_GB2312"/>
              </w:rPr>
              <w:t>详见竞争性磋商文件“第三章采购内容及要求”</w:t>
            </w:r>
          </w:p>
        </w:tc>
        <w:tc>
          <w:tcPr>
            <w:tcW w:type="dxa" w:w="415"/>
          </w:tcPr>
          <w:p>
            <w:pPr>
              <w:pStyle w:val="null3"/>
              <w:jc w:val="left"/>
            </w:pPr>
            <w:r>
              <w:rPr>
                <w:rFonts w:ascii="仿宋_GB2312" w:hAnsi="仿宋_GB2312" w:cs="仿宋_GB2312" w:eastAsia="仿宋_GB2312"/>
              </w:rPr>
              <w:t>kg</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详见竞争性磋商文件“第三章采购内容及要求”</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①本采购包属于专门面向中小企业采购，供应商应按磋商文件第五章格式在响应文件中提供“中小企业声明函 （货物） ”，其中“磋商文件中明确的所属行业”应填写“农、林、牧、渔业”。 ②监狱企业、残疾人福利性单位视同小型、微型企业。</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晋江市林业和园林绿化局</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晋江市新华街180号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362200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颜工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0595-82021981</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福建带路建设项目咨询有限公司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福建省晋江市迎宾路572号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362200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翁工/林工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0595-82952929</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福建带路建设项目咨询有限公司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①本采购包属于专门面向中小企业采购，供应商应按磋商文件第五章格式在响应文件中提供“中小企业声明函 （货物） ”，其中“磋商文件中明确的所属行业”应填写“农、林、牧、渔业”。 ②监狱企业、残疾人福利性单位视同小型、微型企业。</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晋江市财政局政府采购监督管理办公室</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代理服务费收费标准：以成交金额按差额定率累进法计算：100万元以下按1.5%；100万元-500万元按1.1%。成交人应在成交公告发布的七个工作日内向采购代理机构支付代理服务费。</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①各潜在供应商（须为有能力提供本采购项目全部服务内容的供应商）如需对本项目提出质疑，质疑函的格式应当参照中国政府采购网（www.ccgp.gov.cn）提供的质疑函范本，按照竞争性磋商文件中关于质疑函的约定（针对同一采购程序环节的质疑应当在法定质疑期内一次性提出），将符合要求的质疑函，以书面形式（不接受邮寄或邮箱）现场提交至福建省晋江市迎宾路572号（联系人：翁工/林工；联系电话：0595-82952929），否则福建带路建设项目咨询有限公司将不予受理。②“远程不见面开标”注意事项：a.本项目可采用“远程不见面开标”，供应商可不前往开标现场，但应确保自身设施、设备、网络环境状况良好，在开标时自行登录采购系统，线上观看开标流程，并按规定在开标时段对首次响应文件进行远程解密、远程签章。供应商因自身原因造成无法正常观看开标流程、远程解密或签章的，后果由供应商自行承担；b.在规定的时间内正确提交电子首次响应文件的供应商在开标时将由系统判定签到情况，具体信息以福建省政府采购网上公开信息系统所示为准；c.供应商应在远程解密开启后15分钟内使用CA数字证书进行首次响应文件的解密操作，逾期未解密的视为放弃磋商；d.供应商可对开标结果进行签章，并在远程签章开放后5分钟内完成，逾期未签章的视为认同开标结果；e.远程解密及远程签章的开放起始时间均在开标过程中临时开启，请供应商务必密切关注实时开标流程，并根据流程在系统内按时操作，否则产生的后果由供应商自行承担；f.开、评标期间，供应商代表应保证采购系统中预留的联系方式畅通（如招标代理拨打2次电话供应商代表均未接听的，视同招标代理已通知到位，供应商代表未能在磋商小组设定的澄清时限内作出澄清的，视为供应商放弃澄清，产生不利后果由供应商承担责任）以便随时接收并答复磋商小组发起的澄清等事项，具体操作过程请下载供应商操作手册查看。③磋商时，本项目不要求供应商递交磋商保证金；但供应商出现法律法规或磋商文件中规定的磋商保证金不予退还情形的，供应商应按本项目预算金额的2%向采购人足额补缴磋商保证金并依法承担违约责任。 ④关于最后报价的补充约定：所有实质性响应合格的供应商应在磋商小组规定的时间内提交最后报价，且最后报价应低于或等于双方同意的磋商价格，否则视同为该供应商未按规定提交最后报价，该供应商将被退出本项目磋商，其提交的响应文件和报价将被否决。供应商的上述行为后果由供应商自行承担且不影响磋商小组依法开展后续相应竞争性磋商活动。 ⑤本项目按照评审因素的量化指标综合评审总得分从高到低顺序推荐3名成交候选人，本磋商文件其他与本条款冲突的，以本条款为准。⑥供应商按第五章 首次响应文件格式“附件3-4-1提供“福建省政府采购供应商资格承诺函”的：前附表第1项“（1）资格证明文件资料要求”中除“3.营业执照等证明文件”和“4.提供财务状况报告（财务报告、或资信证明）”、“5.依法缴纳税收证明材料”、“6.依法缴纳社会保障资金证明材料”、“7.具备履行合同所必需设备和专业技术能力的声明函(若有)”、“8.参加采购活动前三年内在经营活动中没有重大违法记录的声明”以外的其他内容以及“（2）特定资格条件”中除“资格承诺函”外的其他内容，仍应按竞争性磋商文件要求提供相关证明材料。 ⑦首次响应文件递交截止时间(不含当日)前三年内供应商存在单位名称变更情形的，前附表第1项“(1)资格证明文件资料要求”中“8.参加采购活动前三年内在经营活动中没有重大违法记录的声明”和“10.信用记录查询结果”所指的重大违法记录/信用记录均包含供应商单位名称变更前的记录，请供应商根据实际情况如实提交资格证明材料，否则视为提供虚假材料。⑧本项目所涉及的“上一年度的年度财务报告”可提供2023年度财务报告或2024年度财务报告。⑨政府采购评审中出现《财政部关于印发关于在相关自由贸易试验区和自由贸易港开展推动解决政府采购异常低价问题试点工作的通知》(财办库(2024)265号)中启动异常低价投标(响应)审查程序情形的，相关供应商须在磋商小组规定的时间内提供书面说明及必要的证明材料，对投标(响应)价格作出解释。书面说明、证明材料主要是项目具体成本测算等与报价合理性相关的说明、材料。如果投标(响应)供应商不提供书面说明、证明材料，或者提供的书面说明、证明材料不能证明其报价合理性的，将作为无效投标(响应)处理。</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自成交通知书发出之日起20个日历日内。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无</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a.供应商存在（3）⑪a.所规定的a1、a2、a3这三种情形之一的，除其响应无效外，还将被视为供应商串通响应，采购人、采购代理机构将书面报告本级财政部门，本级财政部门将组织开展调查，并依法追究相应的法律责任。 b.若发现供应商存在上传的电子响应文件出现使用本项目其他供应商的数字证书加密或加盖本项目的其他供应商的电子印章情形的，除其响应无效外，视为供应商串通响应，采购人、采购代理机构将书面报告本级财政部门，本级财政部门将组织开展调查，并依法追究相应的法律责任。</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满分为30.0000分</w:t>
      </w:r>
    </w:p>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left"/>
      </w:pPr>
      <w:r>
        <w:rPr>
          <w:rFonts w:ascii="仿宋_GB2312" w:hAnsi="仿宋_GB2312" w:cs="仿宋_GB2312" w:eastAsia="仿宋_GB2312"/>
        </w:rPr>
        <w:t>技术部分评分PT 满分为55.0000分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3"/>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1、基本技术响应情况</w:t>
            </w:r>
          </w:p>
        </w:tc>
        <w:tc>
          <w:tcPr>
            <w:tcW w:type="dxa" w:w="831"/>
          </w:tcPr>
          <w:p>
            <w:pPr>
              <w:pStyle w:val="null3"/>
              <w:jc w:val="right"/>
            </w:pPr>
            <w:r>
              <w:rPr>
                <w:rFonts w:ascii="仿宋_GB2312" w:hAnsi="仿宋_GB2312" w:cs="仿宋_GB2312" w:eastAsia="仿宋_GB2312"/>
              </w:rPr>
              <w:t>9.00</w:t>
            </w:r>
          </w:p>
        </w:tc>
        <w:tc>
          <w:tcPr>
            <w:tcW w:type="dxa" w:w="4153"/>
          </w:tcPr>
          <w:p>
            <w:pPr>
              <w:pStyle w:val="null3"/>
              <w:jc w:val="left"/>
            </w:pPr>
            <w:r>
              <w:rPr>
                <w:rFonts w:ascii="仿宋_GB2312" w:hAnsi="仿宋_GB2312" w:cs="仿宋_GB2312" w:eastAsia="仿宋_GB2312"/>
              </w:rPr>
              <w:t>1.1供应商提供的“技术和服务要求响应表”对磋商文件第三章“二、技术要求”中“（二）苗木规格指标”6项内容均响应为无偏离或正偏离得9分，任意一项中存在负偏离的，每项扣1.5分（如果供应商在响应文件中没有以书面方式对上述内容提出不满足或不响应或负偏离，则视为供应商能够完全理解并满足上述内容规定的各相关条款要求，按无偏离处理；响应为正偏离的，须提供相关说明或证明材料，否则按负偏离处理；若存在负偏离却响应为无偏离或正偏离的，按负偏离处理）。</w:t>
            </w:r>
          </w:p>
        </w:tc>
      </w:tr>
      <w:tr>
        <w:tc>
          <w:tcPr>
            <w:tcW w:type="dxa" w:w="3322"/>
          </w:tcPr>
          <w:p>
            <w:pPr>
              <w:pStyle w:val="null3"/>
              <w:jc w:val="left"/>
            </w:pPr>
            <w:r>
              <w:rPr>
                <w:rFonts w:ascii="仿宋_GB2312" w:hAnsi="仿宋_GB2312" w:cs="仿宋_GB2312" w:eastAsia="仿宋_GB2312"/>
              </w:rPr>
              <w:t>1、基本技术响应情况</w:t>
            </w:r>
          </w:p>
        </w:tc>
        <w:tc>
          <w:tcPr>
            <w:tcW w:type="dxa" w:w="831"/>
          </w:tcPr>
          <w:p>
            <w:pPr>
              <w:pStyle w:val="null3"/>
              <w:jc w:val="right"/>
            </w:pPr>
            <w:r>
              <w:rPr>
                <w:rFonts w:ascii="仿宋_GB2312" w:hAnsi="仿宋_GB2312" w:cs="仿宋_GB2312" w:eastAsia="仿宋_GB2312"/>
              </w:rPr>
              <w:t>7.00</w:t>
            </w:r>
          </w:p>
        </w:tc>
        <w:tc>
          <w:tcPr>
            <w:tcW w:type="dxa" w:w="4153"/>
          </w:tcPr>
          <w:p>
            <w:pPr>
              <w:pStyle w:val="null3"/>
              <w:jc w:val="left"/>
            </w:pPr>
            <w:r>
              <w:rPr>
                <w:rFonts w:ascii="仿宋_GB2312" w:hAnsi="仿宋_GB2312" w:cs="仿宋_GB2312" w:eastAsia="仿宋_GB2312"/>
              </w:rPr>
              <w:t>1.2供应商提供的“技术和服务要求响应表”对磋商文件第三章“二、技术要求”中“（三）质量要求”2项内容均响应为无偏离或正偏离得7分，任意一项中存在负偏离的，每项扣3.5分（如果供应商在响应文件中没有以书面方式对上述内容提出不满足或不响应或负偏离，则视为供应商能够完全理解并满足上述内容规定的各相关条款要求，按无偏离处理；响应为正偏离的，须提供相关说明或证明材料，否则按负偏离处理；若存在负偏离却响应为无偏离或正偏离的，按负偏离处理）。</w:t>
            </w:r>
          </w:p>
        </w:tc>
      </w:tr>
      <w:tr>
        <w:tc>
          <w:tcPr>
            <w:tcW w:type="dxa" w:w="3322"/>
          </w:tcPr>
          <w:p>
            <w:pPr>
              <w:pStyle w:val="null3"/>
              <w:jc w:val="left"/>
            </w:pPr>
            <w:r>
              <w:rPr>
                <w:rFonts w:ascii="仿宋_GB2312" w:hAnsi="仿宋_GB2312" w:cs="仿宋_GB2312" w:eastAsia="仿宋_GB2312"/>
              </w:rPr>
              <w:t>1、基本技术响应情况</w:t>
            </w:r>
          </w:p>
        </w:tc>
        <w:tc>
          <w:tcPr>
            <w:tcW w:type="dxa" w:w="831"/>
          </w:tcPr>
          <w:p>
            <w:pPr>
              <w:pStyle w:val="null3"/>
              <w:jc w:val="right"/>
            </w:pPr>
            <w:r>
              <w:rPr>
                <w:rFonts w:ascii="仿宋_GB2312" w:hAnsi="仿宋_GB2312" w:cs="仿宋_GB2312" w:eastAsia="仿宋_GB2312"/>
              </w:rPr>
              <w:t>12.00</w:t>
            </w:r>
          </w:p>
        </w:tc>
        <w:tc>
          <w:tcPr>
            <w:tcW w:type="dxa" w:w="4153"/>
          </w:tcPr>
          <w:p>
            <w:pPr>
              <w:pStyle w:val="null3"/>
              <w:jc w:val="left"/>
            </w:pPr>
            <w:r>
              <w:rPr>
                <w:rFonts w:ascii="仿宋_GB2312" w:hAnsi="仿宋_GB2312" w:cs="仿宋_GB2312" w:eastAsia="仿宋_GB2312"/>
              </w:rPr>
              <w:t>1.3供应商提供的“技术和服务要求响应表”对磋商文件第三章“二、技术要求”中“（四）其他要求”4项内容均响应为无偏离或正偏离得12分，任意一项中存在负偏离的，每项扣3分（如果供应商在响应文件中没有以书面方式对上述内容提出不满足或不响应或负偏离，则视为供应商能够完全理解并满足上述内容规定的各相关条款要求，按无偏离处理；响应为正偏离的，须提供相关说明或证明材料，否则按负偏离处理；若存在负偏离却响应为无偏离或正偏离的，按负偏离处理）。</w:t>
            </w:r>
          </w:p>
        </w:tc>
      </w:tr>
      <w:tr>
        <w:tc>
          <w:tcPr>
            <w:tcW w:type="dxa" w:w="3322"/>
          </w:tcPr>
          <w:p>
            <w:pPr>
              <w:pStyle w:val="null3"/>
              <w:jc w:val="left"/>
            </w:pPr>
            <w:r>
              <w:rPr>
                <w:rFonts w:ascii="仿宋_GB2312" w:hAnsi="仿宋_GB2312" w:cs="仿宋_GB2312" w:eastAsia="仿宋_GB2312"/>
              </w:rPr>
              <w:t>2、紧急供苗方案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2.根据供应商针对本项目提供的紧急供苗方案（包括但不限于：响应速度、人员安排、车辆故障导致无法按时供苗或供苗过程发生意外等突发性事件）由评委进行评审： ①方案至少涵盖以上所列内容且全面详实，适用性和可操作性强的得3分； ②方案涵盖以上所列内容、基本可行，满足项目需求的得2.75分； ③方案涵盖以上所列部分内容，或涵盖以上所列内容但阐述简短，或适用性和可操作性一般得2.5分； ④方案不合理或未提供的不得分。</w:t>
            </w:r>
          </w:p>
        </w:tc>
      </w:tr>
      <w:tr>
        <w:tc>
          <w:tcPr>
            <w:tcW w:type="dxa" w:w="3322"/>
          </w:tcPr>
          <w:p>
            <w:pPr>
              <w:pStyle w:val="null3"/>
              <w:jc w:val="left"/>
            </w:pPr>
            <w:r>
              <w:rPr>
                <w:rFonts w:ascii="仿宋_GB2312" w:hAnsi="仿宋_GB2312" w:cs="仿宋_GB2312" w:eastAsia="仿宋_GB2312"/>
              </w:rPr>
              <w:t>3、异常天气苗木质量及存活应急措施方案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3.根据供应商针对天气异常情况下（如台风、暴雨、高温天气），确保苗木供应的质量及成活率保障应对具体措施方案，由评委进行评审： ①方案至少涵盖以上所列内容且全面详实，适用性和可操作性强的得3分； ②方案涵盖以上所列内容、基本可行，满足项目需求的得2.75分； ③方案涵盖以上所列部分内容，或涵盖以上所列内容但阐述简短，或适用性和可操作性一般得2.5分； ④方案不合理或未提供的不得分。</w:t>
            </w:r>
          </w:p>
        </w:tc>
      </w:tr>
      <w:tr>
        <w:tc>
          <w:tcPr>
            <w:tcW w:type="dxa" w:w="3322"/>
          </w:tcPr>
          <w:p>
            <w:pPr>
              <w:pStyle w:val="null3"/>
              <w:jc w:val="left"/>
            </w:pPr>
            <w:r>
              <w:rPr>
                <w:rFonts w:ascii="仿宋_GB2312" w:hAnsi="仿宋_GB2312" w:cs="仿宋_GB2312" w:eastAsia="仿宋_GB2312"/>
              </w:rPr>
              <w:t>4、包装保护措施的实施方案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4.根据供应商针对本项目制定的包装保护措施的实施方案（包括但不限于：包装的完整性、对枝条、树干、叶片的保护程度等）由评委进行评审： ①方案至少涵盖以上所列内容且全面详实，适用性和可操作性强的得3分； ②方案涵盖以上所列内容、基本可行，满足项目需求的得2.75分； ③方案涵盖以上所列部分内容，或涵盖以上所列内容但阐述简短，或适用性和可操作性一般得2.5分； ④方案不合理或未提供的不得分。</w:t>
            </w:r>
          </w:p>
        </w:tc>
      </w:tr>
      <w:tr>
        <w:tc>
          <w:tcPr>
            <w:tcW w:type="dxa" w:w="3322"/>
          </w:tcPr>
          <w:p>
            <w:pPr>
              <w:pStyle w:val="null3"/>
              <w:jc w:val="left"/>
            </w:pPr>
            <w:r>
              <w:rPr>
                <w:rFonts w:ascii="仿宋_GB2312" w:hAnsi="仿宋_GB2312" w:cs="仿宋_GB2312" w:eastAsia="仿宋_GB2312"/>
              </w:rPr>
              <w:t>5、运送方案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5.根据供应商针对本项目制定的运送方案（包括但不限于：苗木的吊装、运输等）由评委进行评审： ①方案至少涵盖以上所列内容且全面详实，适用性和可操作性强的得3分； ②方案涵盖以上所列内容、基本可行，满足项目需求的得2.75分； ③方案涵盖以上所列部分内容，或涵盖以上所列内容但阐述简短，或适用性和可操作性一般得2.5分； ④方案不合理或未提供的不得分。</w:t>
            </w:r>
          </w:p>
        </w:tc>
      </w:tr>
      <w:tr>
        <w:tc>
          <w:tcPr>
            <w:tcW w:type="dxa" w:w="3322"/>
          </w:tcPr>
          <w:p>
            <w:pPr>
              <w:pStyle w:val="null3"/>
              <w:jc w:val="left"/>
            </w:pPr>
            <w:r>
              <w:rPr>
                <w:rFonts w:ascii="仿宋_GB2312" w:hAnsi="仿宋_GB2312" w:cs="仿宋_GB2312" w:eastAsia="仿宋_GB2312"/>
              </w:rPr>
              <w:t>6、全冠苗质量</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6.根据供应商提供的全冠苗苗木的照片，对整体树形、外观（是否姿态优美，枝条匀称，树干健壮，生长茂盛）由评委进行评审： ①树干通直，树冠分枝均匀、无破皮，生长茂盛，冠幅完整的得3分； ②树干基本通直，无破皮，整体树形及外观基本完整的得2.75分； ③主干有弯曲、有部分破皮，整体树形及外观总体一般的得2.5分； ④照片不清晰或体现不出苗木质量或未提供照片的不得分。 注：供应商提供采购清单中第1-26项的苗木的彩色图片，苗木图片须为能够反映苗木的实际生长情况的单株苗木彩色图片，在所提供的彩色图片上标注苗木名称、规格【地径、高度(必须要有参照物)、冠幅等】、拍照时间等并加盖供应商公章。成交后，供应商所提供的苗木图片将作为验收的依据。</w:t>
            </w:r>
          </w:p>
        </w:tc>
      </w:tr>
      <w:tr>
        <w:tc>
          <w:tcPr>
            <w:tcW w:type="dxa" w:w="3322"/>
          </w:tcPr>
          <w:p>
            <w:pPr>
              <w:pStyle w:val="null3"/>
              <w:jc w:val="left"/>
            </w:pPr>
            <w:r>
              <w:rPr>
                <w:rFonts w:ascii="仿宋_GB2312" w:hAnsi="仿宋_GB2312" w:cs="仿宋_GB2312" w:eastAsia="仿宋_GB2312"/>
              </w:rPr>
              <w:t>7、苗圃及货源情况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7.1供应商具备自有苗圃或租赁苗圃的得3分【须提供苗圃为供应商自有的产权证明或供应商与产权人签订的租赁合同（租赁时间覆盖本项目服务期）并加盖供应商公章，未按要求提供不得分】。</w:t>
            </w:r>
          </w:p>
        </w:tc>
      </w:tr>
      <w:tr>
        <w:tc>
          <w:tcPr>
            <w:tcW w:type="dxa" w:w="3322"/>
          </w:tcPr>
          <w:p>
            <w:pPr>
              <w:pStyle w:val="null3"/>
              <w:jc w:val="left"/>
            </w:pPr>
            <w:r>
              <w:rPr>
                <w:rFonts w:ascii="仿宋_GB2312" w:hAnsi="仿宋_GB2312" w:cs="仿宋_GB2312" w:eastAsia="仿宋_GB2312"/>
              </w:rPr>
              <w:t>7、苗圃及货源情况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7.2为确保供苗的时效性及质量保证，供应商除自有或租赁的苗圃以外，还拥有长期稳定供货基地或合作商的，每提供1个的得1.5分，满分3分【须提供①供应商与供货基地或合作商签订的供货合同（合同剩余期限须涵盖本项目服务期限，合同剩余期限不能涵盖本项目服务期限的，还须提供承诺函承诺合同到期前按相应期限续签），②供应商与合作商的进货单等证明材料（采购苗木的品种必须至少包含本项目所需苗木种类之一）；以上材料均须加盖供应商公章，未按要求提供不得分】。</w:t>
            </w:r>
          </w:p>
        </w:tc>
      </w:tr>
      <w:tr>
        <w:tc>
          <w:tcPr>
            <w:tcW w:type="dxa" w:w="3322"/>
          </w:tcPr>
          <w:p>
            <w:pPr>
              <w:pStyle w:val="null3"/>
              <w:jc w:val="left"/>
            </w:pPr>
            <w:r>
              <w:rPr>
                <w:rFonts w:ascii="仿宋_GB2312" w:hAnsi="仿宋_GB2312" w:cs="仿宋_GB2312" w:eastAsia="仿宋_GB2312"/>
              </w:rPr>
              <w:t>8、保险购置</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8.考虑到服务期间时作业人员可能存有的安全风险问题，供应商须承诺为拟服务本项目全体的作业人员购买人身意外保险情况（个人意外险或雇主责任险）：累计保险额度≥100万元的得3分；60万元≤累计保险额度＜100万元的得2分；累计保险额度＜60万元的得1分；其他情况不得分【须提供承诺函（格式自拟）并加盖供应商公章，未按要求提供不得分】。</w:t>
            </w:r>
          </w:p>
        </w:tc>
      </w:tr>
      <w:tr>
        <w:tc>
          <w:tcPr>
            <w:tcW w:type="dxa" w:w="3322"/>
          </w:tcPr>
          <w:p>
            <w:pPr>
              <w:pStyle w:val="null3"/>
              <w:jc w:val="left"/>
            </w:pPr>
            <w:r>
              <w:rPr>
                <w:rFonts w:ascii="仿宋_GB2312" w:hAnsi="仿宋_GB2312" w:cs="仿宋_GB2312" w:eastAsia="仿宋_GB2312"/>
              </w:rPr>
              <w:t>9、技术售后服务方案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9.根据供应商针对本项目制定的技术售后服务方案（包括但不限于：每次送苗至供苗点后提供种植技术指导、对病虫害防治、后期苗木养护的指导等）由评委进行评审： ①方案至少涵盖以上所列内容且全面详实，适用性和可操作性强的得3分； ②方案涵盖以上所列内容、基本可行，满足项目需求的得2.75分； ③方案涵盖以上所列部分内容，或涵盖以上所列内容但阐述简短，或适用性和可操作性一般得2.5分； ④方案不合理或未提供的不得分。</w:t>
            </w:r>
          </w:p>
        </w:tc>
      </w:tr>
    </w:tbl>
    <w:p>
      <w:pPr>
        <w:pStyle w:val="null3"/>
        <w:jc w:val="left"/>
      </w:pPr>
      <w:r>
        <w:rPr>
          <w:rFonts w:ascii="仿宋_GB2312" w:hAnsi="仿宋_GB2312" w:cs="仿宋_GB2312" w:eastAsia="仿宋_GB2312"/>
        </w:rPr>
        <w:t>商务部分评分PB 满分为15.0000分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3"/>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1、综合实力</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1.供应商具有质量管理体系认证证书、职业健康安全管理体系认证证书、环境管理体系认证证书的，每提供一项得1分，满分3分【须提供证书在全国认证认可信息公共服务平台（http://cx.cnca.cn）上状态为“有效”的查询结果网页截图打印件并加盖供应商公章，未按要求提供不得分】。</w:t>
            </w:r>
          </w:p>
        </w:tc>
      </w:tr>
      <w:tr>
        <w:tc>
          <w:tcPr>
            <w:tcW w:type="dxa" w:w="3322"/>
          </w:tcPr>
          <w:p>
            <w:pPr>
              <w:pStyle w:val="null3"/>
              <w:jc w:val="left"/>
            </w:pPr>
            <w:r>
              <w:rPr>
                <w:rFonts w:ascii="仿宋_GB2312" w:hAnsi="仿宋_GB2312" w:cs="仿宋_GB2312" w:eastAsia="仿宋_GB2312"/>
              </w:rPr>
              <w:t>2、业绩</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2.2021年1月1日以来（以合同签订时间为准）供应商具有同类项目业绩的，每提供1份得1分，满分3分【须提供该业绩项目的中标（成交）公告（提供相关网站的下载网页及其网址）、中标（成交）通知书、采购合同文本以及能够证明该业绩项目已经采购单位验收合格的相关证明文件复印件并加盖供应商公章，未按要求提供的不得分】。</w:t>
            </w:r>
          </w:p>
        </w:tc>
      </w:tr>
      <w:tr>
        <w:tc>
          <w:tcPr>
            <w:tcW w:type="dxa" w:w="3322"/>
          </w:tcPr>
          <w:p>
            <w:pPr>
              <w:pStyle w:val="null3"/>
              <w:jc w:val="left"/>
            </w:pPr>
            <w:r>
              <w:rPr>
                <w:rFonts w:ascii="仿宋_GB2312" w:hAnsi="仿宋_GB2312" w:cs="仿宋_GB2312" w:eastAsia="仿宋_GB2312"/>
              </w:rPr>
              <w:t>3、满意度评价</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3.2021年1月1日以来（以合同签订时间为准），供应商承接同类项目获得采购单位好评（满意度为优秀或不低于80分或其他同等类似表述）每提供1份的得1分，满分3分【本项业绩与“2、业绩”提供的业绩若为同一项目的，本项不得分；同一采购单位多个项目好评的按一个项目计；须提供业绩项目合同复印件及加盖采购人公章的评价证明文件；未按要求提供不得分】。</w:t>
            </w:r>
          </w:p>
        </w:tc>
      </w:tr>
      <w:tr>
        <w:tc>
          <w:tcPr>
            <w:tcW w:type="dxa" w:w="3322"/>
          </w:tcPr>
          <w:p>
            <w:pPr>
              <w:pStyle w:val="null3"/>
              <w:jc w:val="left"/>
            </w:pPr>
            <w:r>
              <w:rPr>
                <w:rFonts w:ascii="仿宋_GB2312" w:hAnsi="仿宋_GB2312" w:cs="仿宋_GB2312" w:eastAsia="仿宋_GB2312"/>
              </w:rPr>
              <w:t>4、项目负责人</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left"/>
            </w:pPr>
            <w:r>
              <w:rPr>
                <w:rFonts w:ascii="仿宋_GB2312" w:hAnsi="仿宋_GB2312" w:cs="仿宋_GB2312" w:eastAsia="仿宋_GB2312"/>
              </w:rPr>
              <w:t>4.供应商拟服务于本项目的项目负责人（1人）具有园林绿化相关专业中级职称的得1分；高级或以上职称的得2分【须提供人员证书复印件及首次响应文件递交截止时间前六个月（不含首次响应文件递交截止时间当月）中任意一月供应商为其缴纳社会保险凭据复印件；以上材料均须加盖供应商公章，未按要求提供不得分】。 本项目所称“园林绿化相关专业”是指园林、园林施工、园林规划设计、园林植物、风景园林、园林绿化、园艺、景观、环境艺术、市政园林等专业。</w:t>
            </w:r>
          </w:p>
        </w:tc>
      </w:tr>
      <w:tr>
        <w:tc>
          <w:tcPr>
            <w:tcW w:type="dxa" w:w="3322"/>
          </w:tcPr>
          <w:p>
            <w:pPr>
              <w:pStyle w:val="null3"/>
              <w:jc w:val="left"/>
            </w:pPr>
            <w:r>
              <w:rPr>
                <w:rFonts w:ascii="仿宋_GB2312" w:hAnsi="仿宋_GB2312" w:cs="仿宋_GB2312" w:eastAsia="仿宋_GB2312"/>
              </w:rPr>
              <w:t>5、人员情况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5.供应商拟服务于本项目的技术人员（不含项目负责人）中具有高级/三级或以上绿化工证书的，每提供1人得1分，满分3分【须提供人员证书复印件首次响应文件递交截止时间前六个月（不含首次响应文件递交截止时间当月）中任意一月供应商为其缴纳社会保险凭据复印件；以上材料均须加盖供应商公章，未按要求提供不得分】。</w:t>
            </w:r>
          </w:p>
        </w:tc>
      </w:tr>
      <w:tr>
        <w:tc>
          <w:tcPr>
            <w:tcW w:type="dxa" w:w="3322"/>
          </w:tcPr>
          <w:p>
            <w:pPr>
              <w:pStyle w:val="null3"/>
              <w:jc w:val="left"/>
            </w:pPr>
            <w:r>
              <w:rPr>
                <w:rFonts w:ascii="仿宋_GB2312" w:hAnsi="仿宋_GB2312" w:cs="仿宋_GB2312" w:eastAsia="仿宋_GB2312"/>
              </w:rPr>
              <w:t>6、安全保障承诺</w:t>
            </w:r>
          </w:p>
        </w:tc>
        <w:tc>
          <w:tcPr>
            <w:tcW w:type="dxa" w:w="831"/>
          </w:tcPr>
          <w:p>
            <w:pPr>
              <w:pStyle w:val="null3"/>
              <w:jc w:val="right"/>
            </w:pPr>
            <w:r>
              <w:rPr>
                <w:rFonts w:ascii="仿宋_GB2312" w:hAnsi="仿宋_GB2312" w:cs="仿宋_GB2312" w:eastAsia="仿宋_GB2312"/>
              </w:rPr>
              <w:t>1.00</w:t>
            </w:r>
          </w:p>
        </w:tc>
        <w:tc>
          <w:tcPr>
            <w:tcW w:type="dxa" w:w="4153"/>
          </w:tcPr>
          <w:p>
            <w:pPr>
              <w:pStyle w:val="null3"/>
              <w:jc w:val="left"/>
            </w:pPr>
            <w:r>
              <w:rPr>
                <w:rFonts w:ascii="仿宋_GB2312" w:hAnsi="仿宋_GB2312" w:cs="仿宋_GB2312" w:eastAsia="仿宋_GB2312"/>
              </w:rPr>
              <w:t>6.供应商承诺：在项目实施期间为拟投入的所有人员购买人身意外保险(个人意外险或雇主责任险)：每人累计保险额度≥100万的得1分【须提供承诺函（格式自拟）加盖供应商公章，未按要求提供不得分】。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技术符合性：无</w:t>
      </w:r>
    </w:p>
    <w:p>
      <w:pPr>
        <w:pStyle w:val="null3"/>
        <w:jc w:val="left"/>
      </w:pPr>
      <w:r>
        <w:rPr>
          <w:rFonts w:ascii="仿宋_GB2312" w:hAnsi="仿宋_GB2312" w:cs="仿宋_GB2312" w:eastAsia="仿宋_GB2312"/>
        </w:rPr>
        <w:t>商务符合性：无</w:t>
      </w:r>
    </w:p>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直接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4"/>
        </w:rPr>
        <w:t>本项目为</w:t>
      </w:r>
      <w:r>
        <w:rPr>
          <w:rFonts w:ascii="仿宋_GB2312" w:hAnsi="仿宋_GB2312" w:cs="仿宋_GB2312" w:eastAsia="仿宋_GB2312"/>
          <w:sz w:val="24"/>
        </w:rPr>
        <w:t>2025年春季义务植树采购项目。供应商应根据磋商文件所提出的技术和服务要求，选择最佳方案前来磋商，以充分显示供应商的竞争实力。</w:t>
      </w:r>
    </w:p>
    <w:p>
      <w:pPr>
        <w:pStyle w:val="null3"/>
        <w:jc w:val="left"/>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sz w:val="24"/>
          <w:b/>
          <w:u w:val="single"/>
        </w:rPr>
        <w:t>以</w:t>
      </w:r>
      <w:r>
        <w:rPr>
          <w:rFonts w:ascii="仿宋_GB2312" w:hAnsi="仿宋_GB2312" w:cs="仿宋_GB2312" w:eastAsia="仿宋_GB2312"/>
          <w:sz w:val="24"/>
          <w:b/>
          <w:u w:val="single"/>
        </w:rPr>
        <w:t>“★”标示的内容为不允许负偏离的实质性要求</w:t>
      </w:r>
    </w:p>
    <w:p>
      <w:pPr>
        <w:pStyle w:val="null3"/>
        <w:ind w:left="-45" w:firstLine="420"/>
      </w:pPr>
      <w:r>
        <w:rPr>
          <w:rFonts w:ascii="仿宋_GB2312" w:hAnsi="仿宋_GB2312" w:cs="仿宋_GB2312" w:eastAsia="仿宋_GB2312"/>
          <w:sz w:val="24"/>
          <w:b/>
        </w:rPr>
        <w:t>（一）</w:t>
      </w:r>
      <w:r>
        <w:rPr>
          <w:rFonts w:ascii="仿宋_GB2312" w:hAnsi="仿宋_GB2312" w:cs="仿宋_GB2312" w:eastAsia="仿宋_GB2312"/>
          <w:sz w:val="24"/>
          <w:b/>
        </w:rPr>
        <w:t xml:space="preserve">★采购清单  </w:t>
      </w:r>
    </w:p>
    <w:tbl>
      <w:tblPr>
        <w:tblW w:w="0" w:type="auto"/>
        <w:tblBorders>
          <w:top w:val="none" w:color="000000" w:sz="4"/>
          <w:left w:val="none" w:color="000000" w:sz="4"/>
          <w:bottom w:val="none" w:color="000000" w:sz="4"/>
          <w:right w:val="none" w:color="000000" w:sz="4"/>
          <w:insideH w:val="none"/>
          <w:insideV w:val="none"/>
        </w:tblBorders>
      </w:tblPr>
      <w:tblGrid>
        <w:gridCol w:w="388"/>
        <w:gridCol w:w="1090"/>
        <w:gridCol w:w="1065"/>
        <w:gridCol w:w="1391"/>
        <w:gridCol w:w="1203"/>
        <w:gridCol w:w="1842"/>
        <w:gridCol w:w="589"/>
        <w:gridCol w:w="739"/>
      </w:tblGrid>
      <w:tr>
        <w:tc>
          <w:tcPr>
            <w:tcW w:type="dxa" w:w="3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0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品种</w:t>
            </w:r>
          </w:p>
        </w:tc>
        <w:tc>
          <w:tcPr>
            <w:tcW w:type="dxa" w:w="10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米径</w:t>
            </w:r>
          </w:p>
        </w:tc>
        <w:tc>
          <w:tcPr>
            <w:tcW w:type="dxa" w:w="13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高度</w:t>
            </w:r>
          </w:p>
        </w:tc>
        <w:tc>
          <w:tcPr>
            <w:tcW w:type="dxa" w:w="1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冠幅</w:t>
            </w:r>
          </w:p>
        </w:tc>
        <w:tc>
          <w:tcPr>
            <w:tcW w:type="dxa" w:w="18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树形要求等</w:t>
            </w:r>
          </w:p>
        </w:tc>
        <w:tc>
          <w:tcPr>
            <w:tcW w:type="dxa" w:w="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7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黄槿</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胸径</w:t>
            </w:r>
            <w:r>
              <w:rPr>
                <w:rFonts w:ascii="仿宋_GB2312" w:hAnsi="仿宋_GB2312" w:cs="仿宋_GB2312" w:eastAsia="仿宋_GB2312"/>
                <w:sz w:val="24"/>
              </w:rPr>
              <w:t>≥8-10cm</w:t>
            </w: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自然高</w:t>
            </w:r>
            <w:r>
              <w:rPr>
                <w:rFonts w:ascii="仿宋_GB2312" w:hAnsi="仿宋_GB2312" w:cs="仿宋_GB2312" w:eastAsia="仿宋_GB2312"/>
                <w:sz w:val="24"/>
              </w:rPr>
              <w:t>≥3米</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冠幅</w:t>
            </w:r>
            <w:r>
              <w:rPr>
                <w:rFonts w:ascii="仿宋_GB2312" w:hAnsi="仿宋_GB2312" w:cs="仿宋_GB2312" w:eastAsia="仿宋_GB2312"/>
                <w:sz w:val="24"/>
              </w:rPr>
              <w:t>≥200cm</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袋苗，全冠或骨架苗（主干明显），大于</w:t>
            </w:r>
            <w:r>
              <w:rPr>
                <w:rFonts w:ascii="仿宋_GB2312" w:hAnsi="仿宋_GB2312" w:cs="仿宋_GB2312" w:eastAsia="仿宋_GB2312"/>
                <w:sz w:val="24"/>
              </w:rPr>
              <w:t>3级分枝</w:t>
            </w:r>
            <w:r>
              <w:rPr>
                <w:rFonts w:ascii="仿宋_GB2312" w:hAnsi="仿宋_GB2312" w:cs="仿宋_GB2312" w:eastAsia="仿宋_GB2312"/>
                <w:sz w:val="24"/>
              </w:rPr>
              <w:t>，树形优美</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株</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油茶</w:t>
            </w:r>
            <w:r>
              <w:rPr>
                <w:rFonts w:ascii="仿宋_GB2312" w:hAnsi="仿宋_GB2312" w:cs="仿宋_GB2312" w:eastAsia="仿宋_GB2312"/>
                <w:sz w:val="24"/>
              </w:rPr>
              <w:t>(注：不同品种三种及以上)</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自然高</w:t>
            </w:r>
            <w:r>
              <w:rPr>
                <w:rFonts w:ascii="仿宋_GB2312" w:hAnsi="仿宋_GB2312" w:cs="仿宋_GB2312" w:eastAsia="仿宋_GB2312"/>
                <w:sz w:val="24"/>
              </w:rPr>
              <w:t>≥1米</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冠幅</w:t>
            </w:r>
            <w:r>
              <w:rPr>
                <w:rFonts w:ascii="仿宋_GB2312" w:hAnsi="仿宋_GB2312" w:cs="仿宋_GB2312" w:eastAsia="仿宋_GB2312"/>
                <w:sz w:val="24"/>
              </w:rPr>
              <w:t>≥40cm</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袋苗，长势良好</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株</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深山含笑</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地径</w:t>
            </w:r>
            <w:r>
              <w:rPr>
                <w:rFonts w:ascii="仿宋_GB2312" w:hAnsi="仿宋_GB2312" w:cs="仿宋_GB2312" w:eastAsia="仿宋_GB2312"/>
                <w:sz w:val="24"/>
              </w:rPr>
              <w:t>8-10c</w:t>
            </w: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自然高</w:t>
            </w:r>
            <w:r>
              <w:rPr>
                <w:rFonts w:ascii="仿宋_GB2312" w:hAnsi="仿宋_GB2312" w:cs="仿宋_GB2312" w:eastAsia="仿宋_GB2312"/>
                <w:sz w:val="24"/>
              </w:rPr>
              <w:t>≥2.5米</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冠幅</w:t>
            </w:r>
            <w:r>
              <w:rPr>
                <w:rFonts w:ascii="仿宋_GB2312" w:hAnsi="仿宋_GB2312" w:cs="仿宋_GB2312" w:eastAsia="仿宋_GB2312"/>
                <w:sz w:val="24"/>
              </w:rPr>
              <w:t>≥150cm</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袋苗，全冠，大于</w:t>
            </w:r>
            <w:r>
              <w:rPr>
                <w:rFonts w:ascii="仿宋_GB2312" w:hAnsi="仿宋_GB2312" w:cs="仿宋_GB2312" w:eastAsia="仿宋_GB2312"/>
                <w:sz w:val="24"/>
              </w:rPr>
              <w:t>3级分枝</w:t>
            </w:r>
            <w:r>
              <w:rPr>
                <w:rFonts w:ascii="仿宋_GB2312" w:hAnsi="仿宋_GB2312" w:cs="仿宋_GB2312" w:eastAsia="仿宋_GB2312"/>
                <w:sz w:val="24"/>
              </w:rPr>
              <w:t>，树形优美</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株</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福建樱花</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地径</w:t>
            </w:r>
            <w:r>
              <w:rPr>
                <w:rFonts w:ascii="仿宋_GB2312" w:hAnsi="仿宋_GB2312" w:cs="仿宋_GB2312" w:eastAsia="仿宋_GB2312"/>
                <w:sz w:val="24"/>
              </w:rPr>
              <w:t>6-8cm</w:t>
            </w: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自然高</w:t>
            </w:r>
            <w:r>
              <w:rPr>
                <w:rFonts w:ascii="仿宋_GB2312" w:hAnsi="仿宋_GB2312" w:cs="仿宋_GB2312" w:eastAsia="仿宋_GB2312"/>
                <w:sz w:val="24"/>
              </w:rPr>
              <w:t>≥2.5米</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冠幅</w:t>
            </w:r>
            <w:r>
              <w:rPr>
                <w:rFonts w:ascii="仿宋_GB2312" w:hAnsi="仿宋_GB2312" w:cs="仿宋_GB2312" w:eastAsia="仿宋_GB2312"/>
                <w:sz w:val="24"/>
              </w:rPr>
              <w:t>≥150cm</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袋苗，全冠，大于</w:t>
            </w:r>
            <w:r>
              <w:rPr>
                <w:rFonts w:ascii="仿宋_GB2312" w:hAnsi="仿宋_GB2312" w:cs="仿宋_GB2312" w:eastAsia="仿宋_GB2312"/>
                <w:sz w:val="24"/>
              </w:rPr>
              <w:t>3级分枝</w:t>
            </w:r>
            <w:r>
              <w:rPr>
                <w:rFonts w:ascii="仿宋_GB2312" w:hAnsi="仿宋_GB2312" w:cs="仿宋_GB2312" w:eastAsia="仿宋_GB2312"/>
                <w:sz w:val="24"/>
              </w:rPr>
              <w:t>，树形优美</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株</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富贵榕</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胸径</w:t>
            </w:r>
            <w:r>
              <w:rPr>
                <w:rFonts w:ascii="仿宋_GB2312" w:hAnsi="仿宋_GB2312" w:cs="仿宋_GB2312" w:eastAsia="仿宋_GB2312"/>
                <w:sz w:val="24"/>
              </w:rPr>
              <w:t>8-10cm</w:t>
            </w: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自然高</w:t>
            </w:r>
            <w:r>
              <w:rPr>
                <w:rFonts w:ascii="仿宋_GB2312" w:hAnsi="仿宋_GB2312" w:cs="仿宋_GB2312" w:eastAsia="仿宋_GB2312"/>
                <w:sz w:val="24"/>
              </w:rPr>
              <w:t>≥3米</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冠幅</w:t>
            </w:r>
            <w:r>
              <w:rPr>
                <w:rFonts w:ascii="仿宋_GB2312" w:hAnsi="仿宋_GB2312" w:cs="仿宋_GB2312" w:eastAsia="仿宋_GB2312"/>
                <w:sz w:val="24"/>
              </w:rPr>
              <w:t>≥200cm</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袋苗，长势良好</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株</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香樟</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胸径</w:t>
            </w:r>
            <w:r>
              <w:rPr>
                <w:rFonts w:ascii="仿宋_GB2312" w:hAnsi="仿宋_GB2312" w:cs="仿宋_GB2312" w:eastAsia="仿宋_GB2312"/>
                <w:sz w:val="24"/>
              </w:rPr>
              <w:t>8-10cm</w:t>
            </w: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自然高</w:t>
            </w:r>
            <w:r>
              <w:rPr>
                <w:rFonts w:ascii="仿宋_GB2312" w:hAnsi="仿宋_GB2312" w:cs="仿宋_GB2312" w:eastAsia="仿宋_GB2312"/>
                <w:sz w:val="24"/>
              </w:rPr>
              <w:t>≥4米</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冠幅</w:t>
            </w:r>
            <w:r>
              <w:rPr>
                <w:rFonts w:ascii="仿宋_GB2312" w:hAnsi="仿宋_GB2312" w:cs="仿宋_GB2312" w:eastAsia="仿宋_GB2312"/>
                <w:sz w:val="24"/>
              </w:rPr>
              <w:t>≥150cm</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袋苗，全冠或骨架苗（主干明显），大于</w:t>
            </w:r>
            <w:r>
              <w:rPr>
                <w:rFonts w:ascii="仿宋_GB2312" w:hAnsi="仿宋_GB2312" w:cs="仿宋_GB2312" w:eastAsia="仿宋_GB2312"/>
                <w:sz w:val="24"/>
              </w:rPr>
              <w:t>3级分枝</w:t>
            </w:r>
            <w:r>
              <w:rPr>
                <w:rFonts w:ascii="仿宋_GB2312" w:hAnsi="仿宋_GB2312" w:cs="仿宋_GB2312" w:eastAsia="仿宋_GB2312"/>
                <w:sz w:val="24"/>
              </w:rPr>
              <w:t>，树形优美</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株</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台湾栾树</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胸径</w:t>
            </w:r>
            <w:r>
              <w:rPr>
                <w:rFonts w:ascii="仿宋_GB2312" w:hAnsi="仿宋_GB2312" w:cs="仿宋_GB2312" w:eastAsia="仿宋_GB2312"/>
                <w:sz w:val="24"/>
              </w:rPr>
              <w:t>8-10cm</w:t>
            </w: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高度</w:t>
            </w:r>
            <w:r>
              <w:rPr>
                <w:rFonts w:ascii="仿宋_GB2312" w:hAnsi="仿宋_GB2312" w:cs="仿宋_GB2312" w:eastAsia="仿宋_GB2312"/>
                <w:sz w:val="24"/>
              </w:rPr>
              <w:t>≥3米</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冠幅</w:t>
            </w:r>
            <w:r>
              <w:rPr>
                <w:rFonts w:ascii="仿宋_GB2312" w:hAnsi="仿宋_GB2312" w:cs="仿宋_GB2312" w:eastAsia="仿宋_GB2312"/>
                <w:sz w:val="24"/>
              </w:rPr>
              <w:t>≥200cm</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袋苗，全冠或骨架苗（主干明显），大于</w:t>
            </w:r>
            <w:r>
              <w:rPr>
                <w:rFonts w:ascii="仿宋_GB2312" w:hAnsi="仿宋_GB2312" w:cs="仿宋_GB2312" w:eastAsia="仿宋_GB2312"/>
                <w:sz w:val="24"/>
              </w:rPr>
              <w:t>3级分枝</w:t>
            </w:r>
            <w:r>
              <w:rPr>
                <w:rFonts w:ascii="仿宋_GB2312" w:hAnsi="仿宋_GB2312" w:cs="仿宋_GB2312" w:eastAsia="仿宋_GB2312"/>
                <w:sz w:val="24"/>
              </w:rPr>
              <w:t>，树形优美</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株</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美丽异木棉</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肚径</w:t>
            </w:r>
            <w:r>
              <w:rPr>
                <w:rFonts w:ascii="仿宋_GB2312" w:hAnsi="仿宋_GB2312" w:cs="仿宋_GB2312" w:eastAsia="仿宋_GB2312"/>
                <w:sz w:val="24"/>
              </w:rPr>
              <w:t>20cm</w:t>
            </w: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高度</w:t>
            </w:r>
            <w:r>
              <w:rPr>
                <w:rFonts w:ascii="仿宋_GB2312" w:hAnsi="仿宋_GB2312" w:cs="仿宋_GB2312" w:eastAsia="仿宋_GB2312"/>
                <w:sz w:val="24"/>
              </w:rPr>
              <w:t>≥3米</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全冠，大于</w:t>
            </w:r>
            <w:r>
              <w:rPr>
                <w:rFonts w:ascii="仿宋_GB2312" w:hAnsi="仿宋_GB2312" w:cs="仿宋_GB2312" w:eastAsia="仿宋_GB2312"/>
                <w:sz w:val="24"/>
              </w:rPr>
              <w:t>3级分枝</w:t>
            </w:r>
            <w:r>
              <w:rPr>
                <w:rFonts w:ascii="仿宋_GB2312" w:hAnsi="仿宋_GB2312" w:cs="仿宋_GB2312" w:eastAsia="仿宋_GB2312"/>
                <w:sz w:val="24"/>
              </w:rPr>
              <w:t>，树形优美，袋苗</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株</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碧桃</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地径</w:t>
            </w:r>
            <w:r>
              <w:rPr>
                <w:rFonts w:ascii="仿宋_GB2312" w:hAnsi="仿宋_GB2312" w:cs="仿宋_GB2312" w:eastAsia="仿宋_GB2312"/>
                <w:sz w:val="24"/>
              </w:rPr>
              <w:t>8-10cm</w:t>
            </w: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自然高</w:t>
            </w:r>
            <w:r>
              <w:rPr>
                <w:rFonts w:ascii="仿宋_GB2312" w:hAnsi="仿宋_GB2312" w:cs="仿宋_GB2312" w:eastAsia="仿宋_GB2312"/>
                <w:sz w:val="24"/>
              </w:rPr>
              <w:t>≥2米</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冠幅</w:t>
            </w:r>
            <w:r>
              <w:rPr>
                <w:rFonts w:ascii="仿宋_GB2312" w:hAnsi="仿宋_GB2312" w:cs="仿宋_GB2312" w:eastAsia="仿宋_GB2312"/>
                <w:sz w:val="24"/>
              </w:rPr>
              <w:t>:150cm</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袋苗，全冠，大于</w:t>
            </w:r>
            <w:r>
              <w:rPr>
                <w:rFonts w:ascii="仿宋_GB2312" w:hAnsi="仿宋_GB2312" w:cs="仿宋_GB2312" w:eastAsia="仿宋_GB2312"/>
                <w:sz w:val="24"/>
              </w:rPr>
              <w:t>4级</w:t>
            </w:r>
            <w:r>
              <w:rPr>
                <w:rFonts w:ascii="仿宋_GB2312" w:hAnsi="仿宋_GB2312" w:cs="仿宋_GB2312" w:eastAsia="仿宋_GB2312"/>
                <w:sz w:val="24"/>
              </w:rPr>
              <w:t>分枝</w:t>
            </w:r>
            <w:r>
              <w:rPr>
                <w:rFonts w:ascii="仿宋_GB2312" w:hAnsi="仿宋_GB2312" w:cs="仿宋_GB2312" w:eastAsia="仿宋_GB2312"/>
                <w:sz w:val="24"/>
              </w:rPr>
              <w:t>，树形优美</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株</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宫粉紫荆</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胸径</w:t>
            </w:r>
            <w:r>
              <w:rPr>
                <w:rFonts w:ascii="仿宋_GB2312" w:hAnsi="仿宋_GB2312" w:cs="仿宋_GB2312" w:eastAsia="仿宋_GB2312"/>
                <w:sz w:val="24"/>
              </w:rPr>
              <w:t>8-10cm</w:t>
            </w: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自然高</w:t>
            </w:r>
            <w:r>
              <w:rPr>
                <w:rFonts w:ascii="仿宋_GB2312" w:hAnsi="仿宋_GB2312" w:cs="仿宋_GB2312" w:eastAsia="仿宋_GB2312"/>
                <w:sz w:val="24"/>
              </w:rPr>
              <w:t>≥3米</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冠幅</w:t>
            </w:r>
            <w:r>
              <w:rPr>
                <w:rFonts w:ascii="仿宋_GB2312" w:hAnsi="仿宋_GB2312" w:cs="仿宋_GB2312" w:eastAsia="仿宋_GB2312"/>
                <w:sz w:val="24"/>
              </w:rPr>
              <w:t>≥120cm</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全冠，大于</w:t>
            </w:r>
            <w:r>
              <w:rPr>
                <w:rFonts w:ascii="仿宋_GB2312" w:hAnsi="仿宋_GB2312" w:cs="仿宋_GB2312" w:eastAsia="仿宋_GB2312"/>
                <w:sz w:val="24"/>
              </w:rPr>
              <w:t>3级分枝</w:t>
            </w:r>
            <w:r>
              <w:rPr>
                <w:rFonts w:ascii="仿宋_GB2312" w:hAnsi="仿宋_GB2312" w:cs="仿宋_GB2312" w:eastAsia="仿宋_GB2312"/>
                <w:sz w:val="24"/>
              </w:rPr>
              <w:t>，树形优美，袋苗</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株</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泡桐</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胸径</w:t>
            </w:r>
            <w:r>
              <w:rPr>
                <w:rFonts w:ascii="仿宋_GB2312" w:hAnsi="仿宋_GB2312" w:cs="仿宋_GB2312" w:eastAsia="仿宋_GB2312"/>
                <w:sz w:val="24"/>
              </w:rPr>
              <w:t>≥8-10cm</w:t>
            </w: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自然高</w:t>
            </w:r>
            <w:r>
              <w:rPr>
                <w:rFonts w:ascii="仿宋_GB2312" w:hAnsi="仿宋_GB2312" w:cs="仿宋_GB2312" w:eastAsia="仿宋_GB2312"/>
                <w:sz w:val="24"/>
              </w:rPr>
              <w:t>≥3米</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冠幅</w:t>
            </w:r>
            <w:r>
              <w:rPr>
                <w:rFonts w:ascii="仿宋_GB2312" w:hAnsi="仿宋_GB2312" w:cs="仿宋_GB2312" w:eastAsia="仿宋_GB2312"/>
                <w:sz w:val="24"/>
              </w:rPr>
              <w:t>≥200cm</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袋苗，全冠，大于</w:t>
            </w:r>
            <w:r>
              <w:rPr>
                <w:rFonts w:ascii="仿宋_GB2312" w:hAnsi="仿宋_GB2312" w:cs="仿宋_GB2312" w:eastAsia="仿宋_GB2312"/>
                <w:sz w:val="24"/>
              </w:rPr>
              <w:t>3级分枝</w:t>
            </w:r>
            <w:r>
              <w:rPr>
                <w:rFonts w:ascii="仿宋_GB2312" w:hAnsi="仿宋_GB2312" w:cs="仿宋_GB2312" w:eastAsia="仿宋_GB2312"/>
                <w:sz w:val="24"/>
              </w:rPr>
              <w:t>，树形优美</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株</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紫花风铃木</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胸径</w:t>
            </w:r>
            <w:r>
              <w:rPr>
                <w:rFonts w:ascii="仿宋_GB2312" w:hAnsi="仿宋_GB2312" w:cs="仿宋_GB2312" w:eastAsia="仿宋_GB2312"/>
                <w:sz w:val="24"/>
              </w:rPr>
              <w:t>≥8-10cm</w:t>
            </w: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自然高</w:t>
            </w:r>
            <w:r>
              <w:rPr>
                <w:rFonts w:ascii="仿宋_GB2312" w:hAnsi="仿宋_GB2312" w:cs="仿宋_GB2312" w:eastAsia="仿宋_GB2312"/>
                <w:sz w:val="24"/>
              </w:rPr>
              <w:t>≥3米</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冠幅</w:t>
            </w:r>
            <w:r>
              <w:rPr>
                <w:rFonts w:ascii="仿宋_GB2312" w:hAnsi="仿宋_GB2312" w:cs="仿宋_GB2312" w:eastAsia="仿宋_GB2312"/>
                <w:sz w:val="24"/>
              </w:rPr>
              <w:t>≥200cm</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袋苗，全冠，大于</w:t>
            </w:r>
            <w:r>
              <w:rPr>
                <w:rFonts w:ascii="仿宋_GB2312" w:hAnsi="仿宋_GB2312" w:cs="仿宋_GB2312" w:eastAsia="仿宋_GB2312"/>
                <w:sz w:val="24"/>
              </w:rPr>
              <w:t>3级分枝</w:t>
            </w:r>
            <w:r>
              <w:rPr>
                <w:rFonts w:ascii="仿宋_GB2312" w:hAnsi="仿宋_GB2312" w:cs="仿宋_GB2312" w:eastAsia="仿宋_GB2312"/>
                <w:sz w:val="24"/>
              </w:rPr>
              <w:t>，树形优美</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株</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落羽杉</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胸径</w:t>
            </w:r>
            <w:r>
              <w:rPr>
                <w:rFonts w:ascii="仿宋_GB2312" w:hAnsi="仿宋_GB2312" w:cs="仿宋_GB2312" w:eastAsia="仿宋_GB2312"/>
                <w:sz w:val="24"/>
              </w:rPr>
              <w:t>≥5-8cm</w:t>
            </w: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自然高</w:t>
            </w:r>
            <w:r>
              <w:rPr>
                <w:rFonts w:ascii="仿宋_GB2312" w:hAnsi="仿宋_GB2312" w:cs="仿宋_GB2312" w:eastAsia="仿宋_GB2312"/>
                <w:sz w:val="24"/>
              </w:rPr>
              <w:t>≥4米</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冠幅</w:t>
            </w:r>
            <w:r>
              <w:rPr>
                <w:rFonts w:ascii="仿宋_GB2312" w:hAnsi="仿宋_GB2312" w:cs="仿宋_GB2312" w:eastAsia="仿宋_GB2312"/>
                <w:sz w:val="24"/>
              </w:rPr>
              <w:t>≥100cm</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袋苗，全冠，层次均匀，树形优美</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株</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银杏</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胸径</w:t>
            </w:r>
            <w:r>
              <w:rPr>
                <w:rFonts w:ascii="仿宋_GB2312" w:hAnsi="仿宋_GB2312" w:cs="仿宋_GB2312" w:eastAsia="仿宋_GB2312"/>
                <w:sz w:val="24"/>
              </w:rPr>
              <w:t>≥5-8cm</w:t>
            </w: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自然高</w:t>
            </w:r>
            <w:r>
              <w:rPr>
                <w:rFonts w:ascii="仿宋_GB2312" w:hAnsi="仿宋_GB2312" w:cs="仿宋_GB2312" w:eastAsia="仿宋_GB2312"/>
                <w:sz w:val="24"/>
              </w:rPr>
              <w:t>≥4米</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冠幅</w:t>
            </w:r>
            <w:r>
              <w:rPr>
                <w:rFonts w:ascii="仿宋_GB2312" w:hAnsi="仿宋_GB2312" w:cs="仿宋_GB2312" w:eastAsia="仿宋_GB2312"/>
                <w:sz w:val="24"/>
              </w:rPr>
              <w:t>≥150cm</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袋苗，全冠，层次均匀，树形优美</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株</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凤凰木</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胸径</w:t>
            </w:r>
            <w:r>
              <w:rPr>
                <w:rFonts w:ascii="仿宋_GB2312" w:hAnsi="仿宋_GB2312" w:cs="仿宋_GB2312" w:eastAsia="仿宋_GB2312"/>
                <w:sz w:val="24"/>
              </w:rPr>
              <w:t>8-10cm</w:t>
            </w: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高度</w:t>
            </w:r>
            <w:r>
              <w:rPr>
                <w:rFonts w:ascii="仿宋_GB2312" w:hAnsi="仿宋_GB2312" w:cs="仿宋_GB2312" w:eastAsia="仿宋_GB2312"/>
                <w:sz w:val="24"/>
              </w:rPr>
              <w:t>3-3.5米</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冠幅</w:t>
            </w:r>
            <w:r>
              <w:rPr>
                <w:rFonts w:ascii="仿宋_GB2312" w:hAnsi="仿宋_GB2312" w:cs="仿宋_GB2312" w:eastAsia="仿宋_GB2312"/>
                <w:sz w:val="24"/>
              </w:rPr>
              <w:t>250-300cm</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袋苗，全冠</w:t>
            </w:r>
            <w:r>
              <w:rPr>
                <w:rFonts w:ascii="仿宋_GB2312" w:hAnsi="仿宋_GB2312" w:cs="仿宋_GB2312" w:eastAsia="仿宋_GB2312"/>
                <w:sz w:val="24"/>
              </w:rPr>
              <w:t>,三轮分枝以上，树形优美，冠幅完整饱满</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株</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黄连</w:t>
            </w:r>
            <w:r>
              <w:rPr>
                <w:rFonts w:ascii="仿宋_GB2312" w:hAnsi="仿宋_GB2312" w:cs="仿宋_GB2312" w:eastAsia="仿宋_GB2312"/>
                <w:sz w:val="24"/>
              </w:rPr>
              <w:t>木</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胸径</w:t>
            </w:r>
            <w:r>
              <w:rPr>
                <w:rFonts w:ascii="仿宋_GB2312" w:hAnsi="仿宋_GB2312" w:cs="仿宋_GB2312" w:eastAsia="仿宋_GB2312"/>
                <w:sz w:val="24"/>
              </w:rPr>
              <w:t>≥3cm</w:t>
            </w: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自然高</w:t>
            </w:r>
            <w:r>
              <w:rPr>
                <w:rFonts w:ascii="仿宋_GB2312" w:hAnsi="仿宋_GB2312" w:cs="仿宋_GB2312" w:eastAsia="仿宋_GB2312"/>
                <w:sz w:val="24"/>
              </w:rPr>
              <w:t>≥2米</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冠幅</w:t>
            </w:r>
            <w:r>
              <w:rPr>
                <w:rFonts w:ascii="仿宋_GB2312" w:hAnsi="仿宋_GB2312" w:cs="仿宋_GB2312" w:eastAsia="仿宋_GB2312"/>
                <w:sz w:val="24"/>
              </w:rPr>
              <w:t>≥100cm</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袋苗，全冠，大于</w:t>
            </w:r>
            <w:r>
              <w:rPr>
                <w:rFonts w:ascii="仿宋_GB2312" w:hAnsi="仿宋_GB2312" w:cs="仿宋_GB2312" w:eastAsia="仿宋_GB2312"/>
                <w:sz w:val="24"/>
              </w:rPr>
              <w:t>3级分枝</w:t>
            </w:r>
            <w:r>
              <w:rPr>
                <w:rFonts w:ascii="仿宋_GB2312" w:hAnsi="仿宋_GB2312" w:cs="仿宋_GB2312" w:eastAsia="仿宋_GB2312"/>
                <w:sz w:val="24"/>
              </w:rPr>
              <w:t>，树形优美</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株</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毛杜鹃</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高度</w:t>
            </w:r>
            <w:r>
              <w:rPr>
                <w:rFonts w:ascii="仿宋_GB2312" w:hAnsi="仿宋_GB2312" w:cs="仿宋_GB2312" w:eastAsia="仿宋_GB2312"/>
                <w:sz w:val="24"/>
              </w:rPr>
              <w:t>20-30cm</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冠幅</w:t>
            </w:r>
            <w:r>
              <w:rPr>
                <w:rFonts w:ascii="仿宋_GB2312" w:hAnsi="仿宋_GB2312" w:cs="仿宋_GB2312" w:eastAsia="仿宋_GB2312"/>
                <w:sz w:val="24"/>
              </w:rPr>
              <w:t>20-30cm</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袋苗，枝条饱满</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株</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绣球花</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高度</w:t>
            </w:r>
            <w:r>
              <w:rPr>
                <w:rFonts w:ascii="仿宋_GB2312" w:hAnsi="仿宋_GB2312" w:cs="仿宋_GB2312" w:eastAsia="仿宋_GB2312"/>
                <w:sz w:val="24"/>
              </w:rPr>
              <w:t>20-30cm</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冠幅</w:t>
            </w:r>
            <w:r>
              <w:rPr>
                <w:rFonts w:ascii="仿宋_GB2312" w:hAnsi="仿宋_GB2312" w:cs="仿宋_GB2312" w:eastAsia="仿宋_GB2312"/>
                <w:sz w:val="24"/>
              </w:rPr>
              <w:t>20-30cm</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袋苗，枝条饱满</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株</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三角梅</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自然高</w:t>
            </w:r>
            <w:r>
              <w:rPr>
                <w:rFonts w:ascii="仿宋_GB2312" w:hAnsi="仿宋_GB2312" w:cs="仿宋_GB2312" w:eastAsia="仿宋_GB2312"/>
                <w:sz w:val="24"/>
              </w:rPr>
              <w:t>≥1米</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冠幅</w:t>
            </w:r>
            <w:r>
              <w:rPr>
                <w:rFonts w:ascii="仿宋_GB2312" w:hAnsi="仿宋_GB2312" w:cs="仿宋_GB2312" w:eastAsia="仿宋_GB2312"/>
                <w:sz w:val="24"/>
              </w:rPr>
              <w:t>≥60cm</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容器苗，长势良好，袋苗</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株</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鼠尾草</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高度</w:t>
            </w:r>
            <w:r>
              <w:rPr>
                <w:rFonts w:ascii="仿宋_GB2312" w:hAnsi="仿宋_GB2312" w:cs="仿宋_GB2312" w:eastAsia="仿宋_GB2312"/>
                <w:sz w:val="24"/>
              </w:rPr>
              <w:t>15-20cm</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冠幅</w:t>
            </w:r>
            <w:r>
              <w:rPr>
                <w:rFonts w:ascii="仿宋_GB2312" w:hAnsi="仿宋_GB2312" w:cs="仿宋_GB2312" w:eastAsia="仿宋_GB2312"/>
                <w:sz w:val="24"/>
              </w:rPr>
              <w:t>15-20cm</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袋苗，枝条饱满</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株</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狼牙草</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高度</w:t>
            </w:r>
            <w:r>
              <w:rPr>
                <w:rFonts w:ascii="仿宋_GB2312" w:hAnsi="仿宋_GB2312" w:cs="仿宋_GB2312" w:eastAsia="仿宋_GB2312"/>
                <w:sz w:val="24"/>
              </w:rPr>
              <w:t>20-30cm</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冠幅</w:t>
            </w:r>
            <w:r>
              <w:rPr>
                <w:rFonts w:ascii="仿宋_GB2312" w:hAnsi="仿宋_GB2312" w:cs="仿宋_GB2312" w:eastAsia="仿宋_GB2312"/>
                <w:sz w:val="24"/>
              </w:rPr>
              <w:t>20-25cm</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袋苗，枝条饱满</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株</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翠芦莉</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高度</w:t>
            </w:r>
            <w:r>
              <w:rPr>
                <w:rFonts w:ascii="仿宋_GB2312" w:hAnsi="仿宋_GB2312" w:cs="仿宋_GB2312" w:eastAsia="仿宋_GB2312"/>
                <w:sz w:val="24"/>
              </w:rPr>
              <w:t>20-30cm</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冠幅</w:t>
            </w:r>
            <w:r>
              <w:rPr>
                <w:rFonts w:ascii="仿宋_GB2312" w:hAnsi="仿宋_GB2312" w:cs="仿宋_GB2312" w:eastAsia="仿宋_GB2312"/>
                <w:sz w:val="24"/>
              </w:rPr>
              <w:t>15-20cm</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袋苗，枝条饱满</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株</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花叶良姜</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高度</w:t>
            </w:r>
            <w:r>
              <w:rPr>
                <w:rFonts w:ascii="仿宋_GB2312" w:hAnsi="仿宋_GB2312" w:cs="仿宋_GB2312" w:eastAsia="仿宋_GB2312"/>
                <w:sz w:val="24"/>
              </w:rPr>
              <w:t>30-40cm</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冠幅</w:t>
            </w:r>
            <w:r>
              <w:rPr>
                <w:rFonts w:ascii="仿宋_GB2312" w:hAnsi="仿宋_GB2312" w:cs="仿宋_GB2312" w:eastAsia="仿宋_GB2312"/>
                <w:sz w:val="24"/>
              </w:rPr>
              <w:t>20-30cm</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袋苗，枝条饱满</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株</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炮仗花</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藤长</w:t>
            </w:r>
            <w:r>
              <w:rPr>
                <w:rFonts w:ascii="仿宋_GB2312" w:hAnsi="仿宋_GB2312" w:cs="仿宋_GB2312" w:eastAsia="仿宋_GB2312"/>
                <w:sz w:val="24"/>
              </w:rPr>
              <w:t>≥1米</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袋苗，长势良好</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株</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夹竹桃</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自然高</w:t>
            </w:r>
            <w:r>
              <w:rPr>
                <w:rFonts w:ascii="仿宋_GB2312" w:hAnsi="仿宋_GB2312" w:cs="仿宋_GB2312" w:eastAsia="仿宋_GB2312"/>
                <w:sz w:val="24"/>
              </w:rPr>
              <w:t>≥1米</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冠幅</w:t>
            </w:r>
            <w:r>
              <w:rPr>
                <w:rFonts w:ascii="仿宋_GB2312" w:hAnsi="仿宋_GB2312" w:cs="仿宋_GB2312" w:eastAsia="仿宋_GB2312"/>
                <w:sz w:val="24"/>
              </w:rPr>
              <w:t>≥60cm</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袋苗，长势良好</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株</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木麻黄</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苗高</w:t>
            </w:r>
            <w:r>
              <w:rPr>
                <w:rFonts w:ascii="仿宋_GB2312" w:hAnsi="仿宋_GB2312" w:cs="仿宋_GB2312" w:eastAsia="仿宋_GB2312"/>
                <w:sz w:val="24"/>
              </w:rPr>
              <w:t>≥35cm</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12杯容器袋苗</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株</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黑麦草</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籽播，</w:t>
            </w:r>
            <w:r>
              <w:rPr>
                <w:rFonts w:ascii="仿宋_GB2312" w:hAnsi="仿宋_GB2312" w:cs="仿宋_GB2312" w:eastAsia="仿宋_GB2312"/>
                <w:sz w:val="24"/>
              </w:rPr>
              <w:t>10-15g/平方米</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kg</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紫云英</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籽播，</w:t>
            </w:r>
            <w:r>
              <w:rPr>
                <w:rFonts w:ascii="仿宋_GB2312" w:hAnsi="仿宋_GB2312" w:cs="仿宋_GB2312" w:eastAsia="仿宋_GB2312"/>
                <w:sz w:val="24"/>
              </w:rPr>
              <w:t>10-15g/平方米</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kg</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金光菊</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籽播，</w:t>
            </w:r>
            <w:r>
              <w:rPr>
                <w:rFonts w:ascii="仿宋_GB2312" w:hAnsi="仿宋_GB2312" w:cs="仿宋_GB2312" w:eastAsia="仿宋_GB2312"/>
                <w:sz w:val="24"/>
              </w:rPr>
              <w:t>10-15g/平方米</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kg</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大滨菊</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籽播，</w:t>
            </w:r>
            <w:r>
              <w:rPr>
                <w:rFonts w:ascii="仿宋_GB2312" w:hAnsi="仿宋_GB2312" w:cs="仿宋_GB2312" w:eastAsia="仿宋_GB2312"/>
                <w:sz w:val="24"/>
              </w:rPr>
              <w:t>10-15g/平方米</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kg</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泡桐</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籽播，</w:t>
            </w:r>
            <w:r>
              <w:rPr>
                <w:rFonts w:ascii="仿宋_GB2312" w:hAnsi="仿宋_GB2312" w:cs="仿宋_GB2312" w:eastAsia="仿宋_GB2312"/>
                <w:sz w:val="24"/>
              </w:rPr>
              <w:t>10-15g/平方米</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kg</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w:t>
            </w:r>
          </w:p>
        </w:tc>
      </w:tr>
      <w:tr>
        <w:tc>
          <w:tcPr>
            <w:tcW w:type="dxa" w:w="830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注：以上</w:t>
            </w:r>
            <w:r>
              <w:rPr>
                <w:rFonts w:ascii="仿宋_GB2312" w:hAnsi="仿宋_GB2312" w:cs="仿宋_GB2312" w:eastAsia="仿宋_GB2312"/>
                <w:sz w:val="24"/>
              </w:rPr>
              <w:t>米径、高度、冠幅允许偏离</w:t>
            </w:r>
            <w:r>
              <w:rPr>
                <w:rFonts w:ascii="仿宋_GB2312" w:hAnsi="仿宋_GB2312" w:cs="仿宋_GB2312" w:eastAsia="仿宋_GB2312"/>
                <w:sz w:val="24"/>
              </w:rPr>
              <w:t>±3%。</w:t>
            </w:r>
          </w:p>
        </w:tc>
      </w:tr>
    </w:tbl>
    <w:p>
      <w:pPr>
        <w:pStyle w:val="null3"/>
        <w:ind w:firstLine="241"/>
        <w:jc w:val="left"/>
      </w:pPr>
      <w:r>
        <w:rPr>
          <w:rFonts w:ascii="仿宋_GB2312" w:hAnsi="仿宋_GB2312" w:cs="仿宋_GB2312" w:eastAsia="仿宋_GB2312"/>
          <w:sz w:val="24"/>
          <w:b/>
          <w:u w:val="single"/>
        </w:rPr>
        <w:t>注：</w:t>
      </w:r>
    </w:p>
    <w:p>
      <w:pPr>
        <w:pStyle w:val="null3"/>
        <w:ind w:firstLine="482"/>
        <w:jc w:val="left"/>
      </w:pPr>
      <w:r>
        <w:rPr>
          <w:rFonts w:ascii="仿宋_GB2312" w:hAnsi="仿宋_GB2312" w:cs="仿宋_GB2312" w:eastAsia="仿宋_GB2312"/>
          <w:sz w:val="24"/>
          <w:b/>
          <w:u w:val="single"/>
        </w:rPr>
        <w:t>1、</w:t>
      </w:r>
      <w:r>
        <w:rPr>
          <w:rFonts w:ascii="仿宋_GB2312" w:hAnsi="仿宋_GB2312" w:cs="仿宋_GB2312" w:eastAsia="仿宋_GB2312"/>
          <w:sz w:val="24"/>
          <w:b/>
          <w:u w:val="single"/>
        </w:rPr>
        <w:t>供应商报价时根据上表数量详细列出每一项的单价、合价及总价，响应总价不得高于本项目预算价，否则按无效响应处理。</w:t>
      </w:r>
    </w:p>
    <w:p>
      <w:pPr>
        <w:pStyle w:val="null3"/>
        <w:ind w:firstLine="360"/>
        <w:jc w:val="left"/>
      </w:pPr>
      <w:r>
        <w:rPr>
          <w:rFonts w:ascii="仿宋_GB2312" w:hAnsi="仿宋_GB2312" w:cs="仿宋_GB2312" w:eastAsia="仿宋_GB2312"/>
          <w:sz w:val="24"/>
          <w:b/>
          <w:u w:val="single"/>
        </w:rPr>
        <w:t>2、</w:t>
      </w:r>
      <w:r>
        <w:rPr>
          <w:rFonts w:ascii="仿宋_GB2312" w:hAnsi="仿宋_GB2312" w:cs="仿宋_GB2312" w:eastAsia="仿宋_GB2312"/>
          <w:sz w:val="24"/>
          <w:b/>
          <w:u w:val="single"/>
        </w:rPr>
        <w:t>上表数量为约数，实际数量以采购任务为准，成交人应无条件配合完成项目所需全部工作；成交单价在合同期内为不变价；供应商应充分考虑各项报价，如有漏报，视同含在响应报价中，费用根据成交单价和实际工作任务按实结算。服务内容中未体现，但属于项目整体服务须完成的其他内容，成交人应根据项目实际情况，按照采购人要求，无条件配合服务，费用均含在响应总价中，供应商在报价时须考虑由此带来的风险，成交后不得拒绝。</w:t>
      </w:r>
    </w:p>
    <w:p>
      <w:pPr>
        <w:pStyle w:val="null3"/>
        <w:ind w:firstLine="482"/>
        <w:jc w:val="both"/>
      </w:pPr>
      <w:r>
        <w:rPr>
          <w:rFonts w:ascii="仿宋_GB2312" w:hAnsi="仿宋_GB2312" w:cs="仿宋_GB2312" w:eastAsia="仿宋_GB2312"/>
          <w:sz w:val="24"/>
          <w:b/>
        </w:rPr>
        <w:t>（二）苗木规格指标</w:t>
      </w:r>
    </w:p>
    <w:p>
      <w:pPr>
        <w:pStyle w:val="null3"/>
        <w:ind w:firstLine="723"/>
      </w:pPr>
      <w:r>
        <w:rPr>
          <w:rFonts w:ascii="仿宋_GB2312" w:hAnsi="仿宋_GB2312" w:cs="仿宋_GB2312" w:eastAsia="仿宋_GB2312"/>
          <w:sz w:val="24"/>
        </w:rPr>
        <w:t>1、高度：为苗木种植时自然或人工修剪后的高度，要求乔木尽量保留顶端生长点。</w:t>
      </w:r>
    </w:p>
    <w:p>
      <w:pPr>
        <w:pStyle w:val="null3"/>
        <w:ind w:firstLine="723"/>
      </w:pPr>
      <w:r>
        <w:rPr>
          <w:rFonts w:ascii="仿宋_GB2312" w:hAnsi="仿宋_GB2312" w:cs="仿宋_GB2312" w:eastAsia="仿宋_GB2312"/>
          <w:sz w:val="24"/>
        </w:rPr>
        <w:t>2、胸径：为所种植乔木离地面1.3m处的直径。</w:t>
      </w:r>
    </w:p>
    <w:p>
      <w:pPr>
        <w:pStyle w:val="null3"/>
        <w:ind w:firstLine="723"/>
      </w:pPr>
      <w:r>
        <w:rPr>
          <w:rFonts w:ascii="仿宋_GB2312" w:hAnsi="仿宋_GB2312" w:cs="仿宋_GB2312" w:eastAsia="仿宋_GB2312"/>
          <w:sz w:val="24"/>
        </w:rPr>
        <w:t>3、冠幅：为种植时花树木经常规处理后、交叉垂直二个方向上的平均枝冠直径。在保证花树木能移植成活和满足交通运输的前提下，应尽量保留花树木原有冠幅，利于绿化尽快见效。</w:t>
      </w:r>
    </w:p>
    <w:p>
      <w:pPr>
        <w:pStyle w:val="null3"/>
        <w:ind w:firstLine="723"/>
      </w:pPr>
      <w:r>
        <w:rPr>
          <w:rFonts w:ascii="仿宋_GB2312" w:hAnsi="仿宋_GB2312" w:cs="仿宋_GB2312" w:eastAsia="仿宋_GB2312"/>
          <w:sz w:val="24"/>
        </w:rPr>
        <w:t>4、土球：为保证花树木移植成活及迅速恢复生长所需的最小带土球平均直径。所带土球应保证</w:t>
      </w:r>
      <w:r>
        <w:rPr>
          <w:rFonts w:ascii="仿宋_GB2312" w:hAnsi="仿宋_GB2312" w:cs="仿宋_GB2312" w:eastAsia="仿宋_GB2312"/>
          <w:sz w:val="24"/>
        </w:rPr>
        <w:t>倒放</w:t>
      </w:r>
      <w:r>
        <w:rPr>
          <w:rFonts w:ascii="仿宋_GB2312" w:hAnsi="仿宋_GB2312" w:cs="仿宋_GB2312" w:eastAsia="仿宋_GB2312"/>
          <w:sz w:val="24"/>
        </w:rPr>
        <w:t>于植穴时完好不散为合格。如苗木为假植苗或容器苗，可在保证苗木正常移植成活和迅速生长的前提下，依实确定所带土球规格。土球高度依树木的根系分布情况按实确定。对苗木规格中列明种植容器类型者，可保证苗木质量前提下，按如下顺序确定：指定盆苗则用盆苗，指定袋苗则用袋苗、亦可用盆苗；指定假植苗可用盆苗、袋苗；指定地苗则用盆苗、袋苗、假植苗。依次类推，反之则不行。</w:t>
      </w:r>
    </w:p>
    <w:p>
      <w:pPr>
        <w:pStyle w:val="null3"/>
        <w:ind w:firstLine="723"/>
      </w:pPr>
      <w:r>
        <w:rPr>
          <w:rFonts w:ascii="仿宋_GB2312" w:hAnsi="仿宋_GB2312" w:cs="仿宋_GB2312" w:eastAsia="仿宋_GB2312"/>
          <w:sz w:val="24"/>
        </w:rPr>
        <w:t>5、冠高：为保证绿化效果，体现花树木形体美，要求花树木应有与树高成一定比例的冠高（即树冠最低分枝至树顶高度）。自然配植的景观树冠高越高越饱满越好。</w:t>
      </w:r>
    </w:p>
    <w:p>
      <w:pPr>
        <w:pStyle w:val="null3"/>
        <w:ind w:firstLine="723"/>
      </w:pPr>
      <w:r>
        <w:rPr>
          <w:rFonts w:ascii="仿宋_GB2312" w:hAnsi="仿宋_GB2312" w:cs="仿宋_GB2312" w:eastAsia="仿宋_GB2312"/>
          <w:sz w:val="24"/>
        </w:rPr>
        <w:t>6、苗木规格须经验收合格，若达不到要求的，成交人应负责整改至符合要求，由此造成的经济损失，由成交人负责。</w:t>
      </w:r>
    </w:p>
    <w:p>
      <w:pPr>
        <w:pStyle w:val="null3"/>
        <w:ind w:left="420"/>
      </w:pPr>
      <w:r>
        <w:rPr>
          <w:rFonts w:ascii="仿宋_GB2312" w:hAnsi="仿宋_GB2312" w:cs="仿宋_GB2312" w:eastAsia="仿宋_GB2312"/>
          <w:sz w:val="24"/>
          <w:b/>
        </w:rPr>
        <w:t>（三）质量要求</w:t>
      </w:r>
    </w:p>
    <w:p>
      <w:pPr>
        <w:pStyle w:val="null3"/>
        <w:ind w:firstLine="480"/>
      </w:pPr>
      <w:r>
        <w:rPr>
          <w:rFonts w:ascii="仿宋_GB2312" w:hAnsi="仿宋_GB2312" w:cs="仿宋_GB2312" w:eastAsia="仿宋_GB2312"/>
          <w:sz w:val="24"/>
        </w:rPr>
        <w:t>1、苗木</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1）成交人提供的苗木数量、规格、土球规格等均须符合磋商文件、合同等相关要求；苗木的生产标准，必须符合最新国家标准、部颁、地方相关标准和规范的要求。各项技术标准应当符合国家强制性标准。</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所提供苗木应严格按规格参数选苗，所选用的苗木应为具有较好观赏性、植株健壮、苗干粗壮通直、分枝均匀，冠形完整、饱满，叶茂、叶色正常、无枯枝黄叶、无病虫害、无机械损伤特别是树皮无损伤的，根系发达、土球完整的移植苗，能充分体现个体的自然景观美，不得是砍头苗。</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苗木为袋苗的，苗木上袋时间应不少于1年，灌木类苗木和地被植物均须植株健壮、叶茂、叶色正常、无枯枝黄叶、无病虫害、根系发达。花灌木尽量选用容器苗，地苗尽量用假植苗，应保证移植根系完好，带好土球，保证结实牢靠。截干乔木锯口处要干净、光滑、无撕裂或分裂。正常截口应用蜡或漆封盖。</w:t>
      </w:r>
    </w:p>
    <w:p>
      <w:pPr>
        <w:pStyle w:val="null3"/>
        <w:ind w:firstLine="480"/>
      </w:pPr>
      <w:r>
        <w:rPr>
          <w:rFonts w:ascii="仿宋_GB2312" w:hAnsi="仿宋_GB2312" w:cs="仿宋_GB2312" w:eastAsia="仿宋_GB2312"/>
          <w:sz w:val="24"/>
        </w:rPr>
        <w:t>2、种子</w:t>
      </w:r>
    </w:p>
    <w:p>
      <w:pPr>
        <w:pStyle w:val="null3"/>
        <w:ind w:firstLine="480"/>
      </w:pPr>
      <w:r>
        <w:rPr>
          <w:rFonts w:ascii="仿宋_GB2312" w:hAnsi="仿宋_GB2312" w:cs="仿宋_GB2312" w:eastAsia="仿宋_GB2312"/>
          <w:sz w:val="24"/>
        </w:rPr>
        <w:t>种子质量指标应符合：净度</w:t>
      </w:r>
      <w:r>
        <w:rPr>
          <w:rFonts w:ascii="仿宋_GB2312" w:hAnsi="仿宋_GB2312" w:cs="仿宋_GB2312" w:eastAsia="仿宋_GB2312"/>
          <w:sz w:val="24"/>
        </w:rPr>
        <w:t>≥90%、发芽率≥85%、水分≤12%。</w:t>
      </w:r>
    </w:p>
    <w:p>
      <w:pPr>
        <w:pStyle w:val="null3"/>
        <w:ind w:firstLine="482"/>
      </w:pPr>
      <w:r>
        <w:rPr>
          <w:rFonts w:ascii="仿宋_GB2312" w:hAnsi="仿宋_GB2312" w:cs="仿宋_GB2312" w:eastAsia="仿宋_GB2312"/>
          <w:sz w:val="24"/>
          <w:b/>
          <w:u w:val="single"/>
        </w:rPr>
        <w:t>供应商须承诺：</w:t>
      </w:r>
      <w:r>
        <w:rPr>
          <w:rFonts w:ascii="仿宋_GB2312" w:hAnsi="仿宋_GB2312" w:cs="仿宋_GB2312" w:eastAsia="仿宋_GB2312"/>
          <w:sz w:val="24"/>
          <w:b/>
          <w:u w:val="single"/>
        </w:rPr>
        <w:t>“成交后，交付的种子保证属于</w:t>
      </w:r>
      <w:r>
        <w:rPr>
          <w:rFonts w:ascii="仿宋_GB2312" w:hAnsi="仿宋_GB2312" w:cs="仿宋_GB2312" w:eastAsia="仿宋_GB2312"/>
          <w:sz w:val="24"/>
          <w:b/>
          <w:u w:val="single"/>
        </w:rPr>
        <w:t>2024年</w:t>
      </w:r>
      <w:r>
        <w:rPr>
          <w:rFonts w:ascii="仿宋_GB2312" w:hAnsi="仿宋_GB2312" w:cs="仿宋_GB2312" w:eastAsia="仿宋_GB2312"/>
          <w:sz w:val="24"/>
          <w:b/>
          <w:u w:val="single"/>
        </w:rPr>
        <w:t>生产，纯度</w:t>
      </w:r>
      <w:r>
        <w:rPr>
          <w:rFonts w:ascii="仿宋_GB2312" w:hAnsi="仿宋_GB2312" w:cs="仿宋_GB2312" w:eastAsia="仿宋_GB2312"/>
          <w:sz w:val="24"/>
          <w:b/>
          <w:u w:val="single"/>
        </w:rPr>
        <w:t>≥95.0%，品种真实，否则采</w:t>
      </w:r>
      <w:r>
        <w:rPr>
          <w:rFonts w:ascii="仿宋_GB2312" w:hAnsi="仿宋_GB2312" w:cs="仿宋_GB2312" w:eastAsia="仿宋_GB2312"/>
          <w:sz w:val="24"/>
          <w:b/>
          <w:u w:val="single"/>
        </w:rPr>
        <w:t>购人</w:t>
      </w:r>
      <w:r>
        <w:rPr>
          <w:rFonts w:ascii="仿宋_GB2312" w:hAnsi="仿宋_GB2312" w:cs="仿宋_GB2312" w:eastAsia="仿宋_GB2312"/>
          <w:sz w:val="24"/>
          <w:b/>
          <w:u w:val="single"/>
        </w:rPr>
        <w:t>有权解除合同，不予支付已交付货物的款项</w:t>
      </w:r>
      <w:r>
        <w:rPr>
          <w:rFonts w:ascii="仿宋_GB2312" w:hAnsi="仿宋_GB2312" w:cs="仿宋_GB2312" w:eastAsia="仿宋_GB2312"/>
          <w:sz w:val="24"/>
          <w:b/>
          <w:u w:val="single"/>
        </w:rPr>
        <w:t>”【须在响应文件中另行单独提供承诺书（格式自拟）并加盖供应商公章，仅在响应表中体现此项要求或未按要求提供承诺函的均按未提供处理】。</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1）杂质含量</w:t>
      </w:r>
    </w:p>
    <w:p>
      <w:pPr>
        <w:pStyle w:val="null3"/>
        <w:ind w:firstLine="480"/>
      </w:pPr>
      <w:r>
        <w:rPr>
          <w:rFonts w:ascii="仿宋_GB2312" w:hAnsi="仿宋_GB2312" w:cs="仿宋_GB2312" w:eastAsia="仿宋_GB2312"/>
          <w:sz w:val="24"/>
        </w:rPr>
        <w:t>杂质含量是指花籽中混杂的其他种子或物质的含量。杂质可能包括其他种类的花籽、土壤、石块、金属等。杂质含量不应超过</w:t>
      </w:r>
      <w:r>
        <w:rPr>
          <w:rFonts w:ascii="仿宋_GB2312" w:hAnsi="仿宋_GB2312" w:cs="仿宋_GB2312" w:eastAsia="仿宋_GB2312"/>
          <w:sz w:val="24"/>
        </w:rPr>
        <w:t>1%。</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2）病虫害感染度</w:t>
      </w:r>
    </w:p>
    <w:p>
      <w:pPr>
        <w:pStyle w:val="null3"/>
        <w:ind w:firstLine="480"/>
      </w:pPr>
      <w:r>
        <w:rPr>
          <w:rFonts w:ascii="仿宋_GB2312" w:hAnsi="仿宋_GB2312" w:cs="仿宋_GB2312" w:eastAsia="仿宋_GB2312"/>
          <w:sz w:val="24"/>
        </w:rPr>
        <w:t>病虫害感染度是指花籽样品中受病虫害感染的种子比例。如果病虫害感染度过高，会严重影响种子的生长力和产量。要求病虫害感染度在</w:t>
      </w:r>
      <w:r>
        <w:rPr>
          <w:rFonts w:ascii="仿宋_GB2312" w:hAnsi="仿宋_GB2312" w:cs="仿宋_GB2312" w:eastAsia="仿宋_GB2312"/>
          <w:sz w:val="24"/>
        </w:rPr>
        <w:t>1%以下。</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3）颗粒饱满度</w:t>
      </w:r>
    </w:p>
    <w:p>
      <w:pPr>
        <w:pStyle w:val="null3"/>
        <w:ind w:firstLine="480"/>
      </w:pPr>
      <w:r>
        <w:rPr>
          <w:rFonts w:ascii="仿宋_GB2312" w:hAnsi="仿宋_GB2312" w:cs="仿宋_GB2312" w:eastAsia="仿宋_GB2312"/>
          <w:sz w:val="24"/>
        </w:rPr>
        <w:t>颗粒饱满度是指花籽样品的颗粒度是否饱满。颗粒饱满的花籽能够更好地吸收水分和养分，有利于种子的生长。要求颗粒饱满度在</w:t>
      </w:r>
      <w:r>
        <w:rPr>
          <w:rFonts w:ascii="仿宋_GB2312" w:hAnsi="仿宋_GB2312" w:cs="仿宋_GB2312" w:eastAsia="仿宋_GB2312"/>
          <w:sz w:val="24"/>
        </w:rPr>
        <w:t>80%以上。</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4）无机物含量</w:t>
      </w:r>
    </w:p>
    <w:p>
      <w:pPr>
        <w:pStyle w:val="null3"/>
        <w:ind w:firstLine="480"/>
      </w:pPr>
      <w:r>
        <w:rPr>
          <w:rFonts w:ascii="仿宋_GB2312" w:hAnsi="仿宋_GB2312" w:cs="仿宋_GB2312" w:eastAsia="仿宋_GB2312"/>
          <w:sz w:val="24"/>
        </w:rPr>
        <w:t>无机物含量是指花籽样品中无机物的含量，如金属元素、酸不溶物等。这些无机物会影响种子的生长和品质，因此需要控制其含量。要求无机物含量在</w:t>
      </w:r>
      <w:r>
        <w:rPr>
          <w:rFonts w:ascii="仿宋_GB2312" w:hAnsi="仿宋_GB2312" w:cs="仿宋_GB2312" w:eastAsia="仿宋_GB2312"/>
          <w:sz w:val="24"/>
        </w:rPr>
        <w:t>2%以下。</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5）种子包装袋应选用高强度、透气性好、防潮性强的材料。常用材料有牛皮纸、聚乙烯、聚丙烯等。</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6）种子包装袋的防潮性</w:t>
      </w:r>
    </w:p>
    <w:p>
      <w:pPr>
        <w:pStyle w:val="null3"/>
        <w:ind w:firstLine="480"/>
      </w:pPr>
      <w:r>
        <w:rPr>
          <w:rFonts w:ascii="仿宋_GB2312" w:hAnsi="仿宋_GB2312" w:cs="仿宋_GB2312" w:eastAsia="仿宋_GB2312"/>
          <w:sz w:val="24"/>
        </w:rPr>
        <w:t>种子在采收后，由于种子体内含有一定的水分，如果没有妥善的保存措施，易受潮变质，丧失种子的种质。因此，种子包装袋的防潮性是十分重要的。采用有防潮膜的材料制作，以保障种子的质量。</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7）供应商在选择种子包装袋时，应根据种子的品种、数量和使用场景等因素来确定尺寸规格和材质。种子包装袋的尺寸规格应根据不同的种子品种和储存数量灵活选择，以保障种子包装袋的品质。</w:t>
      </w:r>
    </w:p>
    <w:p>
      <w:pPr>
        <w:pStyle w:val="null3"/>
        <w:ind w:left="420"/>
      </w:pPr>
      <w:r>
        <w:rPr>
          <w:rFonts w:ascii="仿宋_GB2312" w:hAnsi="仿宋_GB2312" w:cs="仿宋_GB2312" w:eastAsia="仿宋_GB2312"/>
          <w:sz w:val="24"/>
          <w:b/>
        </w:rPr>
        <w:t>（四）其他要求</w:t>
      </w:r>
    </w:p>
    <w:p>
      <w:pPr>
        <w:pStyle w:val="null3"/>
        <w:ind w:firstLine="482"/>
      </w:pPr>
      <w:r>
        <w:rPr>
          <w:rFonts w:ascii="仿宋_GB2312" w:hAnsi="仿宋_GB2312" w:cs="仿宋_GB2312" w:eastAsia="仿宋_GB2312"/>
          <w:sz w:val="24"/>
          <w:b/>
        </w:rPr>
        <w:t>1、</w:t>
      </w:r>
      <w:r>
        <w:rPr>
          <w:rFonts w:ascii="仿宋_GB2312" w:hAnsi="仿宋_GB2312" w:cs="仿宋_GB2312" w:eastAsia="仿宋_GB2312"/>
          <w:sz w:val="24"/>
          <w:b/>
        </w:rPr>
        <w:t>苗木起挖、装卸和运输</w:t>
      </w:r>
    </w:p>
    <w:p>
      <w:pPr>
        <w:pStyle w:val="null3"/>
        <w:ind w:firstLine="663"/>
      </w:pPr>
      <w:r>
        <w:rPr>
          <w:rFonts w:ascii="仿宋_GB2312" w:hAnsi="仿宋_GB2312" w:cs="仿宋_GB2312" w:eastAsia="仿宋_GB2312"/>
          <w:sz w:val="24"/>
        </w:rPr>
        <w:t>（</w:t>
      </w:r>
      <w:r>
        <w:rPr>
          <w:rFonts w:ascii="仿宋_GB2312" w:hAnsi="仿宋_GB2312" w:cs="仿宋_GB2312" w:eastAsia="仿宋_GB2312"/>
          <w:sz w:val="24"/>
        </w:rPr>
        <w:t>1）苗木起挖、包装、运输等应严格按照技术规范操作，出圃前应严格按照要求整形修剪，应注意保持自然的树形，保持树冠完整，不修剪维持冠形的枝条，只可适当修剪内膛细弱枝、重叠枝、下垂枝、枯死枝条。</w:t>
      </w:r>
    </w:p>
    <w:p>
      <w:pPr>
        <w:pStyle w:val="null3"/>
        <w:ind w:firstLine="663"/>
      </w:pPr>
      <w:r>
        <w:rPr>
          <w:rFonts w:ascii="仿宋_GB2312" w:hAnsi="仿宋_GB2312" w:cs="仿宋_GB2312" w:eastAsia="仿宋_GB2312"/>
          <w:sz w:val="24"/>
        </w:rPr>
        <w:t>（</w:t>
      </w:r>
      <w:r>
        <w:rPr>
          <w:rFonts w:ascii="仿宋_GB2312" w:hAnsi="仿宋_GB2312" w:cs="仿宋_GB2312" w:eastAsia="仿宋_GB2312"/>
          <w:sz w:val="24"/>
        </w:rPr>
        <w:t>2）乔木类苗木的土球应按规范捆绑草绳；应轻吊轻放，不得损伤苗体和造成散球。挖掘、吊装、运输中应对树干、枝条、根系采取保护措施，应捆拢树冠，固定树干，防止损伤树皮，避免枝条劈裂。起吊时不得用绳索直接缚捆根颈起吊。对于苗木在起挖、装卸和运输时，由于成交人操作不规范，造成树皮损伤的苗木，采购人有权拒收。</w:t>
      </w:r>
    </w:p>
    <w:p>
      <w:pPr>
        <w:pStyle w:val="null3"/>
        <w:ind w:firstLine="663"/>
      </w:pPr>
      <w:r>
        <w:rPr>
          <w:rFonts w:ascii="仿宋_GB2312" w:hAnsi="仿宋_GB2312" w:cs="仿宋_GB2312" w:eastAsia="仿宋_GB2312"/>
          <w:sz w:val="24"/>
        </w:rPr>
        <w:t>（</w:t>
      </w:r>
      <w:r>
        <w:rPr>
          <w:rFonts w:ascii="仿宋_GB2312" w:hAnsi="仿宋_GB2312" w:cs="仿宋_GB2312" w:eastAsia="仿宋_GB2312"/>
          <w:sz w:val="24"/>
        </w:rPr>
        <w:t>3）袋苗在装卸车时严禁抛投，应轻拿轻放，不得损伤苗木；由于成交人操作不规范，导致袋苗土球开裂、散球，采购人有权拒收。</w:t>
      </w:r>
    </w:p>
    <w:p>
      <w:pPr>
        <w:pStyle w:val="null3"/>
        <w:ind w:firstLine="482"/>
      </w:pPr>
      <w:r>
        <w:rPr>
          <w:rFonts w:ascii="仿宋_GB2312" w:hAnsi="仿宋_GB2312" w:cs="仿宋_GB2312" w:eastAsia="仿宋_GB2312"/>
          <w:sz w:val="24"/>
          <w:b/>
        </w:rPr>
        <w:t>2、</w:t>
      </w:r>
      <w:r>
        <w:rPr>
          <w:rFonts w:ascii="仿宋_GB2312" w:hAnsi="仿宋_GB2312" w:cs="仿宋_GB2312" w:eastAsia="仿宋_GB2312"/>
          <w:sz w:val="24"/>
          <w:b/>
        </w:rPr>
        <w:t>为了确保本项目按时保质保量地完成，供应商应提供苗木生产地、供货渠道等，详细说明拟投入本项目的项目组成员（特别是每次苗木交接时必须安排项目负责人及至少一名技术人员在场，对苗木的种植及后续的养护进行技术指导）。</w:t>
      </w:r>
    </w:p>
    <w:p>
      <w:pPr>
        <w:pStyle w:val="null3"/>
        <w:ind w:firstLine="482"/>
      </w:pPr>
      <w:r>
        <w:rPr>
          <w:rFonts w:ascii="仿宋_GB2312" w:hAnsi="仿宋_GB2312" w:cs="仿宋_GB2312" w:eastAsia="仿宋_GB2312"/>
          <w:sz w:val="24"/>
          <w:b/>
        </w:rPr>
        <w:t>3、</w:t>
      </w:r>
      <w:r>
        <w:rPr>
          <w:rFonts w:ascii="仿宋_GB2312" w:hAnsi="仿宋_GB2312" w:cs="仿宋_GB2312" w:eastAsia="仿宋_GB2312"/>
          <w:sz w:val="24"/>
          <w:b/>
        </w:rPr>
        <w:t>供货要求及交付地点等其他要求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1）采购规格、数量由采购人提供，实际采购规格、数量根据采购人实际下达</w:t>
      </w:r>
      <w:r>
        <w:rPr>
          <w:rFonts w:ascii="仿宋_GB2312" w:hAnsi="仿宋_GB2312" w:cs="仿宋_GB2312" w:eastAsia="仿宋_GB2312"/>
          <w:sz w:val="24"/>
        </w:rPr>
        <w:t>苗木调运单为准</w:t>
      </w:r>
      <w:r>
        <w:rPr>
          <w:rFonts w:ascii="仿宋_GB2312" w:hAnsi="仿宋_GB2312" w:cs="仿宋_GB2312" w:eastAsia="仿宋_GB2312"/>
          <w:sz w:val="24"/>
        </w:rPr>
        <w:t>，结算时根据双方确认交接凭证为准。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2）成交人须按采购人要求及时供应苗木及种子，签订合同后以采购人实际现场需求将所需物品运至采购人指定地点。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3）具体</w:t>
      </w:r>
      <w:r>
        <w:rPr>
          <w:rFonts w:ascii="仿宋_GB2312" w:hAnsi="仿宋_GB2312" w:cs="仿宋_GB2312" w:eastAsia="仿宋_GB2312"/>
          <w:sz w:val="24"/>
        </w:rPr>
        <w:t>的供货时间须根据采购人安排，采购人将提前通知成交人供货的品种、数量、地点，成交人应按照采购人供货通知要求把苗木或种子如期送到采购人指定的地点</w:t>
      </w:r>
      <w:r>
        <w:rPr>
          <w:rFonts w:ascii="仿宋_GB2312" w:hAnsi="仿宋_GB2312" w:cs="仿宋_GB2312" w:eastAsia="仿宋_GB2312"/>
          <w:sz w:val="24"/>
          <w:b/>
        </w:rPr>
        <w:t>(如遇应急需要，成交人也应满足采购人要求)，并提供每批次的“苗木检验证”、“苗木检疫证”、“苗木产地标签”。</w:t>
      </w:r>
    </w:p>
    <w:p>
      <w:pPr>
        <w:pStyle w:val="null3"/>
        <w:ind w:firstLine="482"/>
        <w:jc w:val="both"/>
      </w:pPr>
      <w:r>
        <w:rPr>
          <w:rFonts w:ascii="仿宋_GB2312" w:hAnsi="仿宋_GB2312" w:cs="仿宋_GB2312" w:eastAsia="仿宋_GB2312"/>
          <w:sz w:val="24"/>
          <w:b/>
          <w:u w:val="single"/>
        </w:rPr>
        <w:t>供应商须承诺：成交后，由于成交人的原因，无法按照采购人通知的要求进行供货，由此给采购人造成的损失由成交人承担。</w:t>
      </w:r>
      <w:r>
        <w:rPr>
          <w:rFonts w:ascii="仿宋_GB2312" w:hAnsi="仿宋_GB2312" w:cs="仿宋_GB2312" w:eastAsia="仿宋_GB2312"/>
          <w:sz w:val="24"/>
          <w:b/>
          <w:u w:val="single"/>
        </w:rPr>
        <w:t>【须在响应文件中另行单独提供承诺书（格式自拟）并加盖供应商公章，仅在响应表中体现此项要求或未按要求提供承诺函的均按未提供处理】。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成交人须保证苗木质量。供货期间、验收前，如发现有不合格或不符合要求的，成交人需及时更换、整改。若送达现场采购人发现不合格的苗木，则当场退回，如因成交人原因导致采购人实施计划无法按时完成，采购人有权要求成交人赔偿由此造成的误工等损失。</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5）成交人所提供的种子，生产、销售的企业必须具备相应的资质和证书及产地标签，以确保产品质量符合要求。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6）成交人需根据要求合理配备工人和作业车辆，做好运输、装卸及责任范围内的相关工作，建立健全自检自查等管理制度和应急机制，服从采购人管理和监督。</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7）安全要求</w:t>
      </w:r>
    </w:p>
    <w:p>
      <w:pPr>
        <w:pStyle w:val="null3"/>
        <w:ind w:firstLine="480"/>
      </w:pPr>
      <w:r>
        <w:rPr>
          <w:rFonts w:ascii="仿宋_GB2312" w:hAnsi="仿宋_GB2312" w:cs="仿宋_GB2312" w:eastAsia="仿宋_GB2312"/>
          <w:sz w:val="24"/>
        </w:rPr>
        <w:t>现场应设置安全警示标识、周围边界隔离等，并达到采购人要求和晋江文明安全施工有关条例及相关管理部门的相关规定。</w:t>
      </w:r>
    </w:p>
    <w:p>
      <w:pPr>
        <w:pStyle w:val="null3"/>
        <w:ind w:firstLine="482"/>
      </w:pPr>
      <w:r>
        <w:rPr>
          <w:rFonts w:ascii="仿宋_GB2312" w:hAnsi="仿宋_GB2312" w:cs="仿宋_GB2312" w:eastAsia="仿宋_GB2312"/>
          <w:sz w:val="24"/>
          <w:b/>
        </w:rPr>
        <w:t>4、</w:t>
      </w:r>
      <w:r>
        <w:rPr>
          <w:rFonts w:ascii="仿宋_GB2312" w:hAnsi="仿宋_GB2312" w:cs="仿宋_GB2312" w:eastAsia="仿宋_GB2312"/>
          <w:sz w:val="24"/>
          <w:b/>
        </w:rPr>
        <w:t>苗木拒收情形（包括但不限于）：</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1）达不到规格要求的苗木；</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2）病虫害严重的苗木；</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3）生长势很差可能影响成活率的；</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4）土球破裂的；</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5）运输过程中损毁的苗木；</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6）严重畸形影响景观效果的；</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7）因苗木起挖后未及时送苗造成枯萎，影响成活率的；</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8）苗木交付验收时成交人未按要求派项目负责人及至少一名技术人员参加。</w:t>
      </w:r>
    </w:p>
    <w:p>
      <w:pPr>
        <w:pStyle w:val="null3"/>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本项目分批次供货，供货期为1年（具体供货批次及时间，以采购人出具的每批次苗木调运单为准）。采购人发出供货通知后，成交人按采购人通知时间要求完成供货通知单内全部货物的供货；采购包内各项货物累计供货数量达到采购清单中的数量，本项目合同终止。</w:t>
            </w:r>
          </w:p>
        </w:tc>
      </w:tr>
      <w:tr>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晋江市，具体以采购人指定的地点为准。</w:t>
            </w:r>
          </w:p>
        </w:tc>
      </w:tr>
      <w:tr>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按项目需求将苗木供货完毕，经验收合格且不存在未处理的违约行为。</w:t>
            </w:r>
          </w:p>
        </w:tc>
      </w:tr>
      <w:tr>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验收标准：当地园林管理部门的要求，磋商文件，成交人响应文件，合同，国家、地方有关的文件要求、质量标准等。验收说明：交苗木当日进行验收，成交人将苗木运输至指定卸苗点，成交人在此之前应保证苗木品质达到磋商文件的要求，成交人所提供的实物图片将作为验收的参考依据，不合格苗木当场退回并按时补足符合要求的苗木，由此造成的误工等损失由成交人承担。 验收办法：由监理单位严格按照磋商文件、成交人的响应文件、合同中确定的种苗质量要求验收苗木，苗木规格允许偏差±3%，成交人所提供的苗木验收合格率应为100%。监理单位验收完成后须在苗木调验单上确认签字，经监理单位确认后，视为该批次验收合格。采购人有权进行核实，采购人以监理单位确认的苗木调验单作为结算依据。</w:t>
            </w:r>
          </w:p>
        </w:tc>
      </w:tr>
      <w:tr>
        <w:tc>
          <w:tcPr>
            <w:tcW w:type="dxa" w:w="2076"/>
          </w:tcPr>
          <w:p>
            <w:pPr>
              <w:pStyle w:val="null3"/>
            </w:pPr>
            <w:r>
              <w:rPr>
                <w:rFonts w:ascii="仿宋_GB2312" w:hAnsi="仿宋_GB2312" w:cs="仿宋_GB2312" w:eastAsia="仿宋_GB2312"/>
              </w:rPr>
              <w:t>6</w:t>
            </w:r>
          </w:p>
        </w:tc>
        <w:tc>
          <w:tcPr>
            <w:tcW w:type="dxa" w:w="2076"/>
          </w:tcP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1、合同款付款条件详见“其他商务要求”（本表所列支付比例，仅为适应我省电子招标文件格式），达到付款条件起12日内，支付合同总金额的100.00%</w:t>
            </w:r>
          </w:p>
        </w:tc>
      </w:tr>
      <w:tr>
        <w:tc>
          <w:tcPr>
            <w:tcW w:type="dxa" w:w="2076"/>
          </w:tcPr>
          <w:p>
            <w:pPr>
              <w:pStyle w:val="null3"/>
            </w:pPr>
            <w:r>
              <w:rPr>
                <w:rFonts w:ascii="仿宋_GB2312" w:hAnsi="仿宋_GB2312" w:cs="仿宋_GB2312" w:eastAsia="仿宋_GB2312"/>
              </w:rPr>
              <w:t>7</w:t>
            </w:r>
          </w:p>
        </w:tc>
        <w:tc>
          <w:tcPr>
            <w:tcW w:type="dxa" w:w="2076"/>
          </w:tcP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1、合同支付方式：</w:t>
      </w:r>
    </w:p>
    <w:p>
      <w:pPr>
        <w:pStyle w:val="null3"/>
        <w:ind w:firstLine="480"/>
      </w:pPr>
      <w:r>
        <w:rPr>
          <w:rFonts w:ascii="仿宋_GB2312" w:hAnsi="仿宋_GB2312" w:cs="仿宋_GB2312" w:eastAsia="仿宋_GB2312"/>
          <w:sz w:val="24"/>
        </w:rPr>
        <w:t>(1)成交人根据采购人出具的每批次苗木调运单及籽播数量，按时、保质、保量的完成供货并经验收合格，累计批次验收合格量达合同总金额的50%或以上时，成交人可向采购人提出支付申请，采购人支付合同总金额的50.00%。</w:t>
      </w:r>
    </w:p>
    <w:p>
      <w:pPr>
        <w:pStyle w:val="null3"/>
        <w:ind w:firstLine="480"/>
      </w:pPr>
      <w:r>
        <w:rPr>
          <w:rFonts w:ascii="仿宋_GB2312" w:hAnsi="仿宋_GB2312" w:cs="仿宋_GB2312" w:eastAsia="仿宋_GB2312"/>
          <w:sz w:val="24"/>
        </w:rPr>
        <w:t>(2)成交人按照采购人要求全部供货完毕并经验收合格后，成交人可向采购人提出支付申请，采购人支付剩余合同价款。</w:t>
      </w:r>
    </w:p>
    <w:p>
      <w:pPr>
        <w:pStyle w:val="null3"/>
        <w:ind w:firstLine="440"/>
        <w:jc w:val="both"/>
      </w:pPr>
      <w:r>
        <w:rPr>
          <w:rFonts w:ascii="仿宋_GB2312" w:hAnsi="仿宋_GB2312" w:cs="仿宋_GB2312" w:eastAsia="仿宋_GB2312"/>
          <w:sz w:val="24"/>
        </w:rPr>
        <w:t>注：本项目关于预付款的相关约定适用《泉州市财政局关于印发</w:t>
      </w:r>
      <w:r>
        <w:rPr>
          <w:rFonts w:ascii="仿宋_GB2312" w:hAnsi="仿宋_GB2312" w:cs="仿宋_GB2312" w:eastAsia="仿宋_GB2312"/>
          <w:sz w:val="24"/>
        </w:rPr>
        <w:t>&lt;泉州市打造一流政府采购营商环境行动方案&gt;的通知》（泉财采〔2023〕184号），具体支付比例、时间及方式等由采购人与成交人在签订合同时按文件要求约定。若本项目政府采购合同签订前有新规的，按最新规定执行。</w:t>
      </w:r>
    </w:p>
    <w:p>
      <w:pPr>
        <w:pStyle w:val="null3"/>
        <w:ind w:firstLine="498"/>
      </w:pPr>
      <w:r>
        <w:rPr>
          <w:rFonts w:ascii="仿宋_GB2312" w:hAnsi="仿宋_GB2312" w:cs="仿宋_GB2312" w:eastAsia="仿宋_GB2312"/>
          <w:sz w:val="24"/>
          <w:b/>
        </w:rPr>
        <w:t>2、</w:t>
      </w:r>
      <w:r>
        <w:rPr>
          <w:rFonts w:ascii="仿宋_GB2312" w:hAnsi="仿宋_GB2312" w:cs="仿宋_GB2312" w:eastAsia="仿宋_GB2312"/>
          <w:sz w:val="24"/>
        </w:rPr>
        <w:t>根据现场条件，应允许采购人对于采购数量、供货顺序、项目范围等方面的适度调整。供应商应该充分估计服务范围跨度较大，服务工作较零星和接受因上述调整给自身带来的计划变更及损失，不得以任何理由拒绝。</w:t>
      </w:r>
    </w:p>
    <w:p>
      <w:pPr>
        <w:pStyle w:val="null3"/>
        <w:ind w:firstLine="482"/>
      </w:pPr>
      <w:r>
        <w:rPr>
          <w:rFonts w:ascii="仿宋_GB2312" w:hAnsi="仿宋_GB2312" w:cs="仿宋_GB2312" w:eastAsia="仿宋_GB2312"/>
          <w:sz w:val="24"/>
          <w:b/>
        </w:rPr>
        <w:t>3、</w:t>
      </w:r>
      <w:r>
        <w:rPr>
          <w:rFonts w:ascii="仿宋_GB2312" w:hAnsi="仿宋_GB2312" w:cs="仿宋_GB2312" w:eastAsia="仿宋_GB2312"/>
          <w:sz w:val="24"/>
          <w:b/>
        </w:rPr>
        <w:t>采购人不组织现场踏勘，</w:t>
      </w:r>
      <w:r>
        <w:rPr>
          <w:rFonts w:ascii="仿宋_GB2312" w:hAnsi="仿宋_GB2312" w:cs="仿宋_GB2312" w:eastAsia="仿宋_GB2312"/>
          <w:sz w:val="24"/>
        </w:rPr>
        <w:t>供应商可自行对项目所在地和周围环境进行勘察，以获取编制响应文件和签署合同所需的资料。勘察现场所发生的费用由供应商自己承担。采购人提供的有关资料和数据，仅供参考，采购人对供应商由此而做出的推论、理解和结论概不负责。供应商因自身原因未到现场实地踏勘的，签订合同时和履约过程中，不得以不完全了解现场情况为由，提出任何形式的增加款项或索赔的要求。</w:t>
      </w:r>
    </w:p>
    <w:p>
      <w:pPr>
        <w:pStyle w:val="null3"/>
        <w:ind w:firstLine="482"/>
      </w:pPr>
      <w:r>
        <w:rPr>
          <w:rFonts w:ascii="仿宋_GB2312" w:hAnsi="仿宋_GB2312" w:cs="仿宋_GB2312" w:eastAsia="仿宋_GB2312"/>
          <w:sz w:val="24"/>
          <w:b/>
        </w:rPr>
        <w:t>4、</w:t>
      </w:r>
      <w:r>
        <w:rPr>
          <w:rFonts w:ascii="仿宋_GB2312" w:hAnsi="仿宋_GB2312" w:cs="仿宋_GB2312" w:eastAsia="仿宋_GB2312"/>
          <w:sz w:val="24"/>
          <w:b/>
        </w:rPr>
        <w:t>供货</w:t>
      </w:r>
    </w:p>
    <w:p>
      <w:pPr>
        <w:pStyle w:val="null3"/>
        <w:ind w:firstLine="498"/>
      </w:pPr>
      <w:r>
        <w:rPr>
          <w:rFonts w:ascii="仿宋_GB2312" w:hAnsi="仿宋_GB2312" w:cs="仿宋_GB2312" w:eastAsia="仿宋_GB2312"/>
          <w:sz w:val="24"/>
        </w:rPr>
        <w:t>（</w:t>
      </w:r>
      <w:r>
        <w:rPr>
          <w:rFonts w:ascii="仿宋_GB2312" w:hAnsi="仿宋_GB2312" w:cs="仿宋_GB2312" w:eastAsia="仿宋_GB2312"/>
          <w:sz w:val="24"/>
        </w:rPr>
        <w:t>1）本次采购货物均为合格产品，产品来源渠道合法。供应商不得以次充好，同时应根据国家有关规定、厂家服务承诺及采购人的要求做好售后服务工作。</w:t>
      </w:r>
    </w:p>
    <w:p>
      <w:pPr>
        <w:pStyle w:val="null3"/>
        <w:ind w:firstLine="498"/>
      </w:pPr>
      <w:r>
        <w:rPr>
          <w:rFonts w:ascii="仿宋_GB2312" w:hAnsi="仿宋_GB2312" w:cs="仿宋_GB2312" w:eastAsia="仿宋_GB2312"/>
          <w:sz w:val="24"/>
        </w:rPr>
        <w:t>（</w:t>
      </w:r>
      <w:r>
        <w:rPr>
          <w:rFonts w:ascii="仿宋_GB2312" w:hAnsi="仿宋_GB2312" w:cs="仿宋_GB2312" w:eastAsia="仿宋_GB2312"/>
          <w:sz w:val="24"/>
        </w:rPr>
        <w:t>2）运输：成交人必须能按照合同的规定，准时提供货物，并负责所供货物的包装、运输，并对所提供的货物按国家有关标准要求进行包装，选择安全可靠的运输方式运抵采购人指定地点，途中安全及费用全部由成交人负责。</w:t>
      </w:r>
    </w:p>
    <w:p>
      <w:pPr>
        <w:pStyle w:val="null3"/>
        <w:ind w:firstLine="498"/>
      </w:pPr>
      <w:r>
        <w:rPr>
          <w:rFonts w:ascii="仿宋_GB2312" w:hAnsi="仿宋_GB2312" w:cs="仿宋_GB2312" w:eastAsia="仿宋_GB2312"/>
          <w:sz w:val="24"/>
        </w:rPr>
        <w:t>（</w:t>
      </w:r>
      <w:r>
        <w:rPr>
          <w:rFonts w:ascii="仿宋_GB2312" w:hAnsi="仿宋_GB2312" w:cs="仿宋_GB2312" w:eastAsia="仿宋_GB2312"/>
          <w:sz w:val="24"/>
        </w:rPr>
        <w:t>3）货物的装卸、运输和堆放均应做到安全、规范，如有破损须及时修复或调换。</w:t>
      </w:r>
    </w:p>
    <w:p>
      <w:pPr>
        <w:pStyle w:val="null3"/>
        <w:ind w:firstLine="482"/>
      </w:pPr>
      <w:r>
        <w:rPr>
          <w:rFonts w:ascii="仿宋_GB2312" w:hAnsi="仿宋_GB2312" w:cs="仿宋_GB2312" w:eastAsia="仿宋_GB2312"/>
          <w:sz w:val="24"/>
          <w:b/>
        </w:rPr>
        <w:t>5、</w:t>
      </w:r>
      <w:r>
        <w:rPr>
          <w:rFonts w:ascii="仿宋_GB2312" w:hAnsi="仿宋_GB2312" w:cs="仿宋_GB2312" w:eastAsia="仿宋_GB2312"/>
          <w:sz w:val="24"/>
          <w:b/>
        </w:rPr>
        <w:t xml:space="preserve"> </w:t>
      </w:r>
      <w:r>
        <w:rPr>
          <w:rFonts w:ascii="仿宋_GB2312" w:hAnsi="仿宋_GB2312" w:cs="仿宋_GB2312" w:eastAsia="仿宋_GB2312"/>
          <w:sz w:val="24"/>
          <w:b/>
        </w:rPr>
        <w:t>响应报价：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1）按磋商文件要求，将项目全部货物送达、最终验收合格交付采购人使用所需的一切费用，包括但不限于：</w:t>
      </w:r>
      <w:r>
        <w:rPr>
          <w:rFonts w:ascii="仿宋_GB2312" w:hAnsi="仿宋_GB2312" w:cs="仿宋_GB2312" w:eastAsia="仿宋_GB2312"/>
          <w:sz w:val="24"/>
          <w:b/>
        </w:rPr>
        <w:t>项目所需的苗木费、运输（含搬运）费、苗木损耗费用、保险费、检验检测费、风险费（包括市场价格波动引起的材料价格变动、国家政策性调整等）、企业</w:t>
      </w:r>
      <w:r>
        <w:rPr>
          <w:rFonts w:ascii="仿宋_GB2312" w:hAnsi="仿宋_GB2312" w:cs="仿宋_GB2312" w:eastAsia="仿宋_GB2312"/>
          <w:sz w:val="24"/>
          <w:b/>
        </w:rPr>
        <w:t>管理费、利润和税费、招标代理服务费等。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上述费用均应包含在每一单项细目的单价中，所有单价均为综合单价，该单价包括以上明确或未明确的所有费用，供应商可在分项报价表中详细列出报价，如果所列分项报价不含以上内容，则视为已含在响应总价中。供应商必须充分考虑上述费用因素，并在此基础上提供合理报价，不得恶意低价，否则若无法按要求履行合同将承担违约责任，并追究由此给采购人造成的所有损失。</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磋商文件中的采购清单作为报价依据，成交单价原则上不作更改，供应商应充分考虑各项报价，如有漏报，视同含在响应报价中。因采购清单有调整的，采购人有权根据实际需要给予增加或减少，结算金额按成交单价与实际采购种类和数量，按实结算。若因使用需求变更的货物在原采购清单中没有，成交人应提供变更的货物在当时市场上的价格依据，经采购人审核同意后作为结算单价。</w:t>
      </w:r>
    </w:p>
    <w:p>
      <w:pPr>
        <w:pStyle w:val="null3"/>
        <w:ind w:firstLine="480"/>
        <w:jc w:val="both"/>
      </w:pPr>
      <w:r>
        <w:rPr>
          <w:rFonts w:ascii="仿宋_GB2312" w:hAnsi="仿宋_GB2312" w:cs="仿宋_GB2312" w:eastAsia="仿宋_GB2312"/>
          <w:sz w:val="24"/>
          <w:b/>
        </w:rPr>
        <w:t>6、 本项目评审时，仅认可通过福建省政府采购网上公开信息系统注册的供应商的相关资料参与评审，与供应商存在子公司、分公司、总公司等其他任何关系的公司提供的相关资料均不得参与评审。除银行、保险、石油石化、电力、电信等行业外（这几类行业分公司参与磋商的，响应文件中须出具总公司的授权书原件扫描件），不接受其他行业法人的分支机构等不能独立承担民事责任的主体参与磋商。</w:t>
      </w:r>
    </w:p>
    <w:p>
      <w:pPr>
        <w:pStyle w:val="null3"/>
        <w:ind w:firstLine="480"/>
        <w:jc w:val="both"/>
      </w:pPr>
      <w:r>
        <w:rPr>
          <w:rFonts w:ascii="仿宋_GB2312" w:hAnsi="仿宋_GB2312" w:cs="仿宋_GB2312" w:eastAsia="仿宋_GB2312"/>
          <w:sz w:val="24"/>
          <w:b/>
        </w:rPr>
        <w:t>7、成交后，采购人有权要求成交人提供其响应文件中所附证明材料的原件供采购人核查，成交人未能提供原件或提供的与响应承诺不一致的，采购人将上报主管部门。若存在虚假应标等违法违规情形的，采购人有权根据项目进度对成交人采取包括但不限于不予退还磋商保证金、取消成交资格、不予签订合同、解除合同措施，不予退还的保证金不足以弥补采购人损失的，成交人还须足额赔偿因此给采购人造成的全部损失。</w:t>
      </w:r>
    </w:p>
    <w:p>
      <w:pPr>
        <w:pStyle w:val="null3"/>
        <w:ind w:firstLine="480"/>
        <w:jc w:val="both"/>
      </w:pPr>
      <w:r>
        <w:rPr>
          <w:rFonts w:ascii="仿宋_GB2312" w:hAnsi="仿宋_GB2312" w:cs="仿宋_GB2312" w:eastAsia="仿宋_GB2312"/>
          <w:sz w:val="24"/>
          <w:b/>
        </w:rPr>
        <w:t>8、成交人要求付款时应提前将以下单据提交采购人：</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1）正式税务增值税发票；</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2）验收合格报告书（包含能够证明该阶段已经采购人验收合格的相关证明文件复印件）；</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3）采购人要求的其他材料。</w:t>
      </w:r>
    </w:p>
    <w:p>
      <w:pPr>
        <w:pStyle w:val="null3"/>
        <w:ind w:firstLine="480"/>
        <w:jc w:val="both"/>
      </w:pPr>
      <w:r>
        <w:rPr>
          <w:rFonts w:ascii="仿宋_GB2312" w:hAnsi="仿宋_GB2312" w:cs="仿宋_GB2312" w:eastAsia="仿宋_GB2312"/>
          <w:sz w:val="24"/>
          <w:b/>
        </w:rPr>
        <w:t>9、违约责任</w:t>
      </w:r>
    </w:p>
    <w:p>
      <w:pPr>
        <w:pStyle w:val="null3"/>
        <w:ind w:firstLine="480"/>
        <w:jc w:val="both"/>
      </w:pPr>
      <w:r>
        <w:rPr>
          <w:rFonts w:ascii="仿宋_GB2312" w:hAnsi="仿宋_GB2312" w:cs="仿宋_GB2312" w:eastAsia="仿宋_GB2312"/>
          <w:sz w:val="24"/>
        </w:rPr>
        <w:t>1） 除本合同另有约定外，合同生效后无正当理由，采购人、成交人均不得随意解除合同。否则提出解除合同一方，向另一方支付合同总金额10％违约金。</w:t>
      </w:r>
    </w:p>
    <w:p>
      <w:pPr>
        <w:pStyle w:val="null3"/>
        <w:ind w:firstLine="480"/>
        <w:jc w:val="both"/>
      </w:pPr>
      <w:r>
        <w:rPr>
          <w:rFonts w:ascii="仿宋_GB2312" w:hAnsi="仿宋_GB2312" w:cs="仿宋_GB2312" w:eastAsia="仿宋_GB2312"/>
          <w:sz w:val="24"/>
        </w:rPr>
        <w:t>2）成交人不能按期交货进场或完成验收合格的，每延误1日，应向采购人支付每日人民币1万元的违约金；延期超过5日的，从第6日起每延期1日，应向采购人支付每日人民币2万元的违约金；延期超过10日的，成交人除应支付每日人民币2万元违约金外，同时采购人有权终止合同，成交人仍应按上述约定支付延期交货违约金，采购人有权从未付的合同货款中予以扣除，成交人已经交付且验收合格的货物按成交单价的80%予以结算，若因此给采购人造成的损失或者造成采购人应向第三方承担违约责任的，成交人还应予以赔偿，成交人支付逾期交付违约金不能免除该赔偿责任。</w:t>
      </w:r>
    </w:p>
    <w:p>
      <w:pPr>
        <w:pStyle w:val="null3"/>
        <w:ind w:firstLine="480"/>
        <w:jc w:val="both"/>
      </w:pPr>
      <w:r>
        <w:rPr>
          <w:rFonts w:ascii="仿宋_GB2312" w:hAnsi="仿宋_GB2312" w:cs="仿宋_GB2312" w:eastAsia="仿宋_GB2312"/>
          <w:sz w:val="24"/>
        </w:rPr>
        <w:t>3）若成交人所交货不合格（包括所交货物不符合合同约定视为不合格），成交人应在7日内将不合格产品更换为合格产品，成交人每逾期1日，应向采购人支付每日人民币1万元的违约金，逾期超过</w:t>
      </w:r>
      <w:r>
        <w:rPr>
          <w:rFonts w:ascii="仿宋_GB2312" w:hAnsi="仿宋_GB2312" w:cs="仿宋_GB2312" w:eastAsia="仿宋_GB2312"/>
          <w:sz w:val="24"/>
        </w:rPr>
        <w:t>5日</w:t>
      </w:r>
      <w:r>
        <w:rPr>
          <w:rFonts w:ascii="仿宋_GB2312" w:hAnsi="仿宋_GB2312" w:cs="仿宋_GB2312" w:eastAsia="仿宋_GB2312"/>
          <w:sz w:val="24"/>
        </w:rPr>
        <w:t>的，采购人有权单方面解除本合同，如项目紧急的，采购人有权聘请第三方进行供货的，所产生的费用由成交人承担。</w:t>
      </w:r>
    </w:p>
    <w:p>
      <w:pPr>
        <w:pStyle w:val="null3"/>
        <w:ind w:firstLine="480"/>
        <w:jc w:val="both"/>
      </w:pPr>
      <w:r>
        <w:rPr>
          <w:rFonts w:ascii="仿宋_GB2312" w:hAnsi="仿宋_GB2312" w:cs="仿宋_GB2312" w:eastAsia="仿宋_GB2312"/>
          <w:sz w:val="24"/>
        </w:rPr>
        <w:t>4）在采购人发出的违约通知后7日内（或经采购人书面确认的更长时间内）仍未纠正其下述任何一种违约行为，采购人有权单方面解除合同，若因此给采购人造成的损失或者造成采购人应向第三方承担违约责任的，成交人还应予以赔偿：</w:t>
      </w:r>
    </w:p>
    <w:p>
      <w:pPr>
        <w:pStyle w:val="null3"/>
        <w:ind w:firstLine="480"/>
        <w:jc w:val="both"/>
      </w:pPr>
      <w:r>
        <w:rPr>
          <w:rFonts w:ascii="仿宋_GB2312" w:hAnsi="仿宋_GB2312" w:cs="仿宋_GB2312" w:eastAsia="仿宋_GB2312"/>
          <w:sz w:val="24"/>
        </w:rPr>
        <w:t>a)所提供的货物、配件与响应文件的承诺不相符；</w:t>
      </w:r>
    </w:p>
    <w:p>
      <w:pPr>
        <w:pStyle w:val="null3"/>
        <w:ind w:firstLine="480"/>
        <w:jc w:val="both"/>
      </w:pPr>
      <w:r>
        <w:rPr>
          <w:rFonts w:ascii="仿宋_GB2312" w:hAnsi="仿宋_GB2312" w:cs="仿宋_GB2312" w:eastAsia="仿宋_GB2312"/>
          <w:sz w:val="24"/>
        </w:rPr>
        <w:t>b)不能达到行业、国家或国际相关标准或要求；</w:t>
      </w:r>
    </w:p>
    <w:p>
      <w:pPr>
        <w:pStyle w:val="null3"/>
        <w:ind w:firstLine="480"/>
        <w:jc w:val="both"/>
      </w:pPr>
      <w:r>
        <w:rPr>
          <w:rFonts w:ascii="仿宋_GB2312" w:hAnsi="仿宋_GB2312" w:cs="仿宋_GB2312" w:eastAsia="仿宋_GB2312"/>
          <w:sz w:val="24"/>
        </w:rPr>
        <w:t>c)成交人违反承诺的品牌、生产厂家、报价、质量和磋商文件规定的质量、技术与性能、售后服务的内容行为；</w:t>
      </w:r>
    </w:p>
    <w:p>
      <w:pPr>
        <w:pStyle w:val="null3"/>
        <w:ind w:firstLine="480"/>
        <w:jc w:val="both"/>
      </w:pPr>
      <w:r>
        <w:rPr>
          <w:rFonts w:ascii="仿宋_GB2312" w:hAnsi="仿宋_GB2312" w:cs="仿宋_GB2312" w:eastAsia="仿宋_GB2312"/>
          <w:sz w:val="24"/>
        </w:rPr>
        <w:t>d)未经采购人同意将项目分包或转包他人。</w:t>
      </w:r>
    </w:p>
    <w:p>
      <w:pPr>
        <w:pStyle w:val="null3"/>
        <w:ind w:firstLine="480"/>
        <w:jc w:val="both"/>
      </w:pPr>
      <w:r>
        <w:rPr>
          <w:rFonts w:ascii="仿宋_GB2312" w:hAnsi="仿宋_GB2312" w:cs="仿宋_GB2312" w:eastAsia="仿宋_GB2312"/>
          <w:sz w:val="24"/>
        </w:rPr>
        <w:t>e)成交人不配合采购人参加验收工作或不提供有关资料；</w:t>
      </w:r>
    </w:p>
    <w:p>
      <w:pPr>
        <w:pStyle w:val="null3"/>
        <w:ind w:firstLine="480"/>
        <w:jc w:val="both"/>
      </w:pPr>
      <w:r>
        <w:rPr>
          <w:rFonts w:ascii="仿宋_GB2312" w:hAnsi="仿宋_GB2312" w:cs="仿宋_GB2312" w:eastAsia="仿宋_GB2312"/>
          <w:sz w:val="24"/>
        </w:rPr>
        <w:t>f)发生破产、重组或停业整顿，或相应资质被有关部门吊销等，无法继续履约的；</w:t>
      </w:r>
    </w:p>
    <w:p>
      <w:pPr>
        <w:pStyle w:val="null3"/>
        <w:ind w:firstLine="480"/>
        <w:jc w:val="both"/>
      </w:pPr>
      <w:r>
        <w:rPr>
          <w:rFonts w:ascii="仿宋_GB2312" w:hAnsi="仿宋_GB2312" w:cs="仿宋_GB2312" w:eastAsia="仿宋_GB2312"/>
          <w:sz w:val="24"/>
        </w:rPr>
        <w:t>g)无正当理由不履行本合同项下的义务。</w:t>
      </w:r>
    </w:p>
    <w:p>
      <w:pPr>
        <w:pStyle w:val="null3"/>
        <w:ind w:firstLine="480"/>
        <w:jc w:val="both"/>
      </w:pPr>
      <w:r>
        <w:rPr>
          <w:rFonts w:ascii="仿宋_GB2312" w:hAnsi="仿宋_GB2312" w:cs="仿宋_GB2312" w:eastAsia="仿宋_GB2312"/>
          <w:sz w:val="24"/>
        </w:rPr>
        <w:t>5）成交人在货物运输、装卸等履行合同的各个环节中产生的一切意外事故，如人员伤害、货物的损坏等概由成交人负责</w:t>
      </w:r>
      <w:r>
        <w:rPr>
          <w:rFonts w:ascii="仿宋_GB2312" w:hAnsi="仿宋_GB2312" w:cs="仿宋_GB2312" w:eastAsia="仿宋_GB2312"/>
          <w:sz w:val="24"/>
        </w:rPr>
        <w:t>；</w:t>
      </w:r>
      <w:r>
        <w:rPr>
          <w:rFonts w:ascii="仿宋_GB2312" w:hAnsi="仿宋_GB2312" w:cs="仿宋_GB2312" w:eastAsia="仿宋_GB2312"/>
          <w:sz w:val="24"/>
        </w:rPr>
        <w:t>对拟投入的所有人员安全负全部责任，如发生违法违规责任事故或其它意外事故，由供应商承担全部责任。</w:t>
      </w:r>
    </w:p>
    <w:p>
      <w:pPr>
        <w:pStyle w:val="null3"/>
        <w:ind w:firstLine="480"/>
        <w:jc w:val="both"/>
      </w:pPr>
      <w:r>
        <w:rPr>
          <w:rFonts w:ascii="仿宋_GB2312" w:hAnsi="仿宋_GB2312" w:cs="仿宋_GB2312" w:eastAsia="仿宋_GB2312"/>
          <w:sz w:val="24"/>
        </w:rPr>
        <w:t>6）成交人的货物提前交货的，因提前交货所发生的仓储和保管费用由成交人承担，货物提前进场，采购人在验收后，仍可按合同约定的时间付款。</w:t>
      </w:r>
    </w:p>
    <w:p>
      <w:pPr>
        <w:pStyle w:val="null3"/>
        <w:ind w:firstLine="480"/>
        <w:jc w:val="both"/>
      </w:pPr>
      <w:r>
        <w:rPr>
          <w:rFonts w:ascii="仿宋_GB2312" w:hAnsi="仿宋_GB2312" w:cs="仿宋_GB2312" w:eastAsia="仿宋_GB2312"/>
          <w:sz w:val="24"/>
        </w:rPr>
        <w:t>7）情形一：成交后，因不可抗力因素（地震、台风、洪水、火灾、政府行为、法律规定或其适用的变化或者其他任何无法预见、避免或者控制的事件或其他客观因素等。下同），造成不能签订合同的，遭受不可抗力一方应及时向对方通报不能签订合同的理由，并在随后取得有关主管机关证明后的15日内向另一方提供不可抗力发生及持续期间的充分证据。基于以上行为，允许遭受不可抗力一方不能签订合同，并根据情况可部分或全部免于承担相关责任，本项目依法重新采购或终止。情形二：若合同履行期间，因不可抗力因素，造成不能履行或不能完全履行合同的，遭受不可抗力一方应及时向对方通报不能履行或不能完全履行的理由，并提供相关证明材料。基于上述情况，遭受不可抗力一方延期履行、部分履行或不履行合同的，根据实际情况可部分或全部免于承担违约责任。成交人为本项目已付出的经采购人认可的工作等所产生的费用，采购人按实支付。</w:t>
      </w:r>
    </w:p>
    <w:p>
      <w:pPr>
        <w:pStyle w:val="null3"/>
        <w:ind w:firstLine="480"/>
        <w:jc w:val="both"/>
      </w:pPr>
      <w:r>
        <w:rPr>
          <w:rFonts w:ascii="仿宋_GB2312" w:hAnsi="仿宋_GB2312" w:cs="仿宋_GB2312" w:eastAsia="仿宋_GB2312"/>
          <w:sz w:val="24"/>
        </w:rPr>
        <w:t>8）在明确违约责任后，成交人应在接到采购人发出书面通知书后七天内支付违约金、赔偿金等(采购人有权从合同款中直接扣除)。</w:t>
      </w:r>
    </w:p>
    <w:p>
      <w:pPr>
        <w:pStyle w:val="null3"/>
        <w:ind w:firstLine="480"/>
        <w:jc w:val="both"/>
      </w:pPr>
      <w:r>
        <w:rPr>
          <w:rFonts w:ascii="仿宋_GB2312" w:hAnsi="仿宋_GB2312" w:cs="仿宋_GB2312" w:eastAsia="仿宋_GB2312"/>
          <w:sz w:val="24"/>
        </w:rPr>
        <w:t>9)违约方除承担上述责任外，还应承担守约方因违约方之违约行为而支出的相关费用(包括但不限于律师费、诉讼费用、诉讼保全费用、保函费用、鉴定费、公证费、执行费、差旅费等)。</w:t>
      </w:r>
    </w:p>
    <w:p>
      <w:pPr>
        <w:pStyle w:val="null3"/>
        <w:ind w:firstLine="480"/>
        <w:jc w:val="both"/>
      </w:pPr>
      <w:r>
        <w:rPr>
          <w:rFonts w:ascii="仿宋_GB2312" w:hAnsi="仿宋_GB2312" w:cs="仿宋_GB2312" w:eastAsia="仿宋_GB2312"/>
          <w:sz w:val="24"/>
          <w:b/>
        </w:rPr>
        <w:t>10、</w:t>
      </w:r>
      <w:r>
        <w:rPr>
          <w:rFonts w:ascii="仿宋_GB2312" w:hAnsi="仿宋_GB2312" w:cs="仿宋_GB2312" w:eastAsia="仿宋_GB2312"/>
          <w:sz w:val="24"/>
          <w:b/>
          <w:u w:val="single"/>
        </w:rPr>
        <w:t>★本项目商务要求均为不允许负偏离的实质性要求。</w:t>
      </w:r>
    </w:p>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根据《泉州市财政局关于进一步落实中小企业政府采购合同融资有关事项的通知》及《关于印发（福建省支持中小企业政府采购合同融资暂行办法）的通知》（闽财购[2018]7号）的通知，现我市政府采购活动中依法中 标后的中小企业供 应商可申请政府采购合同融资：（1）凡参与政府采购并依法取得政府采购合同的供 应商，均可使用政府采购合同向福建省政府采购网发布的政府采购合同融资业务信息的银行业金融机构申请融资，可在“政采贷”模块进行具体操作。 （2）企业申请所需提交的材料可登录“福建省政府采购网”查询。（3）融资主要条件：①担保条件：除法定代表人或实际控制人担保外，如融资金额未超过政府采购合同金额的，银行不要求企业供 应商提供财产抵质押或第三方担保，或附加其他担保条件。②专用账户：当银行同意授信后，企业供 应商在该行开立封闭式专用账户，与采购人在合同中或通过签订补充协议约定唯一收款账号。 ③支付约定：银行发放贷款的同时，办理政府采购合同应收账款质押查询和登记，合同履行并验收后，采购人需将采购资金按合同约定支付到约定收款账户。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[350582]FJDL[CS]2025002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2025年春季义务植树采购项目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苗木类</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苗木类</w:t>
            </w:r>
          </w:p>
        </w:tc>
        <w:tc>
          <w:tcPr>
            <w:tcW w:type="dxa" w:w="1661"/>
          </w:tcPr>
          <w:p>
            <w:pPr>
              <w:pStyle w:val="null3"/>
              <w:jc w:val="left"/>
            </w:pPr>
            <w:r>
              <w:rPr>
                <w:rFonts w:ascii="仿宋_GB2312" w:hAnsi="仿宋_GB2312" w:cs="仿宋_GB2312" w:eastAsia="仿宋_GB2312"/>
              </w:rPr>
              <w:t xml:space="preserve"> 1983800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[350582]FJDL[CS]2025002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2025年春季义务植树采购项目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苗木类</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苗木类</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货物名称</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制造商名称</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黄槿</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100.0000</w:t>
            </w:r>
          </w:p>
        </w:tc>
        <w:tc>
          <w:tcPr>
            <w:tcW w:type="dxa" w:w="755"/>
          </w:tcPr>
          <w:p>
            <w:pPr>
              <w:pStyle w:val="null3"/>
              <w:jc w:val="left"/>
            </w:pPr>
            <w:r>
              <w:rPr>
                <w:rFonts w:ascii="仿宋_GB2312" w:hAnsi="仿宋_GB2312" w:cs="仿宋_GB2312" w:eastAsia="仿宋_GB2312"/>
              </w:rPr>
              <w:t xml:space="preserve"> 株</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油茶(注：不同品种三种及以上)</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4500.0000</w:t>
            </w:r>
          </w:p>
        </w:tc>
        <w:tc>
          <w:tcPr>
            <w:tcW w:type="dxa" w:w="755"/>
          </w:tcPr>
          <w:p>
            <w:pPr>
              <w:pStyle w:val="null3"/>
              <w:jc w:val="left"/>
            </w:pPr>
            <w:r>
              <w:rPr>
                <w:rFonts w:ascii="仿宋_GB2312" w:hAnsi="仿宋_GB2312" w:cs="仿宋_GB2312" w:eastAsia="仿宋_GB2312"/>
              </w:rPr>
              <w:t xml:space="preserve"> 株</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深山含笑</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100.0000</w:t>
            </w:r>
          </w:p>
        </w:tc>
        <w:tc>
          <w:tcPr>
            <w:tcW w:type="dxa" w:w="755"/>
          </w:tcPr>
          <w:p>
            <w:pPr>
              <w:pStyle w:val="null3"/>
              <w:jc w:val="left"/>
            </w:pPr>
            <w:r>
              <w:rPr>
                <w:rFonts w:ascii="仿宋_GB2312" w:hAnsi="仿宋_GB2312" w:cs="仿宋_GB2312" w:eastAsia="仿宋_GB2312"/>
              </w:rPr>
              <w:t xml:space="preserve"> 株</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福建樱花</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150.0000</w:t>
            </w:r>
          </w:p>
        </w:tc>
        <w:tc>
          <w:tcPr>
            <w:tcW w:type="dxa" w:w="755"/>
          </w:tcPr>
          <w:p>
            <w:pPr>
              <w:pStyle w:val="null3"/>
              <w:jc w:val="left"/>
            </w:pPr>
            <w:r>
              <w:rPr>
                <w:rFonts w:ascii="仿宋_GB2312" w:hAnsi="仿宋_GB2312" w:cs="仿宋_GB2312" w:eastAsia="仿宋_GB2312"/>
              </w:rPr>
              <w:t xml:space="preserve"> 株</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富贵榕</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200.0000</w:t>
            </w:r>
          </w:p>
        </w:tc>
        <w:tc>
          <w:tcPr>
            <w:tcW w:type="dxa" w:w="755"/>
          </w:tcPr>
          <w:p>
            <w:pPr>
              <w:pStyle w:val="null3"/>
              <w:jc w:val="left"/>
            </w:pPr>
            <w:r>
              <w:rPr>
                <w:rFonts w:ascii="仿宋_GB2312" w:hAnsi="仿宋_GB2312" w:cs="仿宋_GB2312" w:eastAsia="仿宋_GB2312"/>
              </w:rPr>
              <w:t xml:space="preserve"> 株</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香樟</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200.0000</w:t>
            </w:r>
          </w:p>
        </w:tc>
        <w:tc>
          <w:tcPr>
            <w:tcW w:type="dxa" w:w="755"/>
          </w:tcPr>
          <w:p>
            <w:pPr>
              <w:pStyle w:val="null3"/>
              <w:jc w:val="left"/>
            </w:pPr>
            <w:r>
              <w:rPr>
                <w:rFonts w:ascii="仿宋_GB2312" w:hAnsi="仿宋_GB2312" w:cs="仿宋_GB2312" w:eastAsia="仿宋_GB2312"/>
              </w:rPr>
              <w:t xml:space="preserve"> 株</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台湾栾树</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100.0000</w:t>
            </w:r>
          </w:p>
        </w:tc>
        <w:tc>
          <w:tcPr>
            <w:tcW w:type="dxa" w:w="755"/>
          </w:tcPr>
          <w:p>
            <w:pPr>
              <w:pStyle w:val="null3"/>
              <w:jc w:val="left"/>
            </w:pPr>
            <w:r>
              <w:rPr>
                <w:rFonts w:ascii="仿宋_GB2312" w:hAnsi="仿宋_GB2312" w:cs="仿宋_GB2312" w:eastAsia="仿宋_GB2312"/>
              </w:rPr>
              <w:t xml:space="preserve"> 株</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美丽异木棉</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100.0000</w:t>
            </w:r>
          </w:p>
        </w:tc>
        <w:tc>
          <w:tcPr>
            <w:tcW w:type="dxa" w:w="755"/>
          </w:tcPr>
          <w:p>
            <w:pPr>
              <w:pStyle w:val="null3"/>
              <w:jc w:val="left"/>
            </w:pPr>
            <w:r>
              <w:rPr>
                <w:rFonts w:ascii="仿宋_GB2312" w:hAnsi="仿宋_GB2312" w:cs="仿宋_GB2312" w:eastAsia="仿宋_GB2312"/>
              </w:rPr>
              <w:t xml:space="preserve"> 株</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碧桃</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200.0000</w:t>
            </w:r>
          </w:p>
        </w:tc>
        <w:tc>
          <w:tcPr>
            <w:tcW w:type="dxa" w:w="755"/>
          </w:tcPr>
          <w:p>
            <w:pPr>
              <w:pStyle w:val="null3"/>
              <w:jc w:val="left"/>
            </w:pPr>
            <w:r>
              <w:rPr>
                <w:rFonts w:ascii="仿宋_GB2312" w:hAnsi="仿宋_GB2312" w:cs="仿宋_GB2312" w:eastAsia="仿宋_GB2312"/>
              </w:rPr>
              <w:t xml:space="preserve"> 株</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宫粉紫荆</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200.0000</w:t>
            </w:r>
          </w:p>
        </w:tc>
        <w:tc>
          <w:tcPr>
            <w:tcW w:type="dxa" w:w="755"/>
          </w:tcPr>
          <w:p>
            <w:pPr>
              <w:pStyle w:val="null3"/>
              <w:jc w:val="left"/>
            </w:pPr>
            <w:r>
              <w:rPr>
                <w:rFonts w:ascii="仿宋_GB2312" w:hAnsi="仿宋_GB2312" w:cs="仿宋_GB2312" w:eastAsia="仿宋_GB2312"/>
              </w:rPr>
              <w:t xml:space="preserve"> 株</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泡桐</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150.0000</w:t>
            </w:r>
          </w:p>
        </w:tc>
        <w:tc>
          <w:tcPr>
            <w:tcW w:type="dxa" w:w="755"/>
          </w:tcPr>
          <w:p>
            <w:pPr>
              <w:pStyle w:val="null3"/>
              <w:jc w:val="left"/>
            </w:pPr>
            <w:r>
              <w:rPr>
                <w:rFonts w:ascii="仿宋_GB2312" w:hAnsi="仿宋_GB2312" w:cs="仿宋_GB2312" w:eastAsia="仿宋_GB2312"/>
              </w:rPr>
              <w:t xml:space="preserve"> 株</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紫花风铃木</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200.0000</w:t>
            </w:r>
          </w:p>
        </w:tc>
        <w:tc>
          <w:tcPr>
            <w:tcW w:type="dxa" w:w="755"/>
          </w:tcPr>
          <w:p>
            <w:pPr>
              <w:pStyle w:val="null3"/>
              <w:jc w:val="left"/>
            </w:pPr>
            <w:r>
              <w:rPr>
                <w:rFonts w:ascii="仿宋_GB2312" w:hAnsi="仿宋_GB2312" w:cs="仿宋_GB2312" w:eastAsia="仿宋_GB2312"/>
              </w:rPr>
              <w:t xml:space="preserve"> 株</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13</w:t>
            </w:r>
          </w:p>
        </w:tc>
        <w:tc>
          <w:tcPr>
            <w:tcW w:type="dxa" w:w="755"/>
          </w:tcPr>
          <w:p>
            <w:pPr>
              <w:pStyle w:val="null3"/>
              <w:jc w:val="left"/>
            </w:pPr>
            <w:r>
              <w:rPr>
                <w:rFonts w:ascii="仿宋_GB2312" w:hAnsi="仿宋_GB2312" w:cs="仿宋_GB2312" w:eastAsia="仿宋_GB2312"/>
              </w:rPr>
              <w:t xml:space="preserve"> 落羽杉</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200.0000</w:t>
            </w:r>
          </w:p>
        </w:tc>
        <w:tc>
          <w:tcPr>
            <w:tcW w:type="dxa" w:w="755"/>
          </w:tcPr>
          <w:p>
            <w:pPr>
              <w:pStyle w:val="null3"/>
              <w:jc w:val="left"/>
            </w:pPr>
            <w:r>
              <w:rPr>
                <w:rFonts w:ascii="仿宋_GB2312" w:hAnsi="仿宋_GB2312" w:cs="仿宋_GB2312" w:eastAsia="仿宋_GB2312"/>
              </w:rPr>
              <w:t xml:space="preserve"> 株</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14</w:t>
            </w:r>
          </w:p>
        </w:tc>
        <w:tc>
          <w:tcPr>
            <w:tcW w:type="dxa" w:w="755"/>
          </w:tcPr>
          <w:p>
            <w:pPr>
              <w:pStyle w:val="null3"/>
              <w:jc w:val="left"/>
            </w:pPr>
            <w:r>
              <w:rPr>
                <w:rFonts w:ascii="仿宋_GB2312" w:hAnsi="仿宋_GB2312" w:cs="仿宋_GB2312" w:eastAsia="仿宋_GB2312"/>
              </w:rPr>
              <w:t xml:space="preserve"> 银杏</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200.0000</w:t>
            </w:r>
          </w:p>
        </w:tc>
        <w:tc>
          <w:tcPr>
            <w:tcW w:type="dxa" w:w="755"/>
          </w:tcPr>
          <w:p>
            <w:pPr>
              <w:pStyle w:val="null3"/>
              <w:jc w:val="left"/>
            </w:pPr>
            <w:r>
              <w:rPr>
                <w:rFonts w:ascii="仿宋_GB2312" w:hAnsi="仿宋_GB2312" w:cs="仿宋_GB2312" w:eastAsia="仿宋_GB2312"/>
              </w:rPr>
              <w:t xml:space="preserve"> 株</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15</w:t>
            </w:r>
          </w:p>
        </w:tc>
        <w:tc>
          <w:tcPr>
            <w:tcW w:type="dxa" w:w="755"/>
          </w:tcPr>
          <w:p>
            <w:pPr>
              <w:pStyle w:val="null3"/>
              <w:jc w:val="left"/>
            </w:pPr>
            <w:r>
              <w:rPr>
                <w:rFonts w:ascii="仿宋_GB2312" w:hAnsi="仿宋_GB2312" w:cs="仿宋_GB2312" w:eastAsia="仿宋_GB2312"/>
              </w:rPr>
              <w:t xml:space="preserve"> 凤凰木</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200.0000</w:t>
            </w:r>
          </w:p>
        </w:tc>
        <w:tc>
          <w:tcPr>
            <w:tcW w:type="dxa" w:w="755"/>
          </w:tcPr>
          <w:p>
            <w:pPr>
              <w:pStyle w:val="null3"/>
              <w:jc w:val="left"/>
            </w:pPr>
            <w:r>
              <w:rPr>
                <w:rFonts w:ascii="仿宋_GB2312" w:hAnsi="仿宋_GB2312" w:cs="仿宋_GB2312" w:eastAsia="仿宋_GB2312"/>
              </w:rPr>
              <w:t xml:space="preserve"> 株</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16</w:t>
            </w:r>
          </w:p>
        </w:tc>
        <w:tc>
          <w:tcPr>
            <w:tcW w:type="dxa" w:w="755"/>
          </w:tcPr>
          <w:p>
            <w:pPr>
              <w:pStyle w:val="null3"/>
              <w:jc w:val="left"/>
            </w:pPr>
            <w:r>
              <w:rPr>
                <w:rFonts w:ascii="仿宋_GB2312" w:hAnsi="仿宋_GB2312" w:cs="仿宋_GB2312" w:eastAsia="仿宋_GB2312"/>
              </w:rPr>
              <w:t xml:space="preserve"> 黄连木</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100.0000</w:t>
            </w:r>
          </w:p>
        </w:tc>
        <w:tc>
          <w:tcPr>
            <w:tcW w:type="dxa" w:w="755"/>
          </w:tcPr>
          <w:p>
            <w:pPr>
              <w:pStyle w:val="null3"/>
              <w:jc w:val="left"/>
            </w:pPr>
            <w:r>
              <w:rPr>
                <w:rFonts w:ascii="仿宋_GB2312" w:hAnsi="仿宋_GB2312" w:cs="仿宋_GB2312" w:eastAsia="仿宋_GB2312"/>
              </w:rPr>
              <w:t xml:space="preserve"> 株</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17</w:t>
            </w:r>
          </w:p>
        </w:tc>
        <w:tc>
          <w:tcPr>
            <w:tcW w:type="dxa" w:w="755"/>
          </w:tcPr>
          <w:p>
            <w:pPr>
              <w:pStyle w:val="null3"/>
              <w:jc w:val="left"/>
            </w:pPr>
            <w:r>
              <w:rPr>
                <w:rFonts w:ascii="仿宋_GB2312" w:hAnsi="仿宋_GB2312" w:cs="仿宋_GB2312" w:eastAsia="仿宋_GB2312"/>
              </w:rPr>
              <w:t xml:space="preserve"> 毛杜鹃</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500.0000</w:t>
            </w:r>
          </w:p>
        </w:tc>
        <w:tc>
          <w:tcPr>
            <w:tcW w:type="dxa" w:w="755"/>
          </w:tcPr>
          <w:p>
            <w:pPr>
              <w:pStyle w:val="null3"/>
              <w:jc w:val="left"/>
            </w:pPr>
            <w:r>
              <w:rPr>
                <w:rFonts w:ascii="仿宋_GB2312" w:hAnsi="仿宋_GB2312" w:cs="仿宋_GB2312" w:eastAsia="仿宋_GB2312"/>
              </w:rPr>
              <w:t xml:space="preserve"> 株</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18</w:t>
            </w:r>
          </w:p>
        </w:tc>
        <w:tc>
          <w:tcPr>
            <w:tcW w:type="dxa" w:w="755"/>
          </w:tcPr>
          <w:p>
            <w:pPr>
              <w:pStyle w:val="null3"/>
              <w:jc w:val="left"/>
            </w:pPr>
            <w:r>
              <w:rPr>
                <w:rFonts w:ascii="仿宋_GB2312" w:hAnsi="仿宋_GB2312" w:cs="仿宋_GB2312" w:eastAsia="仿宋_GB2312"/>
              </w:rPr>
              <w:t xml:space="preserve"> 绣球花</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500.0000</w:t>
            </w:r>
          </w:p>
        </w:tc>
        <w:tc>
          <w:tcPr>
            <w:tcW w:type="dxa" w:w="755"/>
          </w:tcPr>
          <w:p>
            <w:pPr>
              <w:pStyle w:val="null3"/>
              <w:jc w:val="left"/>
            </w:pPr>
            <w:r>
              <w:rPr>
                <w:rFonts w:ascii="仿宋_GB2312" w:hAnsi="仿宋_GB2312" w:cs="仿宋_GB2312" w:eastAsia="仿宋_GB2312"/>
              </w:rPr>
              <w:t xml:space="preserve"> 株</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19</w:t>
            </w:r>
          </w:p>
        </w:tc>
        <w:tc>
          <w:tcPr>
            <w:tcW w:type="dxa" w:w="755"/>
          </w:tcPr>
          <w:p>
            <w:pPr>
              <w:pStyle w:val="null3"/>
              <w:jc w:val="left"/>
            </w:pPr>
            <w:r>
              <w:rPr>
                <w:rFonts w:ascii="仿宋_GB2312" w:hAnsi="仿宋_GB2312" w:cs="仿宋_GB2312" w:eastAsia="仿宋_GB2312"/>
              </w:rPr>
              <w:t xml:space="preserve"> 三角梅</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1000.0000</w:t>
            </w:r>
          </w:p>
        </w:tc>
        <w:tc>
          <w:tcPr>
            <w:tcW w:type="dxa" w:w="755"/>
          </w:tcPr>
          <w:p>
            <w:pPr>
              <w:pStyle w:val="null3"/>
              <w:jc w:val="left"/>
            </w:pPr>
            <w:r>
              <w:rPr>
                <w:rFonts w:ascii="仿宋_GB2312" w:hAnsi="仿宋_GB2312" w:cs="仿宋_GB2312" w:eastAsia="仿宋_GB2312"/>
              </w:rPr>
              <w:t xml:space="preserve"> 株</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20</w:t>
            </w:r>
          </w:p>
        </w:tc>
        <w:tc>
          <w:tcPr>
            <w:tcW w:type="dxa" w:w="755"/>
          </w:tcPr>
          <w:p>
            <w:pPr>
              <w:pStyle w:val="null3"/>
              <w:jc w:val="left"/>
            </w:pPr>
            <w:r>
              <w:rPr>
                <w:rFonts w:ascii="仿宋_GB2312" w:hAnsi="仿宋_GB2312" w:cs="仿宋_GB2312" w:eastAsia="仿宋_GB2312"/>
              </w:rPr>
              <w:t xml:space="preserve"> 鼠尾草</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500.0000</w:t>
            </w:r>
          </w:p>
        </w:tc>
        <w:tc>
          <w:tcPr>
            <w:tcW w:type="dxa" w:w="755"/>
          </w:tcPr>
          <w:p>
            <w:pPr>
              <w:pStyle w:val="null3"/>
              <w:jc w:val="left"/>
            </w:pPr>
            <w:r>
              <w:rPr>
                <w:rFonts w:ascii="仿宋_GB2312" w:hAnsi="仿宋_GB2312" w:cs="仿宋_GB2312" w:eastAsia="仿宋_GB2312"/>
              </w:rPr>
              <w:t xml:space="preserve"> 株</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21</w:t>
            </w:r>
          </w:p>
        </w:tc>
        <w:tc>
          <w:tcPr>
            <w:tcW w:type="dxa" w:w="755"/>
          </w:tcPr>
          <w:p>
            <w:pPr>
              <w:pStyle w:val="null3"/>
              <w:jc w:val="left"/>
            </w:pPr>
            <w:r>
              <w:rPr>
                <w:rFonts w:ascii="仿宋_GB2312" w:hAnsi="仿宋_GB2312" w:cs="仿宋_GB2312" w:eastAsia="仿宋_GB2312"/>
              </w:rPr>
              <w:t xml:space="preserve"> 狼牙草</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500.0000</w:t>
            </w:r>
          </w:p>
        </w:tc>
        <w:tc>
          <w:tcPr>
            <w:tcW w:type="dxa" w:w="755"/>
          </w:tcPr>
          <w:p>
            <w:pPr>
              <w:pStyle w:val="null3"/>
              <w:jc w:val="left"/>
            </w:pPr>
            <w:r>
              <w:rPr>
                <w:rFonts w:ascii="仿宋_GB2312" w:hAnsi="仿宋_GB2312" w:cs="仿宋_GB2312" w:eastAsia="仿宋_GB2312"/>
              </w:rPr>
              <w:t xml:space="preserve"> 株</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22</w:t>
            </w:r>
          </w:p>
        </w:tc>
        <w:tc>
          <w:tcPr>
            <w:tcW w:type="dxa" w:w="755"/>
          </w:tcPr>
          <w:p>
            <w:pPr>
              <w:pStyle w:val="null3"/>
              <w:jc w:val="left"/>
            </w:pPr>
            <w:r>
              <w:rPr>
                <w:rFonts w:ascii="仿宋_GB2312" w:hAnsi="仿宋_GB2312" w:cs="仿宋_GB2312" w:eastAsia="仿宋_GB2312"/>
              </w:rPr>
              <w:t xml:space="preserve"> 翠芦莉</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500.0000</w:t>
            </w:r>
          </w:p>
        </w:tc>
        <w:tc>
          <w:tcPr>
            <w:tcW w:type="dxa" w:w="755"/>
          </w:tcPr>
          <w:p>
            <w:pPr>
              <w:pStyle w:val="null3"/>
              <w:jc w:val="left"/>
            </w:pPr>
            <w:r>
              <w:rPr>
                <w:rFonts w:ascii="仿宋_GB2312" w:hAnsi="仿宋_GB2312" w:cs="仿宋_GB2312" w:eastAsia="仿宋_GB2312"/>
              </w:rPr>
              <w:t xml:space="preserve"> 株</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23</w:t>
            </w:r>
          </w:p>
        </w:tc>
        <w:tc>
          <w:tcPr>
            <w:tcW w:type="dxa" w:w="755"/>
          </w:tcPr>
          <w:p>
            <w:pPr>
              <w:pStyle w:val="null3"/>
              <w:jc w:val="left"/>
            </w:pPr>
            <w:r>
              <w:rPr>
                <w:rFonts w:ascii="仿宋_GB2312" w:hAnsi="仿宋_GB2312" w:cs="仿宋_GB2312" w:eastAsia="仿宋_GB2312"/>
              </w:rPr>
              <w:t xml:space="preserve"> 花叶良姜</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500.0000</w:t>
            </w:r>
          </w:p>
        </w:tc>
        <w:tc>
          <w:tcPr>
            <w:tcW w:type="dxa" w:w="755"/>
          </w:tcPr>
          <w:p>
            <w:pPr>
              <w:pStyle w:val="null3"/>
              <w:jc w:val="left"/>
            </w:pPr>
            <w:r>
              <w:rPr>
                <w:rFonts w:ascii="仿宋_GB2312" w:hAnsi="仿宋_GB2312" w:cs="仿宋_GB2312" w:eastAsia="仿宋_GB2312"/>
              </w:rPr>
              <w:t xml:space="preserve"> 株</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24</w:t>
            </w:r>
          </w:p>
        </w:tc>
        <w:tc>
          <w:tcPr>
            <w:tcW w:type="dxa" w:w="755"/>
          </w:tcPr>
          <w:p>
            <w:pPr>
              <w:pStyle w:val="null3"/>
              <w:jc w:val="left"/>
            </w:pPr>
            <w:r>
              <w:rPr>
                <w:rFonts w:ascii="仿宋_GB2312" w:hAnsi="仿宋_GB2312" w:cs="仿宋_GB2312" w:eastAsia="仿宋_GB2312"/>
              </w:rPr>
              <w:t xml:space="preserve"> 炮仗花</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3000.0000</w:t>
            </w:r>
          </w:p>
        </w:tc>
        <w:tc>
          <w:tcPr>
            <w:tcW w:type="dxa" w:w="755"/>
          </w:tcPr>
          <w:p>
            <w:pPr>
              <w:pStyle w:val="null3"/>
              <w:jc w:val="left"/>
            </w:pPr>
            <w:r>
              <w:rPr>
                <w:rFonts w:ascii="仿宋_GB2312" w:hAnsi="仿宋_GB2312" w:cs="仿宋_GB2312" w:eastAsia="仿宋_GB2312"/>
              </w:rPr>
              <w:t xml:space="preserve"> 株</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25</w:t>
            </w:r>
          </w:p>
        </w:tc>
        <w:tc>
          <w:tcPr>
            <w:tcW w:type="dxa" w:w="755"/>
          </w:tcPr>
          <w:p>
            <w:pPr>
              <w:pStyle w:val="null3"/>
              <w:jc w:val="left"/>
            </w:pPr>
            <w:r>
              <w:rPr>
                <w:rFonts w:ascii="仿宋_GB2312" w:hAnsi="仿宋_GB2312" w:cs="仿宋_GB2312" w:eastAsia="仿宋_GB2312"/>
              </w:rPr>
              <w:t xml:space="preserve"> 夹竹桃</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10000.0000</w:t>
            </w:r>
          </w:p>
        </w:tc>
        <w:tc>
          <w:tcPr>
            <w:tcW w:type="dxa" w:w="755"/>
          </w:tcPr>
          <w:p>
            <w:pPr>
              <w:pStyle w:val="null3"/>
              <w:jc w:val="left"/>
            </w:pPr>
            <w:r>
              <w:rPr>
                <w:rFonts w:ascii="仿宋_GB2312" w:hAnsi="仿宋_GB2312" w:cs="仿宋_GB2312" w:eastAsia="仿宋_GB2312"/>
              </w:rPr>
              <w:t xml:space="preserve"> 株</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26</w:t>
            </w:r>
          </w:p>
        </w:tc>
        <w:tc>
          <w:tcPr>
            <w:tcW w:type="dxa" w:w="755"/>
          </w:tcPr>
          <w:p>
            <w:pPr>
              <w:pStyle w:val="null3"/>
              <w:jc w:val="left"/>
            </w:pPr>
            <w:r>
              <w:rPr>
                <w:rFonts w:ascii="仿宋_GB2312" w:hAnsi="仿宋_GB2312" w:cs="仿宋_GB2312" w:eastAsia="仿宋_GB2312"/>
              </w:rPr>
              <w:t xml:space="preserve"> 木麻黄</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10000.0000</w:t>
            </w:r>
          </w:p>
        </w:tc>
        <w:tc>
          <w:tcPr>
            <w:tcW w:type="dxa" w:w="755"/>
          </w:tcPr>
          <w:p>
            <w:pPr>
              <w:pStyle w:val="null3"/>
              <w:jc w:val="left"/>
            </w:pPr>
            <w:r>
              <w:rPr>
                <w:rFonts w:ascii="仿宋_GB2312" w:hAnsi="仿宋_GB2312" w:cs="仿宋_GB2312" w:eastAsia="仿宋_GB2312"/>
              </w:rPr>
              <w:t xml:space="preserve"> 株</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27</w:t>
            </w:r>
          </w:p>
        </w:tc>
        <w:tc>
          <w:tcPr>
            <w:tcW w:type="dxa" w:w="755"/>
          </w:tcPr>
          <w:p>
            <w:pPr>
              <w:pStyle w:val="null3"/>
              <w:jc w:val="left"/>
            </w:pPr>
            <w:r>
              <w:rPr>
                <w:rFonts w:ascii="仿宋_GB2312" w:hAnsi="仿宋_GB2312" w:cs="仿宋_GB2312" w:eastAsia="仿宋_GB2312"/>
              </w:rPr>
              <w:t xml:space="preserve"> 黑麦草</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1000.0000</w:t>
            </w:r>
          </w:p>
        </w:tc>
        <w:tc>
          <w:tcPr>
            <w:tcW w:type="dxa" w:w="755"/>
          </w:tcPr>
          <w:p>
            <w:pPr>
              <w:pStyle w:val="null3"/>
              <w:jc w:val="left"/>
            </w:pPr>
            <w:r>
              <w:rPr>
                <w:rFonts w:ascii="仿宋_GB2312" w:hAnsi="仿宋_GB2312" w:cs="仿宋_GB2312" w:eastAsia="仿宋_GB2312"/>
              </w:rPr>
              <w:t xml:space="preserve"> kg</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28</w:t>
            </w:r>
          </w:p>
        </w:tc>
        <w:tc>
          <w:tcPr>
            <w:tcW w:type="dxa" w:w="755"/>
          </w:tcPr>
          <w:p>
            <w:pPr>
              <w:pStyle w:val="null3"/>
              <w:jc w:val="left"/>
            </w:pPr>
            <w:r>
              <w:rPr>
                <w:rFonts w:ascii="仿宋_GB2312" w:hAnsi="仿宋_GB2312" w:cs="仿宋_GB2312" w:eastAsia="仿宋_GB2312"/>
              </w:rPr>
              <w:t xml:space="preserve"> 紫云英</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1000.0000</w:t>
            </w:r>
          </w:p>
        </w:tc>
        <w:tc>
          <w:tcPr>
            <w:tcW w:type="dxa" w:w="755"/>
          </w:tcPr>
          <w:p>
            <w:pPr>
              <w:pStyle w:val="null3"/>
              <w:jc w:val="left"/>
            </w:pPr>
            <w:r>
              <w:rPr>
                <w:rFonts w:ascii="仿宋_GB2312" w:hAnsi="仿宋_GB2312" w:cs="仿宋_GB2312" w:eastAsia="仿宋_GB2312"/>
              </w:rPr>
              <w:t xml:space="preserve"> kg</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29</w:t>
            </w:r>
          </w:p>
        </w:tc>
        <w:tc>
          <w:tcPr>
            <w:tcW w:type="dxa" w:w="755"/>
          </w:tcPr>
          <w:p>
            <w:pPr>
              <w:pStyle w:val="null3"/>
              <w:jc w:val="left"/>
            </w:pPr>
            <w:r>
              <w:rPr>
                <w:rFonts w:ascii="仿宋_GB2312" w:hAnsi="仿宋_GB2312" w:cs="仿宋_GB2312" w:eastAsia="仿宋_GB2312"/>
              </w:rPr>
              <w:t xml:space="preserve"> 金光菊</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1000.0000</w:t>
            </w:r>
          </w:p>
        </w:tc>
        <w:tc>
          <w:tcPr>
            <w:tcW w:type="dxa" w:w="755"/>
          </w:tcPr>
          <w:p>
            <w:pPr>
              <w:pStyle w:val="null3"/>
              <w:jc w:val="left"/>
            </w:pPr>
            <w:r>
              <w:rPr>
                <w:rFonts w:ascii="仿宋_GB2312" w:hAnsi="仿宋_GB2312" w:cs="仿宋_GB2312" w:eastAsia="仿宋_GB2312"/>
              </w:rPr>
              <w:t xml:space="preserve"> kg</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30</w:t>
            </w:r>
          </w:p>
        </w:tc>
        <w:tc>
          <w:tcPr>
            <w:tcW w:type="dxa" w:w="755"/>
          </w:tcPr>
          <w:p>
            <w:pPr>
              <w:pStyle w:val="null3"/>
              <w:jc w:val="left"/>
            </w:pPr>
            <w:r>
              <w:rPr>
                <w:rFonts w:ascii="仿宋_GB2312" w:hAnsi="仿宋_GB2312" w:cs="仿宋_GB2312" w:eastAsia="仿宋_GB2312"/>
              </w:rPr>
              <w:t xml:space="preserve"> 大滨菊</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1000.0000</w:t>
            </w:r>
          </w:p>
        </w:tc>
        <w:tc>
          <w:tcPr>
            <w:tcW w:type="dxa" w:w="755"/>
          </w:tcPr>
          <w:p>
            <w:pPr>
              <w:pStyle w:val="null3"/>
              <w:jc w:val="left"/>
            </w:pPr>
            <w:r>
              <w:rPr>
                <w:rFonts w:ascii="仿宋_GB2312" w:hAnsi="仿宋_GB2312" w:cs="仿宋_GB2312" w:eastAsia="仿宋_GB2312"/>
              </w:rPr>
              <w:t xml:space="preserve"> kg</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31</w:t>
            </w:r>
          </w:p>
        </w:tc>
        <w:tc>
          <w:tcPr>
            <w:tcW w:type="dxa" w:w="755"/>
          </w:tcPr>
          <w:p>
            <w:pPr>
              <w:pStyle w:val="null3"/>
              <w:jc w:val="left"/>
            </w:pPr>
            <w:r>
              <w:rPr>
                <w:rFonts w:ascii="仿宋_GB2312" w:hAnsi="仿宋_GB2312" w:cs="仿宋_GB2312" w:eastAsia="仿宋_GB2312"/>
              </w:rPr>
              <w:t xml:space="preserve"> 泡桐</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500.0000</w:t>
            </w:r>
          </w:p>
        </w:tc>
        <w:tc>
          <w:tcPr>
            <w:tcW w:type="dxa" w:w="755"/>
          </w:tcPr>
          <w:p>
            <w:pPr>
              <w:pStyle w:val="null3"/>
              <w:jc w:val="left"/>
            </w:pPr>
            <w:r>
              <w:rPr>
                <w:rFonts w:ascii="仿宋_GB2312" w:hAnsi="仿宋_GB2312" w:cs="仿宋_GB2312" w:eastAsia="仿宋_GB2312"/>
              </w:rPr>
              <w:t xml:space="preserve"> kg</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r>
        <w:br/>
      </w:r>
      <w:r>
        <w:br/>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上文提供财务报告、资信证明、担保函共三大类型，请供应商按照自身实际情况编制填写，在其中相应的（）中打“√”并选择相应的“□”（若有）后，再按照本格式的要求提供相应证明材料的复印件即可。即供应商符合上述三大类型其中一种，并按要求提供相应证明资料即为满足。</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b/>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