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2025年新能源转网电工程穿越铁路顶管工程</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西乌珠穆沁旗吉仁高勒镇人民政府</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内蒙古景仁招标代理有限责任公司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152526-NMGJR-CS-20250001</w:t>
      </w:r>
    </w:p>
    <w:p>
      <w:pPr>
        <w:pStyle w:val="null5"/>
        <w:jc w:val="center"/>
      </w:pPr>
      <w:r>
        <w:rPr>
          <w:rFonts w:ascii="仿宋_GB2312" w:hAnsi="仿宋_GB2312" w:cs="仿宋_GB2312" w:eastAsia="仿宋_GB2312"/>
        </w:rPr>
        <w:t>2025年03月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内蒙古景仁招标代理有限责任公司</w:t>
      </w:r>
      <w:r>
        <w:rPr>
          <w:rFonts w:ascii="仿宋_GB2312" w:hAnsi="仿宋_GB2312" w:cs="仿宋_GB2312" w:eastAsia="仿宋_GB2312"/>
        </w:rPr>
        <w:t xml:space="preserve"> 受 </w:t>
      </w:r>
      <w:r>
        <w:rPr>
          <w:rFonts w:ascii="仿宋_GB2312" w:hAnsi="仿宋_GB2312" w:cs="仿宋_GB2312" w:eastAsia="仿宋_GB2312"/>
        </w:rPr>
        <w:t>西乌珠穆沁旗吉仁高勒镇人民政府</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2025年新能源转网电工程穿越铁路顶管工程</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2025年新能源转网电工程穿越铁路顶管工程</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152526-NMGJR-CS-20250001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西财购政采计划[2025]00170</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811,259.00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2025年新能源转网电工程穿越铁路顶管工程</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811,259.00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专用资格要求：1.供应商须具备建设行政主管部门核发的电力工程施工总承包乙级及以上资质或输变电工程专业承包乙级及以上资质；若供应商还未申办以上资质，依据《住房城乡建设部办公厅关于做好有关建设工程企业资质证书换领和延续工作的通知》（建办市〔2023〕47号），供应商须具备建设行政主管部门核发的电力工程施工总承三级及以上资质或输变电工程专业承包三级及以上资质且在有效期内；供应商须同时具备有效的安全生产许可证； 2.供应商同时须具有有效期内的承装（修、试）电力设施许可证五级及以上资质证书； 3.拟派项目经理须具备本企业注册的机电工程专业二级（及以上）建造师资格并且取得注册证、安全生产考核证（B），且均在有效期内；</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内蒙古景仁招标代理有限责任公司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内蒙古自治区锡林郭勒盟锡林浩特市察哈尔大街805号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026000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马志慧</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0479-8203666</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西乌珠穆沁旗吉仁高勒镇人民政府</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西乌珠穆沁旗吉仁高勒镇</w:t>
      </w:r>
    </w:p>
    <w:p>
      <w:pPr>
        <w:pStyle w:val="null5"/>
      </w:pPr>
      <w:r>
        <w:rPr>
          <w:rFonts w:ascii="仿宋_GB2312" w:hAnsi="仿宋_GB2312" w:cs="仿宋_GB2312" w:eastAsia="仿宋_GB2312"/>
        </w:rPr>
        <w:t xml:space="preserve"> 邮编： </w:t>
      </w:r>
      <w:r>
        <w:rPr>
          <w:rFonts w:ascii="仿宋_GB2312" w:hAnsi="仿宋_GB2312" w:cs="仿宋_GB2312" w:eastAsia="仿宋_GB2312"/>
        </w:rPr>
        <w:t>024000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额布力格</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18804793300</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代理服务费收费标准：以成交价格为计算基础，参照《内工建协（2022）35号》文件标准收取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西乌珠穆沁旗吉仁高勒镇人民政府</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内蒙古景仁招标代理有限责任公司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本项目为2025年新能源转网电工程穿越铁路顶管工程，详见采购文件及工程量清单</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自合同签订之日起90日历天内完工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西乌珠穆沁旗</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1、签订合同后支付，达到付款条件起10日，支付合同总金额的30.00%</w:t>
            </w:r>
          </w:p>
          <w:p>
            <w:pPr>
              <w:pStyle w:val="null5"/>
              <w:jc w:val="left"/>
            </w:pPr>
            <w:r>
              <w:rPr>
                <w:rFonts w:ascii="仿宋_GB2312" w:hAnsi="仿宋_GB2312" w:cs="仿宋_GB2312" w:eastAsia="仿宋_GB2312"/>
              </w:rPr>
              <w:t>2、材料进场支付，达到付款条件起10日，支付合同总金额的40.00%</w:t>
            </w:r>
          </w:p>
          <w:p>
            <w:pPr>
              <w:pStyle w:val="null5"/>
              <w:jc w:val="left"/>
            </w:pPr>
            <w:r>
              <w:rPr>
                <w:rFonts w:ascii="仿宋_GB2312" w:hAnsi="仿宋_GB2312" w:cs="仿宋_GB2312" w:eastAsia="仿宋_GB2312"/>
              </w:rPr>
              <w:t>3、验收合格后支付，达到付款条件起10日，支付合同总金额的30.00%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标的名称：2025年新能源转网电工程穿越铁路顶管工程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详见工程量清单</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证明材料。采购人有权在签订合同前要求中标（成交）供应商提供相关证明材料以核实中标（成交）供应商承诺事项的真实性。供应商须在投标（响应）文件中按此模板提供承诺函，未提供视为未实质性响应采购文件要求，按无效投标（响应）处理。 供应商如作出虚假承诺，经调查核实后，政府采购监管部门将依据《中华人民共和国政府采购法》第七十七条第一款第一项规定的“提供虚假材料谋取中标、成交”的情形予以处罚。同时，将失信行为予以记录，纳入社会信用体系失信惩戒机制进行管理。（注：针对资格性审查第二项至第六项，供应商按照格式只提供一份承诺函即可。）</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证明材料。采购人有权在签订合同前要求中标（成交）供应商提供相关证明材料以核实中标（成交）供应商承诺事项的真实性。供应商须在投标（响应）文件中按此模板提供承诺函，未提供视为未实质性响应采购文件要求，按无效投标（响应）处理。 供应商如作出虚假承诺，经调查核实后，政府采购监管部门将依据《中华人民共和国政府采购法》第七十七条第一款第一项规定的“提供虚假材料谋取中标、成交”的情形予以处罚。同时，将失信行为予以记录，纳入社会信用体系失信惩戒机制进行管理。（注：针对资格性审查第二项至第六项，供应商按照格式只提供一份承诺函即可。）</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证明材料。采购人有权在签订合同前要求中标（成交）供应商提供相关证明材料以核实中标（成交）供应商承诺事项的真实性。供应商须在投标（响应）文件中按此模板提供承诺函，未提供视为未实质性响应采购文件要求，按无效投标（响应）处理。 供应商如作出虚假承诺，经调查核实后，政府采购监管部门将依据《中华人民共和国政府采购法》第七十七条第一款第一项规定的“提供虚假材料谋取中标、成交”的情形予以处罚。同时，将失信行为予以记录，纳入社会信用体系失信惩戒机制进行管理。（注：针对资格性审查第二项至第六项，供应商按照格式只提供一份承诺函即可。）</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证明材料。采购人有权在签订合同前要求中标（成交）供应商提供相关证明材料以核实中标（成交）供应商承诺事项的真实性。供应商须在投标（响应）文件中按此模板提供承诺函，未提供视为未实质性响应采购文件要求，按无效投标（响应）处理。 供应商如作出虚假承诺，经调查核实后，政府采购监管部门将依据《中华人民共和国政府采购法》第七十七条第一款第一项规定的“提供虚假材料谋取中标、成交”的情形予以处罚。同时，将失信行为予以记录，纳入社会信用体系失信惩戒机制进行管理。（注：针对资格性审查第二项至第六项，供应商按照格式只提供一份承诺函即可。）</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证明材料。采购人有权在签订合同前要求中标（成交）供应商提供相关证明材料以核实中标（成交）供应商承诺事项的真实性。供应商须在投标（响应）文件中按此模板提供承诺函，未提供视为未实质性响应采购文件要求，按无效投标（响应）处理。 供应商如作出虚假承诺，经调查核实后，政府采购监管部门将依据《中华人民共和国政府采购法》第七十七条第一款第一项规定的“提供虚假材料谋取中标、成交”的情形予以处罚。同时，将失信行为予以记录，纳入社会信用体系失信惩戒机制进行管理。（注：针对资格性审查第二项至第六项，供应商按照格式只提供一份承诺函即可。）</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本项目不接受联合体竞标。</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专用资格要求</w:t>
            </w:r>
          </w:p>
        </w:tc>
        <w:tc>
          <w:tcPr>
            <w:tcW w:type="dxa" w:w="4984"/>
          </w:tcPr>
          <w:p>
            <w:pPr>
              <w:pStyle w:val="null5"/>
              <w:jc w:val="left"/>
            </w:pPr>
            <w:r>
              <w:rPr>
                <w:rFonts w:ascii="仿宋_GB2312" w:hAnsi="仿宋_GB2312" w:cs="仿宋_GB2312" w:eastAsia="仿宋_GB2312"/>
              </w:rPr>
              <w:t>1.供应商须具备建设行政主管部门核发的电力工程施工总承包乙级及以上资质或输变电工程专业承包乙级及以上资质；若供应商还未申办以上资质，依据《住房城乡建设部办公厅关于做好有关建设工程企业资质证书换领和延续工作的通知》（建办市〔2023〕47号），供应商须具备建设行政主管部门核发的电力工程施工总承三级及以上资质或输变电工程专业承包三级及以上资质且在有效期内；供应商须同时具备有效的安全生产许可证； 2.供应商同时须具有有效期内的承装（修、试）电力设施许可证五级及以上资质证书； 3.拟派项目经理须具备本企业注册的机电工程专业二级（及以上）建造师资格并且取得注册证、安全生产考核证（B），且均在有效期内；</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技术部分76.00分</w:t>
            </w:r>
          </w:p>
          <w:p>
            <w:pPr>
              <w:pStyle w:val="null5"/>
              <w:jc w:val="left"/>
            </w:pPr>
            <w:r>
              <w:rPr>
                <w:rFonts w:ascii="仿宋_GB2312" w:hAnsi="仿宋_GB2312" w:cs="仿宋_GB2312" w:eastAsia="仿宋_GB2312"/>
              </w:rPr>
              <w:t>商务部分9.00分</w:t>
            </w:r>
          </w:p>
          <w:p>
            <w:pPr>
              <w:pStyle w:val="null5"/>
              <w:jc w:val="left"/>
            </w:pPr>
            <w:r>
              <w:rPr>
                <w:rFonts w:ascii="仿宋_GB2312" w:hAnsi="仿宋_GB2312" w:cs="仿宋_GB2312" w:eastAsia="仿宋_GB2312"/>
              </w:rPr>
              <w:t>报价得分15.00分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内容完整性和编制水平</w:t>
            </w:r>
          </w:p>
        </w:tc>
        <w:tc>
          <w:tcPr>
            <w:tcW w:type="dxa" w:w="3115"/>
          </w:tcPr>
          <w:p>
            <w:pPr>
              <w:pStyle w:val="null5"/>
              <w:jc w:val="left"/>
            </w:pPr>
            <w:r>
              <w:rPr>
                <w:rFonts w:ascii="仿宋_GB2312" w:hAnsi="仿宋_GB2312" w:cs="仿宋_GB2312" w:eastAsia="仿宋_GB2312"/>
              </w:rPr>
              <w:t>响应文件内容完整且编制合理，所附文件清晰可辨；应答与采购要求对应性强；响应文件提交的各种证明材料完整齐全并完全与评审文件要求对应得8分；响应文件中所附文件不完全清晰；应答内容部分与采购要求及评审文件要求无关；响应文件提交的各种证明材料较为齐全，与评审文件要求较为对应得5分；响应文件中所附文件模糊不清；前后表述有矛盾，部分内容与实际情况不符，得1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施工方案与技术措施</w:t>
            </w:r>
          </w:p>
        </w:tc>
        <w:tc>
          <w:tcPr>
            <w:tcW w:type="dxa" w:w="3115"/>
          </w:tcPr>
          <w:p>
            <w:pPr>
              <w:pStyle w:val="null5"/>
              <w:jc w:val="left"/>
            </w:pPr>
            <w:r>
              <w:rPr>
                <w:rFonts w:ascii="仿宋_GB2312" w:hAnsi="仿宋_GB2312" w:cs="仿宋_GB2312" w:eastAsia="仿宋_GB2312"/>
              </w:rPr>
              <w:t>根据工程特点编制专项施工方案，且施工方案具体、技术措施合理，有针对性，能指导施工，得15分；施工方案较为具体，有一定针对性，能反应部分工程特点，得10分；施工方案没有针对性，无法反应工程具体特点，不能合理指导施工，得5分；未提供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质量管理体系与措施</w:t>
            </w:r>
          </w:p>
        </w:tc>
        <w:tc>
          <w:tcPr>
            <w:tcW w:type="dxa" w:w="3115"/>
          </w:tcPr>
          <w:p>
            <w:pPr>
              <w:pStyle w:val="null5"/>
              <w:jc w:val="left"/>
            </w:pPr>
            <w:r>
              <w:rPr>
                <w:rFonts w:ascii="仿宋_GB2312" w:hAnsi="仿宋_GB2312" w:cs="仿宋_GB2312" w:eastAsia="仿宋_GB2312"/>
              </w:rPr>
              <w:t>有完善的质量管理保证体系，各分项、分部、检验、验收等质量保证措施全面、合理、可行、到位，得8分；质量管理保证体系与措施较为全面，合理，可一定程度上对施工起到保障作用，得5分；质量管理保证体系与措施不全面，针对施工工序有缺漏，得1分；未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环保管理体系与措施</w:t>
            </w:r>
          </w:p>
        </w:tc>
        <w:tc>
          <w:tcPr>
            <w:tcW w:type="dxa" w:w="3115"/>
          </w:tcPr>
          <w:p>
            <w:pPr>
              <w:pStyle w:val="null5"/>
              <w:jc w:val="left"/>
            </w:pPr>
            <w:r>
              <w:rPr>
                <w:rFonts w:ascii="仿宋_GB2312" w:hAnsi="仿宋_GB2312" w:cs="仿宋_GB2312" w:eastAsia="仿宋_GB2312"/>
              </w:rPr>
              <w:t>环境保护管理体系与措施科学合理，具体可行，得8分；环境保护管理体系与措施较为合理，具有一定的可执行性，得5分；环境保护管理体系与措施科学合理不具体，施工时无法有效落实，得1分；未提供不得分。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安全管理体系与措施</w:t>
            </w:r>
          </w:p>
        </w:tc>
        <w:tc>
          <w:tcPr>
            <w:tcW w:type="dxa" w:w="3115"/>
          </w:tcPr>
          <w:p>
            <w:pPr>
              <w:pStyle w:val="null5"/>
              <w:jc w:val="left"/>
            </w:pPr>
            <w:r>
              <w:rPr>
                <w:rFonts w:ascii="仿宋_GB2312" w:hAnsi="仿宋_GB2312" w:cs="仿宋_GB2312" w:eastAsia="仿宋_GB2312"/>
              </w:rPr>
              <w:t>有安全管理体系及措施、现场文明施工、安全生产措施落实具体、有效，得7分；安全管理体系措施基本合理，安全生产措施可基本落实，得4分；安全管理体系与措施不具体，施工时无法有效落实，得1分；未提供不得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工程进度计划与措施</w:t>
            </w:r>
          </w:p>
        </w:tc>
        <w:tc>
          <w:tcPr>
            <w:tcW w:type="dxa" w:w="3115"/>
          </w:tcPr>
          <w:p>
            <w:pPr>
              <w:pStyle w:val="null5"/>
              <w:jc w:val="left"/>
            </w:pPr>
            <w:r>
              <w:rPr>
                <w:rFonts w:ascii="仿宋_GB2312" w:hAnsi="仿宋_GB2312" w:cs="仿宋_GB2312" w:eastAsia="仿宋_GB2312"/>
              </w:rPr>
              <w:t>施工进度计划、进度控制点设置合理、工序衔接合理、工期保证措施得力、能有效指导施工，得10分；施工进度计划、进度控制点设置较为合理、工序衔接较为合理、工期保证措施较为得力，得7分；施工进度计划、进度控制点设置不够合理、工序衔接不科学、工期保证措施实施性较差，得3分；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资源配备计划</w:t>
            </w:r>
          </w:p>
        </w:tc>
        <w:tc>
          <w:tcPr>
            <w:tcW w:type="dxa" w:w="3115"/>
          </w:tcPr>
          <w:p>
            <w:pPr>
              <w:pStyle w:val="null5"/>
              <w:jc w:val="left"/>
            </w:pPr>
            <w:r>
              <w:rPr>
                <w:rFonts w:ascii="仿宋_GB2312" w:hAnsi="仿宋_GB2312" w:cs="仿宋_GB2312" w:eastAsia="仿宋_GB2312"/>
              </w:rPr>
              <w:t>劳动力和机械配备合理、有效、满足工程要求，得8分；能提供施工所需的基本劳动力和机械配备，仅能基本保障工程正常施工，得5分；劳动力和机械配备不合理，与施工内容与进度计划不匹配，得1分；不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难点措施</w:t>
            </w:r>
          </w:p>
        </w:tc>
        <w:tc>
          <w:tcPr>
            <w:tcW w:type="dxa" w:w="3115"/>
          </w:tcPr>
          <w:p>
            <w:pPr>
              <w:pStyle w:val="null5"/>
              <w:jc w:val="left"/>
            </w:pPr>
            <w:r>
              <w:rPr>
                <w:rFonts w:ascii="仿宋_GB2312" w:hAnsi="仿宋_GB2312" w:cs="仿宋_GB2312" w:eastAsia="仿宋_GB2312"/>
              </w:rPr>
              <w:t>针对施工难点和关键工序措施明确有效，施工难点所采取的技术措施科学合理，得7分；针对施工难点和关键工序锁采取的措施不科学，无法合理知道施工，得4分；施工难点和关键工序分析不准确，与项目具体内容不对应，得1分，不提供不得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合理化建议</w:t>
            </w:r>
          </w:p>
        </w:tc>
        <w:tc>
          <w:tcPr>
            <w:tcW w:type="dxa" w:w="3115"/>
          </w:tcPr>
          <w:p>
            <w:pPr>
              <w:pStyle w:val="null5"/>
              <w:jc w:val="left"/>
            </w:pPr>
            <w:r>
              <w:rPr>
                <w:rFonts w:ascii="仿宋_GB2312" w:hAnsi="仿宋_GB2312" w:cs="仿宋_GB2312" w:eastAsia="仿宋_GB2312"/>
              </w:rPr>
              <w:t>根据项目特点，提出切实可行的合理化建议，得5分。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供应商近三年（2021年10月1日至今）承担过类似电力工程施工项目业绩的有一项加3分，最多加9分。（业绩以中标通知书（成交通知书）或施工合同为准，时间以中标通知书（成交通知书）发放时间或合同签订时间为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