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080" w:leftChars="257" w:hanging="540"/>
        <w:jc w:val="center"/>
        <w:outlineLvl w:val="0"/>
        <w:rPr>
          <w:rFonts w:eastAsia="仿宋_GB2312"/>
          <w:b/>
          <w:kern w:val="44"/>
          <w:sz w:val="32"/>
          <w:szCs w:val="20"/>
        </w:rPr>
      </w:pPr>
      <w:r>
        <w:rPr>
          <w:rStyle w:val="7"/>
          <w:rFonts w:ascii="Times New Roman" w:eastAsia="仿宋_GB2312"/>
          <w:szCs w:val="32"/>
          <w:highlight w:val="none"/>
        </w:rPr>
        <w:t>拟签订的合同</w:t>
      </w:r>
      <w:bookmarkStart w:id="0" w:name="_Hlt487972895"/>
      <w:bookmarkEnd w:id="0"/>
      <w:bookmarkStart w:id="1" w:name="_Toc487900382"/>
      <w:bookmarkStart w:id="2" w:name="_Toc216513788"/>
      <w:r>
        <w:rPr>
          <w:rStyle w:val="7"/>
          <w:rFonts w:ascii="Times New Roman" w:eastAsia="仿宋_GB2312"/>
          <w:szCs w:val="32"/>
          <w:highlight w:val="none"/>
        </w:rPr>
        <w:t>文本</w:t>
      </w:r>
      <w:bookmarkEnd w:id="1"/>
      <w:bookmarkEnd w:id="2"/>
    </w:p>
    <w:p>
      <w:pPr>
        <w:tabs>
          <w:tab w:val="left" w:pos="735"/>
        </w:tabs>
        <w:autoSpaceDE w:val="0"/>
        <w:autoSpaceDN w:val="0"/>
        <w:adjustRightInd w:val="0"/>
        <w:snapToGrid w:val="0"/>
        <w:spacing w:before="312" w:beforeLines="100" w:line="360" w:lineRule="auto"/>
        <w:rPr>
          <w:rFonts w:hint="eastAsia" w:ascii="宋体" w:hAnsi="宋体" w:eastAsia="宋体" w:cs="宋体"/>
          <w:b/>
          <w:bCs/>
          <w:sz w:val="20"/>
          <w:szCs w:val="20"/>
          <w:lang w:val="zh-CN"/>
        </w:rPr>
      </w:pPr>
      <w:r>
        <w:rPr>
          <w:rFonts w:hint="eastAsia" w:ascii="宋体" w:hAnsi="宋体" w:eastAsia="宋体" w:cs="宋体"/>
          <w:b/>
          <w:bCs/>
          <w:sz w:val="20"/>
          <w:szCs w:val="20"/>
          <w:lang w:val="zh-CN"/>
        </w:rPr>
        <w:t>甲方：</w:t>
      </w:r>
      <w:r>
        <w:rPr>
          <w:rFonts w:hint="eastAsia" w:ascii="宋体" w:hAnsi="宋体" w:eastAsia="宋体" w:cs="宋体"/>
          <w:bCs/>
          <w:sz w:val="20"/>
          <w:szCs w:val="20"/>
          <w:lang w:val="zh-CN"/>
        </w:rPr>
        <w:t>（前款所称采购人）     住所：</w:t>
      </w:r>
    </w:p>
    <w:p>
      <w:pPr>
        <w:tabs>
          <w:tab w:val="left" w:pos="735"/>
        </w:tabs>
        <w:autoSpaceDE w:val="0"/>
        <w:autoSpaceDN w:val="0"/>
        <w:adjustRightInd w:val="0"/>
        <w:snapToGrid w:val="0"/>
        <w:spacing w:line="360" w:lineRule="auto"/>
        <w:rPr>
          <w:rFonts w:hint="eastAsia" w:ascii="宋体" w:hAnsi="宋体" w:eastAsia="宋体" w:cs="宋体"/>
          <w:bCs/>
          <w:sz w:val="20"/>
          <w:szCs w:val="20"/>
          <w:lang w:val="zh-CN"/>
        </w:rPr>
      </w:pPr>
      <w:r>
        <w:rPr>
          <w:rFonts w:hint="eastAsia" w:ascii="宋体" w:hAnsi="宋体" w:eastAsia="宋体" w:cs="宋体"/>
          <w:b/>
          <w:bCs/>
          <w:sz w:val="20"/>
          <w:szCs w:val="20"/>
          <w:lang w:val="zh-CN"/>
        </w:rPr>
        <w:t>乙方：</w:t>
      </w:r>
      <w:r>
        <w:rPr>
          <w:rFonts w:hint="eastAsia" w:ascii="宋体" w:hAnsi="宋体" w:eastAsia="宋体" w:cs="宋体"/>
          <w:bCs/>
          <w:sz w:val="20"/>
          <w:szCs w:val="20"/>
          <w:lang w:val="zh-CN"/>
        </w:rPr>
        <w:t>（前款所称中标人）     住所：</w:t>
      </w:r>
    </w:p>
    <w:p>
      <w:pPr>
        <w:pStyle w:val="4"/>
        <w:rPr>
          <w:rFonts w:hint="eastAsia" w:ascii="宋体" w:hAnsi="宋体" w:eastAsia="宋体" w:cs="宋体"/>
          <w:sz w:val="20"/>
          <w:szCs w:val="20"/>
          <w:lang w:val="zh-CN"/>
        </w:rPr>
      </w:pPr>
    </w:p>
    <w:p>
      <w:pPr>
        <w:adjustRightInd w:val="0"/>
        <w:snapToGrid w:val="0"/>
        <w:spacing w:line="360" w:lineRule="auto"/>
        <w:ind w:firstLine="400" w:firstLineChars="200"/>
        <w:rPr>
          <w:rFonts w:hint="eastAsia" w:ascii="宋体" w:hAnsi="宋体" w:eastAsia="宋体" w:cs="宋体"/>
          <w:sz w:val="20"/>
          <w:szCs w:val="20"/>
        </w:rPr>
      </w:pPr>
      <w:bookmarkStart w:id="3" w:name="_Toc19515384"/>
      <w:r>
        <w:rPr>
          <w:rFonts w:hint="eastAsia" w:ascii="宋体" w:hAnsi="宋体" w:eastAsia="宋体" w:cs="宋体"/>
          <w:sz w:val="20"/>
          <w:szCs w:val="20"/>
        </w:rPr>
        <w:t>一、合同内容（标的、数量、质量等）:</w:t>
      </w:r>
      <w:bookmarkEnd w:id="3"/>
    </w:p>
    <w:p>
      <w:pPr>
        <w:adjustRightInd w:val="0"/>
        <w:snapToGrid w:val="0"/>
        <w:spacing w:line="360" w:lineRule="auto"/>
        <w:ind w:firstLine="400" w:firstLineChars="200"/>
        <w:rPr>
          <w:rFonts w:hint="eastAsia" w:ascii="宋体" w:hAnsi="宋体" w:eastAsia="宋体" w:cs="宋体"/>
          <w:sz w:val="20"/>
          <w:szCs w:val="20"/>
        </w:rPr>
      </w:pPr>
      <w:bookmarkStart w:id="4" w:name="_Toc19515385"/>
      <w:r>
        <w:rPr>
          <w:rFonts w:hint="eastAsia" w:ascii="宋体" w:hAnsi="宋体" w:eastAsia="宋体" w:cs="宋体"/>
          <w:sz w:val="20"/>
          <w:szCs w:val="20"/>
        </w:rPr>
        <w:t>二、合同价款</w:t>
      </w:r>
      <w:bookmarkEnd w:id="4"/>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1、合同总价：</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2、合同总价包括：</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3、合同为固定总价合同，不受市场价变化的影响。</w:t>
      </w:r>
    </w:p>
    <w:p>
      <w:pPr>
        <w:adjustRightInd w:val="0"/>
        <w:snapToGrid w:val="0"/>
        <w:spacing w:line="360" w:lineRule="auto"/>
        <w:ind w:firstLine="400" w:firstLineChars="200"/>
        <w:rPr>
          <w:rFonts w:hint="eastAsia" w:ascii="宋体" w:hAnsi="宋体" w:eastAsia="宋体" w:cs="宋体"/>
          <w:sz w:val="20"/>
          <w:szCs w:val="20"/>
        </w:rPr>
      </w:pPr>
      <w:bookmarkStart w:id="5" w:name="_Toc19515386"/>
      <w:r>
        <w:rPr>
          <w:rFonts w:hint="eastAsia" w:ascii="宋体" w:hAnsi="宋体" w:eastAsia="宋体" w:cs="宋体"/>
          <w:sz w:val="20"/>
          <w:szCs w:val="20"/>
        </w:rPr>
        <w:t>三、合同结算</w:t>
      </w:r>
      <w:bookmarkEnd w:id="5"/>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1、付款比例：</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第1个月,达到付款条件起30日内,支付合同总金额的8.33%;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第2个月,达到付款条件起30日内,支付合同总金额的8.33%;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第3个月,达到付款条件起30日内,支付合同总金额的8.33%;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第4个月,达到付款条件起30日内,支付合同总金额的8.33%;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第5个月,达到付款条件起30日内,支付合同总金额的8.33%;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第6个月,达到付款条件起30日内,支付合同总金额的8.33%;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第7个月,达到付款条件起30日内,支付合同总金额的8.33%;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第8个月,达到付款条件起30日内,支付合同总金额的8.33%;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第9个月,达到付款条件起30日内,支付合同总金额的8.33%;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第10个月,达到付款条件起30日内,支付合同总金额的8.33%;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第11个月,达到付款条件起30日内,支付合同总金额的8.33%;</w:t>
      </w:r>
    </w:p>
    <w:p>
      <w:pPr>
        <w:adjustRightInd w:val="0"/>
        <w:snapToGrid w:val="0"/>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第12个月,达到付款条件起30日内,支付合同总金额的8.37%。。</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2、结算方式：银行转账。</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3、结算单位：由</w:t>
      </w:r>
      <w:r>
        <w:rPr>
          <w:rFonts w:hint="eastAsia" w:ascii="宋体" w:hAnsi="宋体" w:eastAsia="宋体" w:cs="宋体"/>
          <w:sz w:val="20"/>
          <w:szCs w:val="20"/>
          <w:u w:val="single"/>
        </w:rPr>
        <w:t xml:space="preserve">  </w:t>
      </w:r>
      <w:r>
        <w:rPr>
          <w:rFonts w:hint="eastAsia" w:ascii="宋体" w:hAnsi="宋体" w:eastAsia="宋体" w:cs="宋体"/>
          <w:color w:val="auto"/>
          <w:sz w:val="20"/>
          <w:szCs w:val="20"/>
          <w:u w:val="single"/>
        </w:rPr>
        <w:t>采购人</w:t>
      </w:r>
      <w:r>
        <w:rPr>
          <w:rFonts w:hint="eastAsia" w:ascii="宋体" w:hAnsi="宋体" w:eastAsia="宋体" w:cs="宋体"/>
          <w:sz w:val="20"/>
          <w:szCs w:val="20"/>
          <w:u w:val="single"/>
        </w:rPr>
        <w:t xml:space="preserve"> </w:t>
      </w:r>
      <w:r>
        <w:rPr>
          <w:rFonts w:hint="eastAsia" w:ascii="宋体" w:hAnsi="宋体" w:eastAsia="宋体" w:cs="宋体"/>
          <w:sz w:val="20"/>
          <w:szCs w:val="20"/>
        </w:rPr>
        <w:t>负责结算，乙方开具等额增值税发票交采购人。</w:t>
      </w:r>
    </w:p>
    <w:p>
      <w:pPr>
        <w:adjustRightInd w:val="0"/>
        <w:snapToGrid w:val="0"/>
        <w:spacing w:line="360" w:lineRule="auto"/>
        <w:ind w:firstLine="400" w:firstLineChars="200"/>
        <w:rPr>
          <w:rFonts w:hint="eastAsia" w:ascii="宋体" w:hAnsi="宋体" w:eastAsia="宋体" w:cs="宋体"/>
          <w:sz w:val="20"/>
          <w:szCs w:val="20"/>
        </w:rPr>
      </w:pPr>
      <w:bookmarkStart w:id="6" w:name="_Toc19515387"/>
      <w:r>
        <w:rPr>
          <w:rFonts w:hint="eastAsia" w:ascii="宋体" w:hAnsi="宋体" w:eastAsia="宋体" w:cs="宋体"/>
          <w:sz w:val="20"/>
          <w:szCs w:val="20"/>
        </w:rPr>
        <w:t>四、</w:t>
      </w:r>
      <w:r>
        <w:rPr>
          <w:rFonts w:hint="eastAsia" w:ascii="宋体" w:hAnsi="宋体" w:cs="宋体"/>
          <w:sz w:val="20"/>
          <w:szCs w:val="20"/>
          <w:lang w:val="en-US" w:eastAsia="zh-CN"/>
        </w:rPr>
        <w:t>服务期</w:t>
      </w:r>
      <w:r>
        <w:rPr>
          <w:rFonts w:hint="eastAsia" w:ascii="宋体" w:hAnsi="宋体" w:eastAsia="宋体" w:cs="宋体"/>
          <w:sz w:val="20"/>
          <w:szCs w:val="20"/>
        </w:rPr>
        <w:t>、地点及方式:</w:t>
      </w:r>
      <w:bookmarkEnd w:id="6"/>
    </w:p>
    <w:p>
      <w:pPr>
        <w:adjustRightInd w:val="0"/>
        <w:snapToGrid w:val="0"/>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rPr>
        <w:t>1、</w:t>
      </w:r>
      <w:r>
        <w:rPr>
          <w:rFonts w:hint="eastAsia" w:ascii="宋体" w:hAnsi="宋体" w:cs="宋体"/>
          <w:sz w:val="20"/>
          <w:szCs w:val="20"/>
          <w:lang w:val="en-US" w:eastAsia="zh-CN"/>
        </w:rPr>
        <w:t>服务期</w:t>
      </w:r>
      <w:r>
        <w:rPr>
          <w:rFonts w:hint="eastAsia" w:ascii="宋体" w:hAnsi="宋体" w:eastAsia="宋体" w:cs="宋体"/>
          <w:sz w:val="20"/>
          <w:szCs w:val="20"/>
        </w:rPr>
        <w:t>：招标结果有效期一年，根据《财政部关于推进和完善服务项目政府采购有关问题的通知》（财库【2014】37号）有关规定，本项目在合同期满前，采购人将对中标供应商进行考核，根据工作质量考核，采购人有权决定是否续签合同，累计合同履行期不超过三年</w:t>
      </w:r>
      <w:r>
        <w:rPr>
          <w:rFonts w:hint="eastAsia" w:ascii="宋体" w:hAnsi="宋体" w:eastAsia="宋体" w:cs="宋体"/>
          <w:sz w:val="20"/>
          <w:szCs w:val="20"/>
          <w:lang w:val="en-US" w:eastAsia="zh-CN"/>
        </w:rPr>
        <w:t>。</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2、地点：采购人指定地点</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3、方式：按照采购人要求</w:t>
      </w:r>
    </w:p>
    <w:p>
      <w:pPr>
        <w:adjustRightInd w:val="0"/>
        <w:snapToGrid w:val="0"/>
        <w:spacing w:line="360" w:lineRule="auto"/>
        <w:ind w:firstLine="400" w:firstLineChars="200"/>
        <w:rPr>
          <w:rFonts w:hint="eastAsia" w:ascii="宋体" w:hAnsi="宋体" w:eastAsia="宋体" w:cs="宋体"/>
          <w:sz w:val="20"/>
          <w:szCs w:val="20"/>
        </w:rPr>
      </w:pPr>
      <w:bookmarkStart w:id="7" w:name="_Toc19515390"/>
      <w:r>
        <w:rPr>
          <w:rFonts w:hint="eastAsia" w:ascii="宋体" w:hAnsi="宋体" w:eastAsia="宋体" w:cs="宋体"/>
          <w:sz w:val="20"/>
          <w:szCs w:val="20"/>
        </w:rPr>
        <w:t>五、技术服务</w:t>
      </w:r>
      <w:bookmarkEnd w:id="7"/>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1、对技术服务的要求：</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2、技术资料：</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3、技术培训：</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3-1、培训内容：</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3-2、培训地点：</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3-3、培训时间：</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3-4、培训人数：</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3-5、培训费用：受训人员的食宿费、资料费、培训场地费、耗材（包括水电费等）费等已包含在合同总价中，甲方不再另行支付。</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4、售后服务</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4-1、乙方在接到甲方电话通知后在</w:t>
      </w:r>
      <w:r>
        <w:rPr>
          <w:rFonts w:hint="eastAsia" w:ascii="宋体" w:hAnsi="宋体" w:eastAsia="宋体" w:cs="宋体"/>
          <w:sz w:val="20"/>
          <w:szCs w:val="20"/>
          <w:u w:val="single"/>
        </w:rPr>
        <w:t xml:space="preserve">   </w:t>
      </w:r>
      <w:r>
        <w:rPr>
          <w:rFonts w:hint="eastAsia" w:ascii="宋体" w:hAnsi="宋体" w:eastAsia="宋体" w:cs="宋体"/>
          <w:sz w:val="20"/>
          <w:szCs w:val="20"/>
        </w:rPr>
        <w:t>小时内派出合格的服务人员到达现场进行服务，承担相应费用。</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4-2、如果乙方在收到通知后两天内没有弥补缺陷，甲方可采取必要的补救措施，但其风险和费用将由乙方承担，甲方根据合同规定对乙方行使的其它权力不受影响。</w:t>
      </w:r>
    </w:p>
    <w:p>
      <w:pPr>
        <w:adjustRightInd w:val="0"/>
        <w:snapToGrid w:val="0"/>
        <w:spacing w:line="360" w:lineRule="auto"/>
        <w:ind w:firstLine="400" w:firstLineChars="200"/>
        <w:rPr>
          <w:rFonts w:hint="eastAsia" w:ascii="宋体" w:hAnsi="宋体" w:eastAsia="宋体" w:cs="宋体"/>
          <w:sz w:val="20"/>
          <w:szCs w:val="20"/>
        </w:rPr>
      </w:pPr>
      <w:bookmarkStart w:id="8" w:name="_Toc19515391"/>
      <w:r>
        <w:rPr>
          <w:rFonts w:hint="eastAsia" w:ascii="宋体" w:hAnsi="宋体" w:eastAsia="宋体" w:cs="宋体"/>
          <w:sz w:val="20"/>
          <w:szCs w:val="20"/>
        </w:rPr>
        <w:t>六、验收</w:t>
      </w:r>
      <w:bookmarkEnd w:id="8"/>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1、验收：乙方完成服务内容后，向甲方提出验收申请，甲方接到乙方验收申请后组织验收（必要时可聘请相应专家或委托相应部门验收），验收合格后，出具使用验收合格证明。</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、最终验收：最终验收结果作为付款依据，乙方填写验收单，并向甲方提交实施过程中的所有资料，以便甲方日后管理和维护。</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、质保期满后：由乙方出具质保期运行质量报告，若存在质量问题，应按相应规定协商处理。</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、验收依据：</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-1、合同文本、合同附件、招标文件、投标文件。</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-2、国内相应的标准、规范。</w:t>
      </w:r>
    </w:p>
    <w:p>
      <w:pPr>
        <w:adjustRightInd w:val="0"/>
        <w:snapToGrid w:val="0"/>
        <w:spacing w:line="360" w:lineRule="auto"/>
        <w:ind w:firstLine="400" w:firstLineChars="200"/>
        <w:rPr>
          <w:rFonts w:hint="eastAsia" w:ascii="宋体" w:hAnsi="宋体" w:eastAsia="宋体" w:cs="宋体"/>
          <w:sz w:val="20"/>
          <w:szCs w:val="20"/>
        </w:rPr>
      </w:pPr>
      <w:bookmarkStart w:id="9" w:name="_Toc19515392"/>
      <w:r>
        <w:rPr>
          <w:rFonts w:hint="eastAsia" w:ascii="宋体" w:hAnsi="宋体" w:eastAsia="宋体" w:cs="宋体"/>
          <w:sz w:val="20"/>
          <w:szCs w:val="20"/>
        </w:rPr>
        <w:t>七、违约责任</w:t>
      </w:r>
      <w:bookmarkEnd w:id="9"/>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1、按《中华人民共和国民法典》中的相关条款执行。</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2、乙方履约延误</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2-1、如乙方事先未征得甲方同意并得到甲方的谅解而单方面延迟执行合同，将按违约终止合同。</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3、违约终止合同：未按合同要求提供服务或不能满足技术要求，甲方会同监督机构有权终止合同，对乙方违约行为进行追究，同时按政府采购法的有关规定进行相应的处罚。</w:t>
      </w:r>
    </w:p>
    <w:p>
      <w:pPr>
        <w:adjustRightInd w:val="0"/>
        <w:snapToGrid w:val="0"/>
        <w:spacing w:line="360" w:lineRule="auto"/>
        <w:ind w:firstLine="400" w:firstLineChars="200"/>
        <w:rPr>
          <w:rFonts w:hint="eastAsia" w:ascii="宋体" w:hAnsi="宋体" w:eastAsia="宋体" w:cs="宋体"/>
          <w:sz w:val="20"/>
          <w:szCs w:val="20"/>
        </w:rPr>
      </w:pPr>
      <w:bookmarkStart w:id="10" w:name="_Toc19515393"/>
      <w:r>
        <w:rPr>
          <w:rFonts w:hint="eastAsia" w:ascii="宋体" w:hAnsi="宋体" w:eastAsia="宋体" w:cs="宋体"/>
          <w:sz w:val="20"/>
          <w:szCs w:val="20"/>
        </w:rPr>
        <w:t>八、合同组成</w:t>
      </w:r>
      <w:bookmarkEnd w:id="10"/>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1、中标通知书</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2、合同文件</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3、国家相关规范及标准</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4、招标文件</w:t>
      </w:r>
    </w:p>
    <w:p>
      <w:pPr>
        <w:adjustRightInd w:val="0"/>
        <w:snapToGrid w:val="0"/>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5、投标文件</w:t>
      </w:r>
    </w:p>
    <w:p>
      <w:pPr>
        <w:adjustRightInd w:val="0"/>
        <w:snapToGrid w:val="0"/>
        <w:spacing w:line="360" w:lineRule="auto"/>
        <w:ind w:firstLine="400" w:firstLineChars="200"/>
        <w:rPr>
          <w:rFonts w:hint="eastAsia" w:ascii="宋体" w:hAnsi="宋体" w:eastAsia="宋体" w:cs="宋体"/>
          <w:sz w:val="20"/>
          <w:szCs w:val="20"/>
        </w:rPr>
      </w:pPr>
      <w:bookmarkStart w:id="11" w:name="_Toc19515394"/>
      <w:r>
        <w:rPr>
          <w:rFonts w:hint="eastAsia" w:ascii="宋体" w:hAnsi="宋体" w:eastAsia="宋体" w:cs="宋体"/>
          <w:sz w:val="20"/>
          <w:szCs w:val="20"/>
          <w:lang w:val="en-US" w:eastAsia="zh-CN"/>
        </w:rPr>
        <w:t>九</w:t>
      </w:r>
      <w:r>
        <w:rPr>
          <w:rFonts w:hint="eastAsia" w:ascii="宋体" w:hAnsi="宋体" w:eastAsia="宋体" w:cs="宋体"/>
          <w:sz w:val="20"/>
          <w:szCs w:val="20"/>
        </w:rPr>
        <w:t>、解决争议的方法</w:t>
      </w:r>
      <w:bookmarkEnd w:id="11"/>
    </w:p>
    <w:p>
      <w:pPr>
        <w:widowControl/>
        <w:autoSpaceDE w:val="0"/>
        <w:autoSpaceDN w:val="0"/>
        <w:snapToGrid w:val="0"/>
        <w:spacing w:line="360" w:lineRule="auto"/>
        <w:ind w:right="-110" w:firstLine="400" w:firstLineChars="200"/>
        <w:textAlignment w:val="bottom"/>
        <w:rPr>
          <w:rFonts w:hint="eastAsia" w:ascii="宋体" w:hAnsi="宋体" w:eastAsia="宋体" w:cs="宋体"/>
          <w:kern w:val="0"/>
          <w:sz w:val="20"/>
          <w:szCs w:val="20"/>
        </w:rPr>
      </w:pPr>
      <w:r>
        <w:rPr>
          <w:rFonts w:hint="eastAsia" w:ascii="宋体" w:hAnsi="宋体" w:eastAsia="宋体" w:cs="宋体"/>
          <w:kern w:val="0"/>
          <w:sz w:val="20"/>
          <w:szCs w:val="20"/>
        </w:rPr>
        <w:t>凡因本合同引起的或与本合同有关的争议，双方应友好协商解决。协商不成时，双方均同意采用以下第（  ）种争议解决方式：</w:t>
      </w:r>
    </w:p>
    <w:p>
      <w:pPr>
        <w:widowControl/>
        <w:autoSpaceDE w:val="0"/>
        <w:autoSpaceDN w:val="0"/>
        <w:snapToGrid w:val="0"/>
        <w:spacing w:line="360" w:lineRule="auto"/>
        <w:ind w:right="-110" w:firstLine="400" w:firstLineChars="200"/>
        <w:textAlignment w:val="bottom"/>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1</w:t>
      </w:r>
      <w:r>
        <w:rPr>
          <w:rFonts w:hint="eastAsia" w:ascii="宋体" w:hAnsi="宋体" w:eastAsia="宋体" w:cs="宋体"/>
          <w:kern w:val="0"/>
          <w:sz w:val="20"/>
          <w:szCs w:val="20"/>
        </w:rPr>
        <w:t>、甲、乙双方均同意向（甲方所在地人民法院）提起诉讼。</w:t>
      </w:r>
    </w:p>
    <w:p>
      <w:pPr>
        <w:widowControl/>
        <w:autoSpaceDE w:val="0"/>
        <w:autoSpaceDN w:val="0"/>
        <w:snapToGrid w:val="0"/>
        <w:spacing w:line="360" w:lineRule="auto"/>
        <w:ind w:right="-110" w:firstLine="400" w:firstLineChars="200"/>
        <w:textAlignment w:val="bottom"/>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2</w:t>
      </w:r>
      <w:r>
        <w:rPr>
          <w:rFonts w:hint="eastAsia" w:ascii="宋体" w:hAnsi="宋体" w:eastAsia="宋体" w:cs="宋体"/>
          <w:kern w:val="0"/>
          <w:sz w:val="20"/>
          <w:szCs w:val="20"/>
        </w:rPr>
        <w:t>、甲、乙双方均同意向（</w:t>
      </w:r>
      <w:r>
        <w:rPr>
          <w:rFonts w:hint="eastAsia" w:ascii="宋体" w:hAnsi="宋体" w:eastAsia="宋体" w:cs="宋体"/>
          <w:kern w:val="0"/>
          <w:sz w:val="20"/>
          <w:szCs w:val="20"/>
        </w:rPr>
        <w:fldChar w:fldCharType="begin"/>
      </w:r>
      <w:r>
        <w:rPr>
          <w:rFonts w:hint="eastAsia" w:ascii="宋体" w:hAnsi="宋体" w:eastAsia="宋体" w:cs="宋体"/>
          <w:kern w:val="0"/>
          <w:sz w:val="20"/>
          <w:szCs w:val="20"/>
        </w:rPr>
        <w:instrText xml:space="preserve"> HYPERLINK "http://www.baidu.com/s?wd=%E4%BB%B2%E8%A3%81%E5%A7%94%E5%91%98%E4%BC%9A&amp;tn=SE_PcZhidaonwhc_ngpagmjz&amp;rsv_dl=gh_pc_zhidao" \t "_blank" </w:instrText>
      </w:r>
      <w:r>
        <w:rPr>
          <w:rFonts w:hint="eastAsia" w:ascii="宋体" w:hAnsi="宋体" w:eastAsia="宋体" w:cs="宋体"/>
          <w:kern w:val="0"/>
          <w:sz w:val="20"/>
          <w:szCs w:val="20"/>
        </w:rPr>
        <w:fldChar w:fldCharType="separate"/>
      </w:r>
      <w:r>
        <w:rPr>
          <w:rFonts w:hint="eastAsia" w:ascii="宋体" w:hAnsi="宋体" w:eastAsia="宋体" w:cs="宋体"/>
          <w:kern w:val="0"/>
          <w:sz w:val="20"/>
          <w:szCs w:val="20"/>
        </w:rPr>
        <w:t>仲裁委员会</w:t>
      </w:r>
      <w:r>
        <w:rPr>
          <w:rFonts w:hint="eastAsia" w:ascii="宋体" w:hAnsi="宋体" w:eastAsia="宋体" w:cs="宋体"/>
          <w:kern w:val="0"/>
          <w:sz w:val="20"/>
          <w:szCs w:val="20"/>
        </w:rPr>
        <w:fldChar w:fldCharType="end"/>
      </w:r>
      <w:r>
        <w:rPr>
          <w:rFonts w:hint="eastAsia" w:ascii="宋体" w:hAnsi="宋体" w:eastAsia="宋体" w:cs="宋体"/>
          <w:kern w:val="0"/>
          <w:sz w:val="20"/>
          <w:szCs w:val="20"/>
        </w:rPr>
        <w:t>）提起仲裁。</w:t>
      </w:r>
    </w:p>
    <w:p>
      <w:pPr>
        <w:adjustRightInd w:val="0"/>
        <w:snapToGrid w:val="0"/>
        <w:spacing w:line="360" w:lineRule="auto"/>
        <w:ind w:firstLine="400" w:firstLineChars="200"/>
        <w:rPr>
          <w:rFonts w:hint="eastAsia" w:ascii="宋体" w:hAnsi="宋体" w:eastAsia="宋体" w:cs="宋体"/>
          <w:sz w:val="20"/>
          <w:szCs w:val="20"/>
        </w:rPr>
      </w:pPr>
      <w:bookmarkStart w:id="12" w:name="_Toc19515395"/>
      <w:r>
        <w:rPr>
          <w:rFonts w:hint="eastAsia" w:ascii="宋体" w:hAnsi="宋体" w:eastAsia="宋体" w:cs="宋体"/>
          <w:sz w:val="20"/>
          <w:szCs w:val="20"/>
        </w:rPr>
        <w:t>十、合同生效及其它</w:t>
      </w:r>
      <w:bookmarkEnd w:id="12"/>
    </w:p>
    <w:p>
      <w:pPr>
        <w:widowControl/>
        <w:autoSpaceDE w:val="0"/>
        <w:autoSpaceDN w:val="0"/>
        <w:snapToGrid w:val="0"/>
        <w:spacing w:line="360" w:lineRule="auto"/>
        <w:ind w:right="-110" w:firstLine="400" w:firstLineChars="200"/>
        <w:textAlignment w:val="bottom"/>
        <w:rPr>
          <w:rFonts w:hint="eastAsia" w:ascii="宋体" w:hAnsi="宋体" w:eastAsia="宋体" w:cs="宋体"/>
          <w:kern w:val="0"/>
          <w:sz w:val="20"/>
          <w:szCs w:val="20"/>
        </w:rPr>
      </w:pPr>
      <w:r>
        <w:rPr>
          <w:rFonts w:hint="eastAsia" w:ascii="宋体" w:hAnsi="宋体" w:eastAsia="宋体" w:cs="宋体"/>
          <w:kern w:val="0"/>
          <w:sz w:val="20"/>
          <w:szCs w:val="20"/>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宋体"/>
          <w:kern w:val="0"/>
          <w:sz w:val="20"/>
          <w:szCs w:val="20"/>
        </w:rPr>
      </w:pPr>
      <w:r>
        <w:rPr>
          <w:rFonts w:hint="eastAsia" w:ascii="宋体" w:hAnsi="宋体" w:eastAsia="宋体" w:cs="宋体"/>
          <w:kern w:val="0"/>
          <w:sz w:val="20"/>
          <w:szCs w:val="20"/>
        </w:rPr>
        <w:t>2、 本合同正本一式</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份，甲方、乙方双方分别执</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份，</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备案</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份。</w:t>
      </w:r>
    </w:p>
    <w:p>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宋体"/>
          <w:kern w:val="0"/>
          <w:sz w:val="20"/>
          <w:szCs w:val="20"/>
        </w:rPr>
      </w:pPr>
      <w:r>
        <w:rPr>
          <w:rFonts w:hint="eastAsia" w:ascii="宋体" w:hAnsi="宋体" w:eastAsia="宋体" w:cs="宋体"/>
          <w:kern w:val="0"/>
          <w:sz w:val="20"/>
          <w:szCs w:val="20"/>
        </w:rPr>
        <w:t>3、合同经甲乙双方盖章、签字后生效，合同签订地点为</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w:t>
      </w:r>
    </w:p>
    <w:p>
      <w:pPr>
        <w:widowControl/>
        <w:tabs>
          <w:tab w:val="left" w:pos="8391"/>
        </w:tabs>
        <w:autoSpaceDE w:val="0"/>
        <w:autoSpaceDN w:val="0"/>
        <w:snapToGrid w:val="0"/>
        <w:spacing w:line="360" w:lineRule="auto"/>
        <w:ind w:right="-69" w:firstLine="400" w:firstLineChars="200"/>
        <w:textAlignment w:val="bottom"/>
        <w:rPr>
          <w:rFonts w:hint="eastAsia" w:ascii="宋体" w:hAnsi="宋体" w:eastAsia="宋体" w:cs="宋体"/>
          <w:kern w:val="0"/>
          <w:sz w:val="20"/>
          <w:szCs w:val="20"/>
        </w:rPr>
      </w:pPr>
      <w:r>
        <w:rPr>
          <w:rFonts w:hint="eastAsia" w:ascii="宋体" w:hAnsi="宋体" w:eastAsia="宋体" w:cs="宋体"/>
          <w:kern w:val="0"/>
          <w:sz w:val="20"/>
          <w:szCs w:val="20"/>
        </w:rPr>
        <w:t>4、生效时间：</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年</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月</w:t>
      </w:r>
      <w:r>
        <w:rPr>
          <w:rFonts w:hint="eastAsia" w:ascii="宋体" w:hAnsi="宋体" w:eastAsia="宋体" w:cs="宋体"/>
          <w:kern w:val="0"/>
          <w:sz w:val="20"/>
          <w:szCs w:val="20"/>
          <w:u w:val="single"/>
        </w:rPr>
        <w:t xml:space="preserve">  </w:t>
      </w:r>
      <w:r>
        <w:rPr>
          <w:rFonts w:hint="eastAsia" w:ascii="宋体" w:hAnsi="宋体" w:eastAsia="宋体" w:cs="宋体"/>
          <w:kern w:val="0"/>
          <w:sz w:val="20"/>
          <w:szCs w:val="20"/>
        </w:rPr>
        <w:t>日</w:t>
      </w:r>
    </w:p>
    <w:p>
      <w:pPr>
        <w:widowControl/>
        <w:tabs>
          <w:tab w:val="left" w:pos="8391"/>
        </w:tabs>
        <w:autoSpaceDE w:val="0"/>
        <w:autoSpaceDN w:val="0"/>
        <w:snapToGrid w:val="0"/>
        <w:spacing w:line="360" w:lineRule="auto"/>
        <w:ind w:right="-69" w:firstLine="700" w:firstLineChars="350"/>
        <w:textAlignment w:val="bottom"/>
        <w:rPr>
          <w:rFonts w:hint="eastAsia" w:ascii="宋体" w:hAnsi="宋体" w:eastAsia="宋体" w:cs="宋体"/>
          <w:kern w:val="0"/>
          <w:sz w:val="20"/>
          <w:szCs w:val="20"/>
        </w:rPr>
      </w:pPr>
    </w:p>
    <w:tbl>
      <w:tblPr>
        <w:tblStyle w:val="6"/>
        <w:tblW w:w="9286" w:type="dxa"/>
        <w:jc w:val="center"/>
        <w:tblInd w:w="0" w:type="dxa"/>
        <w:tblLayout w:type="fixed"/>
        <w:tblCellMar>
          <w:top w:w="0" w:type="dxa"/>
          <w:left w:w="108" w:type="dxa"/>
          <w:bottom w:w="0" w:type="dxa"/>
          <w:right w:w="108" w:type="dxa"/>
        </w:tblCellMar>
      </w:tblPr>
      <w:tblGrid>
        <w:gridCol w:w="4643"/>
        <w:gridCol w:w="4643"/>
      </w:tblGrid>
      <w:tr>
        <w:tblPrEx>
          <w:tblLayout w:type="fixed"/>
        </w:tblPrEx>
        <w:trPr>
          <w:jc w:val="center"/>
        </w:trPr>
        <w:tc>
          <w:tcPr>
            <w:tcW w:w="4643" w:type="dxa"/>
            <w:vAlign w:val="top"/>
          </w:tcPr>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甲方名称</w:t>
            </w:r>
            <w:r>
              <w:rPr>
                <w:rFonts w:hint="eastAsia" w:ascii="宋体" w:hAnsi="宋体" w:eastAsia="宋体" w:cs="宋体"/>
                <w:spacing w:val="-20"/>
                <w:kern w:val="0"/>
                <w:sz w:val="20"/>
                <w:szCs w:val="20"/>
              </w:rPr>
              <w:t>（盖章）</w:t>
            </w:r>
            <w:r>
              <w:rPr>
                <w:rFonts w:hint="eastAsia" w:ascii="宋体" w:hAnsi="宋体" w:eastAsia="宋体" w:cs="宋体"/>
                <w:kern w:val="0"/>
                <w:sz w:val="20"/>
                <w:szCs w:val="20"/>
              </w:rPr>
              <w:t>:</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地址：</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代表人（签字）：</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电话：</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开户银行：</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账号：</w:t>
            </w:r>
          </w:p>
        </w:tc>
        <w:tc>
          <w:tcPr>
            <w:tcW w:w="4643" w:type="dxa"/>
            <w:vAlign w:val="top"/>
          </w:tcPr>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乙方名称</w:t>
            </w:r>
            <w:r>
              <w:rPr>
                <w:rFonts w:hint="eastAsia" w:ascii="宋体" w:hAnsi="宋体" w:eastAsia="宋体" w:cs="宋体"/>
                <w:spacing w:val="-20"/>
                <w:kern w:val="0"/>
                <w:sz w:val="20"/>
                <w:szCs w:val="20"/>
              </w:rPr>
              <w:t>（盖章）</w:t>
            </w:r>
            <w:r>
              <w:rPr>
                <w:rFonts w:hint="eastAsia" w:ascii="宋体" w:hAnsi="宋体" w:eastAsia="宋体" w:cs="宋体"/>
                <w:kern w:val="0"/>
                <w:sz w:val="20"/>
                <w:szCs w:val="20"/>
              </w:rPr>
              <w:t>:</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地址：</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代表人（签字）：</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电话：</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开户银行：</w:t>
            </w:r>
          </w:p>
          <w:p>
            <w:pPr>
              <w:widowControl/>
              <w:autoSpaceDE w:val="0"/>
              <w:autoSpaceDN w:val="0"/>
              <w:snapToGrid w:val="0"/>
              <w:spacing w:line="360" w:lineRule="auto"/>
              <w:ind w:right="-154"/>
              <w:textAlignment w:val="bottom"/>
              <w:rPr>
                <w:rFonts w:hint="eastAsia" w:ascii="宋体" w:hAnsi="宋体" w:eastAsia="宋体" w:cs="宋体"/>
                <w:kern w:val="0"/>
                <w:sz w:val="20"/>
                <w:szCs w:val="20"/>
              </w:rPr>
            </w:pPr>
            <w:r>
              <w:rPr>
                <w:rFonts w:hint="eastAsia" w:ascii="宋体" w:hAnsi="宋体" w:eastAsia="宋体" w:cs="宋体"/>
                <w:kern w:val="0"/>
                <w:sz w:val="20"/>
                <w:szCs w:val="20"/>
              </w:rPr>
              <w:t>账号：</w:t>
            </w:r>
          </w:p>
        </w:tc>
      </w:tr>
    </w:tbl>
    <w:p>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altName w:val="Arial Unicode MS"/>
    <w:panose1 w:val="02010609060101010101"/>
    <w:charset w:val="86"/>
    <w:family w:val="auto"/>
    <w:pitch w:val="default"/>
    <w:sig w:usb0="00000000" w:usb1="00000000" w:usb2="00000016" w:usb3="00000000" w:csb0="00040001" w:csb1="00000000"/>
  </w:font>
  <w:font w:name="仿宋_GB2312">
    <w:altName w:val="Arial Unicode MS"/>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C10A7"/>
    <w:rsid w:val="734C1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autoSpaceDE w:val="0"/>
      <w:autoSpaceDN w:val="0"/>
      <w:adjustRightInd w:val="0"/>
      <w:snapToGrid w:val="0"/>
      <w:jc w:val="left"/>
    </w:pPr>
    <w:rPr>
      <w:rFonts w:ascii="宋体"/>
      <w:kern w:val="0"/>
      <w:sz w:val="18"/>
      <w:szCs w:val="20"/>
    </w:rPr>
  </w:style>
  <w:style w:type="paragraph" w:styleId="4">
    <w:name w:val="Body Text"/>
    <w:basedOn w:val="1"/>
    <w:next w:val="1"/>
    <w:uiPriority w:val="0"/>
    <w:pPr>
      <w:tabs>
        <w:tab w:val="left" w:pos="567"/>
      </w:tabs>
      <w:spacing w:before="120" w:line="22" w:lineRule="atLeast"/>
    </w:pPr>
    <w:rPr>
      <w:rFonts w:ascii="宋体" w:hAnsi="宋体"/>
      <w:sz w:val="24"/>
    </w:rPr>
  </w:style>
  <w:style w:type="character" w:customStyle="1" w:styleId="7">
    <w:name w:val="标题 1 Char"/>
    <w:link w:val="3"/>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2025-02-20T08:43:00Z</dcterms:created>
  <dc:creator>Administrator</dc:creator>
  <cp:lastModifiedBy>Administrator</cp:lastModifiedBy>
  <dcterms:modified xsi:type="dcterms:W3CDTF">2025-02-20T08:43:28Z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