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版本号：PZZX-25-B00320250305001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周至县电子政务平台运维保障项目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PZZX-25-B003</w:t>
      </w:r>
      <w:r>
        <w:br/>
      </w:r>
      <w:r>
        <w:br/>
      </w:r>
      <w:r>
        <w:br/>
      </w:r>
    </w:p>
    <w:p>
      <w:pPr>
        <w:pStyle w:val="null3"/>
        <w:jc w:val="center"/>
        <w:outlineLvl w:val="2"/>
      </w:pPr>
      <w:r>
        <w:rPr>
          <w:rFonts w:ascii="仿宋_GB2312" w:hAnsi="仿宋_GB2312" w:cs="仿宋_GB2312" w:eastAsia="仿宋_GB2312"/>
          <w:sz w:val="28"/>
          <w:b/>
        </w:rPr>
        <w:t>周至县人民政府办公室</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周至县人民政府办公室</w:t>
      </w:r>
      <w:r>
        <w:rPr>
          <w:rFonts w:ascii="仿宋_GB2312" w:hAnsi="仿宋_GB2312" w:cs="仿宋_GB2312" w:eastAsia="仿宋_GB2312"/>
        </w:rPr>
        <w:t>委托，拟对</w:t>
      </w:r>
      <w:r>
        <w:rPr>
          <w:rFonts w:ascii="仿宋_GB2312" w:hAnsi="仿宋_GB2312" w:cs="仿宋_GB2312" w:eastAsia="仿宋_GB2312"/>
        </w:rPr>
        <w:t>周至县电子政务平台运维保障项目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PZZX-25-B003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周至县电子政务平台运维保障项目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周至县电子政务平台运维保障项目，项目主要内容包含电子政务外网、互联网专线、周至县电子政务机房维保等。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2、法定代表人授权情况：提供法定代表人授权书（附法定代表人、被授权人身份证复印件）及被授权人身份证原件（法定代表人直接参加投标，须提供法定代表人身份证明及身份证原件）；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提供2023或2024年度的财务审计报告（至少包括资产负债表和利润表，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8、履行合同的声明：提供具有履行本合同所必需的设备和专业技术能力的说明及承诺书；</w:t>
      </w:r>
    </w:p>
    <w:p>
      <w:pPr>
        <w:pStyle w:val="null3"/>
      </w:pPr>
      <w:r>
        <w:rPr>
          <w:rFonts w:ascii="仿宋_GB2312" w:hAnsi="仿宋_GB2312" w:cs="仿宋_GB2312" w:eastAsia="仿宋_GB2312"/>
        </w:rPr>
        <w:t>9、本项目不接受联合体磋商：本项目不接受联合体磋商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周至县老城东街37号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周至县人民政府办公室经办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87111439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采购包1：1,971,874.72元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周至县人民政府办公室</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地址：陕西省西安市经济技术开发区长和国际A座1502室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周至县电子政务平台运维保障项目，项目主要内容包含电子政务外网、互联网专线、周至县电子政务机房维保等。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1,971,874.72</w:t>
      </w:r>
    </w:p>
    <w:p>
      <w:pPr>
        <w:pStyle w:val="null3"/>
      </w:pPr>
      <w:r>
        <w:rPr>
          <w:rFonts w:ascii="仿宋_GB2312" w:hAnsi="仿宋_GB2312" w:cs="仿宋_GB2312" w:eastAsia="仿宋_GB2312"/>
        </w:rPr>
        <w:t>采购包最高限价（元）: 1,971,874.72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周至县电子政务平台运维保障项目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1,971,874.72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标的名称：周至县电子政务平台运维保障项目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周至县电子政务平台运维保障</w:t>
            </w:r>
          </w:p>
        </w:tc>
        <w:tc>
          <w:tcPr>
            <w:tcW w:type="dxa" w:w="2076"/>
          </w:tcPr>
          <w:tbl>
            <w:tblPr>
              <w:tblBorders>
                <w:top w:val="single"/>
                <w:left w:val="single"/>
                <w:bottom w:val="single"/>
                <w:right w:val="single"/>
                <w:insideH w:val="single"/>
                <w:insideV w:val="single"/>
              </w:tblBorders>
            </w:tblPr>
            <w:tblGrid>
              <w:gridCol w:w="177"/>
              <w:gridCol w:w="305"/>
              <w:gridCol w:w="483"/>
              <w:gridCol w:w="157"/>
              <w:gridCol w:w="157"/>
              <w:gridCol w:w="157"/>
              <w:gridCol w:w="412"/>
            </w:tblGrid>
            <w:tr>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3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业务类型</w:t>
                  </w:r>
                </w:p>
              </w:tc>
              <w:tc>
                <w:tcPr>
                  <w:tcW w:type="dxa" w:w="4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服务内容</w:t>
                  </w: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时长</w:t>
                  </w:r>
                  <w:r>
                    <w:br/>
                  </w:r>
                  <w:r>
                    <w:rPr>
                      <w:rFonts w:ascii="仿宋_GB2312" w:hAnsi="仿宋_GB2312" w:cs="仿宋_GB2312" w:eastAsia="仿宋_GB2312"/>
                      <w:sz w:val="22"/>
                      <w:b/>
                      <w:color w:val="000000"/>
                    </w:rPr>
                    <w:t xml:space="preserve"> （年）</w:t>
                  </w: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4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177"/>
                  <w:vMerge/>
                  <w:tcBorders>
                    <w:top w:val="single" w:color="000000" w:sz="4"/>
                    <w:left w:val="single" w:color="000000" w:sz="4"/>
                    <w:bottom w:val="single" w:color="000000" w:sz="4"/>
                    <w:right w:val="single" w:color="000000" w:sz="4"/>
                  </w:tcBorders>
                </w:tcPr>
                <w:p/>
              </w:tc>
              <w:tc>
                <w:tcPr>
                  <w:tcW w:type="dxa" w:w="305"/>
                  <w:vMerge/>
                  <w:tcBorders>
                    <w:top w:val="single" w:color="000000" w:sz="4"/>
                    <w:left w:val="single" w:color="000000" w:sz="4"/>
                    <w:bottom w:val="single" w:color="000000" w:sz="4"/>
                    <w:right w:val="single" w:color="000000" w:sz="4"/>
                  </w:tcBorders>
                </w:tcPr>
                <w:p/>
              </w:tc>
              <w:tc>
                <w:tcPr>
                  <w:tcW w:type="dxa" w:w="483"/>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412"/>
                  <w:vMerge/>
                  <w:tcBorders>
                    <w:top w:val="single" w:color="000000" w:sz="4"/>
                    <w:left w:val="single" w:color="000000" w:sz="4"/>
                    <w:bottom w:val="single" w:color="000000" w:sz="4"/>
                    <w:right w:val="single" w:color="000000" w:sz="4"/>
                  </w:tcBorders>
                </w:tcPr>
                <w:p/>
              </w:tc>
            </w:tr>
            <w:tr>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一</w:t>
                  </w:r>
                </w:p>
              </w:tc>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电子政务外网</w:t>
                  </w:r>
                </w:p>
              </w:tc>
              <w:tc>
                <w:tcPr>
                  <w:tcW w:type="dxa" w:w="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全县92个部局和乡镇每单位提供1条20M带宽的电子政务外网</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条</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92</w:t>
                  </w:r>
                </w:p>
              </w:tc>
              <w:tc>
                <w:tcPr>
                  <w:tcW w:type="dxa" w:w="4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单价为每月每条费用</w:t>
                  </w:r>
                </w:p>
              </w:tc>
            </w:tr>
            <w:tr>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二</w:t>
                  </w:r>
                </w:p>
              </w:tc>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互联网专线</w:t>
                  </w:r>
                </w:p>
              </w:tc>
              <w:tc>
                <w:tcPr>
                  <w:tcW w:type="dxa" w:w="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500M互联网专线一条，政府大院内所有单位上网使用</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条</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4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单价为每月每条费用</w:t>
                  </w:r>
                </w:p>
              </w:tc>
            </w:tr>
            <w:tr>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三</w:t>
                  </w:r>
                </w:p>
              </w:tc>
              <w:tc>
                <w:tcPr>
                  <w:tcW w:type="dxa" w:w="3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周至县电子政务机房维保清单</w:t>
                  </w:r>
                </w:p>
              </w:tc>
              <w:tc>
                <w:tcPr>
                  <w:tcW w:type="dxa" w:w="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机房UPS、空调、全力稳压器、消防</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4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1年维保</w:t>
                  </w:r>
                </w:p>
              </w:tc>
            </w:tr>
            <w:tr>
              <w:tc>
                <w:tcPr>
                  <w:tcW w:type="dxa" w:w="177"/>
                  <w:vMerge/>
                  <w:tcBorders>
                    <w:top w:val="single" w:color="000000" w:sz="4"/>
                    <w:left w:val="single" w:color="000000" w:sz="4"/>
                    <w:bottom w:val="single" w:color="000000" w:sz="4"/>
                    <w:right w:val="single" w:color="000000" w:sz="4"/>
                  </w:tcBorders>
                </w:tcPr>
                <w:p/>
              </w:tc>
              <w:tc>
                <w:tcPr>
                  <w:tcW w:type="dxa" w:w="305"/>
                  <w:vMerge/>
                  <w:tcBorders>
                    <w:top w:val="single" w:color="000000" w:sz="4"/>
                    <w:left w:val="single" w:color="000000" w:sz="4"/>
                    <w:bottom w:val="single" w:color="000000" w:sz="4"/>
                    <w:right w:val="single" w:color="000000" w:sz="4"/>
                  </w:tcBorders>
                </w:tcPr>
                <w:p/>
              </w:tc>
              <w:tc>
                <w:tcPr>
                  <w:tcW w:type="dxa" w:w="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安全设备维保</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4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1年质保</w:t>
                  </w:r>
                </w:p>
              </w:tc>
            </w:tr>
            <w:tr>
              <w:tc>
                <w:tcPr>
                  <w:tcW w:type="dxa" w:w="177"/>
                  <w:vMerge/>
                  <w:tcBorders>
                    <w:top w:val="single" w:color="000000" w:sz="4"/>
                    <w:left w:val="single" w:color="000000" w:sz="4"/>
                    <w:bottom w:val="single" w:color="000000" w:sz="4"/>
                    <w:right w:val="single" w:color="000000" w:sz="4"/>
                  </w:tcBorders>
                </w:tcPr>
                <w:p/>
              </w:tc>
              <w:tc>
                <w:tcPr>
                  <w:tcW w:type="dxa" w:w="305"/>
                  <w:vMerge/>
                  <w:tcBorders>
                    <w:top w:val="single" w:color="000000" w:sz="4"/>
                    <w:left w:val="single" w:color="000000" w:sz="4"/>
                    <w:bottom w:val="single" w:color="000000" w:sz="4"/>
                    <w:right w:val="single" w:color="000000" w:sz="4"/>
                  </w:tcBorders>
                </w:tcPr>
                <w:p/>
              </w:tc>
              <w:tc>
                <w:tcPr>
                  <w:tcW w:type="dxa" w:w="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超融合设备维保</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4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1年维保</w:t>
                  </w:r>
                </w:p>
              </w:tc>
            </w:tr>
            <w:tr>
              <w:tc>
                <w:tcPr>
                  <w:tcW w:type="dxa" w:w="177"/>
                  <w:vMerge/>
                  <w:tcBorders>
                    <w:top w:val="single" w:color="000000" w:sz="4"/>
                    <w:left w:val="single" w:color="000000" w:sz="4"/>
                    <w:bottom w:val="single" w:color="000000" w:sz="4"/>
                    <w:right w:val="single" w:color="000000" w:sz="4"/>
                  </w:tcBorders>
                </w:tcPr>
                <w:p/>
              </w:tc>
              <w:tc>
                <w:tcPr>
                  <w:tcW w:type="dxa" w:w="305"/>
                  <w:vMerge/>
                  <w:tcBorders>
                    <w:top w:val="single" w:color="000000" w:sz="4"/>
                    <w:left w:val="single" w:color="000000" w:sz="4"/>
                    <w:bottom w:val="single" w:color="000000" w:sz="4"/>
                    <w:right w:val="single" w:color="000000" w:sz="4"/>
                  </w:tcBorders>
                </w:tcPr>
                <w:p/>
              </w:tc>
              <w:tc>
                <w:tcPr>
                  <w:tcW w:type="dxa" w:w="4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驻场及运维服务</w:t>
                  </w:r>
                </w:p>
              </w:tc>
              <w:tc>
                <w:tcPr>
                  <w:tcW w:type="dxa" w:w="1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1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4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1"/>
                      <w:color w:val="000000"/>
                    </w:rPr>
                    <w:t>1年维保</w:t>
                  </w:r>
                </w:p>
              </w:tc>
            </w:tr>
          </w:tbl>
          <w:p>
            <w:pPr>
              <w:pStyle w:val="null3"/>
            </w:pPr>
            <w:r>
              <w:rPr>
                <w:rFonts w:ascii="仿宋_GB2312" w:hAnsi="仿宋_GB2312" w:cs="仿宋_GB2312" w:eastAsia="仿宋_GB2312"/>
              </w:rPr>
              <w:t>ups、空调、消防设备维保</w:t>
            </w:r>
          </w:p>
          <w:tbl>
            <w:tblPr>
              <w:tblBorders>
                <w:top w:val="single"/>
                <w:left w:val="single"/>
                <w:bottom w:val="single"/>
                <w:right w:val="single"/>
                <w:insideH w:val="single"/>
                <w:insideV w:val="single"/>
              </w:tblBorders>
            </w:tblPr>
            <w:tblGrid>
              <w:gridCol w:w="203"/>
              <w:gridCol w:w="127"/>
              <w:gridCol w:w="503"/>
              <w:gridCol w:w="367"/>
              <w:gridCol w:w="203"/>
              <w:gridCol w:w="203"/>
              <w:gridCol w:w="248"/>
            </w:tblGrid>
            <w:tr>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服务内容</w:t>
                  </w:r>
                </w:p>
              </w:tc>
              <w:tc>
                <w:tcPr>
                  <w:tcW w:type="dxa" w:w="12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5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设备材料名称</w:t>
                  </w:r>
                </w:p>
              </w:tc>
              <w:tc>
                <w:tcPr>
                  <w:tcW w:type="dxa" w:w="3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规格型号</w:t>
                  </w:r>
                </w:p>
              </w:tc>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2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维保时间</w:t>
                  </w:r>
                </w:p>
              </w:tc>
            </w:tr>
            <w:tr>
              <w:tc>
                <w:tcPr>
                  <w:tcW w:type="dxa" w:w="203"/>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503"/>
                  <w:vMerge/>
                  <w:tcBorders>
                    <w:top w:val="single" w:color="000000" w:sz="4"/>
                    <w:left w:val="single" w:color="000000" w:sz="4"/>
                    <w:bottom w:val="single" w:color="000000" w:sz="4"/>
                    <w:right w:val="single" w:color="000000" w:sz="4"/>
                  </w:tcBorders>
                </w:tcPr>
                <w:p/>
              </w:tc>
              <w:tc>
                <w:tcPr>
                  <w:tcW w:type="dxa" w:w="367"/>
                  <w:vMerge/>
                  <w:tcBorders>
                    <w:top w:val="single" w:color="000000" w:sz="4"/>
                    <w:left w:val="single" w:color="000000" w:sz="4"/>
                    <w:bottom w:val="single" w:color="000000" w:sz="4"/>
                    <w:right w:val="single" w:color="000000" w:sz="4"/>
                  </w:tcBorders>
                </w:tcPr>
                <w:p/>
              </w:tc>
              <w:tc>
                <w:tcPr>
                  <w:tcW w:type="dxa" w:w="203"/>
                  <w:vMerge/>
                  <w:tcBorders>
                    <w:top w:val="single" w:color="000000" w:sz="4"/>
                    <w:left w:val="single" w:color="000000" w:sz="4"/>
                    <w:bottom w:val="single" w:color="000000" w:sz="4"/>
                    <w:right w:val="single" w:color="000000" w:sz="4"/>
                  </w:tcBorders>
                </w:tcPr>
                <w:p/>
              </w:tc>
              <w:tc>
                <w:tcPr>
                  <w:tcW w:type="dxa" w:w="203"/>
                  <w:vMerge/>
                  <w:tcBorders>
                    <w:top w:val="single" w:color="000000" w:sz="4"/>
                    <w:left w:val="single" w:color="000000" w:sz="4"/>
                    <w:bottom w:val="single" w:color="000000" w:sz="4"/>
                    <w:right w:val="single" w:color="000000" w:sz="4"/>
                  </w:tcBorders>
                </w:tcPr>
                <w:p/>
              </w:tc>
              <w:tc>
                <w:tcPr>
                  <w:tcW w:type="dxa" w:w="248"/>
                  <w:vMerge/>
                  <w:tcBorders>
                    <w:top w:val="single" w:color="000000" w:sz="4"/>
                    <w:left w:val="single" w:color="000000" w:sz="4"/>
                    <w:bottom w:val="single" w:color="000000" w:sz="4"/>
                    <w:right w:val="single" w:color="000000" w:sz="4"/>
                  </w:tcBorders>
                </w:tcPr>
                <w:p/>
              </w:tc>
            </w:tr>
            <w:tr>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ups、空调、消防设备维保</w:t>
                  </w:r>
                </w:p>
              </w:tc>
              <w:tc>
                <w:tcPr>
                  <w:tcW w:type="dxa" w:w="1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w:t>
                  </w:r>
                </w:p>
              </w:tc>
              <w:tc>
                <w:tcPr>
                  <w:tcW w:type="dxa" w:w="5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科士达UPS主机</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30KVA</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r>
            <w:tr>
              <w:tc>
                <w:tcPr>
                  <w:tcW w:type="dxa" w:w="203"/>
                  <w:vMerge/>
                  <w:tcBorders>
                    <w:top w:val="single" w:color="000000" w:sz="4"/>
                    <w:left w:val="single" w:color="000000" w:sz="4"/>
                    <w:bottom w:val="single" w:color="000000" w:sz="4"/>
                    <w:right w:val="single" w:color="000000" w:sz="4"/>
                  </w:tcBorders>
                </w:tcPr>
                <w:p/>
              </w:tc>
              <w:tc>
                <w:tcPr>
                  <w:tcW w:type="dxa" w:w="1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w:t>
                  </w:r>
                </w:p>
              </w:tc>
              <w:tc>
                <w:tcPr>
                  <w:tcW w:type="dxa" w:w="5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UPS电池</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6-FM-200</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r>
            <w:tr>
              <w:tc>
                <w:tcPr>
                  <w:tcW w:type="dxa" w:w="203"/>
                  <w:vMerge/>
                  <w:tcBorders>
                    <w:top w:val="single" w:color="000000" w:sz="4"/>
                    <w:left w:val="single" w:color="000000" w:sz="4"/>
                    <w:bottom w:val="single" w:color="000000" w:sz="4"/>
                    <w:right w:val="single" w:color="000000" w:sz="4"/>
                  </w:tcBorders>
                </w:tcPr>
                <w:p/>
              </w:tc>
              <w:tc>
                <w:tcPr>
                  <w:tcW w:type="dxa" w:w="12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3"/>
                  <w:vMerge/>
                  <w:tcBorders>
                    <w:top w:val="single" w:color="000000" w:sz="4"/>
                    <w:left w:val="single" w:color="000000" w:sz="4"/>
                    <w:bottom w:val="single" w:color="000000" w:sz="4"/>
                    <w:right w:val="single" w:color="000000" w:sz="4"/>
                  </w:tcBorders>
                </w:tcP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6-FM-100</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r>
            <w:tr>
              <w:tc>
                <w:tcPr>
                  <w:tcW w:type="dxa" w:w="203"/>
                  <w:vMerge/>
                  <w:tcBorders>
                    <w:top w:val="single" w:color="000000" w:sz="4"/>
                    <w:left w:val="single" w:color="000000" w:sz="4"/>
                    <w:bottom w:val="single" w:color="000000" w:sz="4"/>
                    <w:right w:val="single" w:color="000000" w:sz="4"/>
                  </w:tcBorders>
                </w:tcPr>
                <w:p/>
              </w:tc>
              <w:tc>
                <w:tcPr>
                  <w:tcW w:type="dxa" w:w="1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w:t>
                  </w:r>
                </w:p>
              </w:tc>
              <w:tc>
                <w:tcPr>
                  <w:tcW w:type="dxa" w:w="5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全力稳压器</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r>
            <w:tr>
              <w:tc>
                <w:tcPr>
                  <w:tcW w:type="dxa" w:w="203"/>
                  <w:vMerge/>
                  <w:tcBorders>
                    <w:top w:val="single" w:color="000000" w:sz="4"/>
                    <w:left w:val="single" w:color="000000" w:sz="4"/>
                    <w:bottom w:val="single" w:color="000000" w:sz="4"/>
                    <w:right w:val="single" w:color="000000" w:sz="4"/>
                  </w:tcBorders>
                </w:tcPr>
                <w:p/>
              </w:tc>
              <w:tc>
                <w:tcPr>
                  <w:tcW w:type="dxa" w:w="1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w:t>
                  </w:r>
                </w:p>
              </w:tc>
              <w:tc>
                <w:tcPr>
                  <w:tcW w:type="dxa" w:w="5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科士达精密空调</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r>
            <w:tr>
              <w:tc>
                <w:tcPr>
                  <w:tcW w:type="dxa" w:w="203"/>
                  <w:vMerge/>
                  <w:tcBorders>
                    <w:top w:val="single" w:color="000000" w:sz="4"/>
                    <w:left w:val="single" w:color="000000" w:sz="4"/>
                    <w:bottom w:val="single" w:color="000000" w:sz="4"/>
                    <w:right w:val="single" w:color="000000" w:sz="4"/>
                  </w:tcBorders>
                </w:tcPr>
                <w:p/>
              </w:tc>
              <w:tc>
                <w:tcPr>
                  <w:tcW w:type="dxa" w:w="1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5</w:t>
                  </w:r>
                </w:p>
              </w:tc>
              <w:tc>
                <w:tcPr>
                  <w:tcW w:type="dxa" w:w="5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山特精密空调</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r>
            <w:tr>
              <w:tc>
                <w:tcPr>
                  <w:tcW w:type="dxa" w:w="203"/>
                  <w:vMerge/>
                  <w:tcBorders>
                    <w:top w:val="single" w:color="000000" w:sz="4"/>
                    <w:left w:val="single" w:color="000000" w:sz="4"/>
                    <w:bottom w:val="single" w:color="000000" w:sz="4"/>
                    <w:right w:val="single" w:color="000000" w:sz="4"/>
                  </w:tcBorders>
                </w:tcPr>
                <w:p/>
              </w:tc>
              <w:tc>
                <w:tcPr>
                  <w:tcW w:type="dxa" w:w="1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6</w:t>
                  </w:r>
                </w:p>
              </w:tc>
              <w:tc>
                <w:tcPr>
                  <w:tcW w:type="dxa" w:w="5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150L柜式灭火装置  控制器</w:t>
                  </w:r>
                  <w:r>
                    <w:br/>
                  </w:r>
                  <w:r>
                    <w:rPr>
                      <w:rFonts w:ascii="仿宋_GB2312" w:hAnsi="仿宋_GB2312" w:cs="仿宋_GB2312" w:eastAsia="仿宋_GB2312"/>
                      <w:sz w:val="24"/>
                      <w:color w:val="000000"/>
                    </w:rPr>
                    <w:t xml:space="preserve"> （含药剂及罐体维护）</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QMP 150/2.5-DD</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r>
            <w:tr>
              <w:tc>
                <w:tcPr>
                  <w:tcW w:type="dxa" w:w="203"/>
                  <w:vMerge/>
                  <w:tcBorders>
                    <w:top w:val="single" w:color="000000" w:sz="4"/>
                    <w:left w:val="single" w:color="000000" w:sz="4"/>
                    <w:bottom w:val="single" w:color="000000" w:sz="4"/>
                    <w:right w:val="single" w:color="000000" w:sz="4"/>
                  </w:tcBorders>
                </w:tcPr>
                <w:p/>
              </w:tc>
              <w:tc>
                <w:tcPr>
                  <w:tcW w:type="dxa" w:w="1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7</w:t>
                  </w:r>
                </w:p>
              </w:tc>
              <w:tc>
                <w:tcPr>
                  <w:tcW w:type="dxa" w:w="5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机房动环监测维保</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r>
          </w:tbl>
          <w:p>
            <w:pPr>
              <w:pStyle w:val="null3"/>
            </w:pPr>
            <w:r>
              <w:rPr>
                <w:rFonts w:ascii="仿宋_GB2312" w:hAnsi="仿宋_GB2312" w:cs="仿宋_GB2312" w:eastAsia="仿宋_GB2312"/>
              </w:rPr>
              <w:t>安全设备维保（质保服务）</w:t>
            </w:r>
          </w:p>
          <w:tbl>
            <w:tblPr>
              <w:tblBorders>
                <w:top w:val="single"/>
                <w:left w:val="single"/>
                <w:bottom w:val="single"/>
                <w:right w:val="single"/>
                <w:insideH w:val="single"/>
                <w:insideV w:val="single"/>
              </w:tblBorders>
            </w:tblPr>
            <w:tblGrid>
              <w:gridCol w:w="139"/>
              <w:gridCol w:w="142"/>
              <w:gridCol w:w="186"/>
              <w:gridCol w:w="216"/>
              <w:gridCol w:w="406"/>
              <w:gridCol w:w="438"/>
              <w:gridCol w:w="179"/>
              <w:gridCol w:w="149"/>
            </w:tblGrid>
            <w:tr>
              <w:tc>
                <w:tcPr>
                  <w:tcW w:type="dxa" w:w="1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服务内容</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所属区域</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设备</w:t>
                  </w:r>
                </w:p>
              </w:tc>
              <w:tc>
                <w:tcPr>
                  <w:tcW w:type="dxa" w:w="4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品牌/型号</w:t>
                  </w:r>
                </w:p>
              </w:tc>
              <w:tc>
                <w:tcPr>
                  <w:tcW w:type="dxa" w:w="43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维保内容</w:t>
                  </w:r>
                </w:p>
              </w:tc>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数量（台/年）</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9"/>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406"/>
                  <w:vMerge/>
                  <w:tcBorders>
                    <w:top w:val="single" w:color="000000" w:sz="4"/>
                    <w:left w:val="single" w:color="000000" w:sz="4"/>
                    <w:bottom w:val="single" w:color="000000" w:sz="4"/>
                    <w:right w:val="single" w:color="000000" w:sz="4"/>
                  </w:tcBorders>
                </w:tcPr>
                <w:p/>
              </w:tc>
              <w:tc>
                <w:tcPr>
                  <w:tcW w:type="dxa" w:w="438"/>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维保时间</w:t>
                  </w:r>
                </w:p>
              </w:tc>
            </w:tr>
            <w:tr>
              <w:tc>
                <w:tcPr>
                  <w:tcW w:type="dxa" w:w="1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安全设备维保（质保服务）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互联网接入域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负载均衡系统</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启明星辰/天清ADC 6100应用交付控制系统</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服务期限为一年；硬件质保服务、5×8技术支持服务。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6"/>
                  <w:vMerge/>
                  <w:tcBorders>
                    <w:top w:val="single" w:color="000000" w:sz="4"/>
                    <w:left w:val="single" w:color="000000" w:sz="4"/>
                    <w:bottom w:val="single" w:color="000000" w:sz="4"/>
                    <w:right w:val="single" w:color="000000" w:sz="4"/>
                  </w:tcBorders>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安全网关系统</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启明星辰/天清汉马USG-FW-12600-T</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 xml:space="preserve">包含硬件质保服务、5×8技术支持服务。 </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云租户接入域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VPN系统</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启明星辰/天清汉马SJJ1541-2000</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包括硬件质保服务，同代软件版本升级服务，5×8热线技术支持服务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对外服务区域</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WEB应用安全网关</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启明星辰/WAF6000-M1 Web应用防火墙</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包含硬件质保服务、、5×8技术支持服务；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WAF6000 Web应用防护特征库升级授权</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一年的Web应用防护特征库升级授权，供用户自行升级。授权有效期自硬件/软件光盘发货之日起生效，至“合同约定的授权采购年限”加3个月失效。对于单独购买的库升级授权，以合同约定起止时间为准。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政务数据共享域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数据库审计系统</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启明星辰/天玥数据库审计一体机 DA-1000-U</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包含硬件质保服务、5×8技术支持服务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政务数据交换平台</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入侵防御系统</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启明星辰/天清NGIPS5000-M1</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一年的基本型维保服务。包含硬件质保服务、5×8技术支持服务；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NGIPS5000入侵防御特征库升级授权</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一年的特征库升级授权。适用于NGIPS5000系列主机型号。</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安全管理区域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终端合规管理系统</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盈高科技/ASM-6307系统授权</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一年系统升级授权，供用户自行升级。授权有效期自硬件/软件光盘发货之日起生效，至“合同约定的授权采购年限”加3个月失效。对于单独购买的库升级授权，以合同约定起止时间为准。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86"/>
                  <w:vMerge/>
                  <w:tcBorders>
                    <w:top w:val="single" w:color="000000" w:sz="4"/>
                    <w:left w:val="single" w:color="000000" w:sz="4"/>
                    <w:bottom w:val="single" w:color="000000" w:sz="4"/>
                    <w:right w:val="single" w:color="000000" w:sz="4"/>
                  </w:tcBorders>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安全管理中心</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启明星辰/USM-SOC-CDB</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年内产品售后维护，包括：5*8小时专家在线、电子邮件技术支持、远程巡检、应急响应、重大问题现场支持。1年内同代软件版本产品升级和知识库升级（含漏洞情报和日志解析策略包）授权。该型号仅针对USM3（TSOC-USM-CDB）</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86"/>
                  <w:vMerge/>
                  <w:tcBorders>
                    <w:top w:val="single" w:color="000000" w:sz="4"/>
                    <w:left w:val="single" w:color="000000" w:sz="4"/>
                    <w:bottom w:val="single" w:color="000000" w:sz="4"/>
                    <w:right w:val="single" w:color="000000" w:sz="4"/>
                  </w:tcBorders>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运维堡垒主机</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启明星辰/天玥OSM-3600-M堡垒机</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一年期维保服务，包括7×24硬件质保服务，同代软件版本升级服务，5×8热线技术支持服务。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86"/>
                  <w:vMerge/>
                  <w:tcBorders>
                    <w:top w:val="single" w:color="000000" w:sz="4"/>
                    <w:left w:val="single" w:color="000000" w:sz="4"/>
                    <w:bottom w:val="single" w:color="000000" w:sz="4"/>
                    <w:right w:val="single" w:color="000000" w:sz="4"/>
                  </w:tcBorders>
                </w:tcP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入侵检测系统</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启明星辰/天阗NT3000-HD-C</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一年期维保服务，包括7×24硬件质保服务，同代软件版本升级服务，5×8热线技术支持服务，适用于产品发货之日起第4至5年。</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天阗NT3000-HD 入侵特征库升级授权</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一年特征库升级授权，供用户自行升级。授权有效期自硬件/软件光盘发货之日起生效，至“合同约定的授权采购年限”加3个月失效。对于单独购买的库升级授权，以合同约定起止时间为准。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86"/>
                  <w:vMerge/>
                  <w:tcBorders>
                    <w:top w:val="single" w:color="000000" w:sz="4"/>
                    <w:left w:val="single" w:color="000000" w:sz="4"/>
                    <w:bottom w:val="single" w:color="000000" w:sz="4"/>
                    <w:right w:val="single" w:color="000000" w:sz="4"/>
                  </w:tcBorders>
                </w:tcP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漏洞扫描系统</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启明星辰/TJCS-NS-S1100</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一年期维保服务，包括 7×24硬件质保服务，同代软件版本升级服务，5×8热线技术支持服务。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天镜漏洞扫描模块漏洞库升级授权</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天镜脆弱性扫描与管理系统一年系统扫描漏洞库升级。对于首次购买天镜系列产品时同时购买或缺省包含的漏洞库升级授权，授权有效期自软件光盘/硬件发货之日起生效，至“合同约定的授权采购年限”加3个月失效；对于单独购买的漏洞库升级授权，以合同约定起止时间为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86"/>
                  <w:vMerge/>
                  <w:tcBorders>
                    <w:top w:val="single" w:color="000000" w:sz="4"/>
                    <w:left w:val="single" w:color="000000" w:sz="4"/>
                    <w:bottom w:val="single" w:color="000000" w:sz="4"/>
                    <w:right w:val="single" w:color="000000" w:sz="4"/>
                  </w:tcBorders>
                </w:tcP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防毒墙</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网御星云POWER V6000-A2200</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一年期维保服务，包括 7×24硬件质保服务，同代软件版本升级服务，5×8热线技术支持服务。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标准病毒防护特征升级</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一年特征库升级授权，供用户自行升级。授权有效期自硬件/软件光盘发货之日起生效，至“合同约定的授权采购年限”加3个月失效。对于单独购买的库升级授权，以合同约定起止时间为准。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86"/>
                  <w:vMerge/>
                  <w:tcBorders>
                    <w:top w:val="single" w:color="000000" w:sz="4"/>
                    <w:left w:val="single" w:color="000000" w:sz="4"/>
                    <w:bottom w:val="single" w:color="000000" w:sz="4"/>
                    <w:right w:val="single" w:color="000000" w:sz="4"/>
                  </w:tcBorders>
                </w:tcP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上网行为管理</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网御星云/LEADSECACM-N2050</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一年期维保服务，包括 7×24硬件质保服务，同代软件版本升级服务，5×8热线技术支持服务。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规则库升级</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一年特征库升级授权，供用户自行升级。授权有效期自硬件/软件光盘发货之日起生效，至“合同约定的授权采购年限”加3个月失效。对于单独购买的库升级授权，以合同约定起止时间为准。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86"/>
                  <w:vMerge/>
                  <w:tcBorders>
                    <w:top w:val="single" w:color="000000" w:sz="4"/>
                    <w:left w:val="single" w:color="000000" w:sz="4"/>
                    <w:bottom w:val="single" w:color="000000" w:sz="4"/>
                    <w:right w:val="single" w:color="000000" w:sz="4"/>
                  </w:tcBorders>
                </w:tcP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日志审计</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LOGBASE-A1500</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一年期维保服务，包括 7×24硬件质保服务，同代软件版本升级服务，5×8热线技术支持服务。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18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系统授权</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一年特征库升级授权，供用户自行升级。授权有效期自硬件/软件光盘发货之日起生效，至“合同约定的授权采购年限”加3个月失效。对于单独购买的库升级授权，以合同约定起止时间为准。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vMerge/>
                  <w:tcBorders>
                    <w:top w:val="single" w:color="000000" w:sz="4"/>
                    <w:left w:val="single" w:color="000000" w:sz="4"/>
                    <w:bottom w:val="single" w:color="000000" w:sz="4"/>
                    <w:right w:val="single" w:color="000000" w:sz="4"/>
                  </w:tcBorders>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86"/>
                  <w:vMerge/>
                  <w:tcBorders>
                    <w:top w:val="single" w:color="000000" w:sz="4"/>
                    <w:left w:val="single" w:color="000000" w:sz="4"/>
                    <w:bottom w:val="single" w:color="000000" w:sz="4"/>
                    <w:right w:val="single" w:color="000000" w:sz="4"/>
                  </w:tcBorders>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防火墙</w:t>
                  </w:r>
                </w:p>
              </w:tc>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网御星云POWER V6000-F2200</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一年期维保服务，包括 7×24硬件质保服务，同代软件版本升级服务，5×8热线技术支持服务。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1年质保</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16"/>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备注：硬件质保服务为硬件发生故障后提供维修服务，如无法修复提供性能不低于原有设备的产品进行替换，设备产权归甲方所有</w:t>
                  </w:r>
                </w:p>
              </w:tc>
            </w:tr>
          </w:tbl>
          <w:p>
            <w:pPr>
              <w:pStyle w:val="null3"/>
            </w:pPr>
            <w:r>
              <w:rPr>
                <w:rFonts w:ascii="仿宋_GB2312" w:hAnsi="仿宋_GB2312" w:cs="仿宋_GB2312" w:eastAsia="仿宋_GB2312"/>
              </w:rPr>
              <w:t xml:space="preserve"> 超融合设备维保</w:t>
            </w:r>
          </w:p>
          <w:tbl>
            <w:tblPr>
              <w:tblBorders>
                <w:top w:val="single"/>
                <w:left w:val="single"/>
                <w:bottom w:val="single"/>
                <w:right w:val="single"/>
                <w:insideH w:val="single"/>
                <w:insideV w:val="single"/>
              </w:tblBorders>
            </w:tblPr>
            <w:tblGrid>
              <w:gridCol w:w="182"/>
              <w:gridCol w:w="182"/>
              <w:gridCol w:w="353"/>
              <w:gridCol w:w="592"/>
              <w:gridCol w:w="182"/>
              <w:gridCol w:w="182"/>
              <w:gridCol w:w="182"/>
            </w:tblGrid>
            <w:tr>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服务内容</w:t>
                  </w:r>
                </w:p>
              </w:tc>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3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产品</w:t>
                  </w:r>
                </w:p>
              </w:tc>
              <w:tc>
                <w:tcPr>
                  <w:tcW w:type="dxa" w:w="5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产品名称及型号</w:t>
                  </w:r>
                </w:p>
              </w:tc>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维保时间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2"/>
                  <w:vMerge/>
                  <w:tcBorders>
                    <w:top w:val="single" w:color="000000" w:sz="4"/>
                    <w:left w:val="singl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353"/>
                  <w:vMerge/>
                  <w:tcBorders>
                    <w:top w:val="single" w:color="000000" w:sz="4"/>
                    <w:left w:val="single" w:color="000000" w:sz="4"/>
                    <w:bottom w:val="single" w:color="000000" w:sz="4"/>
                    <w:right w:val="single" w:color="000000" w:sz="4"/>
                  </w:tcBorders>
                </w:tcPr>
                <w:p/>
              </w:tc>
              <w:tc>
                <w:tcPr>
                  <w:tcW w:type="dxa" w:w="592"/>
                  <w:vMerge/>
                  <w:tcBorders>
                    <w:top w:val="single" w:color="000000" w:sz="4"/>
                    <w:left w:val="singl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p>
              </w:tc>
            </w:tr>
            <w:tr>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超融合设备维保</w:t>
                  </w:r>
                </w:p>
              </w:tc>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超融合一体机</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aServer-2205</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提供软件系统的安装配置服务，提供设备质保服务。</w:t>
                  </w:r>
                </w:p>
              </w:tc>
            </w:tr>
            <w:tr>
              <w:tc>
                <w:tcPr>
                  <w:tcW w:type="dxa" w:w="182"/>
                  <w:vMerge/>
                  <w:tcBorders>
                    <w:top w:val="single" w:color="000000" w:sz="4"/>
                    <w:left w:val="singl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353"/>
                  <w:vMerge/>
                  <w:tcBorders>
                    <w:top w:val="single" w:color="000000" w:sz="4"/>
                    <w:left w:val="single" w:color="000000" w:sz="4"/>
                    <w:bottom w:val="single" w:color="000000" w:sz="4"/>
                    <w:right w:val="single" w:color="000000" w:sz="4"/>
                  </w:tcBorders>
                </w:tcP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系统软件升级</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tcBorders>
                    <w:top w:val="single" w:color="000000" w:sz="4"/>
                    <w:left w:val="single" w:color="000000" w:sz="4"/>
                    <w:bottom w:val="single" w:color="000000" w:sz="4"/>
                    <w:right w:val="single" w:color="000000" w:sz="4"/>
                  </w:tcBorders>
                </w:tcPr>
                <w:p/>
              </w:tc>
            </w:tr>
            <w:tr>
              <w:tc>
                <w:tcPr>
                  <w:tcW w:type="dxa" w:w="182"/>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超融合云管理平台</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超融合云管理平台</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tcBorders>
                    <w:top w:val="single" w:color="000000" w:sz="4"/>
                    <w:left w:val="single" w:color="000000" w:sz="4"/>
                    <w:bottom w:val="single" w:color="000000" w:sz="4"/>
                    <w:right w:val="single" w:color="000000" w:sz="4"/>
                  </w:tcBorders>
                </w:tcPr>
                <w:p/>
              </w:tc>
            </w:tr>
            <w:tr>
              <w:tc>
                <w:tcPr>
                  <w:tcW w:type="dxa" w:w="182"/>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华为交换机</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S5735-L48T4S-A1</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tcBorders>
                    <w:top w:val="single" w:color="000000" w:sz="4"/>
                    <w:left w:val="single" w:color="000000" w:sz="4"/>
                    <w:bottom w:val="single" w:color="000000" w:sz="4"/>
                    <w:right w:val="single" w:color="000000" w:sz="4"/>
                  </w:tcBorders>
                </w:tcPr>
                <w:p/>
              </w:tc>
            </w:tr>
            <w:tr>
              <w:tc>
                <w:tcPr>
                  <w:tcW w:type="dxa" w:w="182"/>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千兆交换机</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aSW1100-24T4X</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tcBorders>
                    <w:top w:val="single" w:color="000000" w:sz="4"/>
                    <w:left w:val="single" w:color="000000" w:sz="4"/>
                    <w:bottom w:val="single" w:color="000000" w:sz="4"/>
                    <w:right w:val="single" w:color="000000" w:sz="4"/>
                  </w:tcBorders>
                </w:tcPr>
                <w:p/>
              </w:tc>
            </w:tr>
            <w:tr>
              <w:tc>
                <w:tcPr>
                  <w:tcW w:type="dxa" w:w="182"/>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万兆交换机</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RS6500-54Q-EI-48X</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tcBorders>
                    <w:top w:val="single" w:color="000000" w:sz="4"/>
                    <w:left w:val="single" w:color="000000" w:sz="4"/>
                    <w:bottom w:val="single" w:color="000000" w:sz="4"/>
                    <w:right w:val="single" w:color="000000" w:sz="4"/>
                  </w:tcBorders>
                </w:tcPr>
                <w:p/>
              </w:tc>
            </w:tr>
            <w:tr>
              <w:tc>
                <w:tcPr>
                  <w:tcW w:type="dxa" w:w="182"/>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计算虚拟化软件</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计算服务器虚拟化软件V5.0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tcBorders>
                    <w:top w:val="single" w:color="000000" w:sz="4"/>
                    <w:left w:val="single" w:color="000000" w:sz="4"/>
                    <w:bottom w:val="single" w:color="000000" w:sz="4"/>
                    <w:right w:val="single" w:color="000000" w:sz="4"/>
                  </w:tcBorders>
                </w:tcPr>
                <w:p/>
              </w:tc>
            </w:tr>
            <w:tr>
              <w:tc>
                <w:tcPr>
                  <w:tcW w:type="dxa" w:w="182"/>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网络虚拟化软件</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网络虚拟化软件V5.0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tcBorders>
                    <w:top w:val="single" w:color="000000" w:sz="4"/>
                    <w:left w:val="single" w:color="000000" w:sz="4"/>
                    <w:bottom w:val="single" w:color="000000" w:sz="4"/>
                    <w:right w:val="single" w:color="000000" w:sz="4"/>
                  </w:tcBorders>
                </w:tcPr>
                <w:p/>
              </w:tc>
            </w:tr>
            <w:tr>
              <w:tc>
                <w:tcPr>
                  <w:tcW w:type="dxa" w:w="182"/>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存储虚拟化软件</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虚拟存储软件V2.0</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tcBorders>
                    <w:top w:val="single" w:color="000000" w:sz="4"/>
                    <w:left w:val="single" w:color="000000" w:sz="4"/>
                    <w:bottom w:val="single" w:color="000000" w:sz="4"/>
                    <w:right w:val="single" w:color="000000" w:sz="4"/>
                  </w:tcBorders>
                </w:tcPr>
                <w:p/>
              </w:tc>
            </w:tr>
            <w:tr>
              <w:tc>
                <w:tcPr>
                  <w:tcW w:type="dxa" w:w="182"/>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企业云技术支持服务</w:t>
                  </w:r>
                </w:p>
              </w:tc>
              <w:tc>
                <w:tcPr>
                  <w:tcW w:type="dxa" w:w="5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企业云部署服务 企业级云技术软件升级服务，远程技术支持服务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1年维保</w:t>
                  </w:r>
                </w:p>
              </w:tc>
              <w:tc>
                <w:tcPr>
                  <w:tcW w:type="dxa" w:w="182"/>
                  <w:vMerge/>
                  <w:tcBorders>
                    <w:top w:val="singl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rPr>
              <w:t xml:space="preserve">驻场及运维服务 </w:t>
            </w:r>
          </w:p>
          <w:tbl>
            <w:tblPr>
              <w:tblBorders>
                <w:top w:val="single"/>
                <w:left w:val="single"/>
                <w:bottom w:val="single"/>
                <w:right w:val="single"/>
                <w:insideH w:val="single"/>
                <w:insideV w:val="single"/>
              </w:tblBorders>
            </w:tblPr>
            <w:tblGrid>
              <w:gridCol w:w="186"/>
              <w:gridCol w:w="129"/>
              <w:gridCol w:w="199"/>
              <w:gridCol w:w="1032"/>
              <w:gridCol w:w="157"/>
              <w:gridCol w:w="155"/>
            </w:tblGrid>
            <w:tr>
              <w:tc>
                <w:tcPr>
                  <w:tcW w:type="dxa" w:w="18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服务内容</w:t>
                  </w:r>
                </w:p>
              </w:tc>
              <w:tc>
                <w:tcPr>
                  <w:tcW w:type="dxa" w:w="1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9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项目</w:t>
                  </w:r>
                </w:p>
              </w:tc>
              <w:tc>
                <w:tcPr>
                  <w:tcW w:type="dxa" w:w="10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驻场运维服务内容</w:t>
                  </w: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r>
            <w:tr>
              <w:tc>
                <w:tcPr>
                  <w:tcW w:type="dxa" w:w="186"/>
                  <w:vMerge/>
                  <w:tcBorders>
                    <w:top w:val="singl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c>
                <w:tcPr>
                  <w:tcW w:type="dxa" w:w="199"/>
                  <w:vMerge/>
                  <w:tcBorders>
                    <w:top w:val="single" w:color="000000" w:sz="4"/>
                    <w:left w:val="single" w:color="000000" w:sz="4"/>
                    <w:bottom w:val="single" w:color="000000" w:sz="4"/>
                    <w:right w:val="single" w:color="000000" w:sz="4"/>
                  </w:tcBorders>
                </w:tcPr>
                <w:p/>
              </w:tc>
              <w:tc>
                <w:tcPr>
                  <w:tcW w:type="dxa" w:w="1032"/>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155"/>
                  <w:vMerge/>
                  <w:tcBorders>
                    <w:top w:val="single" w:color="000000" w:sz="4"/>
                    <w:left w:val="single" w:color="000000" w:sz="4"/>
                    <w:bottom w:val="single" w:color="000000" w:sz="4"/>
                    <w:right w:val="single" w:color="000000" w:sz="4"/>
                  </w:tcBorders>
                </w:tcPr>
                <w:p/>
              </w:tc>
            </w:tr>
            <w:tr>
              <w:tc>
                <w:tcPr>
                  <w:tcW w:type="dxa" w:w="18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驻场及运维服务</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驻场运维费</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2人运维工程师常驻周至县电子政务机房，提供驻场运维服务。                             </w:t>
                  </w:r>
                  <w:r>
                    <w:br/>
                  </w:r>
                  <w:r>
                    <w:rPr>
                      <w:rFonts w:ascii="仿宋_GB2312" w:hAnsi="仿宋_GB2312" w:cs="仿宋_GB2312" w:eastAsia="仿宋_GB2312"/>
                      <w:sz w:val="19"/>
                      <w:color w:val="000000"/>
                    </w:rPr>
                    <w:t xml:space="preserve"> 服务内容：通过对现有信息统计，形成县电子政务外网资料库，及时更新、编订、整理，以保证资料实时、准确。资料库分为：政策指导类、网络结构类、网络设备资料类、服务器资料类、机房资料类、运维资料类等。对日常故障的预警、分析和处理，所有服务器操作与管理（操作系统）维护、硬件设备的安装调试和送修服务；服务支持时间：7×24全年无休支持服务。</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年</w:t>
                  </w:r>
                </w:p>
              </w:tc>
            </w:tr>
            <w:tr>
              <w:tc>
                <w:tcPr>
                  <w:tcW w:type="dxa" w:w="186"/>
                  <w:vMerge/>
                  <w:tcBorders>
                    <w:top w:val="single" w:color="000000" w:sz="4"/>
                    <w:left w:val="single" w:color="000000" w:sz="4"/>
                    <w:bottom w:val="single" w:color="000000" w:sz="4"/>
                    <w:right w:val="single" w:color="000000" w:sz="4"/>
                  </w:tcBorders>
                </w:tcP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巡检运维服务</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巡检的对象包括服务器、交换路由设备、安全设备、终端设备等，巡检周期为一月1次，巡检形成书面报告并整理归档。巡检报告内容包括：设备运行状态统计、设备潜在危险统计、设备异常问题统计，巡检情况分析、系统管理及维护措施建议等。每月月初形成上月巡检维护服务报告，年底形成本年度巡检维护服务汇总文档，以上资料交予甲方备案归档。制定《应急响应预案》，适时进行应急演练（1年2次），并对可能发生的安全事件进行记录、监控、分析、协调、处置、跟踪等。为周至县电子政务网络中心工作人员进行相关技术培训，包括日常培训服务与集中培训服务(一年2次)。配合周至县电子政务办为政府相关单位提供基础网络技术等培训服务。</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年</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预付款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服务期满,验收通过后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法定代表人授权情况</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响应文件封面 分项报价表.docx 供应商应提交的相关资格证明材料.docx 残疾人福利性单位声明函 服务方案 标的清单 人员.docx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签字及盖章均符合招标文件要求，且无遗漏。</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响应文件封面 分项报价表.docx 供应商应提交的相关资格证明材料.docx 残疾人福利性单位声明函 服务方案 标的清单 人员.docx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（1）只能有一个有效报价（2）投标总报价不得超过最高限价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服务方案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响应文件封面 分项报价表.docx 供应商应提交的相关资格证明材料.docx 残疾人福利性单位声明函 服务方案 标的清单 人员.docx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系统方案</w:t>
            </w:r>
          </w:p>
        </w:tc>
        <w:tc>
          <w:tcPr>
            <w:tcW w:type="dxa" w:w="2492"/>
          </w:tcPr>
          <w:p>
            <w:pPr>
              <w:pStyle w:val="null3"/>
            </w:pPr>
            <w:r>
              <w:rPr>
                <w:rFonts w:ascii="仿宋_GB2312" w:hAnsi="仿宋_GB2312" w:cs="仿宋_GB2312" w:eastAsia="仿宋_GB2312"/>
              </w:rPr>
              <w:t>投标人需对本项目具有充分的理解，并提供系统设计方案，方案需结构清晰、针对性强，能充分贴合系统需求现状，体现合理的建设思路，对采购需求所要求的功能有详尽的功能设计，其它各方面要求都有明确呼应。对照采购需求方案的总体性要求，对系统设计方案的系统性、完整性、先进性、成熟性、开放性、可维护性等因素进行综合评价。项目理解认识充分，设计方案合理、架构完整、层次清楚，先进成熟，可行性强，充分契合采购人的需求得17-25分。对项目具有一定的理解认识，设计方案基本合理、架构基本完整，具有一定的可行性，基本满足采购人的需求得9-16分。项目理解认识不清楚，设计方案不够完整，可行性较差的得0-8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根据项目建设要求结合系统方案对项目整体编写应急预案，应急预案内容详尽完整，可行性强得3-5分；应急预案内容比较具体详细合理得2-4分；应急预案内容有缺漏，缺乏合理性的0-2分；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项目建设要求结合上述系统方案对项目整体进行优化调整，并制定出项目实施方案，实施方案内容详尽完整，可行性强，时间安排合理得10-15分；实施方案内容比较具体详细，时间安排比较合理得5-10分；实施方案内容有缺漏，时间安排缺乏合理性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实施人员配置</w:t>
            </w:r>
          </w:p>
        </w:tc>
        <w:tc>
          <w:tcPr>
            <w:tcW w:type="dxa" w:w="2492"/>
          </w:tcPr>
          <w:p>
            <w:pPr>
              <w:pStyle w:val="null3"/>
            </w:pPr>
            <w:r>
              <w:rPr>
                <w:rFonts w:ascii="仿宋_GB2312" w:hAnsi="仿宋_GB2312" w:cs="仿宋_GB2312" w:eastAsia="仿宋_GB2312"/>
              </w:rPr>
              <w:t>项目团队有明确的组织形式、人员结构、职责任务明确，符合项目实际情况、针对性强。根据投标人为本项目人员配备投入情况进行赋分： 1、要求拟派项目经理具有高级工程师职称证书，提供近一年内的至少三个月的社保证明。提供得3分，不提供不得分。 2、技术人员具有工程师职称证书，提供近一年内的至少三个月的社保证明。每提供一个证书得1分，共5分。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保证措施科学、合理、可行的得5-7分；基本合理可行的得2-4分；合理性和可行性较差的得0-2分。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保证措施科学、合理、可行的得5-7分；基本合理可行的得2-4分；合理性和可行性较差的得0-2分。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售后服务体系健全，售后服务方案详尽，并有详细的售后服务承诺及保障措施，有明确的售后服务内容，提供保修期、服务响应时间、售后服务人员等。根据服务承诺的详尽程度赋分。内容详尽完整，可行性强得7-10分；内容片面得4-6分；内容有缺漏缺乏合理性得0-3分。为了确保售后服务的及时性，投标人配备有本地化技术及售后服务团队，提供本地化服务证明文件，为本项目提供专业的售后服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为了确保用户系统的正常使用，需要提供详细的培训方案，根据响应的详尽程度赋分。内容详尽完整，可行性强得6-8分；内容片面得3-5分；内容有缺漏缺乏合理性得0-2分。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投标人提供三年内的类似的业绩案例合同复印件关键页，每提供一份计1分，共5分。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价格分采用低价优先法计算，即满足招标文件要求且价格最低报价的为评标基准价，其价格分为满分。其他投标单位的价格分按照以下公式计算：投标报价得分=(评标基准价／投标报价)×价格权值×100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