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87A544">
      <w:pPr>
        <w:spacing w:line="360" w:lineRule="auto"/>
        <w:jc w:val="center"/>
        <w:rPr>
          <w:rStyle w:val="27"/>
          <w:rFonts w:asciiTheme="minorEastAsia" w:hAnsiTheme="minorEastAsia" w:eastAsiaTheme="minorEastAsia"/>
          <w:color w:val="auto"/>
        </w:rPr>
      </w:pPr>
      <w:bookmarkStart w:id="45" w:name="_GoBack"/>
    </w:p>
    <w:p w14:paraId="6A78ABFE">
      <w:pPr>
        <w:spacing w:line="360" w:lineRule="auto"/>
        <w:jc w:val="center"/>
        <w:rPr>
          <w:rFonts w:asciiTheme="minorEastAsia" w:hAnsiTheme="minorEastAsia" w:eastAsiaTheme="minorEastAsia"/>
          <w:b/>
          <w:color w:val="auto"/>
          <w:sz w:val="84"/>
        </w:rPr>
      </w:pPr>
      <w:r>
        <w:rPr>
          <w:rFonts w:asciiTheme="minorEastAsia" w:hAnsiTheme="minorEastAsia" w:eastAsiaTheme="minorEastAsia"/>
          <w:b/>
          <w:color w:val="auto"/>
          <w:sz w:val="84"/>
        </w:rPr>
        <w:t>政府采购</w:t>
      </w:r>
    </w:p>
    <w:p w14:paraId="65CDCCB3">
      <w:pPr>
        <w:snapToGrid w:val="0"/>
        <w:spacing w:line="360" w:lineRule="auto"/>
        <w:jc w:val="center"/>
        <w:rPr>
          <w:rFonts w:asciiTheme="minorEastAsia" w:hAnsiTheme="minorEastAsia" w:eastAsiaTheme="minorEastAsia"/>
          <w:b/>
          <w:color w:val="auto"/>
          <w:sz w:val="84"/>
        </w:rPr>
      </w:pPr>
      <w:r>
        <w:rPr>
          <w:rFonts w:asciiTheme="minorEastAsia" w:hAnsiTheme="minorEastAsia" w:eastAsiaTheme="minorEastAsia"/>
          <w:b/>
          <w:color w:val="auto"/>
          <w:sz w:val="84"/>
        </w:rPr>
        <w:t>竞争性磋商文件</w:t>
      </w:r>
    </w:p>
    <w:p w14:paraId="04A09601">
      <w:pPr>
        <w:snapToGrid w:val="0"/>
        <w:spacing w:line="360" w:lineRule="auto"/>
        <w:ind w:firstLine="1264"/>
        <w:rPr>
          <w:rFonts w:asciiTheme="minorEastAsia" w:hAnsiTheme="minorEastAsia" w:eastAsiaTheme="minorEastAsia"/>
          <w:color w:val="auto"/>
          <w:sz w:val="32"/>
        </w:rPr>
      </w:pPr>
    </w:p>
    <w:p w14:paraId="1EF7D670">
      <w:pPr>
        <w:snapToGrid w:val="0"/>
        <w:spacing w:line="360" w:lineRule="auto"/>
        <w:ind w:firstLine="1264"/>
        <w:rPr>
          <w:rFonts w:asciiTheme="minorEastAsia" w:hAnsiTheme="minorEastAsia" w:eastAsiaTheme="minorEastAsia"/>
          <w:color w:val="auto"/>
          <w:sz w:val="32"/>
        </w:rPr>
      </w:pPr>
    </w:p>
    <w:p w14:paraId="120452C3">
      <w:pPr>
        <w:snapToGrid w:val="0"/>
        <w:spacing w:line="360" w:lineRule="auto"/>
        <w:ind w:firstLine="1264"/>
        <w:rPr>
          <w:rFonts w:asciiTheme="minorEastAsia" w:hAnsiTheme="minorEastAsia" w:eastAsiaTheme="minorEastAsia"/>
          <w:color w:val="auto"/>
          <w:sz w:val="32"/>
        </w:rPr>
      </w:pPr>
    </w:p>
    <w:p w14:paraId="0B901E9C">
      <w:pPr>
        <w:pStyle w:val="25"/>
        <w:wordWrap w:val="0"/>
        <w:spacing w:line="360" w:lineRule="auto"/>
        <w:ind w:left="0" w:firstLine="640" w:firstLineChars="200"/>
        <w:rPr>
          <w:rFonts w:asciiTheme="minorEastAsia" w:hAnsiTheme="minorEastAsia" w:eastAsiaTheme="minorEastAsia"/>
          <w:color w:val="auto"/>
          <w:sz w:val="32"/>
        </w:rPr>
      </w:pPr>
      <w:r>
        <w:rPr>
          <w:rFonts w:asciiTheme="minorEastAsia" w:hAnsiTheme="minorEastAsia" w:eastAsiaTheme="minorEastAsia"/>
          <w:color w:val="auto"/>
          <w:sz w:val="32"/>
        </w:rPr>
        <w:t>采购项目名称：</w:t>
      </w:r>
      <w:r>
        <w:rPr>
          <w:rFonts w:hint="eastAsia" w:asciiTheme="minorEastAsia" w:hAnsiTheme="minorEastAsia" w:eastAsiaTheme="minorEastAsia"/>
          <w:color w:val="auto"/>
          <w:sz w:val="32"/>
        </w:rPr>
        <w:t>长沙经开区果园江湾学校分布式光伏电站及充电桩项目</w:t>
      </w:r>
    </w:p>
    <w:p w14:paraId="1ACD3FA6">
      <w:pPr>
        <w:pStyle w:val="25"/>
        <w:wordWrap w:val="0"/>
        <w:spacing w:line="360" w:lineRule="auto"/>
        <w:ind w:left="0" w:firstLine="640" w:firstLineChars="200"/>
        <w:rPr>
          <w:rFonts w:asciiTheme="minorEastAsia" w:hAnsiTheme="minorEastAsia" w:eastAsiaTheme="minorEastAsia"/>
          <w:color w:val="auto"/>
          <w:sz w:val="32"/>
        </w:rPr>
      </w:pPr>
      <w:r>
        <w:rPr>
          <w:rFonts w:hint="eastAsia" w:asciiTheme="minorEastAsia" w:hAnsiTheme="minorEastAsia" w:eastAsiaTheme="minorEastAsia"/>
          <w:color w:val="auto"/>
          <w:sz w:val="32"/>
        </w:rPr>
        <w:t>政府采购编号：JKCG-F202503180006</w:t>
      </w:r>
    </w:p>
    <w:p w14:paraId="4DE0D9A0">
      <w:pPr>
        <w:pStyle w:val="25"/>
        <w:wordWrap w:val="0"/>
        <w:spacing w:line="360" w:lineRule="auto"/>
        <w:ind w:left="0" w:firstLine="640" w:firstLineChars="200"/>
        <w:rPr>
          <w:rFonts w:asciiTheme="minorEastAsia" w:hAnsiTheme="minorEastAsia" w:eastAsiaTheme="minorEastAsia"/>
          <w:color w:val="auto"/>
          <w:sz w:val="32"/>
        </w:rPr>
      </w:pPr>
      <w:r>
        <w:rPr>
          <w:rFonts w:hint="eastAsia" w:asciiTheme="minorEastAsia" w:hAnsiTheme="minorEastAsia" w:eastAsiaTheme="minorEastAsia"/>
          <w:color w:val="auto"/>
          <w:sz w:val="32"/>
        </w:rPr>
        <w:t>招采备案编号：CSJKQXESXM-2025021</w:t>
      </w:r>
    </w:p>
    <w:p w14:paraId="78310739">
      <w:pPr>
        <w:pStyle w:val="25"/>
        <w:wordWrap w:val="0"/>
        <w:spacing w:line="360" w:lineRule="auto"/>
        <w:ind w:left="0" w:firstLine="640" w:firstLineChars="200"/>
        <w:rPr>
          <w:rFonts w:asciiTheme="minorEastAsia" w:hAnsiTheme="minorEastAsia" w:eastAsiaTheme="minorEastAsia"/>
          <w:color w:val="auto"/>
          <w:sz w:val="32"/>
        </w:rPr>
      </w:pPr>
      <w:r>
        <w:rPr>
          <w:rFonts w:asciiTheme="minorEastAsia" w:hAnsiTheme="minorEastAsia" w:eastAsiaTheme="minorEastAsia"/>
          <w:color w:val="auto"/>
          <w:sz w:val="32"/>
        </w:rPr>
        <w:t>委托代理编号</w:t>
      </w:r>
      <w:r>
        <w:rPr>
          <w:rFonts w:hint="eastAsia" w:asciiTheme="minorEastAsia" w:hAnsiTheme="minorEastAsia" w:eastAsiaTheme="minorEastAsia"/>
          <w:color w:val="auto"/>
          <w:sz w:val="32"/>
        </w:rPr>
        <w:t>：HNHK-2025ZC027</w:t>
      </w:r>
    </w:p>
    <w:p w14:paraId="74AAA1DC">
      <w:pPr>
        <w:pStyle w:val="25"/>
        <w:wordWrap w:val="0"/>
        <w:spacing w:line="360" w:lineRule="auto"/>
        <w:ind w:left="0" w:firstLine="640" w:firstLineChars="200"/>
        <w:rPr>
          <w:rFonts w:asciiTheme="minorEastAsia" w:hAnsiTheme="minorEastAsia" w:eastAsiaTheme="minorEastAsia"/>
          <w:color w:val="auto"/>
          <w:sz w:val="32"/>
        </w:rPr>
      </w:pPr>
      <w:r>
        <w:rPr>
          <w:rFonts w:hint="eastAsia" w:asciiTheme="minorEastAsia" w:hAnsiTheme="minorEastAsia" w:eastAsiaTheme="minorEastAsia"/>
          <w:color w:val="auto"/>
          <w:sz w:val="32"/>
        </w:rPr>
        <w:t>采   购   人：湖南东方数智能源投资有限公司</w:t>
      </w:r>
    </w:p>
    <w:p w14:paraId="0DCE4967">
      <w:pPr>
        <w:pStyle w:val="25"/>
        <w:wordWrap w:val="0"/>
        <w:spacing w:line="360" w:lineRule="auto"/>
        <w:ind w:left="0" w:firstLine="640" w:firstLineChars="200"/>
        <w:rPr>
          <w:rFonts w:asciiTheme="minorEastAsia" w:hAnsiTheme="minorEastAsia" w:eastAsiaTheme="minorEastAsia"/>
          <w:color w:val="auto"/>
          <w:sz w:val="32"/>
        </w:rPr>
      </w:pPr>
      <w:r>
        <w:rPr>
          <w:rFonts w:asciiTheme="minorEastAsia" w:hAnsiTheme="minorEastAsia" w:eastAsiaTheme="minorEastAsia"/>
          <w:color w:val="auto"/>
          <w:sz w:val="32"/>
        </w:rPr>
        <w:t>采购代理机构</w:t>
      </w:r>
      <w:r>
        <w:rPr>
          <w:rFonts w:hint="eastAsia" w:asciiTheme="minorEastAsia" w:hAnsiTheme="minorEastAsia" w:eastAsiaTheme="minorEastAsia"/>
          <w:color w:val="auto"/>
          <w:sz w:val="32"/>
        </w:rPr>
        <w:t>：湖南昊坤工程咨询有限公司</w:t>
      </w:r>
    </w:p>
    <w:p w14:paraId="09CEEA6A">
      <w:pPr>
        <w:snapToGrid w:val="0"/>
        <w:spacing w:line="360" w:lineRule="auto"/>
        <w:ind w:firstLine="960"/>
        <w:jc w:val="left"/>
        <w:rPr>
          <w:rFonts w:asciiTheme="minorEastAsia" w:hAnsiTheme="minorEastAsia" w:eastAsiaTheme="minorEastAsia"/>
          <w:color w:val="auto"/>
          <w:sz w:val="32"/>
        </w:rPr>
      </w:pPr>
    </w:p>
    <w:p w14:paraId="48B5D898">
      <w:pPr>
        <w:pStyle w:val="18"/>
        <w:rPr>
          <w:rFonts w:asciiTheme="minorEastAsia" w:hAnsiTheme="minorEastAsia" w:eastAsiaTheme="minorEastAsia"/>
          <w:color w:val="auto"/>
        </w:rPr>
      </w:pPr>
    </w:p>
    <w:p w14:paraId="2D6A8B80">
      <w:pPr>
        <w:snapToGrid w:val="0"/>
        <w:spacing w:line="360" w:lineRule="auto"/>
        <w:rPr>
          <w:rFonts w:asciiTheme="minorEastAsia" w:hAnsiTheme="minorEastAsia" w:eastAsiaTheme="minorEastAsia"/>
          <w:b/>
          <w:color w:val="auto"/>
          <w:sz w:val="32"/>
        </w:rPr>
      </w:pPr>
    </w:p>
    <w:p w14:paraId="6784F33B">
      <w:pPr>
        <w:snapToGrid w:val="0"/>
        <w:spacing w:line="360" w:lineRule="auto"/>
        <w:jc w:val="center"/>
        <w:rPr>
          <w:rFonts w:asciiTheme="minorEastAsia" w:hAnsiTheme="minorEastAsia" w:eastAsiaTheme="minorEastAsia"/>
          <w:b/>
          <w:color w:val="auto"/>
          <w:sz w:val="32"/>
        </w:rPr>
      </w:pPr>
    </w:p>
    <w:p w14:paraId="16EBEC0C">
      <w:pPr>
        <w:snapToGrid w:val="0"/>
        <w:spacing w:line="360" w:lineRule="auto"/>
        <w:jc w:val="center"/>
        <w:rPr>
          <w:rFonts w:asciiTheme="minorEastAsia" w:hAnsiTheme="minorEastAsia" w:eastAsiaTheme="minorEastAsia"/>
          <w:color w:val="auto"/>
          <w:sz w:val="32"/>
        </w:rPr>
      </w:pPr>
      <w:r>
        <w:rPr>
          <w:rFonts w:hint="eastAsia" w:asciiTheme="minorEastAsia" w:hAnsiTheme="minorEastAsia" w:eastAsiaTheme="minorEastAsia"/>
          <w:color w:val="auto"/>
          <w:sz w:val="32"/>
        </w:rPr>
        <w:t>2025年03月</w:t>
      </w:r>
    </w:p>
    <w:p w14:paraId="25CAC1D7">
      <w:pPr>
        <w:snapToGrid w:val="0"/>
        <w:spacing w:line="360" w:lineRule="auto"/>
        <w:rPr>
          <w:rFonts w:asciiTheme="minorEastAsia" w:hAnsiTheme="minorEastAsia" w:eastAsiaTheme="minorEastAsia"/>
          <w:color w:val="auto"/>
          <w:spacing w:val="160"/>
          <w:sz w:val="36"/>
        </w:rPr>
      </w:pPr>
    </w:p>
    <w:p w14:paraId="350C389B">
      <w:pPr>
        <w:snapToGrid w:val="0"/>
        <w:spacing w:line="360" w:lineRule="auto"/>
        <w:jc w:val="center"/>
        <w:rPr>
          <w:rFonts w:asciiTheme="minorEastAsia" w:hAnsiTheme="minorEastAsia" w:eastAsiaTheme="minorEastAsia"/>
          <w:color w:val="auto"/>
          <w:spacing w:val="160"/>
          <w:sz w:val="36"/>
        </w:rPr>
      </w:pPr>
      <w:r>
        <w:rPr>
          <w:rFonts w:asciiTheme="minorEastAsia" w:hAnsiTheme="minorEastAsia" w:eastAsiaTheme="minorEastAsia"/>
          <w:color w:val="auto"/>
          <w:spacing w:val="160"/>
          <w:sz w:val="36"/>
        </w:rPr>
        <w:br w:type="page"/>
      </w:r>
      <w:r>
        <w:rPr>
          <w:rFonts w:asciiTheme="minorEastAsia" w:hAnsiTheme="minorEastAsia" w:eastAsiaTheme="minorEastAsia"/>
          <w:color w:val="auto"/>
          <w:spacing w:val="160"/>
          <w:sz w:val="36"/>
        </w:rPr>
        <w:t>目录</w:t>
      </w:r>
    </w:p>
    <w:p w14:paraId="4D8CF5ED">
      <w:pPr>
        <w:snapToGrid w:val="0"/>
        <w:spacing w:line="360" w:lineRule="auto"/>
        <w:rPr>
          <w:rFonts w:asciiTheme="minorEastAsia" w:hAnsiTheme="minorEastAsia" w:eastAsiaTheme="minorEastAsia"/>
          <w:b/>
          <w:color w:val="auto"/>
          <w:sz w:val="24"/>
        </w:rPr>
      </w:pPr>
    </w:p>
    <w:p w14:paraId="790FE8F9">
      <w:pPr>
        <w:snapToGrid w:val="0"/>
        <w:spacing w:line="360" w:lineRule="auto"/>
        <w:rPr>
          <w:rFonts w:asciiTheme="minorEastAsia" w:hAnsiTheme="minorEastAsia" w:eastAsiaTheme="minorEastAsia"/>
          <w:b/>
          <w:color w:val="auto"/>
          <w:sz w:val="24"/>
        </w:rPr>
      </w:pPr>
      <w:r>
        <w:rPr>
          <w:rFonts w:asciiTheme="minorEastAsia" w:hAnsiTheme="minorEastAsia" w:eastAsiaTheme="minorEastAsia"/>
          <w:b/>
          <w:color w:val="auto"/>
          <w:sz w:val="24"/>
        </w:rPr>
        <w:t>第一章  磋商邀请</w:t>
      </w:r>
    </w:p>
    <w:p w14:paraId="597C1E61">
      <w:pPr>
        <w:snapToGrid w:val="0"/>
        <w:spacing w:line="360" w:lineRule="auto"/>
        <w:rPr>
          <w:rFonts w:asciiTheme="minorEastAsia" w:hAnsiTheme="minorEastAsia" w:eastAsiaTheme="minorEastAsia"/>
          <w:b/>
          <w:color w:val="auto"/>
          <w:sz w:val="24"/>
        </w:rPr>
      </w:pPr>
      <w:r>
        <w:rPr>
          <w:rFonts w:asciiTheme="minorEastAsia" w:hAnsiTheme="minorEastAsia" w:eastAsiaTheme="minorEastAsia"/>
          <w:b/>
          <w:color w:val="auto"/>
          <w:sz w:val="24"/>
        </w:rPr>
        <w:t>第二章  磋商须知</w:t>
      </w:r>
    </w:p>
    <w:p w14:paraId="5FAC4707">
      <w:pPr>
        <w:tabs>
          <w:tab w:val="left" w:pos="1440"/>
        </w:tabs>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磋商须知前附表</w:t>
      </w:r>
    </w:p>
    <w:p w14:paraId="570D0BA1">
      <w:pPr>
        <w:tabs>
          <w:tab w:val="left" w:pos="1440"/>
        </w:tabs>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磋商须知正文</w:t>
      </w:r>
    </w:p>
    <w:p w14:paraId="3A4B9513">
      <w:pPr>
        <w:tabs>
          <w:tab w:val="left" w:pos="1440"/>
        </w:tabs>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一、说明</w:t>
      </w:r>
    </w:p>
    <w:p w14:paraId="46C4CD4D">
      <w:pPr>
        <w:tabs>
          <w:tab w:val="left" w:pos="1440"/>
        </w:tabs>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二、磋商文件</w:t>
      </w:r>
    </w:p>
    <w:p w14:paraId="586286EF">
      <w:pPr>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三、响应文件</w:t>
      </w:r>
    </w:p>
    <w:p w14:paraId="1D505D70">
      <w:pPr>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四、响应文件的递交</w:t>
      </w:r>
    </w:p>
    <w:p w14:paraId="37399DEE">
      <w:pPr>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五、响应文件的磋商与评审</w:t>
      </w:r>
    </w:p>
    <w:p w14:paraId="6396D34D">
      <w:pPr>
        <w:snapToGrid w:val="0"/>
        <w:spacing w:line="360" w:lineRule="auto"/>
        <w:ind w:firstLine="630"/>
        <w:rPr>
          <w:rFonts w:asciiTheme="minorEastAsia" w:hAnsiTheme="minorEastAsia" w:eastAsiaTheme="minorEastAsia"/>
          <w:color w:val="auto"/>
        </w:rPr>
      </w:pPr>
      <w:r>
        <w:rPr>
          <w:rFonts w:hint="eastAsia" w:asciiTheme="minorEastAsia" w:hAnsiTheme="minorEastAsia" w:eastAsiaTheme="minorEastAsia"/>
          <w:color w:val="auto"/>
        </w:rPr>
        <w:t>六、成交结果信息公布与授予合同</w:t>
      </w:r>
    </w:p>
    <w:p w14:paraId="606C3C43">
      <w:pPr>
        <w:snapToGrid w:val="0"/>
        <w:spacing w:line="360" w:lineRule="auto"/>
        <w:ind w:firstLine="630"/>
        <w:jc w:val="left"/>
        <w:rPr>
          <w:rFonts w:asciiTheme="minorEastAsia" w:hAnsiTheme="minorEastAsia" w:eastAsiaTheme="minorEastAsia"/>
          <w:color w:val="auto"/>
        </w:rPr>
      </w:pPr>
      <w:r>
        <w:rPr>
          <w:rFonts w:hint="eastAsia" w:asciiTheme="minorEastAsia" w:hAnsiTheme="minorEastAsia" w:eastAsiaTheme="minorEastAsia"/>
          <w:color w:val="auto"/>
        </w:rPr>
        <w:t>七、其他规定</w:t>
      </w:r>
    </w:p>
    <w:p w14:paraId="0F333517">
      <w:pPr>
        <w:snapToGrid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第三章  政府采购合同格式</w:t>
      </w:r>
    </w:p>
    <w:p w14:paraId="1C1A5380">
      <w:pPr>
        <w:snapToGrid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第四章  采购需求</w:t>
      </w:r>
    </w:p>
    <w:p w14:paraId="1A1E6E75">
      <w:pPr>
        <w:snapToGrid w:val="0"/>
        <w:spacing w:line="360" w:lineRule="auto"/>
        <w:rPr>
          <w:rFonts w:asciiTheme="minorEastAsia" w:hAnsiTheme="minorEastAsia" w:eastAsiaTheme="minorEastAsia"/>
          <w:b/>
          <w:color w:val="auto"/>
          <w:sz w:val="24"/>
        </w:rPr>
      </w:pPr>
      <w:r>
        <w:rPr>
          <w:rFonts w:asciiTheme="minorEastAsia" w:hAnsiTheme="minorEastAsia" w:eastAsiaTheme="minorEastAsia"/>
          <w:b/>
          <w:color w:val="auto"/>
          <w:sz w:val="24"/>
        </w:rPr>
        <w:t>第五章  响应文件组成</w:t>
      </w:r>
    </w:p>
    <w:p w14:paraId="7BBC457B">
      <w:pPr>
        <w:spacing w:line="360" w:lineRule="auto"/>
        <w:rPr>
          <w:rFonts w:asciiTheme="minorEastAsia" w:hAnsiTheme="minorEastAsia" w:eastAsiaTheme="minorEastAsia"/>
          <w:b/>
          <w:color w:val="auto"/>
          <w:sz w:val="24"/>
        </w:rPr>
      </w:pPr>
    </w:p>
    <w:p w14:paraId="1936FB34">
      <w:pPr>
        <w:spacing w:line="360" w:lineRule="auto"/>
        <w:rPr>
          <w:rFonts w:asciiTheme="minorEastAsia" w:hAnsiTheme="minorEastAsia" w:eastAsiaTheme="minorEastAsia"/>
          <w:b/>
          <w:color w:val="auto"/>
          <w:sz w:val="24"/>
        </w:rPr>
      </w:pPr>
    </w:p>
    <w:p w14:paraId="453A9DC4">
      <w:pPr>
        <w:spacing w:line="360" w:lineRule="auto"/>
        <w:rPr>
          <w:rFonts w:asciiTheme="minorEastAsia" w:hAnsiTheme="minorEastAsia" w:eastAsiaTheme="minorEastAsia"/>
          <w:b/>
          <w:color w:val="auto"/>
          <w:sz w:val="24"/>
        </w:rPr>
      </w:pPr>
    </w:p>
    <w:p w14:paraId="4A4E41C9">
      <w:pPr>
        <w:spacing w:line="360" w:lineRule="auto"/>
        <w:rPr>
          <w:rFonts w:asciiTheme="minorEastAsia" w:hAnsiTheme="minorEastAsia" w:eastAsiaTheme="minorEastAsia"/>
          <w:b/>
          <w:color w:val="auto"/>
          <w:sz w:val="24"/>
        </w:rPr>
      </w:pPr>
    </w:p>
    <w:p w14:paraId="1D36B35F">
      <w:pPr>
        <w:spacing w:line="360" w:lineRule="auto"/>
        <w:rPr>
          <w:rFonts w:asciiTheme="minorEastAsia" w:hAnsiTheme="minorEastAsia" w:eastAsiaTheme="minorEastAsia"/>
          <w:b/>
          <w:color w:val="auto"/>
          <w:sz w:val="24"/>
        </w:rPr>
      </w:pPr>
    </w:p>
    <w:p w14:paraId="3CEA6971">
      <w:pPr>
        <w:spacing w:line="360" w:lineRule="auto"/>
        <w:jc w:val="center"/>
        <w:rPr>
          <w:rFonts w:asciiTheme="minorEastAsia" w:hAnsiTheme="minorEastAsia" w:eastAsiaTheme="minorEastAsia"/>
          <w:color w:val="auto"/>
          <w:sz w:val="32"/>
        </w:rPr>
      </w:pPr>
    </w:p>
    <w:p w14:paraId="2B065CDD">
      <w:pPr>
        <w:spacing w:line="360" w:lineRule="auto"/>
        <w:jc w:val="center"/>
        <w:rPr>
          <w:rFonts w:asciiTheme="minorEastAsia" w:hAnsiTheme="minorEastAsia" w:eastAsiaTheme="minorEastAsia"/>
          <w:color w:val="auto"/>
          <w:sz w:val="32"/>
        </w:rPr>
      </w:pPr>
    </w:p>
    <w:p w14:paraId="1963F568">
      <w:pPr>
        <w:spacing w:line="360" w:lineRule="auto"/>
        <w:jc w:val="center"/>
        <w:rPr>
          <w:rFonts w:asciiTheme="minorEastAsia" w:hAnsiTheme="minorEastAsia" w:eastAsiaTheme="minorEastAsia"/>
          <w:color w:val="auto"/>
          <w:sz w:val="32"/>
        </w:rPr>
      </w:pPr>
    </w:p>
    <w:p w14:paraId="510F2DDA">
      <w:pPr>
        <w:spacing w:line="360" w:lineRule="auto"/>
        <w:jc w:val="center"/>
        <w:rPr>
          <w:rFonts w:asciiTheme="minorEastAsia" w:hAnsiTheme="minorEastAsia" w:eastAsiaTheme="minorEastAsia"/>
          <w:color w:val="auto"/>
          <w:sz w:val="32"/>
        </w:rPr>
      </w:pPr>
    </w:p>
    <w:p w14:paraId="563A96A0">
      <w:pPr>
        <w:autoSpaceDE w:val="0"/>
        <w:autoSpaceDN w:val="0"/>
        <w:spacing w:line="360" w:lineRule="auto"/>
        <w:jc w:val="left"/>
        <w:rPr>
          <w:rFonts w:asciiTheme="minorEastAsia" w:hAnsiTheme="minorEastAsia" w:eastAsiaTheme="minorEastAsia"/>
          <w:color w:val="auto"/>
          <w:sz w:val="32"/>
        </w:rPr>
      </w:pPr>
    </w:p>
    <w:p w14:paraId="4A1B542A">
      <w:pPr>
        <w:widowControl/>
        <w:jc w:val="left"/>
        <w:rPr>
          <w:rFonts w:asciiTheme="minorEastAsia" w:hAnsiTheme="minorEastAsia" w:eastAsiaTheme="minorEastAsia"/>
          <w:color w:val="auto"/>
          <w:sz w:val="32"/>
        </w:rPr>
      </w:pPr>
      <w:r>
        <w:rPr>
          <w:rFonts w:asciiTheme="minorEastAsia" w:hAnsiTheme="minorEastAsia" w:eastAsiaTheme="minorEastAsia"/>
          <w:color w:val="auto"/>
          <w:sz w:val="32"/>
        </w:rPr>
        <w:br w:type="page"/>
      </w:r>
    </w:p>
    <w:p w14:paraId="15F769EA">
      <w:pPr>
        <w:spacing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第一章  磋商邀请</w:t>
      </w:r>
    </w:p>
    <w:p w14:paraId="2234A37C">
      <w:pPr>
        <w:snapToGrid w:val="0"/>
        <w:spacing w:line="360" w:lineRule="auto"/>
        <w:ind w:firstLine="420"/>
        <w:rPr>
          <w:rFonts w:asciiTheme="minorEastAsia" w:hAnsiTheme="minorEastAsia" w:eastAsiaTheme="minorEastAsia"/>
          <w:color w:val="auto"/>
        </w:rPr>
      </w:pPr>
    </w:p>
    <w:p w14:paraId="77F85CF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szCs w:val="22"/>
          <w:u w:val="single"/>
        </w:rPr>
        <w:t>湖南昊坤工程咨询有限公司</w:t>
      </w:r>
      <w:r>
        <w:rPr>
          <w:rFonts w:hint="eastAsia" w:asciiTheme="minorEastAsia" w:hAnsiTheme="minorEastAsia" w:eastAsiaTheme="minorEastAsia"/>
          <w:color w:val="auto"/>
          <w:szCs w:val="22"/>
        </w:rPr>
        <w:t>受</w:t>
      </w:r>
      <w:r>
        <w:rPr>
          <w:rFonts w:hint="eastAsia" w:asciiTheme="minorEastAsia" w:hAnsiTheme="minorEastAsia" w:eastAsiaTheme="minorEastAsia"/>
          <w:color w:val="auto"/>
          <w:szCs w:val="22"/>
          <w:u w:val="single"/>
        </w:rPr>
        <w:t>湖南东方数智能源投资有限公司</w:t>
      </w:r>
      <w:r>
        <w:rPr>
          <w:rFonts w:hint="eastAsia" w:asciiTheme="minorEastAsia" w:hAnsiTheme="minorEastAsia" w:eastAsiaTheme="minorEastAsia"/>
          <w:color w:val="auto"/>
          <w:szCs w:val="22"/>
        </w:rPr>
        <w:t>的委托，对</w:t>
      </w:r>
      <w:r>
        <w:rPr>
          <w:rFonts w:hint="eastAsia" w:asciiTheme="minorEastAsia" w:hAnsiTheme="minorEastAsia" w:eastAsiaTheme="minorEastAsia"/>
          <w:color w:val="auto"/>
          <w:szCs w:val="22"/>
          <w:u w:val="single"/>
        </w:rPr>
        <w:t>长沙经开区果园江湾学校分布式光伏电站及充电桩项目</w:t>
      </w:r>
      <w:r>
        <w:rPr>
          <w:rFonts w:hint="eastAsia" w:asciiTheme="minorEastAsia" w:hAnsiTheme="minorEastAsia" w:eastAsiaTheme="minorEastAsia"/>
          <w:color w:val="auto"/>
          <w:szCs w:val="22"/>
        </w:rPr>
        <w:t>进行竞争性磋商采购，现采用发布公告的方式，邀请符合资格条件的供应</w:t>
      </w:r>
      <w:r>
        <w:rPr>
          <w:rFonts w:hint="eastAsia" w:asciiTheme="minorEastAsia" w:hAnsiTheme="minorEastAsia" w:eastAsiaTheme="minorEastAsia"/>
          <w:color w:val="auto"/>
        </w:rPr>
        <w:t>商参与竞争性磋商采购活动。</w:t>
      </w:r>
    </w:p>
    <w:p w14:paraId="7F69D035">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一、采购项目基本概况</w:t>
      </w:r>
    </w:p>
    <w:p w14:paraId="1BE20E8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1、采购项目名称：长沙经开区果园江湾学校分布式光伏电站及充电桩项目</w:t>
      </w:r>
    </w:p>
    <w:p w14:paraId="38BCCEC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2、政府采购编号：JKCG-F202503180006</w:t>
      </w:r>
    </w:p>
    <w:p w14:paraId="578EDFE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3、委托代理编号：HNHK-2025ZC027</w:t>
      </w:r>
    </w:p>
    <w:p w14:paraId="469A627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4、采购项目标的、数量及简要规格描述或项目基本概况介绍：</w:t>
      </w:r>
    </w:p>
    <w:p w14:paraId="24B7D7E1">
      <w:pPr>
        <w:snapToGrid w:val="0"/>
        <w:spacing w:line="360" w:lineRule="auto"/>
        <w:ind w:firstLine="420" w:firstLineChars="200"/>
        <w:rPr>
          <w:rFonts w:asciiTheme="minorEastAsia" w:hAnsiTheme="minorEastAsia" w:eastAsiaTheme="minorEastAsia"/>
          <w:bCs/>
          <w:color w:val="auto"/>
        </w:rPr>
      </w:pPr>
      <w:r>
        <w:rPr>
          <w:rFonts w:hint="eastAsia" w:asciiTheme="minorEastAsia" w:hAnsiTheme="minorEastAsia" w:eastAsiaTheme="minorEastAsia"/>
          <w:bCs/>
          <w:color w:val="auto"/>
          <w:lang w:val="en-IE"/>
        </w:rPr>
        <w:t>本工程为</w:t>
      </w:r>
      <w:r>
        <w:rPr>
          <w:rFonts w:hint="eastAsia" w:asciiTheme="minorEastAsia" w:hAnsiTheme="minorEastAsia" w:eastAsiaTheme="minorEastAsia"/>
          <w:bCs/>
          <w:color w:val="auto"/>
        </w:rPr>
        <w:t>长沙经开区果园江湾学校分布式光伏电站及充电桩项目。具体以采购人提供的工程量清单和设计图纸中所包含的施工项为准。</w:t>
      </w:r>
    </w:p>
    <w:p w14:paraId="1D41329E">
      <w:pPr>
        <w:snapToGrid w:val="0"/>
        <w:spacing w:line="360" w:lineRule="auto"/>
        <w:rPr>
          <w:rFonts w:cs="宋体" w:asciiTheme="minorEastAsia" w:hAnsiTheme="minorEastAsia" w:eastAsiaTheme="minorEastAsia"/>
          <w:b/>
          <w:bCs/>
          <w:color w:val="auto"/>
        </w:rPr>
      </w:pPr>
      <w:r>
        <w:rPr>
          <w:rFonts w:hint="eastAsia" w:asciiTheme="minorEastAsia" w:hAnsiTheme="minorEastAsia" w:eastAsiaTheme="minorEastAsia"/>
          <w:b/>
          <w:color w:val="auto"/>
        </w:rPr>
        <w:t>二、采购项目预算：</w:t>
      </w:r>
      <w:bookmarkStart w:id="0" w:name="OLE_LINK8"/>
      <w:r>
        <w:rPr>
          <w:rFonts w:hint="eastAsia" w:asciiTheme="minorEastAsia" w:hAnsiTheme="minorEastAsia" w:eastAsiaTheme="minorEastAsia"/>
          <w:b/>
          <w:color w:val="auto"/>
        </w:rPr>
        <w:t>3270354.45</w:t>
      </w:r>
      <w:bookmarkEnd w:id="0"/>
      <w:r>
        <w:rPr>
          <w:rFonts w:hint="eastAsia" w:asciiTheme="minorEastAsia" w:hAnsiTheme="minorEastAsia" w:eastAsiaTheme="minorEastAsia"/>
          <w:b/>
          <w:color w:val="auto"/>
        </w:rPr>
        <w:t>元；</w:t>
      </w:r>
      <w:bookmarkStart w:id="1" w:name="OLE_LINK4"/>
      <w:r>
        <w:rPr>
          <w:rFonts w:hint="eastAsia" w:cs="宋体" w:asciiTheme="minorEastAsia" w:hAnsiTheme="minorEastAsia" w:eastAsiaTheme="minorEastAsia"/>
          <w:b/>
          <w:bCs/>
          <w:color w:val="auto"/>
        </w:rPr>
        <w:t>最高磋商限价：</w:t>
      </w:r>
      <w:r>
        <w:rPr>
          <w:rFonts w:hint="eastAsia" w:asciiTheme="minorEastAsia" w:hAnsiTheme="minorEastAsia" w:eastAsiaTheme="minorEastAsia"/>
          <w:b/>
          <w:color w:val="auto"/>
        </w:rPr>
        <w:t>3172243.82元</w:t>
      </w:r>
      <w:bookmarkEnd w:id="1"/>
      <w:r>
        <w:rPr>
          <w:rFonts w:hint="eastAsia" w:cs="宋体" w:asciiTheme="minorEastAsia" w:hAnsiTheme="minorEastAsia" w:eastAsiaTheme="minorEastAsia"/>
          <w:b/>
          <w:bCs/>
          <w:color w:val="auto"/>
        </w:rPr>
        <w:t>。</w:t>
      </w:r>
    </w:p>
    <w:p w14:paraId="0110ECE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三、供应商资格条件：</w:t>
      </w:r>
    </w:p>
    <w:p w14:paraId="3A97D832">
      <w:pPr>
        <w:snapToGrid w:val="0"/>
        <w:spacing w:line="360" w:lineRule="auto"/>
        <w:ind w:firstLine="525" w:firstLineChars="250"/>
        <w:rPr>
          <w:rFonts w:ascii="宋体"/>
          <w:color w:val="auto"/>
          <w:szCs w:val="21"/>
        </w:rPr>
      </w:pPr>
      <w:bookmarkStart w:id="2" w:name="OLE_LINK1"/>
      <w:bookmarkStart w:id="3" w:name="OLE_LINK3"/>
      <w:r>
        <w:rPr>
          <w:rFonts w:hint="eastAsia" w:asciiTheme="minorEastAsia" w:hAnsiTheme="minorEastAsia" w:eastAsiaTheme="minorEastAsia"/>
          <w:color w:val="auto"/>
        </w:rPr>
        <w:t>1、</w:t>
      </w:r>
      <w:r>
        <w:rPr>
          <w:rFonts w:hint="eastAsia" w:ascii="宋体"/>
          <w:color w:val="auto"/>
          <w:szCs w:val="21"/>
        </w:rPr>
        <w:t>满足《中华人民共和国政府采购法》第二十二条规定。</w:t>
      </w:r>
    </w:p>
    <w:p w14:paraId="5573D0E0">
      <w:pPr>
        <w:snapToGrid w:val="0"/>
        <w:spacing w:line="360" w:lineRule="auto"/>
        <w:ind w:firstLine="525" w:firstLineChars="250"/>
        <w:rPr>
          <w:rFonts w:asciiTheme="minorEastAsia" w:hAnsiTheme="minorEastAsia" w:eastAsiaTheme="minorEastAsia"/>
          <w:color w:val="auto"/>
        </w:rPr>
      </w:pPr>
      <w:r>
        <w:rPr>
          <w:rFonts w:hint="eastAsia" w:ascii="宋体" w:eastAsiaTheme="minorEastAsia"/>
          <w:color w:val="auto"/>
          <w:szCs w:val="21"/>
        </w:rPr>
        <w:t>2、</w:t>
      </w:r>
      <w:bookmarkStart w:id="4" w:name="OLE_LINK10"/>
      <w:r>
        <w:rPr>
          <w:rFonts w:hint="eastAsia" w:ascii="宋体"/>
          <w:color w:val="auto"/>
          <w:szCs w:val="21"/>
        </w:rPr>
        <w:t>落实政府采购政策需满足的资格要求</w:t>
      </w:r>
      <w:r>
        <w:rPr>
          <w:rFonts w:hint="eastAsia" w:asciiTheme="minorEastAsia" w:hAnsiTheme="minorEastAsia" w:eastAsiaTheme="minorEastAsia"/>
          <w:color w:val="auto"/>
        </w:rPr>
        <w:t>：</w:t>
      </w:r>
    </w:p>
    <w:p w14:paraId="05494395">
      <w:pPr>
        <w:snapToGrid w:val="0"/>
        <w:spacing w:line="360" w:lineRule="auto"/>
        <w:ind w:firstLine="525" w:firstLineChars="250"/>
        <w:rPr>
          <w:rFonts w:asciiTheme="minorEastAsia" w:hAnsiTheme="minorEastAsia" w:eastAsiaTheme="minorEastAsia"/>
          <w:color w:val="auto"/>
        </w:rPr>
      </w:pPr>
      <w:bookmarkStart w:id="5" w:name="OLE_LINK15"/>
      <w:r>
        <w:rPr>
          <w:rFonts w:hint="eastAsia" w:asciiTheme="minorEastAsia" w:hAnsiTheme="minorEastAsia" w:eastAsiaTheme="minorEastAsia"/>
          <w:color w:val="auto"/>
        </w:rPr>
        <w:t xml:space="preserve">（1）法人提交法定代表人身份证明原件或者法定代表人授权委托书原件及提供被授权代表人在投标单位或投标单位依法登记的分支机构近三个月内任意一个月的社保证明并附法定代表人身份证明原件，自然人提交身份证复印件； </w:t>
      </w:r>
    </w:p>
    <w:p w14:paraId="14038486">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（2）法人提交企业法人营业执照副本(或者法人登记证书)以及组织机构代码证副本复印件；</w:t>
      </w:r>
    </w:p>
    <w:p w14:paraId="44A1F635">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（3）依法缴纳税收和社会保险费的证明材料，各提供下列材料之一：</w:t>
      </w:r>
    </w:p>
    <w:p w14:paraId="67F626A1">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①缴纳税收证明资料:《税务登记证》复印件，或者近三个月内任意一个月依法缴纳税收的证明（纳税凭证复印件），或者委托他人缴纳的委托代办协议和近三个月内任意一个月的缴纳证明（收据复印件），或者法定征收机关出具的依法免缴税收的证明原件；</w:t>
      </w:r>
    </w:p>
    <w:p w14:paraId="39C1FDBB">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②缴纳社会保险证明资料：《社会保险登记证》复印件，或者近三个月内任意一个月依法缴纳社会保险的证明复印件，或者委托他人缴纳的委托代办协议和近三个月内任意一个月的缴纳证明（收据复印件），或者法定征收机关出具的依法免缴保险费的证明原件；</w:t>
      </w:r>
    </w:p>
    <w:p w14:paraId="75BEAFE0">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4）提供2023年度或2024年度经会计师事务所审计的财务报告复印件（至少包含资产负债表、利润表和现金流量表）；公司成立时间不足一年的，提供银行资信证明；（从每年的1月1日至4月30日，如供应商无法提供上一年度上述资料，则可以再上一年度的上述资料为准，从每年的5月1日开始至12月31日，供应商应当提供上一年度上述资料。）</w:t>
      </w:r>
    </w:p>
    <w:p w14:paraId="707BA84E">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注：供应商具有实行了“三证合一”或者“多证合一”登记制度改革的新证，视同为持有工商营业执照、组织机构代码证和税务登记证等相关证件，符合基本资格条件的相关条款，未实行登记制度改革的证件在有效期内的继续有效使用。</w:t>
      </w:r>
      <w:bookmarkEnd w:id="2"/>
      <w:r>
        <w:rPr>
          <w:rFonts w:hint="eastAsia" w:asciiTheme="minorEastAsia" w:hAnsiTheme="minorEastAsia" w:eastAsiaTheme="minorEastAsia"/>
          <w:color w:val="auto"/>
        </w:rPr>
        <w:t>近三个月是指2024年12月至2025年02月。</w:t>
      </w:r>
    </w:p>
    <w:p w14:paraId="3D0398FE">
      <w:pPr>
        <w:numPr>
          <w:ilvl w:val="0"/>
          <w:numId w:val="1"/>
        </w:numPr>
        <w:snapToGrid w:val="0"/>
        <w:spacing w:line="360" w:lineRule="auto"/>
        <w:ind w:firstLine="525" w:firstLineChars="250"/>
        <w:rPr>
          <w:rFonts w:ascii="宋体"/>
          <w:color w:val="auto"/>
          <w:szCs w:val="21"/>
        </w:rPr>
      </w:pPr>
      <w:r>
        <w:rPr>
          <w:rFonts w:hint="eastAsia" w:ascii="宋体"/>
          <w:color w:val="auto"/>
          <w:szCs w:val="21"/>
        </w:rPr>
        <w:t>根据长沙市财政局《关于政府采购促进中小企业发展若干措施的通知》（长财采购</w:t>
      </w:r>
      <w:r>
        <w:rPr>
          <w:rFonts w:ascii="宋体"/>
          <w:color w:val="auto"/>
          <w:szCs w:val="21"/>
        </w:rPr>
        <w:t>[2022]10</w:t>
      </w:r>
      <w:r>
        <w:rPr>
          <w:rFonts w:hint="eastAsia" w:ascii="宋体"/>
          <w:color w:val="auto"/>
          <w:szCs w:val="21"/>
        </w:rPr>
        <w:t>号）文件精神，供应商凭《湖南省政府采购供应商资格承诺函》（格式详见响应文件格式）参与政府采购活动，无需提供财务状况报告、依法缴纳税收和社会保障资金的相关文件材料、参加政府采购活动前</w:t>
      </w:r>
      <w:r>
        <w:rPr>
          <w:rFonts w:ascii="宋体"/>
          <w:color w:val="auto"/>
          <w:szCs w:val="21"/>
        </w:rPr>
        <w:t>3</w:t>
      </w:r>
      <w:r>
        <w:rPr>
          <w:rFonts w:hint="eastAsia" w:ascii="宋体"/>
          <w:color w:val="auto"/>
          <w:szCs w:val="21"/>
        </w:rPr>
        <w:t>年在经营活动中没有重大违法记录的书面声明。</w:t>
      </w:r>
    </w:p>
    <w:p w14:paraId="50F8324B">
      <w:pPr>
        <w:snapToGrid w:val="0"/>
        <w:spacing w:line="360" w:lineRule="auto"/>
        <w:ind w:firstLine="420" w:firstLineChars="200"/>
        <w:rPr>
          <w:rFonts w:ascii="宋体"/>
          <w:color w:val="auto"/>
          <w:szCs w:val="22"/>
        </w:rPr>
      </w:pPr>
      <w:r>
        <w:rPr>
          <w:rFonts w:hint="eastAsia" w:ascii="宋体"/>
          <w:color w:val="auto"/>
          <w:szCs w:val="22"/>
        </w:rPr>
        <w:t>（6）关于政府采购促进中小企业发展相关规定：</w:t>
      </w:r>
    </w:p>
    <w:p w14:paraId="1D7B4DC7">
      <w:pPr>
        <w:snapToGrid w:val="0"/>
        <w:spacing w:line="360" w:lineRule="auto"/>
        <w:ind w:firstLine="420" w:firstLineChars="200"/>
        <w:rPr>
          <w:rFonts w:ascii="宋体"/>
          <w:color w:val="auto"/>
          <w:szCs w:val="22"/>
        </w:rPr>
      </w:pPr>
      <w:r>
        <w:rPr>
          <w:rFonts w:hint="eastAsia" w:ascii="宋体"/>
          <w:color w:val="auto"/>
          <w:szCs w:val="22"/>
        </w:rPr>
        <w:t>①关于政府采购促进中小企业发展相关规定：根据《政府采购促进中小企业发展管理办法》（财库﹝2020﹞46号）文件规定，</w:t>
      </w:r>
      <w:r>
        <w:rPr>
          <w:rFonts w:hint="eastAsia" w:ascii="宋体"/>
          <w:b/>
          <w:color w:val="auto"/>
          <w:szCs w:val="22"/>
        </w:rPr>
        <w:t>本项目为专门面向中小企业采购项目</w:t>
      </w:r>
      <w:r>
        <w:rPr>
          <w:rFonts w:hint="eastAsia" w:ascii="宋体"/>
          <w:color w:val="auto"/>
          <w:szCs w:val="22"/>
        </w:rPr>
        <w:t>，采购标的所属行业为“</w:t>
      </w:r>
      <w:r>
        <w:rPr>
          <w:rFonts w:hint="eastAsia" w:ascii="宋体"/>
          <w:b/>
          <w:bCs/>
          <w:color w:val="auto"/>
          <w:szCs w:val="22"/>
        </w:rPr>
        <w:t>建筑业</w:t>
      </w:r>
      <w:r>
        <w:rPr>
          <w:rFonts w:hint="eastAsia" w:ascii="宋体"/>
          <w:color w:val="auto"/>
          <w:szCs w:val="22"/>
        </w:rPr>
        <w:t>”，各供应商应按政府采购促进中小企业发展相关规定及采购文件的响应文件组成中的“《中小企业声明函》”格式填写并在响应文件中提供《中小企业声明函》，否则视为无效响应。</w:t>
      </w:r>
    </w:p>
    <w:p w14:paraId="6F8BE965">
      <w:pPr>
        <w:snapToGrid w:val="0"/>
        <w:spacing w:line="360" w:lineRule="auto"/>
        <w:ind w:firstLine="420" w:firstLineChars="200"/>
        <w:rPr>
          <w:rFonts w:ascii="宋体"/>
          <w:color w:val="auto"/>
          <w:szCs w:val="22"/>
        </w:rPr>
      </w:pPr>
      <w:r>
        <w:rPr>
          <w:rFonts w:hint="eastAsia" w:ascii="宋体"/>
          <w:color w:val="auto"/>
          <w:szCs w:val="22"/>
        </w:rPr>
        <w:t>②如供应商提供的《中小企业声明函》内容不实的，属于提供虚假材料谋取成交，依照《中华人民共和国政府采购法》等国家有关规定追究相应责任。</w:t>
      </w:r>
    </w:p>
    <w:bookmarkEnd w:id="3"/>
    <w:bookmarkEnd w:id="4"/>
    <w:bookmarkEnd w:id="5"/>
    <w:p w14:paraId="779FC2A4">
      <w:pPr>
        <w:snapToGrid w:val="0"/>
        <w:spacing w:line="360" w:lineRule="auto"/>
        <w:ind w:firstLine="525" w:firstLineChars="250"/>
        <w:rPr>
          <w:rFonts w:asciiTheme="minorEastAsia" w:hAnsiTheme="minorEastAsia" w:eastAsiaTheme="minorEastAsia"/>
          <w:color w:val="auto"/>
        </w:rPr>
      </w:pPr>
      <w:r>
        <w:rPr>
          <w:rFonts w:hint="eastAsia" w:asciiTheme="minorEastAsia" w:hAnsiTheme="minorEastAsia" w:eastAsiaTheme="minorEastAsia"/>
          <w:color w:val="auto"/>
        </w:rPr>
        <w:t>3、供应商特定资格条件：</w:t>
      </w:r>
    </w:p>
    <w:p w14:paraId="0860A726">
      <w:pPr>
        <w:snapToGrid w:val="0"/>
        <w:spacing w:line="360" w:lineRule="auto"/>
        <w:ind w:firstLine="422" w:firstLineChars="200"/>
        <w:rPr>
          <w:rFonts w:ascii="Arail" w:hAnsi="宋体" w:cs="宋体"/>
          <w:b/>
          <w:bCs/>
          <w:color w:val="auto"/>
          <w:kern w:val="2"/>
          <w:szCs w:val="24"/>
        </w:rPr>
      </w:pPr>
      <w:r>
        <w:rPr>
          <w:rFonts w:hint="eastAsia" w:ascii="Arail" w:hAnsi="宋体" w:cs="宋体"/>
          <w:b/>
          <w:bCs/>
          <w:color w:val="auto"/>
          <w:kern w:val="2"/>
          <w:szCs w:val="24"/>
        </w:rPr>
        <w:t>（1）供应商具备建设行政主管部门颁发的电力工程施工总承包三级（含）及以上资质且安全生产许可证在有效期内和国家能源局（或其派出机构）颁发的“承装（修、试）电力设施许可证”承装、承修和承试五级及以上资质。</w:t>
      </w:r>
    </w:p>
    <w:p w14:paraId="3477AF93">
      <w:pPr>
        <w:snapToGrid w:val="0"/>
        <w:spacing w:line="360" w:lineRule="auto"/>
        <w:ind w:firstLine="422" w:firstLineChars="200"/>
        <w:rPr>
          <w:rFonts w:ascii="Arail" w:hAnsi="宋体" w:cs="宋体"/>
          <w:b/>
          <w:bCs/>
          <w:color w:val="auto"/>
          <w:kern w:val="2"/>
          <w:szCs w:val="24"/>
        </w:rPr>
      </w:pPr>
      <w:r>
        <w:rPr>
          <w:rFonts w:hint="eastAsia" w:ascii="Arail" w:hAnsi="宋体" w:cs="宋体"/>
          <w:b/>
          <w:bCs/>
          <w:color w:val="auto"/>
          <w:kern w:val="2"/>
          <w:szCs w:val="24"/>
        </w:rPr>
        <w:t>（2）拟任项目经理具备机电工程专业贰级及以上注册建造师执业资格，具备项目负责人安全生产考核合格证书。</w:t>
      </w:r>
    </w:p>
    <w:p w14:paraId="067AC68E">
      <w:pPr>
        <w:snapToGrid w:val="0"/>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4、与采购人存在利害关系可能影响采购公正性的法人、其他组织或者个人，不得参加本项目投标。单位负责人为同一人或者存在控股、管理关系的不同单位，不得同时参加本采购项目的投标。</w:t>
      </w:r>
    </w:p>
    <w:p w14:paraId="75636AAF">
      <w:pPr>
        <w:snapToGrid w:val="0"/>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5、本次采购不接受联合体投标。</w:t>
      </w:r>
    </w:p>
    <w:p w14:paraId="4A620FB7">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四、获取磋商文件的时间、地点、方式及磋商文件售价</w:t>
      </w:r>
    </w:p>
    <w:p w14:paraId="5FB3CD6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1、凡有意参加磋商采购活动的，请于</w:t>
      </w:r>
      <w:r>
        <w:rPr>
          <w:rFonts w:hint="eastAsia" w:asciiTheme="minorEastAsia" w:hAnsiTheme="minorEastAsia" w:eastAsiaTheme="minorEastAsia"/>
          <w:color w:val="auto"/>
          <w:u w:val="single"/>
        </w:rPr>
        <w:t>2025年 03月</w:t>
      </w:r>
      <w:r>
        <w:rPr>
          <w:rFonts w:hint="eastAsia" w:asciiTheme="minorEastAsia" w:hAnsiTheme="minorEastAsia" w:eastAsiaTheme="minorEastAsia"/>
          <w:color w:val="auto"/>
          <w:u w:val="single"/>
          <w:lang w:val="en-US" w:eastAsia="zh-CN"/>
        </w:rPr>
        <w:t>20</w:t>
      </w:r>
      <w:r>
        <w:rPr>
          <w:rFonts w:hint="eastAsia" w:asciiTheme="minorEastAsia" w:hAnsiTheme="minorEastAsia" w:eastAsiaTheme="minorEastAsia"/>
          <w:color w:val="auto"/>
          <w:u w:val="single"/>
        </w:rPr>
        <w:t>日起至 2025年03 月</w:t>
      </w:r>
      <w:r>
        <w:rPr>
          <w:rFonts w:hint="eastAsia" w:asciiTheme="minorEastAsia" w:hAnsiTheme="minorEastAsia" w:eastAsiaTheme="minorEastAsia"/>
          <w:color w:val="auto"/>
          <w:u w:val="single"/>
          <w:lang w:val="en-US" w:eastAsia="zh-CN"/>
        </w:rPr>
        <w:t>27</w:t>
      </w:r>
      <w:r>
        <w:rPr>
          <w:rFonts w:hint="eastAsia" w:asciiTheme="minorEastAsia" w:hAnsiTheme="minorEastAsia" w:eastAsiaTheme="minorEastAsia"/>
          <w:color w:val="auto"/>
          <w:u w:val="single"/>
        </w:rPr>
        <w:t>日</w:t>
      </w:r>
      <w:r>
        <w:rPr>
          <w:rFonts w:hint="eastAsia" w:asciiTheme="minorEastAsia" w:hAnsiTheme="minorEastAsia" w:eastAsiaTheme="minorEastAsia"/>
          <w:color w:val="auto"/>
        </w:rPr>
        <w:t>(节假日除外)，每日上午</w:t>
      </w:r>
      <w:r>
        <w:rPr>
          <w:rFonts w:hint="eastAsia" w:asciiTheme="minorEastAsia" w:hAnsiTheme="minorEastAsia" w:eastAsiaTheme="minorEastAsia"/>
          <w:color w:val="auto"/>
          <w:u w:val="single"/>
        </w:rPr>
        <w:t>9:00</w:t>
      </w:r>
      <w:r>
        <w:rPr>
          <w:rFonts w:hint="eastAsia" w:asciiTheme="minorEastAsia" w:hAnsiTheme="minorEastAsia" w:eastAsiaTheme="minorEastAsia"/>
          <w:color w:val="auto"/>
        </w:rPr>
        <w:t>～</w:t>
      </w:r>
      <w:r>
        <w:rPr>
          <w:rFonts w:hint="eastAsia" w:asciiTheme="minorEastAsia" w:hAnsiTheme="minorEastAsia" w:eastAsiaTheme="minorEastAsia"/>
          <w:color w:val="auto"/>
          <w:u w:val="single"/>
        </w:rPr>
        <w:t>12:00</w:t>
      </w:r>
      <w:r>
        <w:rPr>
          <w:rFonts w:hint="eastAsia" w:asciiTheme="minorEastAsia" w:hAnsiTheme="minorEastAsia" w:eastAsiaTheme="minorEastAsia"/>
          <w:color w:val="auto"/>
        </w:rPr>
        <w:t>，下午</w:t>
      </w:r>
      <w:r>
        <w:rPr>
          <w:rFonts w:hint="eastAsia" w:asciiTheme="minorEastAsia" w:hAnsiTheme="minorEastAsia" w:eastAsiaTheme="minorEastAsia"/>
          <w:color w:val="auto"/>
          <w:u w:val="single"/>
        </w:rPr>
        <w:t>14:00</w:t>
      </w:r>
      <w:r>
        <w:rPr>
          <w:rFonts w:hint="eastAsia" w:asciiTheme="minorEastAsia" w:hAnsiTheme="minorEastAsia" w:eastAsiaTheme="minorEastAsia"/>
          <w:color w:val="auto"/>
        </w:rPr>
        <w:t>～</w:t>
      </w:r>
      <w:r>
        <w:rPr>
          <w:rFonts w:hint="eastAsia" w:asciiTheme="minorEastAsia" w:hAnsiTheme="minorEastAsia" w:eastAsiaTheme="minorEastAsia"/>
          <w:color w:val="auto"/>
          <w:u w:val="single"/>
        </w:rPr>
        <w:t>17:00</w:t>
      </w:r>
      <w:r>
        <w:rPr>
          <w:rFonts w:hint="eastAsia" w:asciiTheme="minorEastAsia" w:hAnsiTheme="minorEastAsia" w:eastAsiaTheme="minorEastAsia"/>
          <w:color w:val="auto"/>
        </w:rPr>
        <w:t>(北京时间)，持单位介绍信、法定代表人身份证明或授权委托书(附法定代表人身份证明)、个人身份证原件到湖南昊坤工程咨询有限公司</w:t>
      </w:r>
      <w:r>
        <w:rPr>
          <w:rFonts w:hint="eastAsia" w:cs="宋体" w:asciiTheme="minorEastAsia" w:hAnsiTheme="minorEastAsia" w:eastAsiaTheme="minorEastAsia"/>
          <w:color w:val="auto"/>
          <w:szCs w:val="21"/>
          <w:shd w:val="clear" w:color="auto" w:fill="FFFFFF"/>
        </w:rPr>
        <w:t>（</w:t>
      </w:r>
      <w:r>
        <w:rPr>
          <w:rFonts w:hint="eastAsia" w:cs="宋体" w:asciiTheme="minorEastAsia" w:hAnsiTheme="minorEastAsia" w:eastAsiaTheme="minorEastAsia"/>
          <w:color w:val="auto"/>
          <w:szCs w:val="21"/>
          <w:u w:val="single"/>
          <w:shd w:val="clear" w:color="auto" w:fill="FFFFFF"/>
        </w:rPr>
        <w:t>长沙市万家丽北路星雅美辰1号栋（山东商会大厦）8楼</w:t>
      </w:r>
      <w:r>
        <w:rPr>
          <w:rFonts w:hint="eastAsia" w:cs="宋体" w:asciiTheme="minorEastAsia" w:hAnsiTheme="minorEastAsia" w:eastAsiaTheme="minorEastAsia"/>
          <w:color w:val="auto"/>
          <w:szCs w:val="21"/>
          <w:shd w:val="clear" w:color="auto" w:fill="FFFFFF"/>
        </w:rPr>
        <w:t>）</w:t>
      </w:r>
      <w:r>
        <w:rPr>
          <w:rFonts w:hint="eastAsia" w:asciiTheme="minorEastAsia" w:hAnsiTheme="minorEastAsia" w:eastAsiaTheme="minorEastAsia"/>
          <w:color w:val="auto"/>
        </w:rPr>
        <w:t>获取磋商文件。</w:t>
      </w:r>
    </w:p>
    <w:p w14:paraId="7FC7EA54">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2、磋商文件每份人民币</w:t>
      </w:r>
      <w:r>
        <w:rPr>
          <w:rFonts w:hint="eastAsia" w:asciiTheme="minorEastAsia" w:hAnsiTheme="minorEastAsia" w:eastAsiaTheme="minorEastAsia"/>
          <w:color w:val="auto"/>
          <w:u w:val="single"/>
        </w:rPr>
        <w:t>0</w:t>
      </w:r>
      <w:r>
        <w:rPr>
          <w:rFonts w:hint="eastAsia" w:asciiTheme="minorEastAsia" w:hAnsiTheme="minorEastAsia" w:eastAsiaTheme="minorEastAsia"/>
          <w:color w:val="auto"/>
        </w:rPr>
        <w:t>元。</w:t>
      </w:r>
    </w:p>
    <w:p w14:paraId="466DDFF3">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五、响应文件提交的截止时间、开启时间及地点</w:t>
      </w:r>
    </w:p>
    <w:p w14:paraId="19FB5E0B">
      <w:pPr>
        <w:snapToGrid w:val="0"/>
        <w:spacing w:line="360" w:lineRule="auto"/>
        <w:ind w:firstLine="630" w:firstLineChars="300"/>
        <w:rPr>
          <w:rFonts w:asciiTheme="minorEastAsia" w:hAnsiTheme="minorEastAsia" w:eastAsiaTheme="minorEastAsia"/>
          <w:color w:val="auto"/>
        </w:rPr>
      </w:pPr>
      <w:r>
        <w:rPr>
          <w:rFonts w:hint="eastAsia" w:asciiTheme="minorEastAsia" w:hAnsiTheme="minorEastAsia" w:eastAsiaTheme="minorEastAsia"/>
          <w:color w:val="auto"/>
        </w:rPr>
        <w:t>1、提</w:t>
      </w:r>
      <w:r>
        <w:rPr>
          <w:rFonts w:asciiTheme="minorEastAsia" w:hAnsiTheme="minorEastAsia" w:eastAsiaTheme="minorEastAsia"/>
          <w:color w:val="auto"/>
        </w:rPr>
        <w:t>交</w:t>
      </w:r>
      <w:r>
        <w:rPr>
          <w:rFonts w:hint="eastAsia" w:asciiTheme="minorEastAsia" w:hAnsiTheme="minorEastAsia" w:eastAsiaTheme="minorEastAsia"/>
          <w:color w:val="auto"/>
        </w:rPr>
        <w:t>首次响应</w:t>
      </w:r>
      <w:r>
        <w:rPr>
          <w:rFonts w:asciiTheme="minorEastAsia" w:hAnsiTheme="minorEastAsia" w:eastAsiaTheme="minorEastAsia"/>
          <w:color w:val="auto"/>
        </w:rPr>
        <w:t>文件的截止时间为</w:t>
      </w:r>
      <w:r>
        <w:rPr>
          <w:rFonts w:hint="eastAsia" w:asciiTheme="minorEastAsia" w:hAnsiTheme="minorEastAsia" w:eastAsiaTheme="minorEastAsia"/>
          <w:color w:val="auto"/>
          <w:u w:val="single"/>
        </w:rPr>
        <w:t>2025年0</w:t>
      </w:r>
      <w:r>
        <w:rPr>
          <w:rFonts w:hint="eastAsia" w:asciiTheme="minorEastAsia" w:hAnsiTheme="minorEastAsia" w:eastAsiaTheme="minorEastAsia"/>
          <w:color w:val="auto"/>
          <w:u w:val="single"/>
          <w:lang w:val="en-US" w:eastAsia="zh-CN"/>
        </w:rPr>
        <w:t>3</w:t>
      </w:r>
      <w:r>
        <w:rPr>
          <w:rFonts w:hint="eastAsia" w:asciiTheme="minorEastAsia" w:hAnsiTheme="minorEastAsia" w:eastAsiaTheme="minorEastAsia"/>
          <w:color w:val="auto"/>
          <w:u w:val="single"/>
        </w:rPr>
        <w:t>月</w:t>
      </w:r>
      <w:r>
        <w:rPr>
          <w:rFonts w:hint="eastAsia" w:asciiTheme="minorEastAsia" w:hAnsiTheme="minorEastAsia" w:eastAsiaTheme="minorEastAsia"/>
          <w:color w:val="auto"/>
          <w:u w:val="single"/>
          <w:lang w:val="en-US" w:eastAsia="zh-CN"/>
        </w:rPr>
        <w:t>31</w:t>
      </w:r>
      <w:r>
        <w:rPr>
          <w:rFonts w:hint="eastAsia" w:asciiTheme="minorEastAsia" w:hAnsiTheme="minorEastAsia" w:eastAsiaTheme="minorEastAsia"/>
          <w:color w:val="auto"/>
          <w:u w:val="single"/>
        </w:rPr>
        <w:t>日</w:t>
      </w:r>
      <w:r>
        <w:rPr>
          <w:rFonts w:hint="eastAsia" w:asciiTheme="minorEastAsia" w:hAnsiTheme="minorEastAsia" w:eastAsiaTheme="minorEastAsia"/>
          <w:color w:val="auto"/>
          <w:u w:val="single"/>
          <w:lang w:val="en-US" w:eastAsia="zh-CN"/>
        </w:rPr>
        <w:t>13</w:t>
      </w:r>
      <w:r>
        <w:rPr>
          <w:rFonts w:hint="eastAsia" w:asciiTheme="minorEastAsia" w:hAnsiTheme="minorEastAsia" w:eastAsiaTheme="minorEastAsia"/>
          <w:color w:val="auto"/>
          <w:u w:val="single"/>
        </w:rPr>
        <w:t>时</w:t>
      </w:r>
      <w:r>
        <w:rPr>
          <w:rFonts w:hint="eastAsia" w:asciiTheme="minorEastAsia" w:hAnsiTheme="minorEastAsia" w:eastAsiaTheme="minorEastAsia"/>
          <w:color w:val="auto"/>
          <w:u w:val="single"/>
          <w:lang w:val="en-US" w:eastAsia="zh-CN"/>
        </w:rPr>
        <w:t>30</w:t>
      </w:r>
      <w:r>
        <w:rPr>
          <w:rFonts w:hint="eastAsia" w:asciiTheme="minorEastAsia" w:hAnsiTheme="minorEastAsia" w:eastAsiaTheme="minorEastAsia"/>
          <w:color w:val="auto"/>
          <w:u w:val="single"/>
        </w:rPr>
        <w:t>分</w:t>
      </w:r>
      <w:r>
        <w:rPr>
          <w:rFonts w:hint="eastAsia" w:asciiTheme="minorEastAsia" w:hAnsiTheme="minorEastAsia" w:eastAsiaTheme="minorEastAsia"/>
          <w:color w:val="auto"/>
        </w:rPr>
        <w:t>（北京时间）</w:t>
      </w:r>
      <w:r>
        <w:rPr>
          <w:rFonts w:asciiTheme="minorEastAsia" w:hAnsiTheme="minorEastAsia" w:eastAsiaTheme="minorEastAsia"/>
          <w:color w:val="auto"/>
        </w:rPr>
        <w:t>，地点为</w:t>
      </w:r>
      <w:r>
        <w:rPr>
          <w:rFonts w:hint="eastAsia" w:asciiTheme="minorEastAsia" w:hAnsiTheme="minorEastAsia" w:eastAsiaTheme="minorEastAsia"/>
          <w:b/>
          <w:color w:val="auto"/>
        </w:rPr>
        <w:t>长沙经济技术开发区管委会综合楼10楼开评标室（长沙经济技术开发区三一路2号）</w:t>
      </w:r>
      <w:r>
        <w:rPr>
          <w:rFonts w:hint="eastAsia" w:asciiTheme="minorEastAsia" w:hAnsiTheme="minorEastAsia" w:eastAsiaTheme="minorEastAsia"/>
          <w:color w:val="auto"/>
        </w:rPr>
        <w:t>。在截止时间后送达的响应文件为无效文件，采购人、采购代理机构或者磋商小组应当拒收。</w:t>
      </w:r>
    </w:p>
    <w:p w14:paraId="18F717A2">
      <w:pPr>
        <w:tabs>
          <w:tab w:val="left" w:pos="360"/>
        </w:tabs>
        <w:snapToGrid w:val="0"/>
        <w:spacing w:line="360" w:lineRule="auto"/>
        <w:ind w:firstLine="420" w:firstLineChars="200"/>
        <w:rPr>
          <w:rFonts w:asciiTheme="minorEastAsia" w:hAnsiTheme="minorEastAsia" w:eastAsiaTheme="minorEastAsia"/>
          <w:color w:val="auto"/>
        </w:rPr>
      </w:pPr>
      <w:r>
        <w:rPr>
          <w:rFonts w:hint="eastAsia" w:asciiTheme="minorEastAsia" w:hAnsiTheme="minorEastAsia" w:eastAsiaTheme="minorEastAsia"/>
          <w:color w:val="auto"/>
        </w:rPr>
        <w:t>2、首次响应文件的开启时间及地点与提交首次响应文件的截止时间及地点为同一时间及地点。</w:t>
      </w:r>
    </w:p>
    <w:p w14:paraId="6D3E1257">
      <w:pPr>
        <w:snapToGrid w:val="0"/>
        <w:spacing w:line="360" w:lineRule="auto"/>
        <w:rPr>
          <w:rFonts w:ascii="宋体"/>
          <w:b/>
          <w:color w:val="auto"/>
        </w:rPr>
      </w:pPr>
      <w:r>
        <w:rPr>
          <w:rFonts w:hint="eastAsia" w:asciiTheme="minorEastAsia" w:hAnsiTheme="minorEastAsia" w:eastAsiaTheme="minorEastAsia"/>
          <w:b/>
          <w:color w:val="auto"/>
        </w:rPr>
        <w:t>六、</w:t>
      </w:r>
      <w:r>
        <w:rPr>
          <w:rFonts w:hint="eastAsia" w:ascii="宋体"/>
          <w:b/>
          <w:color w:val="auto"/>
        </w:rPr>
        <w:t>项目其他情况说明：</w:t>
      </w:r>
    </w:p>
    <w:p w14:paraId="59DEC5DB">
      <w:pPr>
        <w:snapToGrid w:val="0"/>
        <w:spacing w:line="360" w:lineRule="auto"/>
        <w:ind w:firstLine="420" w:firstLineChars="200"/>
        <w:rPr>
          <w:rFonts w:ascii="宋体"/>
          <w:color w:val="auto"/>
        </w:rPr>
      </w:pPr>
      <w:r>
        <w:rPr>
          <w:rFonts w:hint="eastAsia" w:ascii="宋体"/>
          <w:color w:val="auto"/>
        </w:rPr>
        <w:t>1、招采备案编号：CSJKQXESXM-2025021(本编号用于招标代理机构办理项目备案及资料归档)</w:t>
      </w:r>
    </w:p>
    <w:p w14:paraId="78751417">
      <w:pPr>
        <w:snapToGrid w:val="0"/>
        <w:spacing w:line="360" w:lineRule="auto"/>
        <w:ind w:firstLine="420" w:firstLineChars="200"/>
        <w:rPr>
          <w:rFonts w:ascii="宋体"/>
          <w:color w:val="auto"/>
        </w:rPr>
      </w:pPr>
      <w:r>
        <w:rPr>
          <w:rFonts w:hint="eastAsia" w:ascii="宋体"/>
          <w:color w:val="auto"/>
        </w:rPr>
        <w:t>2、监管部门：长沙经济技术开发区管理委员会财政金融局</w:t>
      </w:r>
    </w:p>
    <w:p w14:paraId="7EBD0DB1">
      <w:pPr>
        <w:snapToGrid w:val="0"/>
        <w:spacing w:line="360" w:lineRule="auto"/>
        <w:ind w:firstLine="840" w:firstLineChars="400"/>
        <w:rPr>
          <w:rFonts w:ascii="宋体"/>
          <w:color w:val="auto"/>
        </w:rPr>
      </w:pPr>
      <w:r>
        <w:rPr>
          <w:rFonts w:hint="eastAsia" w:ascii="宋体"/>
          <w:color w:val="auto"/>
        </w:rPr>
        <w:t>联系电话：0731-84020090</w:t>
      </w:r>
    </w:p>
    <w:p w14:paraId="3C4CBF09">
      <w:pPr>
        <w:snapToGrid w:val="0"/>
        <w:spacing w:line="276" w:lineRule="auto"/>
        <w:rPr>
          <w:rFonts w:asciiTheme="minorEastAsia" w:hAnsiTheme="minorEastAsia" w:eastAsiaTheme="minorEastAsia"/>
          <w:b/>
          <w:color w:val="auto"/>
        </w:rPr>
      </w:pPr>
      <w:r>
        <w:rPr>
          <w:rFonts w:hint="eastAsia" w:asciiTheme="minorEastAsia" w:hAnsiTheme="minorEastAsia" w:eastAsiaTheme="minorEastAsia"/>
          <w:b/>
          <w:color w:val="auto"/>
        </w:rPr>
        <w:t>七、采购项目联系人姓名和电话</w:t>
      </w:r>
    </w:p>
    <w:p w14:paraId="5B71CE9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采购人：湖南东方数智能源投资有限公司</w:t>
      </w:r>
    </w:p>
    <w:p w14:paraId="0645965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地  址：长沙县长龙街道开元东路1327号星沙产业基地办公楼8楼</w:t>
      </w:r>
    </w:p>
    <w:p w14:paraId="4421445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联系人：梁志宇</w:t>
      </w:r>
    </w:p>
    <w:p w14:paraId="20C01D58">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联系电话：0731-84037711</w:t>
      </w:r>
    </w:p>
    <w:p w14:paraId="21B9FB61">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采购代理机构：湖南昊坤工程咨询有限公司</w:t>
      </w:r>
    </w:p>
    <w:p w14:paraId="50F6854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联 系 人：</w:t>
      </w:r>
      <w:r>
        <w:rPr>
          <w:rFonts w:hint="eastAsia" w:asciiTheme="minorEastAsia" w:hAnsiTheme="minorEastAsia" w:eastAsiaTheme="minorEastAsia"/>
          <w:color w:val="auto"/>
          <w:kern w:val="2"/>
          <w:szCs w:val="21"/>
        </w:rPr>
        <w:t>王欢（项目负责人）、肖慧琳、李峰</w:t>
      </w:r>
    </w:p>
    <w:p w14:paraId="2F8CEDB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电    话：0731-86969178  18908469148</w:t>
      </w:r>
    </w:p>
    <w:p w14:paraId="0CD5E382">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地    址：长沙市万家丽北路星雅美辰1号栋（山东商会大厦）8楼</w:t>
      </w:r>
    </w:p>
    <w:p w14:paraId="327EDD0B">
      <w:pPr>
        <w:spacing w:line="360" w:lineRule="auto"/>
        <w:jc w:val="center"/>
        <w:rPr>
          <w:rFonts w:asciiTheme="minorEastAsia" w:hAnsiTheme="minorEastAsia" w:eastAsiaTheme="minorEastAsia"/>
          <w:b/>
          <w:color w:val="auto"/>
          <w:sz w:val="32"/>
        </w:rPr>
      </w:pPr>
      <w:r>
        <w:rPr>
          <w:rFonts w:asciiTheme="minorEastAsia" w:hAnsiTheme="minorEastAsia" w:eastAsiaTheme="minorEastAsia"/>
          <w:color w:val="auto"/>
        </w:rPr>
        <w:br w:type="page"/>
      </w:r>
      <w:r>
        <w:rPr>
          <w:rFonts w:asciiTheme="minorEastAsia" w:hAnsiTheme="minorEastAsia" w:eastAsiaTheme="minorEastAsia"/>
          <w:b/>
          <w:color w:val="auto"/>
          <w:sz w:val="32"/>
        </w:rPr>
        <w:t>第二章 磋商须知</w:t>
      </w:r>
    </w:p>
    <w:p w14:paraId="57CCF428">
      <w:pPr>
        <w:spacing w:line="360" w:lineRule="auto"/>
        <w:jc w:val="center"/>
        <w:rPr>
          <w:rFonts w:asciiTheme="minorEastAsia" w:hAnsiTheme="minorEastAsia" w:eastAsiaTheme="minorEastAsia"/>
          <w:b/>
          <w:color w:val="auto"/>
          <w:sz w:val="24"/>
        </w:rPr>
      </w:pPr>
      <w:r>
        <w:rPr>
          <w:rFonts w:asciiTheme="minorEastAsia" w:hAnsiTheme="minorEastAsia" w:eastAsiaTheme="minorEastAsia"/>
          <w:b/>
          <w:color w:val="auto"/>
          <w:sz w:val="24"/>
        </w:rPr>
        <w:t>磋商须知前附表</w:t>
      </w:r>
    </w:p>
    <w:p w14:paraId="10254FA6">
      <w:pPr>
        <w:spacing w:line="360" w:lineRule="auto"/>
        <w:rPr>
          <w:rFonts w:asciiTheme="minorEastAsia" w:hAnsiTheme="minorEastAsia" w:eastAsiaTheme="minorEastAsia"/>
          <w:color w:val="auto"/>
          <w:sz w:val="20"/>
        </w:rPr>
      </w:pPr>
      <w:r>
        <w:rPr>
          <w:rFonts w:asciiTheme="minorEastAsia" w:hAnsiTheme="minorEastAsia" w:eastAsiaTheme="minorEastAsia"/>
          <w:color w:val="auto"/>
          <w:sz w:val="20"/>
        </w:rPr>
        <w:t>注： 请在方框□内划√选择，在“条款号”内限选一项。（本项目采用的条款用“■”标示）</w:t>
      </w:r>
    </w:p>
    <w:tbl>
      <w:tblPr>
        <w:tblStyle w:val="19"/>
        <w:tblW w:w="0" w:type="auto"/>
        <w:jc w:val="center"/>
        <w:tblLayout w:type="fixed"/>
        <w:tblCellMar>
          <w:top w:w="0" w:type="dxa"/>
          <w:left w:w="0" w:type="dxa"/>
          <w:bottom w:w="0" w:type="dxa"/>
          <w:right w:w="0" w:type="dxa"/>
        </w:tblCellMar>
      </w:tblPr>
      <w:tblGrid>
        <w:gridCol w:w="1183"/>
        <w:gridCol w:w="1515"/>
        <w:gridCol w:w="6147"/>
      </w:tblGrid>
      <w:tr w14:paraId="5739A27B">
        <w:tblPrEx>
          <w:tblCellMar>
            <w:top w:w="0" w:type="dxa"/>
            <w:left w:w="0" w:type="dxa"/>
            <w:bottom w:w="0" w:type="dxa"/>
            <w:right w:w="0" w:type="dxa"/>
          </w:tblCellMar>
        </w:tblPrEx>
        <w:trPr>
          <w:trHeight w:val="10" w:hRule="atLeast"/>
          <w:tblHeader/>
          <w:jc w:val="center"/>
        </w:trPr>
        <w:tc>
          <w:tcPr>
            <w:tcW w:w="1183" w:type="dxa"/>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04015B0">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条款号</w:t>
            </w:r>
          </w:p>
        </w:tc>
        <w:tc>
          <w:tcPr>
            <w:tcW w:w="1515"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709BD38">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条款名称</w:t>
            </w:r>
          </w:p>
        </w:tc>
        <w:tc>
          <w:tcPr>
            <w:tcW w:w="6147"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EDA176F">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编列内容规定</w:t>
            </w:r>
          </w:p>
        </w:tc>
      </w:tr>
      <w:tr w14:paraId="36B67BEA">
        <w:tblPrEx>
          <w:tblCellMar>
            <w:top w:w="0" w:type="dxa"/>
            <w:left w:w="0" w:type="dxa"/>
            <w:bottom w:w="0" w:type="dxa"/>
            <w:right w:w="0" w:type="dxa"/>
          </w:tblCellMar>
        </w:tblPrEx>
        <w:trPr>
          <w:trHeight w:val="10"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475C77C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一、说明</w:t>
            </w:r>
          </w:p>
        </w:tc>
      </w:tr>
      <w:tr w14:paraId="226ACF2F">
        <w:tblPrEx>
          <w:tblCellMar>
            <w:top w:w="0" w:type="dxa"/>
            <w:left w:w="0" w:type="dxa"/>
            <w:bottom w:w="0" w:type="dxa"/>
            <w:right w:w="0" w:type="dxa"/>
          </w:tblCellMar>
        </w:tblPrEx>
        <w:trPr>
          <w:trHeight w:val="54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A1324B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22F4C7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采购项目</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9B0FFB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长沙经开区果园江湾学校分布式光伏电站及充电桩项目</w:t>
            </w:r>
          </w:p>
        </w:tc>
      </w:tr>
      <w:tr w14:paraId="3D082D61">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4715535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70D4DE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采购人</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97BD507">
            <w:pPr>
              <w:snapToGrid w:val="0"/>
              <w:spacing w:before="156" w:line="276" w:lineRule="auto"/>
              <w:rPr>
                <w:rFonts w:asciiTheme="minorEastAsia" w:hAnsiTheme="minorEastAsia" w:eastAsiaTheme="minorEastAsia"/>
                <w:color w:val="auto"/>
              </w:rPr>
            </w:pPr>
            <w:r>
              <w:rPr>
                <w:rFonts w:hint="eastAsia" w:asciiTheme="minorEastAsia" w:hAnsiTheme="minorEastAsia" w:eastAsiaTheme="minorEastAsia"/>
                <w:color w:val="auto"/>
              </w:rPr>
              <w:t>名    称：</w:t>
            </w:r>
            <w:bookmarkStart w:id="6" w:name="OLE_LINK6"/>
            <w:r>
              <w:rPr>
                <w:rFonts w:hint="eastAsia" w:asciiTheme="minorEastAsia" w:hAnsiTheme="minorEastAsia" w:eastAsiaTheme="minorEastAsia"/>
                <w:color w:val="auto"/>
              </w:rPr>
              <w:t>湖南东方数智能源投资有限公司</w:t>
            </w:r>
            <w:bookmarkEnd w:id="6"/>
          </w:p>
          <w:p w14:paraId="3BF3A0B1">
            <w:pPr>
              <w:snapToGrid w:val="0"/>
              <w:spacing w:before="156" w:line="276" w:lineRule="auto"/>
              <w:rPr>
                <w:rFonts w:asciiTheme="minorEastAsia" w:hAnsiTheme="minorEastAsia" w:eastAsiaTheme="minorEastAsia"/>
                <w:color w:val="auto"/>
              </w:rPr>
            </w:pPr>
            <w:r>
              <w:rPr>
                <w:rFonts w:hint="eastAsia" w:asciiTheme="minorEastAsia" w:hAnsiTheme="minorEastAsia" w:eastAsiaTheme="minorEastAsia"/>
                <w:color w:val="auto"/>
              </w:rPr>
              <w:t>地    址：长沙县长龙街道开元东路1327号星沙产业基地办公楼8楼</w:t>
            </w:r>
          </w:p>
          <w:p w14:paraId="07BCCB3A">
            <w:pPr>
              <w:snapToGrid w:val="0"/>
              <w:spacing w:before="156" w:line="276" w:lineRule="auto"/>
              <w:rPr>
                <w:rFonts w:asciiTheme="minorEastAsia" w:hAnsiTheme="minorEastAsia" w:eastAsiaTheme="minorEastAsia"/>
                <w:color w:val="auto"/>
              </w:rPr>
            </w:pPr>
            <w:r>
              <w:rPr>
                <w:rFonts w:hint="eastAsia" w:asciiTheme="minorEastAsia" w:hAnsiTheme="minorEastAsia" w:eastAsiaTheme="minorEastAsia"/>
                <w:color w:val="auto"/>
              </w:rPr>
              <w:t>联 系 人：梁志宇</w:t>
            </w:r>
          </w:p>
          <w:p w14:paraId="714D9478">
            <w:pPr>
              <w:snapToGrid w:val="0"/>
              <w:spacing w:before="156" w:line="276" w:lineRule="auto"/>
              <w:rPr>
                <w:rFonts w:asciiTheme="minorEastAsia" w:hAnsiTheme="minorEastAsia" w:eastAsiaTheme="minorEastAsia"/>
                <w:color w:val="auto"/>
              </w:rPr>
            </w:pPr>
            <w:r>
              <w:rPr>
                <w:rFonts w:hint="eastAsia" w:asciiTheme="minorEastAsia" w:hAnsiTheme="minorEastAsia" w:eastAsiaTheme="minorEastAsia"/>
                <w:color w:val="auto"/>
              </w:rPr>
              <w:t>联系电话：0731-84037711</w:t>
            </w:r>
          </w:p>
        </w:tc>
      </w:tr>
      <w:tr w14:paraId="5EB4FDA2">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9BC2E3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BAB72D8">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采购代理机构</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0A2527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名  称：湖南昊坤工程咨询有限公司</w:t>
            </w:r>
          </w:p>
          <w:p w14:paraId="44F5C8C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联系人：王欢（项目负责人）、肖慧琳、李峰</w:t>
            </w:r>
          </w:p>
          <w:p w14:paraId="35316D4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电  话：0731-86969178  18908469148</w:t>
            </w:r>
          </w:p>
          <w:p w14:paraId="2A9E24A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地  址：长沙市万家丽北路星雅美辰1号栋（山东商会大厦）8楼</w:t>
            </w:r>
          </w:p>
        </w:tc>
      </w:tr>
      <w:tr w14:paraId="78F8B76C">
        <w:tblPrEx>
          <w:tblCellMar>
            <w:top w:w="0" w:type="dxa"/>
            <w:left w:w="0" w:type="dxa"/>
            <w:bottom w:w="0" w:type="dxa"/>
            <w:right w:w="0" w:type="dxa"/>
          </w:tblCellMar>
        </w:tblPrEx>
        <w:trPr>
          <w:trHeight w:val="115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3BACCC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第二章第2.3款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A63522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供应商的邀请方式</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6ED51E1">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■发布公告</w:t>
            </w:r>
          </w:p>
          <w:p w14:paraId="6F45CFF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□从省级以上财政部门建立的供应商库中随机抽取</w:t>
            </w:r>
          </w:p>
          <w:p w14:paraId="1178F28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□采购人和磋商小组分别书面推荐的方式</w:t>
            </w:r>
          </w:p>
        </w:tc>
      </w:tr>
      <w:tr w14:paraId="1BC1F89E">
        <w:tblPrEx>
          <w:tblCellMar>
            <w:top w:w="0" w:type="dxa"/>
            <w:left w:w="0" w:type="dxa"/>
            <w:bottom w:w="0" w:type="dxa"/>
            <w:right w:w="0" w:type="dxa"/>
          </w:tblCellMar>
        </w:tblPrEx>
        <w:trPr>
          <w:trHeight w:val="91"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17341C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第二章第3.1款</w:t>
            </w:r>
          </w:p>
          <w:p w14:paraId="67FB8F83">
            <w:pPr>
              <w:snapToGrid w:val="0"/>
              <w:spacing w:line="360" w:lineRule="auto"/>
              <w:jc w:val="center"/>
              <w:rPr>
                <w:rFonts w:asciiTheme="minorEastAsia" w:hAnsiTheme="minorEastAsia" w:eastAsiaTheme="minorEastAsia"/>
                <w:color w:val="auto"/>
              </w:rPr>
            </w:pPr>
          </w:p>
          <w:p w14:paraId="7B80F6B0">
            <w:pPr>
              <w:snapToGrid w:val="0"/>
              <w:spacing w:line="360" w:lineRule="auto"/>
              <w:jc w:val="center"/>
              <w:rPr>
                <w:rFonts w:asciiTheme="minorEastAsia" w:hAnsiTheme="minorEastAsia" w:eastAsiaTheme="minorEastAsia"/>
                <w:color w:val="auto"/>
                <w:sz w:val="20"/>
              </w:rPr>
            </w:pP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BD270E0">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供应商资格条件</w:t>
            </w:r>
          </w:p>
          <w:p w14:paraId="0C6A28ED">
            <w:pPr>
              <w:snapToGrid w:val="0"/>
              <w:spacing w:line="360" w:lineRule="auto"/>
              <w:jc w:val="center"/>
              <w:rPr>
                <w:rFonts w:asciiTheme="minorEastAsia" w:hAnsiTheme="minorEastAsia" w:eastAsiaTheme="minorEastAsia"/>
                <w:color w:val="auto"/>
              </w:rPr>
            </w:pPr>
          </w:p>
          <w:p w14:paraId="623E9A91">
            <w:pPr>
              <w:snapToGrid w:val="0"/>
              <w:spacing w:line="360" w:lineRule="auto"/>
              <w:jc w:val="center"/>
              <w:rPr>
                <w:rFonts w:asciiTheme="minorEastAsia" w:hAnsiTheme="minorEastAsia" w:eastAsiaTheme="minorEastAsia"/>
                <w:color w:val="auto"/>
                <w:sz w:val="20"/>
              </w:rPr>
            </w:pP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2EFEC2D">
            <w:pPr>
              <w:snapToGrid w:val="0"/>
              <w:spacing w:line="360" w:lineRule="auto"/>
              <w:rPr>
                <w:rFonts w:ascii="宋体"/>
                <w:color w:val="auto"/>
              </w:rPr>
            </w:pPr>
            <w:r>
              <w:rPr>
                <w:rFonts w:hint="eastAsia" w:asciiTheme="minorEastAsia" w:hAnsiTheme="minorEastAsia" w:eastAsiaTheme="minorEastAsia"/>
                <w:color w:val="auto"/>
              </w:rPr>
              <w:t>1、</w:t>
            </w:r>
            <w:r>
              <w:rPr>
                <w:rFonts w:hint="eastAsia" w:ascii="宋体"/>
                <w:color w:val="auto"/>
              </w:rPr>
              <w:t>满足《中华人民共和国政府采购法》第二十二条规定。</w:t>
            </w:r>
          </w:p>
          <w:p w14:paraId="2764FC59">
            <w:pPr>
              <w:snapToGrid w:val="0"/>
              <w:spacing w:line="360" w:lineRule="auto"/>
              <w:rPr>
                <w:rFonts w:asciiTheme="minorEastAsia" w:hAnsiTheme="minorEastAsia" w:eastAsiaTheme="minorEastAsia"/>
                <w:color w:val="auto"/>
              </w:rPr>
            </w:pPr>
            <w:r>
              <w:rPr>
                <w:rFonts w:hint="eastAsia" w:ascii="宋体"/>
                <w:color w:val="auto"/>
              </w:rPr>
              <w:t>2、落实政府采购政策需满足的资格要求：</w:t>
            </w:r>
          </w:p>
          <w:p w14:paraId="5360A09E">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1）法人提交法定代表人身份证明原件或者法定代表人授权委托书原件及提供被授权代表人在投标单位或投标单位依法登记的分支机构近三个月内任意一个月的社保证明并附法定代表人身份证明原件，自然人提交身份证复印件；</w:t>
            </w:r>
          </w:p>
          <w:p w14:paraId="0B15B229">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（2）法人提交企业法人营业执照副本(或者法人登记证书)以及组织机构代码证副本复印件；</w:t>
            </w:r>
          </w:p>
          <w:p w14:paraId="506C342D">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（3）依法缴纳税收和社会保险费的证明材料：各提供下列材料之一：</w:t>
            </w:r>
          </w:p>
          <w:p w14:paraId="74D18A22">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①缴纳税收证明资料:《税务登记证》复印件，或者近三个月内任意一个月依法缴纳税收的证明（纳税凭证复印件），或者委托他人缴纳的委托代办协议和近三个月内任意一个月的缴纳证明（收据复印件），或者法定征收机关出具的依法免缴税收的证明原件；</w:t>
            </w:r>
          </w:p>
          <w:p w14:paraId="22F4A956">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②缴纳社会保险证明资料：《社会保险登记证》复印件，或者近三个月内任意一个月依法缴纳社会保险的证明复印件，或者委托他人缴纳的委托代办协议和近三个月内任意一个月的缴纳证明（收据复印件），或者法定征收机关出具的依法免缴保险费的证明原件；</w:t>
            </w:r>
          </w:p>
          <w:p w14:paraId="430E685B">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4）提供2023年度或2024年度经会计师事务所审计的财务报告复印件（至少包含资产负债表、利润表和现金流量表）；公司成立时间不足一年的，提供银行资信证明；（从每年的1月1日至4月30日，如供应商无法提供上一年度上述资料，则可以再上一年度的上述资料为准，从每年的5月1日开始至12月31日，供应商应当提供上一年度上述资料。）</w:t>
            </w:r>
          </w:p>
          <w:p w14:paraId="77598C85">
            <w:pPr>
              <w:snapToGrid w:val="0"/>
              <w:spacing w:line="360" w:lineRule="auto"/>
              <w:ind w:firstLine="105"/>
              <w:rPr>
                <w:rFonts w:asciiTheme="minorEastAsia" w:hAnsiTheme="minorEastAsia" w:eastAsiaTheme="minorEastAsia"/>
                <w:color w:val="auto"/>
              </w:rPr>
            </w:pPr>
            <w:r>
              <w:rPr>
                <w:rFonts w:hint="eastAsia" w:asciiTheme="minorEastAsia" w:hAnsiTheme="minorEastAsia" w:eastAsiaTheme="minorEastAsia"/>
                <w:color w:val="auto"/>
              </w:rPr>
              <w:t>注：供应商具有实行了“三证合一”或者“多证合一”登记制度改革的新证，视同为持有工商营业执照、组织机构代码证和税务登记证等相关证件，符合基本资格条件的相关条款，未实行登记制度改革的证件在有效期内的继续有效使用。近三个月是指2024年12月至2025年02月。</w:t>
            </w:r>
          </w:p>
          <w:p w14:paraId="64965765">
            <w:pPr>
              <w:snapToGrid w:val="0"/>
              <w:spacing w:line="400" w:lineRule="exact"/>
              <w:rPr>
                <w:rFonts w:ascii="宋体"/>
                <w:color w:val="auto"/>
              </w:rPr>
            </w:pPr>
            <w:r>
              <w:rPr>
                <w:rFonts w:hint="eastAsia" w:ascii="宋体"/>
                <w:color w:val="auto"/>
                <w:szCs w:val="21"/>
              </w:rPr>
              <w:t>(5)根据长沙市财政局《关于政府采购促进中小企业发展若干措施的通知》（长财采购</w:t>
            </w:r>
            <w:r>
              <w:rPr>
                <w:rFonts w:ascii="宋体"/>
                <w:color w:val="auto"/>
                <w:szCs w:val="21"/>
              </w:rPr>
              <w:t>[2022]10</w:t>
            </w:r>
            <w:r>
              <w:rPr>
                <w:rFonts w:hint="eastAsia" w:ascii="宋体"/>
                <w:color w:val="auto"/>
                <w:szCs w:val="21"/>
              </w:rPr>
              <w:t>号）文件精神，供应商凭《湖南省政府采购供应商资格承诺函》（格式详见响应文件格式）参与政府采购活动，无需提供财务状况报告、依法缴纳税收和社会保障资金的相关文件材料、参加政府采购活动前</w:t>
            </w:r>
            <w:r>
              <w:rPr>
                <w:rFonts w:ascii="宋体"/>
                <w:color w:val="auto"/>
                <w:szCs w:val="21"/>
              </w:rPr>
              <w:t>3</w:t>
            </w:r>
            <w:r>
              <w:rPr>
                <w:rFonts w:hint="eastAsia" w:ascii="宋体"/>
                <w:color w:val="auto"/>
                <w:szCs w:val="21"/>
              </w:rPr>
              <w:t>年在经营活动中没有重大违法记录的书面声明</w:t>
            </w:r>
            <w:r>
              <w:rPr>
                <w:rFonts w:hint="eastAsia" w:ascii="宋体"/>
                <w:color w:val="auto"/>
              </w:rPr>
              <w:t>。</w:t>
            </w:r>
          </w:p>
          <w:p w14:paraId="6AF02AEB">
            <w:pPr>
              <w:snapToGrid w:val="0"/>
              <w:spacing w:line="360" w:lineRule="auto"/>
              <w:rPr>
                <w:rFonts w:ascii="宋体"/>
                <w:color w:val="auto"/>
                <w:szCs w:val="22"/>
              </w:rPr>
            </w:pPr>
            <w:r>
              <w:rPr>
                <w:rFonts w:hint="eastAsia" w:ascii="宋体"/>
                <w:color w:val="auto"/>
                <w:szCs w:val="22"/>
              </w:rPr>
              <w:t>（6）关于政府采购促进中小企业发展相关规定：</w:t>
            </w:r>
          </w:p>
          <w:p w14:paraId="108D04B7">
            <w:pPr>
              <w:snapToGrid w:val="0"/>
              <w:spacing w:line="360" w:lineRule="auto"/>
              <w:rPr>
                <w:rFonts w:ascii="宋体"/>
                <w:color w:val="auto"/>
                <w:szCs w:val="22"/>
              </w:rPr>
            </w:pPr>
            <w:r>
              <w:rPr>
                <w:rFonts w:hint="eastAsia" w:ascii="宋体"/>
                <w:color w:val="auto"/>
                <w:szCs w:val="22"/>
              </w:rPr>
              <w:t>①关于政府采购促进中小企业发展相关规定：根据《政府采购促进中小企业发展管理办法》（财库﹝2020﹞46号）文件规定，</w:t>
            </w:r>
            <w:r>
              <w:rPr>
                <w:rFonts w:hint="eastAsia" w:ascii="宋体"/>
                <w:b/>
                <w:color w:val="auto"/>
                <w:szCs w:val="22"/>
              </w:rPr>
              <w:t>本项目为专门面向中小企业采购项目</w:t>
            </w:r>
            <w:r>
              <w:rPr>
                <w:rFonts w:hint="eastAsia" w:ascii="宋体"/>
                <w:color w:val="auto"/>
                <w:szCs w:val="22"/>
              </w:rPr>
              <w:t>，采购标的所属行业为“</w:t>
            </w:r>
            <w:r>
              <w:rPr>
                <w:rFonts w:hint="eastAsia" w:ascii="宋体"/>
                <w:b/>
                <w:bCs/>
                <w:color w:val="auto"/>
                <w:szCs w:val="22"/>
              </w:rPr>
              <w:t>建筑业</w:t>
            </w:r>
            <w:r>
              <w:rPr>
                <w:rFonts w:hint="eastAsia" w:ascii="宋体"/>
                <w:color w:val="auto"/>
                <w:szCs w:val="22"/>
              </w:rPr>
              <w:t>”，各供应商应按政府采购促进中小企业发展相关规定及采购文件的响应文件组成中的“《中小企业声明函》”格式填写并在响应文件中提供《中小企业声明函》，否则视为无效响应。</w:t>
            </w:r>
          </w:p>
          <w:p w14:paraId="2D74108F">
            <w:pPr>
              <w:snapToGrid w:val="0"/>
              <w:spacing w:line="360" w:lineRule="auto"/>
              <w:ind w:firstLine="420" w:firstLineChars="200"/>
              <w:rPr>
                <w:rFonts w:ascii="宋体"/>
                <w:color w:val="auto"/>
                <w:szCs w:val="22"/>
              </w:rPr>
            </w:pPr>
            <w:r>
              <w:rPr>
                <w:rFonts w:hint="eastAsia" w:ascii="宋体"/>
                <w:color w:val="auto"/>
                <w:szCs w:val="22"/>
              </w:rPr>
              <w:t>②如供应商提供的《中小企业声明函》内容不实的，属于提供虚假材料谋取成交，依照《中华人民共和国政府采购法》等国家有关规定追究相应责任。</w:t>
            </w:r>
          </w:p>
          <w:p w14:paraId="7EDF6DFF">
            <w:pPr>
              <w:numPr>
                <w:ilvl w:val="0"/>
                <w:numId w:val="2"/>
              </w:num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供应商特定资格条件： </w:t>
            </w:r>
          </w:p>
          <w:p w14:paraId="401F6C4A">
            <w:pPr>
              <w:numPr>
                <w:ilvl w:val="0"/>
                <w:numId w:val="3"/>
              </w:numPr>
              <w:snapToGrid w:val="0"/>
              <w:spacing w:line="360" w:lineRule="auto"/>
              <w:rPr>
                <w:rFonts w:ascii="Arail" w:hAnsi="宋体" w:cs="宋体"/>
                <w:b/>
                <w:bCs/>
                <w:color w:val="auto"/>
                <w:kern w:val="2"/>
                <w:szCs w:val="24"/>
              </w:rPr>
            </w:pPr>
            <w:r>
              <w:rPr>
                <w:rFonts w:hint="eastAsia" w:ascii="Arail" w:hAnsi="宋体" w:cs="宋体"/>
                <w:b/>
                <w:bCs/>
                <w:color w:val="auto"/>
                <w:kern w:val="2"/>
                <w:szCs w:val="24"/>
              </w:rPr>
              <w:t>供应商具备建设行政主管部门颁发的电力工程施工总承包三级（含）及以上资质且安全生产许可证在有效期内和国家能源局（或其派出机构）颁发的“承装（修、试）电力设施许可证”承装、承修和承试五级及以上资质。</w:t>
            </w:r>
          </w:p>
          <w:p w14:paraId="24533607">
            <w:pPr>
              <w:snapToGrid w:val="0"/>
              <w:spacing w:line="360" w:lineRule="auto"/>
              <w:rPr>
                <w:rFonts w:ascii="Arail" w:hAnsi="宋体" w:cs="宋体"/>
                <w:b/>
                <w:bCs/>
                <w:color w:val="auto"/>
                <w:kern w:val="2"/>
                <w:szCs w:val="24"/>
              </w:rPr>
            </w:pPr>
            <w:r>
              <w:rPr>
                <w:rFonts w:hint="eastAsia" w:ascii="Arail" w:hAnsi="宋体" w:cs="宋体"/>
                <w:b/>
                <w:bCs/>
                <w:color w:val="auto"/>
                <w:kern w:val="2"/>
                <w:szCs w:val="24"/>
              </w:rPr>
              <w:t>（2）拟任项目经理具备机电工程专业贰级及以上注册建造师执业资格，具备项目负责人安全生产考核合格证书。</w:t>
            </w:r>
          </w:p>
          <w:p w14:paraId="6FB00CA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4、与采购人存在利害关系可能影响采购公正性的法人、其他组织或者个人，不得参加本项目投标。单位负责人为同一人或者存在控股、管理关系的不同单位，不得同时参加本采购项目的投标。</w:t>
            </w:r>
          </w:p>
          <w:p w14:paraId="0C44BBE2">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5、本次采购不接受联合体投标。</w:t>
            </w:r>
          </w:p>
          <w:p w14:paraId="01F9F5DC">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6、其他说明：</w:t>
            </w:r>
          </w:p>
          <w:p w14:paraId="3BB517D5">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非法人组织需提供的资格证明材料及其他说明。</w:t>
            </w:r>
          </w:p>
          <w:p w14:paraId="4B00199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bCs/>
                <w:color w:val="auto"/>
              </w:rPr>
              <w:t>7</w:t>
            </w:r>
            <w:r>
              <w:rPr>
                <w:rFonts w:hint="eastAsia" w:asciiTheme="minorEastAsia" w:hAnsiTheme="minorEastAsia" w:eastAsiaTheme="minorEastAsia"/>
                <w:color w:val="auto"/>
              </w:rPr>
              <w:t>、</w:t>
            </w:r>
            <w:r>
              <w:rPr>
                <w:rFonts w:hint="eastAsia" w:asciiTheme="minorEastAsia" w:hAnsiTheme="minorEastAsia" w:eastAsiaTheme="minorEastAsia"/>
                <w:b/>
                <w:color w:val="auto"/>
              </w:rPr>
              <w:t>供应商有下列情形之一的，视为无效投标（★）：</w:t>
            </w:r>
          </w:p>
          <w:p w14:paraId="0C654DA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（1）有一项资格证明文件未提交的；</w:t>
            </w:r>
          </w:p>
          <w:p w14:paraId="026EDD62">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（2）提供不符合要求或虚假资格证明文件的；</w:t>
            </w:r>
          </w:p>
          <w:p w14:paraId="00B34D1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（3）资格证明文件过了有效期的；</w:t>
            </w:r>
          </w:p>
        </w:tc>
      </w:tr>
      <w:tr w14:paraId="641078D3">
        <w:tblPrEx>
          <w:tblCellMar>
            <w:top w:w="0" w:type="dxa"/>
            <w:left w:w="0" w:type="dxa"/>
            <w:bottom w:w="0" w:type="dxa"/>
            <w:right w:w="0" w:type="dxa"/>
          </w:tblCellMar>
        </w:tblPrEx>
        <w:trPr>
          <w:trHeight w:val="1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F59232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第二章第6.1款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8A87DA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联合体形式</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841AC3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不接受</w:t>
            </w:r>
          </w:p>
          <w:p w14:paraId="5712F54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接受</w:t>
            </w:r>
          </w:p>
        </w:tc>
      </w:tr>
      <w:tr w14:paraId="603AD78C">
        <w:tblPrEx>
          <w:tblCellMar>
            <w:top w:w="0" w:type="dxa"/>
            <w:left w:w="0" w:type="dxa"/>
            <w:bottom w:w="0" w:type="dxa"/>
            <w:right w:w="0" w:type="dxa"/>
          </w:tblCellMar>
        </w:tblPrEx>
        <w:trPr>
          <w:trHeight w:val="697"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135C65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第二章第6.2款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4DBA04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对联合体各方的要求</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9E8DA4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w:t>
            </w:r>
          </w:p>
        </w:tc>
      </w:tr>
      <w:tr w14:paraId="6D4C1C4D">
        <w:tblPrEx>
          <w:tblCellMar>
            <w:top w:w="0" w:type="dxa"/>
            <w:left w:w="0" w:type="dxa"/>
            <w:bottom w:w="0" w:type="dxa"/>
            <w:right w:w="0" w:type="dxa"/>
          </w:tblCellMar>
        </w:tblPrEx>
        <w:trPr>
          <w:trHeight w:val="1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1A355CB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第二章第7.1款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6995C7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现场勘察</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35F4D5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采购人不组织</w:t>
            </w:r>
          </w:p>
        </w:tc>
      </w:tr>
      <w:tr w14:paraId="68181195">
        <w:tblPrEx>
          <w:tblCellMar>
            <w:top w:w="0" w:type="dxa"/>
            <w:left w:w="0" w:type="dxa"/>
            <w:bottom w:w="0" w:type="dxa"/>
            <w:right w:w="0" w:type="dxa"/>
          </w:tblCellMar>
        </w:tblPrEx>
        <w:trPr>
          <w:trHeight w:val="1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7906FD6">
            <w:pPr>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第二章第8.1款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B52C4F9">
            <w:pPr>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采购进口服务</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10E7D1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■本项目拒绝采购进口服务</w:t>
            </w:r>
          </w:p>
          <w:p w14:paraId="61C830B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□本项目已经财政部门审核同意购买进口服务</w:t>
            </w:r>
          </w:p>
        </w:tc>
      </w:tr>
      <w:tr w14:paraId="63F76779">
        <w:tblPrEx>
          <w:tblCellMar>
            <w:top w:w="0" w:type="dxa"/>
            <w:left w:w="0" w:type="dxa"/>
            <w:bottom w:w="0" w:type="dxa"/>
            <w:right w:w="0" w:type="dxa"/>
          </w:tblCellMar>
        </w:tblPrEx>
        <w:trPr>
          <w:trHeight w:val="1907"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83B9170">
            <w:pPr>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第二章第9.1款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DD9583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政府采购强制采购：</w:t>
            </w:r>
          </w:p>
          <w:p w14:paraId="3CA792D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1、强制采购的节能产品；</w:t>
            </w:r>
          </w:p>
          <w:p w14:paraId="0CAF99C7">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2、其他。</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CD7624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否</w:t>
            </w:r>
          </w:p>
          <w:p w14:paraId="5B0DFEF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是，采购《节能产品政府采购清单》(第    期) 内标记★符号的节能产品。</w:t>
            </w:r>
          </w:p>
        </w:tc>
      </w:tr>
      <w:tr w14:paraId="3094C920">
        <w:tblPrEx>
          <w:tblCellMar>
            <w:top w:w="0" w:type="dxa"/>
            <w:left w:w="0" w:type="dxa"/>
            <w:bottom w:w="0" w:type="dxa"/>
            <w:right w:w="0" w:type="dxa"/>
          </w:tblCellMar>
        </w:tblPrEx>
        <w:trPr>
          <w:trHeight w:val="814"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BA540DC">
            <w:pPr>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第二章第9.2款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2C92DC3">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政府采购优先采购：</w:t>
            </w:r>
          </w:p>
          <w:p w14:paraId="096A944D">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1、非强制采购的节能产品；</w:t>
            </w:r>
          </w:p>
          <w:p w14:paraId="3A559778">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2、环境标志产品；</w:t>
            </w:r>
          </w:p>
          <w:p w14:paraId="75F62C2B">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3、两型产品；</w:t>
            </w:r>
          </w:p>
          <w:p w14:paraId="71D61BFF">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4、</w:t>
            </w:r>
            <w:r>
              <w:rPr>
                <w:rFonts w:hint="eastAsia" w:asciiTheme="minorEastAsia" w:hAnsiTheme="minorEastAsia" w:eastAsiaTheme="minorEastAsia"/>
                <w:bCs/>
                <w:color w:val="auto"/>
                <w:szCs w:val="21"/>
              </w:rPr>
              <w:t>支持</w:t>
            </w:r>
            <w:r>
              <w:rPr>
                <w:rFonts w:hint="eastAsia" w:asciiTheme="minorEastAsia" w:hAnsiTheme="minorEastAsia" w:eastAsiaTheme="minorEastAsia"/>
                <w:color w:val="auto"/>
                <w:szCs w:val="21"/>
              </w:rPr>
              <w:t>中小企业发展；</w:t>
            </w:r>
          </w:p>
          <w:p w14:paraId="17A1B0F3">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5、其他。</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018426B">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1、采购产品为《节能产品政府采购清单》(最新一期)内非标记★符号的，分别给予技术和价格项标准总分值</w:t>
            </w:r>
            <w:r>
              <w:rPr>
                <w:rFonts w:asciiTheme="minorEastAsia" w:hAnsiTheme="minorEastAsia" w:eastAsiaTheme="minorEastAsia"/>
                <w:color w:val="auto"/>
                <w:szCs w:val="21"/>
                <w:u w:val="single"/>
              </w:rPr>
              <w:t xml:space="preserve"> </w:t>
            </w:r>
            <w:r>
              <w:rPr>
                <w:rFonts w:asciiTheme="minorEastAsia" w:hAnsiTheme="minorEastAsia" w:eastAsiaTheme="minorEastAsia"/>
                <w:color w:val="auto"/>
                <w:szCs w:val="21"/>
              </w:rPr>
              <w:t>4%-8%</w:t>
            </w:r>
            <w:r>
              <w:rPr>
                <w:rFonts w:hint="eastAsia" w:asciiTheme="minorEastAsia" w:hAnsiTheme="minorEastAsia" w:eastAsiaTheme="minorEastAsia"/>
                <w:color w:val="auto"/>
                <w:szCs w:val="21"/>
              </w:rPr>
              <w:t>的加分。本项目具体加分比例分别为</w:t>
            </w:r>
            <w:r>
              <w:rPr>
                <w:rFonts w:asciiTheme="minorEastAsia" w:hAnsiTheme="minorEastAsia" w:eastAsiaTheme="minorEastAsia"/>
                <w:color w:val="auto"/>
                <w:szCs w:val="21"/>
              </w:rPr>
              <w:t xml:space="preserve"> </w:t>
            </w:r>
            <w:r>
              <w:rPr>
                <w:rFonts w:hint="eastAsia" w:asciiTheme="minorEastAsia" w:hAnsiTheme="minorEastAsia" w:eastAsiaTheme="minorEastAsia"/>
                <w:color w:val="auto"/>
                <w:szCs w:val="21"/>
              </w:rPr>
              <w:t>：技术</w:t>
            </w:r>
            <w:r>
              <w:rPr>
                <w:rFonts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u w:val="single"/>
              </w:rPr>
              <w:t>/</w:t>
            </w:r>
            <w:r>
              <w:rPr>
                <w:rFonts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%、价格</w:t>
            </w:r>
            <w:r>
              <w:rPr>
                <w:rFonts w:hint="eastAsia" w:asciiTheme="minorEastAsia" w:hAnsiTheme="minorEastAsia" w:eastAsiaTheme="minorEastAsia"/>
                <w:color w:val="auto"/>
                <w:szCs w:val="21"/>
                <w:u w:val="single"/>
              </w:rPr>
              <w:t>/</w:t>
            </w:r>
            <w:r>
              <w:rPr>
                <w:rFonts w:hint="eastAsia" w:asciiTheme="minorEastAsia" w:hAnsiTheme="minorEastAsia" w:eastAsiaTheme="minorEastAsia"/>
                <w:color w:val="auto"/>
                <w:szCs w:val="21"/>
              </w:rPr>
              <w:t>%。</w:t>
            </w:r>
          </w:p>
          <w:p w14:paraId="0E757F8D">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2、采购产品为《环境标志产品政府采购清单》(最新一期)内的，分别给予技术和价格项标准总分值4%-8%的加分。本项目具体加分比例分别为 ：技术</w:t>
            </w:r>
            <w:r>
              <w:rPr>
                <w:rFonts w:hint="eastAsia"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%、价格</w:t>
            </w:r>
            <w:r>
              <w:rPr>
                <w:rFonts w:hint="eastAsia" w:asciiTheme="minorEastAsia" w:hAnsiTheme="minorEastAsia" w:eastAsiaTheme="minorEastAsia"/>
                <w:color w:val="auto"/>
                <w:szCs w:val="21"/>
                <w:u w:val="single"/>
              </w:rPr>
              <w:t>/</w:t>
            </w:r>
            <w:r>
              <w:rPr>
                <w:rFonts w:hint="eastAsia" w:asciiTheme="minorEastAsia" w:hAnsiTheme="minorEastAsia" w:eastAsiaTheme="minorEastAsia"/>
                <w:color w:val="auto"/>
                <w:szCs w:val="21"/>
              </w:rPr>
              <w:t>%。</w:t>
            </w:r>
          </w:p>
          <w:p w14:paraId="5EF9D1DF">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3、采购产品为《湖南省政府采购两型产品目录》或《长沙市两型产品目录》内的：</w:t>
            </w:r>
          </w:p>
          <w:p w14:paraId="361A0527">
            <w:pPr>
              <w:wordWrap w:val="0"/>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（1）分别给予技术和价格项标准总分值4%-8%的加分，本项目具体加分比例分别为 ：技术</w:t>
            </w:r>
            <w:r>
              <w:rPr>
                <w:rFonts w:hint="eastAsia"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、价格</w:t>
            </w:r>
            <w:r>
              <w:rPr>
                <w:rFonts w:hint="eastAsia" w:asciiTheme="minorEastAsia" w:hAnsiTheme="minorEastAsia" w:eastAsiaTheme="minorEastAsia"/>
                <w:color w:val="auto"/>
                <w:szCs w:val="21"/>
                <w:u w:val="single"/>
              </w:rPr>
              <w:t xml:space="preserve"> / </w:t>
            </w:r>
            <w:r>
              <w:rPr>
                <w:rFonts w:hint="eastAsia" w:asciiTheme="minorEastAsia" w:hAnsiTheme="minorEastAsia" w:eastAsiaTheme="minorEastAsia"/>
                <w:color w:val="auto"/>
                <w:szCs w:val="21"/>
              </w:rPr>
              <w:t xml:space="preserve"> %。</w:t>
            </w:r>
          </w:p>
          <w:p w14:paraId="4E2DD6CD">
            <w:pPr>
              <w:wordWrap w:val="0"/>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（2）对在本地设有生产基地和备品备件库、有售后服务机构和网点的两型产品，给予商务评标总分值4%-8%的加分，本项目具体加分比例为</w:t>
            </w:r>
            <w:r>
              <w:rPr>
                <w:rFonts w:hint="eastAsia" w:asciiTheme="minorEastAsia" w:hAnsiTheme="minorEastAsia" w:eastAsiaTheme="minorEastAsia"/>
                <w:color w:val="auto"/>
                <w:szCs w:val="21"/>
                <w:u w:val="single"/>
              </w:rPr>
              <w:t>/</w:t>
            </w:r>
            <w:r>
              <w:rPr>
                <w:rFonts w:hint="eastAsia" w:asciiTheme="minorEastAsia" w:hAnsiTheme="minorEastAsia" w:eastAsiaTheme="minorEastAsia"/>
                <w:color w:val="auto"/>
                <w:szCs w:val="21"/>
              </w:rPr>
              <w:t>%。</w:t>
            </w:r>
          </w:p>
          <w:p w14:paraId="5D9D26E4">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4、非专门面向中小企业采购，且符合政府采购促进中小企业发展相关规定的：</w:t>
            </w:r>
          </w:p>
          <w:p w14:paraId="35A84652">
            <w:pPr>
              <w:adjustRightInd w:val="0"/>
              <w:snapToGrid w:val="0"/>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（1）给予小型和微型企业产品的价格给予 10%- 20%</w:t>
            </w:r>
            <w:r>
              <w:rPr>
                <w:rFonts w:hint="eastAsia" w:asciiTheme="minorEastAsia" w:hAnsiTheme="minorEastAsia" w:eastAsiaTheme="minorEastAsia"/>
                <w:color w:val="auto"/>
              </w:rPr>
              <w:t>（工程项目为3%-5%）</w:t>
            </w:r>
            <w:r>
              <w:rPr>
                <w:rFonts w:hint="eastAsia" w:asciiTheme="minorEastAsia" w:hAnsiTheme="minorEastAsia" w:eastAsiaTheme="minorEastAsia"/>
                <w:color w:val="auto"/>
                <w:szCs w:val="21"/>
              </w:rPr>
              <w:t xml:space="preserve">的扣除，用扣除后的价格参与评审，本项目具体扣除比例为 </w:t>
            </w:r>
            <w:r>
              <w:rPr>
                <w:rFonts w:hint="eastAsia"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w:t>
            </w:r>
          </w:p>
          <w:p w14:paraId="7000F312">
            <w:pPr>
              <w:snapToGrid w:val="0"/>
              <w:spacing w:line="280" w:lineRule="exact"/>
              <w:rPr>
                <w:rFonts w:ascii="宋体"/>
                <w:color w:val="auto"/>
              </w:rPr>
            </w:pPr>
            <w:r>
              <w:rPr>
                <w:rFonts w:hint="eastAsia" w:ascii="宋体"/>
                <w:color w:val="auto"/>
              </w:rPr>
              <w:t>（2）给予联合体2%-3%的价格扣除，用扣除后的价格参与评审，本项目具体扣除比例为</w:t>
            </w:r>
            <w:r>
              <w:rPr>
                <w:rFonts w:hint="eastAsia" w:ascii="宋体"/>
                <w:color w:val="auto"/>
                <w:u w:val="single"/>
              </w:rPr>
              <w:t xml:space="preserve"> / </w:t>
            </w:r>
            <w:r>
              <w:rPr>
                <w:rFonts w:hint="eastAsia" w:ascii="宋体"/>
                <w:color w:val="auto"/>
              </w:rPr>
              <w:t>％。</w:t>
            </w:r>
          </w:p>
          <w:p w14:paraId="3B56C662">
            <w:pPr>
              <w:adjustRightInd w:val="0"/>
              <w:snapToGrid w:val="0"/>
              <w:spacing w:line="360" w:lineRule="auto"/>
              <w:rPr>
                <w:rFonts w:asciiTheme="minorEastAsia" w:hAnsiTheme="minorEastAsia" w:eastAsiaTheme="minorEastAsia"/>
                <w:color w:val="auto"/>
                <w:szCs w:val="21"/>
              </w:rPr>
            </w:pPr>
            <w:r>
              <w:rPr>
                <w:rFonts w:hint="eastAsia" w:ascii="宋体"/>
                <w:color w:val="auto"/>
              </w:rPr>
              <w:t>（3）给予中型企业产品的价格给予3%-5%的扣除，用扣除后的价格参与评审，本项目具体扣除比例为</w:t>
            </w:r>
            <w:r>
              <w:rPr>
                <w:rFonts w:hint="eastAsia" w:ascii="宋体"/>
                <w:color w:val="auto"/>
                <w:u w:val="single"/>
              </w:rPr>
              <w:t xml:space="preserve">  / </w:t>
            </w:r>
            <w:r>
              <w:rPr>
                <w:rFonts w:ascii="宋体"/>
                <w:color w:val="auto"/>
                <w:u w:val="single"/>
              </w:rPr>
              <w:t xml:space="preserve"> </w:t>
            </w:r>
            <w:r>
              <w:rPr>
                <w:rFonts w:hint="eastAsia" w:ascii="宋体"/>
                <w:color w:val="auto"/>
              </w:rPr>
              <w:t>％。</w:t>
            </w:r>
          </w:p>
        </w:tc>
      </w:tr>
      <w:tr w14:paraId="3603229A">
        <w:tblPrEx>
          <w:tblCellMar>
            <w:top w:w="0" w:type="dxa"/>
            <w:left w:w="0" w:type="dxa"/>
            <w:bottom w:w="0" w:type="dxa"/>
            <w:right w:w="0" w:type="dxa"/>
          </w:tblCellMar>
        </w:tblPrEx>
        <w:trPr>
          <w:trHeight w:val="555" w:hRule="atLeast"/>
          <w:jc w:val="center"/>
        </w:trPr>
        <w:tc>
          <w:tcPr>
            <w:tcW w:w="1183" w:type="dxa"/>
            <w:vMerge w:val="restart"/>
            <w:tcBorders>
              <w:top w:val="sing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ABDDE0C">
            <w:pPr>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第二章第9.6款</w:t>
            </w:r>
          </w:p>
        </w:tc>
        <w:tc>
          <w:tcPr>
            <w:tcW w:w="1515" w:type="dxa"/>
            <w:tcBorders>
              <w:top w:val="single" w:color="000000" w:sz="4" w:space="0"/>
              <w:left w:val="single" w:color="000000" w:sz="6" w:space="0"/>
              <w:bottom w:val="single" w:color="000000" w:sz="4" w:space="0"/>
              <w:right w:val="single" w:color="000000" w:sz="6" w:space="0"/>
            </w:tcBorders>
            <w:tcMar>
              <w:top w:w="0" w:type="dxa"/>
              <w:left w:w="108" w:type="dxa"/>
              <w:bottom w:w="0" w:type="dxa"/>
              <w:right w:w="108" w:type="dxa"/>
            </w:tcMar>
            <w:vAlign w:val="center"/>
          </w:tcPr>
          <w:p w14:paraId="272730A6">
            <w:pPr>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政府采购支持中小企业融资</w:t>
            </w:r>
          </w:p>
        </w:tc>
        <w:tc>
          <w:tcPr>
            <w:tcW w:w="6147" w:type="dxa"/>
            <w:tcBorders>
              <w:top w:val="single" w:color="000000" w:sz="4" w:space="0"/>
              <w:left w:val="single" w:color="000000" w:sz="6" w:space="0"/>
              <w:bottom w:val="single" w:color="000000" w:sz="4" w:space="0"/>
              <w:right w:val="double" w:color="000000" w:sz="4" w:space="0"/>
            </w:tcBorders>
            <w:tcMar>
              <w:top w:w="0" w:type="dxa"/>
              <w:left w:w="108" w:type="dxa"/>
              <w:bottom w:w="0" w:type="dxa"/>
              <w:right w:w="108" w:type="dxa"/>
            </w:tcMar>
          </w:tcPr>
          <w:p w14:paraId="3F699D4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有融资需求的，可向本附表附页1所列银行咨询或登陆中国湖南政府采购网查询。</w:t>
            </w:r>
          </w:p>
        </w:tc>
      </w:tr>
      <w:tr w14:paraId="4EBDEB9B">
        <w:tblPrEx>
          <w:tblCellMar>
            <w:top w:w="0" w:type="dxa"/>
            <w:left w:w="0" w:type="dxa"/>
            <w:bottom w:w="0" w:type="dxa"/>
            <w:right w:w="0" w:type="dxa"/>
          </w:tblCellMar>
        </w:tblPrEx>
        <w:trPr>
          <w:trHeight w:val="1117" w:hRule="atLeast"/>
          <w:jc w:val="center"/>
        </w:trPr>
        <w:tc>
          <w:tcPr>
            <w:tcW w:w="1183" w:type="dxa"/>
            <w:vMerge w:val="continue"/>
            <w:tcBorders>
              <w:top w:val="sing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2273FC0">
            <w:pPr>
              <w:snapToGrid w:val="0"/>
              <w:spacing w:line="360" w:lineRule="auto"/>
              <w:rPr>
                <w:rFonts w:asciiTheme="minorEastAsia" w:hAnsiTheme="minorEastAsia" w:eastAsiaTheme="minorEastAsia"/>
                <w:color w:val="auto"/>
              </w:rPr>
            </w:pP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02D5A61">
            <w:pPr>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政府采购信用担保</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5ACF47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有融资担保需求的，可向本附表附页2所列担保机构咨询或登陆中国湖南政府采购网查询。</w:t>
            </w:r>
          </w:p>
        </w:tc>
      </w:tr>
      <w:tr w14:paraId="10C79F26">
        <w:tblPrEx>
          <w:tblCellMar>
            <w:top w:w="0" w:type="dxa"/>
            <w:left w:w="0" w:type="dxa"/>
            <w:bottom w:w="0" w:type="dxa"/>
            <w:right w:w="0" w:type="dxa"/>
          </w:tblCellMar>
        </w:tblPrEx>
        <w:trPr>
          <w:trHeight w:val="3"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65F4F1C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二、磋商文件</w:t>
            </w:r>
          </w:p>
        </w:tc>
      </w:tr>
      <w:tr w14:paraId="6A923073">
        <w:tblPrEx>
          <w:tblCellMar>
            <w:top w:w="0" w:type="dxa"/>
            <w:left w:w="0" w:type="dxa"/>
            <w:bottom w:w="0" w:type="dxa"/>
            <w:right w:w="0" w:type="dxa"/>
          </w:tblCellMar>
        </w:tblPrEx>
        <w:trPr>
          <w:trHeight w:val="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D1BB563">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第二章第10.2款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619790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磋商文件的可能实质性变动内容</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670AE0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szCs w:val="21"/>
              </w:rPr>
              <w:t>采购需求以及合同草案条款</w:t>
            </w:r>
            <w:r>
              <w:rPr>
                <w:rFonts w:hint="eastAsia" w:asciiTheme="minorEastAsia" w:hAnsiTheme="minorEastAsia" w:eastAsiaTheme="minorEastAsia"/>
                <w:bCs/>
                <w:color w:val="auto"/>
                <w:szCs w:val="21"/>
              </w:rPr>
              <w:t>作实质性变动</w:t>
            </w:r>
          </w:p>
        </w:tc>
      </w:tr>
      <w:tr w14:paraId="5D200866">
        <w:tblPrEx>
          <w:tblCellMar>
            <w:top w:w="0" w:type="dxa"/>
            <w:left w:w="0" w:type="dxa"/>
            <w:bottom w:w="0" w:type="dxa"/>
            <w:right w:w="0" w:type="dxa"/>
          </w:tblCellMar>
        </w:tblPrEx>
        <w:trPr>
          <w:trHeight w:val="9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2065318">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第二章第11.1款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ADB1CA9">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提供磋商文件期限</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BF00E44">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u w:val="single"/>
              </w:rPr>
              <w:t>2025年 03月</w:t>
            </w:r>
            <w:r>
              <w:rPr>
                <w:rFonts w:hint="eastAsia" w:asciiTheme="minorEastAsia" w:hAnsiTheme="minorEastAsia" w:eastAsiaTheme="minorEastAsia"/>
                <w:color w:val="auto"/>
                <w:u w:val="single"/>
                <w:lang w:val="en-US" w:eastAsia="zh-CN"/>
              </w:rPr>
              <w:t>20</w:t>
            </w:r>
            <w:r>
              <w:rPr>
                <w:rFonts w:hint="eastAsia" w:asciiTheme="minorEastAsia" w:hAnsiTheme="minorEastAsia" w:eastAsiaTheme="minorEastAsia"/>
                <w:color w:val="auto"/>
                <w:u w:val="single"/>
              </w:rPr>
              <w:t>日起至 2025年03 月</w:t>
            </w:r>
            <w:r>
              <w:rPr>
                <w:rFonts w:hint="eastAsia" w:asciiTheme="minorEastAsia" w:hAnsiTheme="minorEastAsia" w:eastAsiaTheme="minorEastAsia"/>
                <w:color w:val="auto"/>
                <w:u w:val="single"/>
                <w:lang w:val="en-US" w:eastAsia="zh-CN"/>
              </w:rPr>
              <w:t>27</w:t>
            </w:r>
            <w:r>
              <w:rPr>
                <w:rFonts w:hint="eastAsia" w:asciiTheme="minorEastAsia" w:hAnsiTheme="minorEastAsia" w:eastAsiaTheme="minorEastAsia"/>
                <w:color w:val="auto"/>
                <w:u w:val="single"/>
              </w:rPr>
              <w:t>日</w:t>
            </w:r>
          </w:p>
        </w:tc>
      </w:tr>
      <w:tr w14:paraId="1194A677">
        <w:tblPrEx>
          <w:tblCellMar>
            <w:top w:w="0" w:type="dxa"/>
            <w:left w:w="0" w:type="dxa"/>
            <w:bottom w:w="0" w:type="dxa"/>
            <w:right w:w="0" w:type="dxa"/>
          </w:tblCellMar>
        </w:tblPrEx>
        <w:trPr>
          <w:trHeight w:val="3"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F78717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第二章第11.2款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4798280">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领取或购买磋商文件时应提供的资料</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224A65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单位介绍信、法定代表人身份证明或授权委托书(附法定代表人身份证明)、个人身份证原件。</w:t>
            </w:r>
          </w:p>
          <w:p w14:paraId="73217EB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（所有复印件加盖单位公章一套，如未按其要求获取磋商文件，其投标恕不接受）</w:t>
            </w:r>
          </w:p>
        </w:tc>
      </w:tr>
      <w:tr w14:paraId="44080A9B">
        <w:tblPrEx>
          <w:tblCellMar>
            <w:top w:w="0" w:type="dxa"/>
            <w:left w:w="0" w:type="dxa"/>
            <w:bottom w:w="0" w:type="dxa"/>
            <w:right w:w="0" w:type="dxa"/>
          </w:tblCellMar>
        </w:tblPrEx>
        <w:trPr>
          <w:trHeight w:val="705"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40D1B0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第二章第12.1款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6FF675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提交首次响应文件的截止时间</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2D7AF2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u w:val="single"/>
              </w:rPr>
              <w:t>2025年0</w:t>
            </w:r>
            <w:r>
              <w:rPr>
                <w:rFonts w:hint="eastAsia" w:asciiTheme="minorEastAsia" w:hAnsiTheme="minorEastAsia" w:eastAsiaTheme="minorEastAsia"/>
                <w:color w:val="auto"/>
                <w:u w:val="single"/>
                <w:lang w:val="en-US" w:eastAsia="zh-CN"/>
              </w:rPr>
              <w:t>3</w:t>
            </w:r>
            <w:r>
              <w:rPr>
                <w:rFonts w:hint="eastAsia" w:asciiTheme="minorEastAsia" w:hAnsiTheme="minorEastAsia" w:eastAsiaTheme="minorEastAsia"/>
                <w:color w:val="auto"/>
                <w:u w:val="single"/>
              </w:rPr>
              <w:t>月</w:t>
            </w:r>
            <w:r>
              <w:rPr>
                <w:rFonts w:hint="eastAsia" w:asciiTheme="minorEastAsia" w:hAnsiTheme="minorEastAsia" w:eastAsiaTheme="minorEastAsia"/>
                <w:color w:val="auto"/>
                <w:u w:val="single"/>
                <w:lang w:val="en-US" w:eastAsia="zh-CN"/>
              </w:rPr>
              <w:t>31</w:t>
            </w:r>
            <w:r>
              <w:rPr>
                <w:rFonts w:hint="eastAsia" w:asciiTheme="minorEastAsia" w:hAnsiTheme="minorEastAsia" w:eastAsiaTheme="minorEastAsia"/>
                <w:color w:val="auto"/>
                <w:u w:val="single"/>
              </w:rPr>
              <w:t>日</w:t>
            </w:r>
            <w:r>
              <w:rPr>
                <w:rFonts w:hint="eastAsia" w:asciiTheme="minorEastAsia" w:hAnsiTheme="minorEastAsia" w:eastAsiaTheme="minorEastAsia"/>
                <w:color w:val="auto"/>
                <w:u w:val="single"/>
                <w:lang w:val="en-US" w:eastAsia="zh-CN"/>
              </w:rPr>
              <w:t>13</w:t>
            </w:r>
            <w:r>
              <w:rPr>
                <w:rFonts w:hint="eastAsia" w:asciiTheme="minorEastAsia" w:hAnsiTheme="minorEastAsia" w:eastAsiaTheme="minorEastAsia"/>
                <w:color w:val="auto"/>
                <w:u w:val="single"/>
              </w:rPr>
              <w:t>时</w:t>
            </w:r>
            <w:r>
              <w:rPr>
                <w:rFonts w:hint="eastAsia" w:asciiTheme="minorEastAsia" w:hAnsiTheme="minorEastAsia" w:eastAsiaTheme="minorEastAsia"/>
                <w:color w:val="auto"/>
                <w:u w:val="single"/>
                <w:lang w:val="en-US" w:eastAsia="zh-CN"/>
              </w:rPr>
              <w:t>30</w:t>
            </w:r>
            <w:r>
              <w:rPr>
                <w:rFonts w:hint="eastAsia" w:asciiTheme="minorEastAsia" w:hAnsiTheme="minorEastAsia" w:eastAsiaTheme="minorEastAsia"/>
                <w:color w:val="auto"/>
                <w:u w:val="single"/>
              </w:rPr>
              <w:t>分</w:t>
            </w:r>
          </w:p>
        </w:tc>
      </w:tr>
      <w:tr w14:paraId="506B6FA0">
        <w:tblPrEx>
          <w:tblCellMar>
            <w:top w:w="0" w:type="dxa"/>
            <w:left w:w="0" w:type="dxa"/>
            <w:bottom w:w="0" w:type="dxa"/>
            <w:right w:w="0" w:type="dxa"/>
          </w:tblCellMar>
        </w:tblPrEx>
        <w:trPr>
          <w:trHeight w:val="521"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5380236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三、响应文件的编写</w:t>
            </w:r>
          </w:p>
        </w:tc>
      </w:tr>
      <w:tr w14:paraId="00F85642">
        <w:tblPrEx>
          <w:tblCellMar>
            <w:top w:w="0" w:type="dxa"/>
            <w:left w:w="0" w:type="dxa"/>
            <w:bottom w:w="0" w:type="dxa"/>
            <w:right w:w="0" w:type="dxa"/>
          </w:tblCellMar>
        </w:tblPrEx>
        <w:trPr>
          <w:trHeight w:val="478"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736DEF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第二章第16.4款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57CF65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采购项目预算</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7B0EC1F">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采购项目预算：</w:t>
            </w:r>
            <w:bookmarkStart w:id="7" w:name="OLE_LINK5"/>
            <w:r>
              <w:rPr>
                <w:rFonts w:hint="eastAsia" w:asciiTheme="minorEastAsia" w:hAnsiTheme="minorEastAsia" w:eastAsiaTheme="minorEastAsia"/>
                <w:b/>
                <w:color w:val="auto"/>
              </w:rPr>
              <w:t>3270354.45</w:t>
            </w:r>
            <w:bookmarkEnd w:id="7"/>
            <w:r>
              <w:rPr>
                <w:rFonts w:hint="eastAsia" w:asciiTheme="minorEastAsia" w:hAnsiTheme="minorEastAsia" w:eastAsiaTheme="minorEastAsia"/>
                <w:b/>
                <w:color w:val="auto"/>
              </w:rPr>
              <w:t>元；</w:t>
            </w:r>
            <w:r>
              <w:rPr>
                <w:rFonts w:hint="eastAsia" w:cs="宋体" w:asciiTheme="minorEastAsia" w:hAnsiTheme="minorEastAsia" w:eastAsiaTheme="minorEastAsia"/>
                <w:b/>
                <w:bCs/>
                <w:color w:val="auto"/>
              </w:rPr>
              <w:t>最高磋商限价：</w:t>
            </w:r>
            <w:r>
              <w:rPr>
                <w:rFonts w:hint="eastAsia" w:asciiTheme="minorEastAsia" w:hAnsiTheme="minorEastAsia" w:eastAsiaTheme="minorEastAsia"/>
                <w:b/>
                <w:color w:val="auto"/>
              </w:rPr>
              <w:t>3172243.82元；磋商报价</w:t>
            </w:r>
            <w:r>
              <w:rPr>
                <w:rFonts w:hint="eastAsia" w:ascii="宋体"/>
                <w:b/>
                <w:color w:val="auto"/>
              </w:rPr>
              <w:t>（包括首次报价和最后报价）大于最高磋商限价的磋商报价无效</w:t>
            </w:r>
            <w:r>
              <w:rPr>
                <w:rFonts w:hint="eastAsia" w:asciiTheme="minorEastAsia" w:hAnsiTheme="minorEastAsia" w:eastAsiaTheme="minorEastAsia"/>
                <w:b/>
                <w:color w:val="auto"/>
              </w:rPr>
              <w:t>，按不合格供应商处理。</w:t>
            </w:r>
          </w:p>
        </w:tc>
      </w:tr>
      <w:tr w14:paraId="530B5271">
        <w:tblPrEx>
          <w:tblCellMar>
            <w:top w:w="0" w:type="dxa"/>
            <w:left w:w="0" w:type="dxa"/>
            <w:bottom w:w="0" w:type="dxa"/>
            <w:right w:w="0" w:type="dxa"/>
          </w:tblCellMar>
        </w:tblPrEx>
        <w:trPr>
          <w:trHeight w:val="5"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1ABBE59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第二章第17.3款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03BD76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非制造商的证明文件</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BBEF64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不要求提供</w:t>
            </w:r>
          </w:p>
          <w:p w14:paraId="2EC63A8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要求提供：（证明文件复印件须加盖供应商单位公章，否则视为无效响应。）</w:t>
            </w:r>
          </w:p>
          <w:p w14:paraId="140B6AE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经销、或代理投标货物、或为投标货物提供售后服务的证明文件。</w:t>
            </w:r>
          </w:p>
        </w:tc>
      </w:tr>
      <w:tr w14:paraId="13B63045">
        <w:tblPrEx>
          <w:tblCellMar>
            <w:top w:w="0" w:type="dxa"/>
            <w:left w:w="0" w:type="dxa"/>
            <w:bottom w:w="0" w:type="dxa"/>
            <w:right w:w="0" w:type="dxa"/>
          </w:tblCellMar>
        </w:tblPrEx>
        <w:trPr>
          <w:trHeight w:val="5"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45F81C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第二章第18.1款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9B9226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样品提供及样品提交的时间、地点</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87200A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不要求提供</w:t>
            </w:r>
          </w:p>
          <w:p w14:paraId="4480C80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要求提供，提交的样品:/,提交的时间：/、地点: / 。</w:t>
            </w:r>
          </w:p>
        </w:tc>
      </w:tr>
      <w:tr w14:paraId="2EDFE9B8">
        <w:tblPrEx>
          <w:tblCellMar>
            <w:top w:w="0" w:type="dxa"/>
            <w:left w:w="0" w:type="dxa"/>
            <w:bottom w:w="0" w:type="dxa"/>
            <w:right w:w="0" w:type="dxa"/>
          </w:tblCellMar>
        </w:tblPrEx>
        <w:trPr>
          <w:trHeight w:val="865"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80557C8">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第二章第19.1款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9E647DF">
            <w:pPr>
              <w:snapToGrid w:val="0"/>
              <w:spacing w:line="360" w:lineRule="auto"/>
              <w:ind w:left="-533" w:firstLine="533"/>
              <w:jc w:val="center"/>
              <w:rPr>
                <w:rFonts w:asciiTheme="minorEastAsia" w:hAnsiTheme="minorEastAsia" w:eastAsiaTheme="minorEastAsia"/>
                <w:color w:val="auto"/>
              </w:rPr>
            </w:pPr>
            <w:r>
              <w:rPr>
                <w:rFonts w:hint="eastAsia" w:asciiTheme="minorEastAsia" w:hAnsiTheme="minorEastAsia" w:eastAsiaTheme="minorEastAsia"/>
                <w:color w:val="auto"/>
              </w:rPr>
              <w:t>磋商保证金</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F78808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w:t>
            </w:r>
            <w:r>
              <w:rPr>
                <w:rFonts w:hint="eastAsia" w:asciiTheme="minorEastAsia" w:hAnsiTheme="minorEastAsia" w:eastAsiaTheme="minorEastAsia"/>
                <w:bCs/>
                <w:color w:val="auto"/>
                <w:szCs w:val="21"/>
              </w:rPr>
              <w:t>不要求提供，本项目不设投标保证金，采用投标承诺方式。投标承诺格式附后，未提供者响应文件无效。</w:t>
            </w:r>
          </w:p>
          <w:p w14:paraId="7CAAFA1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□要求提供</w:t>
            </w:r>
          </w:p>
          <w:p w14:paraId="4692491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1、保证金数额：</w:t>
            </w:r>
          </w:p>
          <w:p w14:paraId="45BE6FB1">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2、缴纳方式：以银行转账、支票、汇票、本票等形式缴入如下账户，查询已经到账，视为已缴纳。</w:t>
            </w:r>
          </w:p>
          <w:p w14:paraId="52E92947">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磋商保证金汇至：/</w:t>
            </w:r>
          </w:p>
          <w:p w14:paraId="1ADCB77B">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开 户 行：/</w:t>
            </w:r>
          </w:p>
          <w:p w14:paraId="6A5A9073">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银行账号：/</w:t>
            </w:r>
          </w:p>
          <w:p w14:paraId="0588EAF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3、缴纳时间：</w:t>
            </w:r>
            <w:r>
              <w:rPr>
                <w:rFonts w:hint="eastAsia" w:asciiTheme="minorEastAsia" w:hAnsiTheme="minorEastAsia" w:eastAsiaTheme="minorEastAsia"/>
                <w:color w:val="auto"/>
                <w:u w:val="single"/>
              </w:rPr>
              <w:t>/</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 </w:t>
            </w:r>
            <w:r>
              <w:rPr>
                <w:rFonts w:hint="eastAsia" w:asciiTheme="minorEastAsia" w:hAnsiTheme="minorEastAsia" w:eastAsiaTheme="minorEastAsia"/>
                <w:color w:val="auto"/>
              </w:rPr>
              <w:t>日</w:t>
            </w:r>
            <w:r>
              <w:rPr>
                <w:rFonts w:hint="eastAsia" w:asciiTheme="minorEastAsia" w:hAnsiTheme="minorEastAsia" w:eastAsiaTheme="minorEastAsia"/>
                <w:color w:val="auto"/>
                <w:u w:val="single"/>
              </w:rPr>
              <w:t xml:space="preserve"> / </w:t>
            </w:r>
            <w:r>
              <w:rPr>
                <w:rFonts w:hint="eastAsia" w:asciiTheme="minorEastAsia" w:hAnsiTheme="minorEastAsia" w:eastAsiaTheme="minorEastAsia"/>
                <w:color w:val="auto"/>
              </w:rPr>
              <w:t>时</w:t>
            </w:r>
            <w:r>
              <w:rPr>
                <w:rFonts w:hint="eastAsia" w:asciiTheme="minorEastAsia" w:hAnsiTheme="minorEastAsia" w:eastAsiaTheme="minorEastAsia"/>
                <w:color w:val="auto"/>
                <w:u w:val="single"/>
              </w:rPr>
              <w:t xml:space="preserve"> / </w:t>
            </w:r>
            <w:r>
              <w:rPr>
                <w:rFonts w:hint="eastAsia" w:asciiTheme="minorEastAsia" w:hAnsiTheme="minorEastAsia" w:eastAsiaTheme="minorEastAsia"/>
                <w:color w:val="auto"/>
              </w:rPr>
              <w:t>分前(含)，以长沙经济技术开发区管理委员财政局查询到账视为已交纳，否则视为未交纳，其响应文件将被拒绝。</w:t>
            </w:r>
          </w:p>
          <w:p w14:paraId="4592D9B6">
            <w:pPr>
              <w:pStyle w:val="25"/>
              <w:spacing w:line="360" w:lineRule="auto"/>
              <w:ind w:left="0"/>
              <w:rPr>
                <w:rFonts w:asciiTheme="minorEastAsia" w:hAnsiTheme="minorEastAsia" w:eastAsiaTheme="minorEastAsia"/>
                <w:color w:val="auto"/>
                <w:sz w:val="20"/>
              </w:rPr>
            </w:pPr>
            <w:r>
              <w:rPr>
                <w:rFonts w:hint="eastAsia" w:asciiTheme="minorEastAsia" w:hAnsiTheme="minorEastAsia" w:eastAsiaTheme="minorEastAsia"/>
                <w:color w:val="auto"/>
              </w:rPr>
              <w:t>4、未按以上规定缴纳保证金的响应文件无效。</w:t>
            </w:r>
          </w:p>
        </w:tc>
      </w:tr>
      <w:tr w14:paraId="7CE9066F">
        <w:tblPrEx>
          <w:tblCellMar>
            <w:top w:w="0" w:type="dxa"/>
            <w:left w:w="0" w:type="dxa"/>
            <w:bottom w:w="0" w:type="dxa"/>
            <w:right w:w="0" w:type="dxa"/>
          </w:tblCellMar>
        </w:tblPrEx>
        <w:trPr>
          <w:trHeight w:val="42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646AFA0">
            <w:pPr>
              <w:snapToGrid w:val="0"/>
              <w:jc w:val="center"/>
              <w:rPr>
                <w:rFonts w:asciiTheme="minorEastAsia" w:hAnsiTheme="minorEastAsia" w:eastAsiaTheme="minorEastAsia"/>
                <w:color w:val="auto"/>
              </w:rPr>
            </w:pPr>
            <w:r>
              <w:rPr>
                <w:rFonts w:hint="eastAsia" w:asciiTheme="minorEastAsia" w:hAnsiTheme="minorEastAsia" w:eastAsiaTheme="minorEastAsia"/>
                <w:color w:val="auto"/>
              </w:rPr>
              <w:t>第二章第20.1款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A4084B8">
            <w:pPr>
              <w:snapToGrid w:val="0"/>
              <w:jc w:val="center"/>
              <w:rPr>
                <w:rFonts w:asciiTheme="minorEastAsia" w:hAnsiTheme="minorEastAsia" w:eastAsiaTheme="minorEastAsia"/>
                <w:color w:val="auto"/>
              </w:rPr>
            </w:pPr>
            <w:r>
              <w:rPr>
                <w:rFonts w:hint="eastAsia" w:asciiTheme="minorEastAsia" w:hAnsiTheme="minorEastAsia" w:eastAsiaTheme="minorEastAsia"/>
                <w:color w:val="auto"/>
              </w:rPr>
              <w:t>响应文件有效期</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16DD8B1">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 90 日（日历日）</w:t>
            </w:r>
          </w:p>
        </w:tc>
      </w:tr>
      <w:tr w14:paraId="3DE9B7AC">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0F3491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第二章第21.1款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597E0D7">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响应文件副本份数</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F086186">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叁份（壹正贰副）</w:t>
            </w:r>
          </w:p>
          <w:p w14:paraId="5043C36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另须递交与正本内容一致的全套电子响应文件壹份（U盘装载，放于响应文件密封袋内）</w:t>
            </w:r>
          </w:p>
        </w:tc>
      </w:tr>
      <w:tr w14:paraId="3430A766">
        <w:tblPrEx>
          <w:tblCellMar>
            <w:top w:w="0" w:type="dxa"/>
            <w:left w:w="0" w:type="dxa"/>
            <w:bottom w:w="0" w:type="dxa"/>
            <w:right w:w="0" w:type="dxa"/>
          </w:tblCellMar>
        </w:tblPrEx>
        <w:trPr>
          <w:trHeight w:val="202"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7C026CD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四、响应文件的递交</w:t>
            </w:r>
          </w:p>
        </w:tc>
      </w:tr>
      <w:tr w14:paraId="13A59AA3">
        <w:tblPrEx>
          <w:tblCellMar>
            <w:top w:w="0" w:type="dxa"/>
            <w:left w:w="0" w:type="dxa"/>
            <w:bottom w:w="0" w:type="dxa"/>
            <w:right w:w="0" w:type="dxa"/>
          </w:tblCellMar>
        </w:tblPrEx>
        <w:trPr>
          <w:trHeight w:val="28"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25D56B0">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第二章第21.2款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6A691DE">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封套上应载明的信息</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AC5E9D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响应文件</w:t>
            </w:r>
          </w:p>
          <w:p w14:paraId="4C5A9C1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政府采购编号：</w:t>
            </w:r>
          </w:p>
          <w:p w14:paraId="0E36F32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招采备案编号：</w:t>
            </w:r>
          </w:p>
          <w:p w14:paraId="46A438B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委托代理编号：</w:t>
            </w:r>
          </w:p>
          <w:p w14:paraId="034B1AC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供应商名称：                    </w:t>
            </w:r>
          </w:p>
          <w:p w14:paraId="4F7A6A1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在 年 月   日 时  分之前不得启封</w:t>
            </w:r>
          </w:p>
        </w:tc>
      </w:tr>
      <w:tr w14:paraId="0A9E2AE1">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FE056A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第二章第24.1款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2CD2C57">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响应文件的递交地点</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4959E0C">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长沙经济技术开发区管委会综合楼10楼开评标室（长沙经济技术开发区三一路2号）</w:t>
            </w:r>
          </w:p>
        </w:tc>
      </w:tr>
      <w:tr w14:paraId="4BA17BBE">
        <w:tblPrEx>
          <w:tblCellMar>
            <w:top w:w="0" w:type="dxa"/>
            <w:left w:w="0" w:type="dxa"/>
            <w:bottom w:w="0" w:type="dxa"/>
            <w:right w:w="0" w:type="dxa"/>
          </w:tblCellMar>
        </w:tblPrEx>
        <w:trPr>
          <w:trHeight w:val="10"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705E198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五、响应文件的磋商与评审</w:t>
            </w:r>
          </w:p>
        </w:tc>
      </w:tr>
      <w:tr w14:paraId="063D23C3">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AF63C3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第二章第31.2款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A09882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评审因素和标准</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5D47572">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见附页4</w:t>
            </w:r>
          </w:p>
        </w:tc>
      </w:tr>
      <w:tr w14:paraId="757E88BB">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4BE5C98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第二章第31.3款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9A36CF5">
            <w:pPr>
              <w:snapToGrid w:val="0"/>
              <w:spacing w:before="156"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最后报价调整</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A5819E8">
            <w:pPr>
              <w:snapToGrid w:val="0"/>
              <w:spacing w:line="360" w:lineRule="auto"/>
              <w:rPr>
                <w:rFonts w:asciiTheme="minorEastAsia" w:hAnsiTheme="minorEastAsia" w:eastAsiaTheme="minorEastAsia"/>
                <w:color w:val="auto"/>
              </w:rPr>
            </w:pPr>
            <w:r>
              <w:rPr>
                <w:rFonts w:hint="eastAsia" w:ascii="宋体"/>
                <w:color w:val="auto"/>
              </w:rPr>
              <w:t>政府采购支持中小企业发展（货物类供应商和产品制造商应同时满足中小微企业的条件）：小型或微型企业，最后报价扣除比例为</w:t>
            </w:r>
            <w:r>
              <w:rPr>
                <w:rFonts w:hint="eastAsia" w:ascii="宋体"/>
                <w:color w:val="auto"/>
                <w:u w:val="single"/>
              </w:rPr>
              <w:t xml:space="preserve"> / %</w:t>
            </w:r>
            <w:r>
              <w:rPr>
                <w:rFonts w:hint="eastAsia" w:ascii="宋体"/>
                <w:color w:val="auto"/>
              </w:rPr>
              <w:t>；中型企业，最后报价扣除比例为</w:t>
            </w:r>
            <w:r>
              <w:rPr>
                <w:rFonts w:hint="eastAsia" w:ascii="宋体"/>
                <w:color w:val="auto"/>
                <w:u w:val="single"/>
              </w:rPr>
              <w:t xml:space="preserve"> / %</w:t>
            </w:r>
            <w:r>
              <w:rPr>
                <w:rFonts w:hint="eastAsia" w:ascii="宋体"/>
                <w:color w:val="auto"/>
              </w:rPr>
              <w:t>；联合体参与磋商的，最后报价扣除比例为</w:t>
            </w:r>
            <w:r>
              <w:rPr>
                <w:rFonts w:hint="eastAsia" w:ascii="宋体"/>
                <w:color w:val="auto"/>
                <w:u w:val="single"/>
              </w:rPr>
              <w:t xml:space="preserve"> / %</w:t>
            </w:r>
            <w:r>
              <w:rPr>
                <w:rFonts w:hint="eastAsia" w:ascii="宋体"/>
                <w:color w:val="auto"/>
              </w:rPr>
              <w:t>。</w:t>
            </w:r>
            <w:r>
              <w:rPr>
                <w:rFonts w:hint="eastAsia" w:ascii="宋体"/>
                <w:color w:val="auto"/>
                <w:szCs w:val="21"/>
              </w:rPr>
              <w:t>评审时，用扣除后的最后报价计算价格分。</w:t>
            </w:r>
          </w:p>
        </w:tc>
      </w:tr>
      <w:tr w14:paraId="4357DAEB">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BF7164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第二章第31.5款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F157C6B">
            <w:pPr>
              <w:snapToGrid w:val="0"/>
              <w:spacing w:before="156"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技术、商务、价格得分或总得分调整</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6ACCFF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符合第二章第9.1款规定，按第二章第31.6款规定及本款分值调整：</w:t>
            </w:r>
          </w:p>
          <w:p w14:paraId="686F94B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节能产品：</w:t>
            </w:r>
          </w:p>
          <w:p w14:paraId="171AE3B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技术加分＝技术分值× 加分比例（比例见前附表第38.1项,下同）×（节能产品最后报价÷最后总报价）；</w:t>
            </w:r>
          </w:p>
          <w:p w14:paraId="403F0E6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价格加分＝价格分值×加分比例×（节能产品最后报价÷最后总报价）。</w:t>
            </w:r>
          </w:p>
          <w:p w14:paraId="31DB68E7">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2、环境标志产品：</w:t>
            </w:r>
          </w:p>
          <w:p w14:paraId="528C25B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技术加分＝技术分值× 加分比例×（环境标志产品最后报价÷最后总报价）；</w:t>
            </w:r>
          </w:p>
          <w:p w14:paraId="436D4E17">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价格加分＝价格分值×加分比例×（环境标志产品最后报价÷最后总报价）。</w:t>
            </w:r>
          </w:p>
          <w:p w14:paraId="30D86E9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3、两型产品：</w:t>
            </w:r>
          </w:p>
          <w:p w14:paraId="5DD42B0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商务加分＝商务分值×加分比例×（两型产品最后报价÷最后总报价）；</w:t>
            </w:r>
          </w:p>
          <w:p w14:paraId="5B0044E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技术加分＝技术分值×加分比例×（两型产品最后报价÷最后总报价）；</w:t>
            </w:r>
          </w:p>
          <w:p w14:paraId="4E843AE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价格加分＝价格分值×加分比例×（两型产品最后报价÷最后总报价）。</w:t>
            </w:r>
          </w:p>
        </w:tc>
      </w:tr>
      <w:tr w14:paraId="6D3E6608">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704D4D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第二章第31.6款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A747904">
            <w:pPr>
              <w:snapToGrid w:val="0"/>
              <w:spacing w:before="50"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多处或部分获得政府采购政策优惠的计算方法</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D47777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1、符合政府采购优先采购政策的，产品只能享受节能产品、环境标志产品、两型产品等产品优惠中的一项(由供应商在响应文件中选择并填报政策功能编码，评审时进行加分) 。</w:t>
            </w:r>
          </w:p>
          <w:p w14:paraId="6661EC88">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2、供应商享受支持中小企业发展政策优惠的，可以与同时享受节能产品、环境标志产品、两型产品等产品优惠中的一项累加。</w:t>
            </w:r>
          </w:p>
          <w:p w14:paraId="7E2797C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3、同一项目中部分产品属于优先采购政策的，评审时只对该部分产品的报价实行价格扣除或加分（按该部分产品的报价占总报价的百分比调整）。</w:t>
            </w:r>
          </w:p>
        </w:tc>
      </w:tr>
      <w:tr w14:paraId="2689237A">
        <w:tblPrEx>
          <w:tblCellMar>
            <w:top w:w="0" w:type="dxa"/>
            <w:left w:w="0" w:type="dxa"/>
            <w:bottom w:w="0" w:type="dxa"/>
            <w:right w:w="0" w:type="dxa"/>
          </w:tblCellMar>
        </w:tblPrEx>
        <w:trPr>
          <w:trHeight w:val="532"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36F0ECB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六、成交结果信息公布与授予合同</w:t>
            </w:r>
          </w:p>
        </w:tc>
      </w:tr>
      <w:tr w14:paraId="58B0A2A0">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0E79A3E">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第二章第37.1款、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BA3794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财政部门指定的媒体</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ABF0FE6">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《长沙政府采购网》</w:t>
            </w:r>
            <w:r>
              <w:rPr>
                <w:color w:val="auto"/>
              </w:rPr>
              <w:fldChar w:fldCharType="begin"/>
            </w:r>
            <w:r>
              <w:rPr>
                <w:color w:val="auto"/>
              </w:rPr>
              <w:instrText xml:space="preserve"> HYPERLINK "http://changs.ccgp-hunan.gov.cn/" \t "_blank" </w:instrText>
            </w:r>
            <w:r>
              <w:rPr>
                <w:color w:val="auto"/>
              </w:rPr>
              <w:fldChar w:fldCharType="separate"/>
            </w:r>
            <w:r>
              <w:rPr>
                <w:rFonts w:hint="eastAsia" w:asciiTheme="minorEastAsia" w:hAnsiTheme="minorEastAsia" w:eastAsiaTheme="minorEastAsia"/>
                <w:color w:val="auto"/>
              </w:rPr>
              <w:t>（</w:t>
            </w:r>
            <w:r>
              <w:rPr>
                <w:rFonts w:asciiTheme="minorEastAsia" w:hAnsiTheme="minorEastAsia" w:eastAsiaTheme="minorEastAsia"/>
                <w:color w:val="auto"/>
                <w:sz w:val="20"/>
              </w:rPr>
              <w:t xml:space="preserve"> </w:t>
            </w:r>
            <w:r>
              <w:rPr>
                <w:rFonts w:asciiTheme="minorEastAsia" w:hAnsiTheme="minorEastAsia" w:eastAsiaTheme="minorEastAsia"/>
                <w:color w:val="auto"/>
              </w:rPr>
              <w:t>http://changs.ccgp-hunan.gov.cn/</w:t>
            </w:r>
            <w:r>
              <w:rPr>
                <w:rFonts w:hint="eastAsia" w:asciiTheme="minorEastAsia" w:hAnsiTheme="minorEastAsia" w:eastAsiaTheme="minorEastAsia"/>
                <w:color w:val="auto"/>
              </w:rPr>
              <w:t>）</w:t>
            </w:r>
            <w:r>
              <w:rPr>
                <w:rFonts w:hint="eastAsia" w:asciiTheme="minorEastAsia" w:hAnsiTheme="minorEastAsia" w:eastAsiaTheme="minorEastAsia"/>
                <w:color w:val="auto"/>
              </w:rPr>
              <w:fldChar w:fldCharType="end"/>
            </w:r>
          </w:p>
        </w:tc>
      </w:tr>
      <w:tr w14:paraId="0910138F">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9CFD19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第二章第39.3款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16C83D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履约担保</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2996015">
            <w:pPr>
              <w:snapToGrid w:val="0"/>
              <w:spacing w:before="156"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 ■不要求提供</w:t>
            </w:r>
          </w:p>
          <w:p w14:paraId="434EA49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 □要求提供：/。</w:t>
            </w:r>
          </w:p>
        </w:tc>
      </w:tr>
      <w:tr w14:paraId="6FA561C5">
        <w:tblPrEx>
          <w:tblCellMar>
            <w:top w:w="0" w:type="dxa"/>
            <w:left w:w="0" w:type="dxa"/>
            <w:bottom w:w="0" w:type="dxa"/>
            <w:right w:w="0" w:type="dxa"/>
          </w:tblCellMar>
        </w:tblPrEx>
        <w:trPr>
          <w:trHeight w:val="10" w:hRule="atLeast"/>
          <w:jc w:val="center"/>
        </w:trPr>
        <w:tc>
          <w:tcPr>
            <w:tcW w:w="8845" w:type="dxa"/>
            <w:gridSpan w:val="3"/>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5914744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七、其他规定</w:t>
            </w:r>
          </w:p>
        </w:tc>
      </w:tr>
      <w:tr w14:paraId="0B3B3F8D">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0A1662E">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第二章第41.1款</w:t>
            </w:r>
          </w:p>
        </w:tc>
        <w:tc>
          <w:tcPr>
            <w:tcW w:w="1515"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50F423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采购代理</w:t>
            </w:r>
          </w:p>
          <w:p w14:paraId="1D27DBD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服务费</w:t>
            </w:r>
          </w:p>
        </w:tc>
        <w:tc>
          <w:tcPr>
            <w:tcW w:w="6147"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8A61700">
            <w:pPr>
              <w:snapToGrid w:val="0"/>
              <w:spacing w:line="360" w:lineRule="auto"/>
              <w:rPr>
                <w:rFonts w:asciiTheme="minorEastAsia" w:hAnsiTheme="minorEastAsia" w:eastAsiaTheme="minorEastAsia"/>
                <w:color w:val="auto"/>
              </w:rPr>
            </w:pPr>
            <w:bookmarkStart w:id="8" w:name="OLE_LINK2"/>
            <w:r>
              <w:rPr>
                <w:rFonts w:hint="eastAsia" w:asciiTheme="minorEastAsia" w:hAnsiTheme="minorEastAsia" w:eastAsiaTheme="minorEastAsia"/>
                <w:color w:val="auto"/>
              </w:rPr>
              <w:t>1、根据《长沙经济技术开发区管理委员会招标采购项目管理办法（试行）》（长经开管办发〔2021〕30号）的规定，依据代理协议的约定，由采购人向招标代理公司依约支付代理服务费大写金额</w:t>
            </w:r>
            <w:r>
              <w:rPr>
                <w:rFonts w:hint="eastAsia" w:asciiTheme="minorEastAsia" w:hAnsiTheme="minorEastAsia" w:eastAsiaTheme="minorEastAsia"/>
                <w:color w:val="auto"/>
              </w:rPr>
              <w:t>：叁万元整（小写金额：¥30</w:t>
            </w:r>
            <w:r>
              <w:rPr>
                <w:rFonts w:hint="eastAsia" w:asciiTheme="minorEastAsia" w:hAnsiTheme="minorEastAsia" w:eastAsiaTheme="minorEastAsia"/>
                <w:color w:val="auto"/>
                <w:lang w:val="en-US" w:eastAsia="zh-CN"/>
              </w:rPr>
              <w:t>0</w:t>
            </w:r>
            <w:r>
              <w:rPr>
                <w:rFonts w:hint="eastAsia" w:asciiTheme="minorEastAsia" w:hAnsiTheme="minorEastAsia" w:eastAsiaTheme="minorEastAsia"/>
                <w:color w:val="auto"/>
              </w:rPr>
              <w:t>00.00元）。</w:t>
            </w:r>
          </w:p>
          <w:p w14:paraId="42994C94">
            <w:pPr>
              <w:snapToGrid w:val="0"/>
              <w:spacing w:line="360" w:lineRule="auto"/>
              <w:rPr>
                <w:rFonts w:asciiTheme="minorEastAsia" w:hAnsiTheme="minorEastAsia" w:eastAsiaTheme="minorEastAsia"/>
                <w:color w:val="auto"/>
                <w:sz w:val="20"/>
              </w:rPr>
            </w:pPr>
            <w:r>
              <w:rPr>
                <w:rFonts w:hint="eastAsia" w:asciiTheme="minorEastAsia" w:hAnsiTheme="minorEastAsia" w:eastAsiaTheme="minorEastAsia"/>
                <w:color w:val="auto"/>
              </w:rPr>
              <w:t>2、采购人在本项目招标采购备案资料归档完成后向采购代理机构一次性支付代理服务费。</w:t>
            </w:r>
            <w:bookmarkEnd w:id="8"/>
          </w:p>
        </w:tc>
      </w:tr>
      <w:tr w14:paraId="031DCAD6">
        <w:tblPrEx>
          <w:tblCellMar>
            <w:top w:w="0" w:type="dxa"/>
            <w:left w:w="0" w:type="dxa"/>
            <w:bottom w:w="0" w:type="dxa"/>
            <w:right w:w="0" w:type="dxa"/>
          </w:tblCellMar>
        </w:tblPrEx>
        <w:trPr>
          <w:trHeight w:val="10" w:hRule="atLeast"/>
          <w:jc w:val="center"/>
        </w:trPr>
        <w:tc>
          <w:tcPr>
            <w:tcW w:w="1183" w:type="dxa"/>
            <w:tcBorders>
              <w:top w:val="single" w:color="000000" w:sz="6"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1F718FB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第二章第42.1款</w:t>
            </w:r>
          </w:p>
        </w:tc>
        <w:tc>
          <w:tcPr>
            <w:tcW w:w="1515" w:type="dxa"/>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1410944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其他规定</w:t>
            </w:r>
          </w:p>
        </w:tc>
        <w:tc>
          <w:tcPr>
            <w:tcW w:w="6147" w:type="dxa"/>
            <w:tcBorders>
              <w:top w:val="single" w:color="000000" w:sz="6"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4AB61530">
            <w:pPr>
              <w:snapToGrid w:val="0"/>
              <w:spacing w:line="360" w:lineRule="exact"/>
              <w:rPr>
                <w:rFonts w:ascii="宋体" w:hAnsi="宋体" w:cs="宋体"/>
                <w:color w:val="auto"/>
                <w:szCs w:val="21"/>
              </w:rPr>
            </w:pPr>
            <w:r>
              <w:rPr>
                <w:rFonts w:hint="eastAsia" w:ascii="宋体" w:hAnsi="宋体" w:cs="宋体"/>
                <w:color w:val="auto"/>
                <w:szCs w:val="21"/>
              </w:rPr>
              <w:t>1、根据《长沙经开区领导干部“三零”廉洁承诺实施办法》（长经开工发[2023]26号）的有关规定，长沙经开区管委会机关全体副科级以上负责干部；集团公司、城建公司班子成员及其内设机构、全资(控股)公司主要负责人。实施投标零参与，本人不得利用职权或职务影响力，为亲友投标或承接本园区政府购买服务项目提供便利;本人配偶、子女及其配偶经商办企业的(含注册个体工商户、个人独资企业或合伙企业，投资非上市企业，在本园区外注册公司后回本园区内从事经营活动，受聘担任私营经济组织高级职务，在外商独资企业或者中外合资企业担任由外方委派、聘任的高级职务等情况)，该企业不得参与(含委托等变相参与)本园区政府投资项目投标;本人及其配偶、子女及其配偶不得参与竞拍、承租(含以他人名义承租等变相承租)本园区直属企业管理资产。</w:t>
            </w:r>
          </w:p>
          <w:p w14:paraId="5BD68CA4">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2、列入失信被执行人、重大税收违法案件当事人名单、政府采购严重违法失信行为记录名单的供应商，应当拒绝其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F94ACB3">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（1）信用信息查询的查询渠道：“信用中国”网站（www.creditchina.gov.cn）、中国政府采购网（www.ccgp.gov.cn）。</w:t>
            </w:r>
          </w:p>
          <w:p w14:paraId="53884E36">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（2）信用信息查询的截止时点：至本项目投标截止时间止。</w:t>
            </w:r>
          </w:p>
          <w:p w14:paraId="3347E920">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（3）信用信息查询记录的具体方式：采购人或采购代理机构在开标后在规定的查询渠道进行查询。</w:t>
            </w:r>
          </w:p>
          <w:p w14:paraId="5346FBFE">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（4）信用信息查询记录证据留存的具体方式：查询记录的网上打印件。</w:t>
            </w:r>
          </w:p>
          <w:p w14:paraId="3961FD6C">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rPr>
              <w:t>（5）信用信息的使用规则：查询后交由评标委员会评定。</w:t>
            </w:r>
          </w:p>
          <w:p w14:paraId="30C51744">
            <w:pPr>
              <w:pStyle w:val="4"/>
              <w:ind w:left="0"/>
              <w:rPr>
                <w:color w:val="auto"/>
              </w:rPr>
            </w:pPr>
            <w:r>
              <w:rPr>
                <w:rFonts w:hint="eastAsia"/>
                <w:color w:val="auto"/>
              </w:rPr>
              <w:t>备注：本项目意向公开时间为2024年12月26日，意向公开名称为长沙经开区果园江湾学校分布式光伏电站及充电桩项目。</w:t>
            </w:r>
          </w:p>
        </w:tc>
      </w:tr>
    </w:tbl>
    <w:p w14:paraId="5CA7A561">
      <w:pPr>
        <w:spacing w:line="360" w:lineRule="auto"/>
        <w:rPr>
          <w:rFonts w:asciiTheme="minorEastAsia" w:hAnsiTheme="minorEastAsia" w:eastAsiaTheme="minorEastAsia"/>
          <w:color w:val="auto"/>
          <w:sz w:val="24"/>
        </w:rPr>
      </w:pPr>
    </w:p>
    <w:p w14:paraId="088A3CE6">
      <w:pPr>
        <w:pStyle w:val="18"/>
        <w:spacing w:line="360" w:lineRule="auto"/>
        <w:ind w:left="0" w:firstLine="0"/>
        <w:rPr>
          <w:rFonts w:asciiTheme="minorEastAsia" w:hAnsiTheme="minorEastAsia" w:eastAsiaTheme="minorEastAsia"/>
          <w:color w:val="auto"/>
        </w:rPr>
      </w:pPr>
    </w:p>
    <w:p w14:paraId="6220FFB6">
      <w:pPr>
        <w:pStyle w:val="18"/>
        <w:spacing w:line="360" w:lineRule="auto"/>
        <w:ind w:left="0" w:firstLine="0"/>
        <w:rPr>
          <w:rFonts w:asciiTheme="minorEastAsia" w:hAnsiTheme="minorEastAsia" w:eastAsiaTheme="minorEastAsia"/>
          <w:color w:val="auto"/>
        </w:rPr>
      </w:pPr>
    </w:p>
    <w:p w14:paraId="064884C2">
      <w:pPr>
        <w:pStyle w:val="18"/>
        <w:spacing w:line="360" w:lineRule="auto"/>
        <w:ind w:left="0" w:firstLine="0"/>
        <w:rPr>
          <w:rFonts w:asciiTheme="minorEastAsia" w:hAnsiTheme="minorEastAsia" w:eastAsiaTheme="minorEastAsia"/>
          <w:color w:val="auto"/>
        </w:rPr>
        <w:sectPr>
          <w:headerReference r:id="rId3" w:type="default"/>
          <w:footerReference r:id="rId4" w:type="default"/>
          <w:pgSz w:w="11906" w:h="16838"/>
          <w:pgMar w:top="1440" w:right="1531" w:bottom="1440" w:left="1531" w:header="992" w:footer="992" w:gutter="0"/>
          <w:pgNumType w:start="0"/>
          <w:cols w:space="720" w:num="1"/>
          <w:titlePg/>
          <w:docGrid w:type="lines" w:linePitch="312" w:charSpace="0"/>
        </w:sectPr>
      </w:pPr>
    </w:p>
    <w:p w14:paraId="4AFF871F">
      <w:pPr>
        <w:rPr>
          <w:rFonts w:asciiTheme="minorEastAsia" w:hAnsiTheme="minorEastAsia" w:eastAsiaTheme="minorEastAsia"/>
          <w:b/>
          <w:color w:val="auto"/>
        </w:rPr>
      </w:pPr>
      <w:r>
        <w:rPr>
          <w:rFonts w:hint="eastAsia" w:asciiTheme="minorEastAsia" w:hAnsiTheme="minorEastAsia" w:eastAsiaTheme="minorEastAsia"/>
          <w:b/>
          <w:color w:val="auto"/>
        </w:rPr>
        <w:t>附页1</w:t>
      </w:r>
    </w:p>
    <w:p w14:paraId="497CEBE8">
      <w:pPr>
        <w:snapToGrid w:val="0"/>
        <w:spacing w:line="360" w:lineRule="auto"/>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湖南省政府采购支持中小企业融资合作银行及联系人名单</w:t>
      </w:r>
    </w:p>
    <w:tbl>
      <w:tblPr>
        <w:tblStyle w:val="19"/>
        <w:tblW w:w="0" w:type="auto"/>
        <w:tblInd w:w="108" w:type="dxa"/>
        <w:tblLayout w:type="fixed"/>
        <w:tblCellMar>
          <w:top w:w="0" w:type="dxa"/>
          <w:left w:w="0" w:type="dxa"/>
          <w:bottom w:w="0" w:type="dxa"/>
          <w:right w:w="0" w:type="dxa"/>
        </w:tblCellMar>
      </w:tblPr>
      <w:tblGrid>
        <w:gridCol w:w="2700"/>
        <w:gridCol w:w="1080"/>
        <w:gridCol w:w="3060"/>
        <w:gridCol w:w="2340"/>
      </w:tblGrid>
      <w:tr w14:paraId="387D7A85">
        <w:tblPrEx>
          <w:tblCellMar>
            <w:top w:w="0" w:type="dxa"/>
            <w:left w:w="0" w:type="dxa"/>
            <w:bottom w:w="0" w:type="dxa"/>
            <w:right w:w="0" w:type="dxa"/>
          </w:tblCellMar>
        </w:tblPrEx>
        <w:trPr>
          <w:trHeight w:val="300" w:hRule="atLeast"/>
        </w:trPr>
        <w:tc>
          <w:tcPr>
            <w:tcW w:w="2700" w:type="dxa"/>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912E68F">
            <w:pPr>
              <w:snapToGrid w:val="0"/>
              <w:spacing w:before="156"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银行名称</w:t>
            </w:r>
          </w:p>
        </w:tc>
        <w:tc>
          <w:tcPr>
            <w:tcW w:w="1080"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AB03C7D">
            <w:pPr>
              <w:snapToGrid w:val="0"/>
              <w:spacing w:before="156"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联系人</w:t>
            </w:r>
          </w:p>
        </w:tc>
        <w:tc>
          <w:tcPr>
            <w:tcW w:w="3060"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3ECBACD">
            <w:pPr>
              <w:snapToGrid w:val="0"/>
              <w:spacing w:before="156"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职 务</w:t>
            </w:r>
          </w:p>
        </w:tc>
        <w:tc>
          <w:tcPr>
            <w:tcW w:w="2340"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1763901">
            <w:pPr>
              <w:snapToGrid w:val="0"/>
              <w:spacing w:before="156"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联系电话</w:t>
            </w:r>
          </w:p>
        </w:tc>
      </w:tr>
      <w:tr w14:paraId="28BE12C8">
        <w:tblPrEx>
          <w:tblCellMar>
            <w:top w:w="0" w:type="dxa"/>
            <w:left w:w="0" w:type="dxa"/>
            <w:bottom w:w="0" w:type="dxa"/>
            <w:right w:w="0" w:type="dxa"/>
          </w:tblCellMar>
        </w:tblPrEx>
        <w:trPr>
          <w:trHeight w:val="90"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7D875DC">
            <w:pPr>
              <w:widowControl/>
              <w:spacing w:before="100" w:beforeAutospacing="1" w:after="100" w:afterAutospacing="1"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rPr>
              <w:t>交通银行湖南省分行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5C71C60">
            <w:pPr>
              <w:widowControl/>
              <w:spacing w:before="100" w:beforeAutospacing="1" w:after="100" w:afterAutospacing="1"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rPr>
              <w:t>谢俊峰</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8EBDDE4">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湘江中路支行公司</w:t>
            </w:r>
          </w:p>
          <w:p w14:paraId="3DE16E0E">
            <w:pPr>
              <w:widowControl/>
              <w:spacing w:before="100" w:beforeAutospacing="1" w:after="100" w:afterAutospacing="1"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rPr>
              <w:t>业务管理经理</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C41F899">
            <w:pPr>
              <w:widowControl/>
              <w:spacing w:before="100" w:beforeAutospacing="1" w:after="100" w:afterAutospacing="1" w:line="360" w:lineRule="auto"/>
              <w:jc w:val="center"/>
              <w:rPr>
                <w:rFonts w:asciiTheme="minorEastAsia" w:hAnsiTheme="minorEastAsia" w:eastAsiaTheme="minorEastAsia"/>
                <w:color w:val="auto"/>
                <w:sz w:val="24"/>
              </w:rPr>
            </w:pPr>
            <w:r>
              <w:rPr>
                <w:rFonts w:asciiTheme="minorEastAsia" w:hAnsiTheme="minorEastAsia" w:eastAsiaTheme="minorEastAsia"/>
                <w:color w:val="auto"/>
              </w:rPr>
              <w:t>84919503</w:t>
            </w:r>
            <w:r>
              <w:rPr>
                <w:rFonts w:hint="eastAsia" w:asciiTheme="minorEastAsia" w:hAnsiTheme="minorEastAsia" w:eastAsiaTheme="minorEastAsia"/>
                <w:color w:val="auto"/>
              </w:rPr>
              <w:t>；</w:t>
            </w:r>
            <w:r>
              <w:rPr>
                <w:rFonts w:asciiTheme="minorEastAsia" w:hAnsiTheme="minorEastAsia" w:eastAsiaTheme="minorEastAsia"/>
                <w:color w:val="auto"/>
              </w:rPr>
              <w:t>13687320956</w:t>
            </w:r>
          </w:p>
        </w:tc>
      </w:tr>
      <w:tr w14:paraId="7273781F">
        <w:tblPrEx>
          <w:tblCellMar>
            <w:top w:w="0" w:type="dxa"/>
            <w:left w:w="0" w:type="dxa"/>
            <w:bottom w:w="0" w:type="dxa"/>
            <w:right w:w="0" w:type="dxa"/>
          </w:tblCellMar>
        </w:tblPrEx>
        <w:trPr>
          <w:trHeight w:val="180"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88CC703">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光大银行长沙分行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B4163CA">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唐红英</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73123C6">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溁湾支行行长</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8FEA1AE">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89750053</w:t>
            </w:r>
            <w:r>
              <w:rPr>
                <w:rFonts w:hint="eastAsia" w:asciiTheme="minorEastAsia" w:hAnsiTheme="minorEastAsia" w:eastAsiaTheme="minorEastAsia"/>
                <w:color w:val="auto"/>
              </w:rPr>
              <w:t>；</w:t>
            </w:r>
            <w:r>
              <w:rPr>
                <w:rFonts w:asciiTheme="minorEastAsia" w:hAnsiTheme="minorEastAsia" w:eastAsiaTheme="minorEastAsia"/>
                <w:color w:val="auto"/>
              </w:rPr>
              <w:t>18673166920</w:t>
            </w:r>
          </w:p>
        </w:tc>
      </w:tr>
      <w:tr w14:paraId="6DB57A60">
        <w:tblPrEx>
          <w:tblCellMar>
            <w:top w:w="0" w:type="dxa"/>
            <w:left w:w="0" w:type="dxa"/>
            <w:bottom w:w="0" w:type="dxa"/>
            <w:right w:w="0" w:type="dxa"/>
          </w:tblCellMar>
        </w:tblPrEx>
        <w:trPr>
          <w:trHeight w:val="210"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120AF57">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建设银行湖南省分行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39F4D5B">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颜国恒</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ECDD354">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芙蓉中路支行</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862162B">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88665238</w:t>
            </w:r>
            <w:r>
              <w:rPr>
                <w:rFonts w:hint="eastAsia" w:asciiTheme="minorEastAsia" w:hAnsiTheme="minorEastAsia" w:eastAsiaTheme="minorEastAsia"/>
                <w:color w:val="auto"/>
              </w:rPr>
              <w:t>；</w:t>
            </w:r>
            <w:r>
              <w:rPr>
                <w:rFonts w:asciiTheme="minorEastAsia" w:hAnsiTheme="minorEastAsia" w:eastAsiaTheme="minorEastAsia"/>
                <w:color w:val="auto"/>
              </w:rPr>
              <w:t>13574801920</w:t>
            </w:r>
          </w:p>
        </w:tc>
      </w:tr>
      <w:tr w14:paraId="5FAB82F3">
        <w:tblPrEx>
          <w:tblCellMar>
            <w:top w:w="0" w:type="dxa"/>
            <w:left w:w="0" w:type="dxa"/>
            <w:bottom w:w="0" w:type="dxa"/>
            <w:right w:w="0" w:type="dxa"/>
          </w:tblCellMar>
        </w:tblPrEx>
        <w:trPr>
          <w:trHeight w:val="210"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49F72D2">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农业银行湖南省分行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4BD9393">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李宁</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3FA42EF">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天心区支行副行长</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6C96D54">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85114839</w:t>
            </w:r>
            <w:r>
              <w:rPr>
                <w:rFonts w:hint="eastAsia" w:asciiTheme="minorEastAsia" w:hAnsiTheme="minorEastAsia" w:eastAsiaTheme="minorEastAsia"/>
                <w:color w:val="auto"/>
              </w:rPr>
              <w:t>；</w:t>
            </w:r>
            <w:r>
              <w:rPr>
                <w:rFonts w:asciiTheme="minorEastAsia" w:hAnsiTheme="minorEastAsia" w:eastAsiaTheme="minorEastAsia"/>
                <w:color w:val="auto"/>
              </w:rPr>
              <w:t>13975813058</w:t>
            </w:r>
          </w:p>
        </w:tc>
      </w:tr>
      <w:tr w14:paraId="19BD7D3B">
        <w:tblPrEx>
          <w:tblCellMar>
            <w:top w:w="0" w:type="dxa"/>
            <w:left w:w="0" w:type="dxa"/>
            <w:bottom w:w="0" w:type="dxa"/>
            <w:right w:w="0" w:type="dxa"/>
          </w:tblCellMar>
        </w:tblPrEx>
        <w:trPr>
          <w:trHeight w:val="150"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18F921E">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中国银行湖南省分行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39E17FC">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刘毅</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ABCDEE0">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丽臣路支行行长</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85530BF">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82741897</w:t>
            </w:r>
            <w:r>
              <w:rPr>
                <w:rFonts w:hint="eastAsia" w:asciiTheme="minorEastAsia" w:hAnsiTheme="minorEastAsia" w:eastAsiaTheme="minorEastAsia"/>
                <w:color w:val="auto"/>
              </w:rPr>
              <w:t>；</w:t>
            </w:r>
            <w:r>
              <w:rPr>
                <w:rFonts w:asciiTheme="minorEastAsia" w:hAnsiTheme="minorEastAsia" w:eastAsiaTheme="minorEastAsia"/>
                <w:color w:val="auto"/>
              </w:rPr>
              <w:t>138084</w:t>
            </w:r>
            <w:r>
              <w:rPr>
                <w:rFonts w:hint="eastAsia" w:asciiTheme="minorEastAsia" w:hAnsiTheme="minorEastAsia" w:eastAsiaTheme="minorEastAsia"/>
                <w:color w:val="auto"/>
              </w:rPr>
              <w:t>380</w:t>
            </w:r>
            <w:r>
              <w:rPr>
                <w:rFonts w:asciiTheme="minorEastAsia" w:hAnsiTheme="minorEastAsia" w:eastAsiaTheme="minorEastAsia"/>
                <w:color w:val="auto"/>
              </w:rPr>
              <w:t>58</w:t>
            </w:r>
          </w:p>
        </w:tc>
      </w:tr>
      <w:tr w14:paraId="5D0795E2">
        <w:tblPrEx>
          <w:tblCellMar>
            <w:top w:w="0" w:type="dxa"/>
            <w:left w:w="0" w:type="dxa"/>
            <w:bottom w:w="0" w:type="dxa"/>
            <w:right w:w="0" w:type="dxa"/>
          </w:tblCellMar>
        </w:tblPrEx>
        <w:trPr>
          <w:trHeight w:val="285" w:hRule="atLeast"/>
        </w:trPr>
        <w:tc>
          <w:tcPr>
            <w:tcW w:w="270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048CE5C">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长沙银行</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3F49C4F">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廖科</w:t>
            </w:r>
          </w:p>
        </w:tc>
        <w:tc>
          <w:tcPr>
            <w:tcW w:w="306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7F7F987">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金城支行公司业务部总经理</w:t>
            </w:r>
          </w:p>
        </w:tc>
        <w:tc>
          <w:tcPr>
            <w:tcW w:w="234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890070B">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84413595</w:t>
            </w:r>
            <w:r>
              <w:rPr>
                <w:rFonts w:hint="eastAsia" w:asciiTheme="minorEastAsia" w:hAnsiTheme="minorEastAsia" w:eastAsiaTheme="minorEastAsia"/>
                <w:color w:val="auto"/>
              </w:rPr>
              <w:t>；</w:t>
            </w:r>
            <w:r>
              <w:rPr>
                <w:rFonts w:asciiTheme="minorEastAsia" w:hAnsiTheme="minorEastAsia" w:eastAsiaTheme="minorEastAsia"/>
                <w:color w:val="auto"/>
              </w:rPr>
              <w:t>13707319275</w:t>
            </w:r>
          </w:p>
        </w:tc>
      </w:tr>
      <w:tr w14:paraId="2B319050">
        <w:tblPrEx>
          <w:tblCellMar>
            <w:top w:w="0" w:type="dxa"/>
            <w:left w:w="0" w:type="dxa"/>
            <w:bottom w:w="0" w:type="dxa"/>
            <w:right w:w="0" w:type="dxa"/>
          </w:tblCellMar>
        </w:tblPrEx>
        <w:trPr>
          <w:trHeight w:val="225" w:hRule="atLeast"/>
        </w:trPr>
        <w:tc>
          <w:tcPr>
            <w:tcW w:w="2700" w:type="dxa"/>
            <w:tcBorders>
              <w:top w:val="single" w:color="000000" w:sz="6"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0EE3F345">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邮储银行长沙分行</w:t>
            </w:r>
          </w:p>
        </w:tc>
        <w:tc>
          <w:tcPr>
            <w:tcW w:w="1080" w:type="dxa"/>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230D1355">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严春燕</w:t>
            </w:r>
          </w:p>
        </w:tc>
        <w:tc>
          <w:tcPr>
            <w:tcW w:w="3060" w:type="dxa"/>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68031052">
            <w:pPr>
              <w:widowControl/>
              <w:spacing w:before="100" w:beforeAutospacing="1" w:after="100" w:afterAutospacing="1"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岳麓支行副行长</w:t>
            </w:r>
          </w:p>
        </w:tc>
        <w:tc>
          <w:tcPr>
            <w:tcW w:w="2340" w:type="dxa"/>
            <w:tcBorders>
              <w:top w:val="single" w:color="000000" w:sz="6"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13F68ABA">
            <w:pPr>
              <w:widowControl/>
              <w:spacing w:before="100" w:beforeAutospacing="1" w:after="100" w:afterAutospacing="1" w:line="360" w:lineRule="auto"/>
              <w:ind w:firstLine="480"/>
              <w:jc w:val="center"/>
              <w:rPr>
                <w:rFonts w:asciiTheme="minorEastAsia" w:hAnsiTheme="minorEastAsia" w:eastAsiaTheme="minorEastAsia"/>
                <w:color w:val="auto"/>
              </w:rPr>
            </w:pPr>
            <w:r>
              <w:rPr>
                <w:rFonts w:asciiTheme="minorEastAsia" w:hAnsiTheme="minorEastAsia" w:eastAsiaTheme="minorEastAsia"/>
                <w:color w:val="auto"/>
              </w:rPr>
              <w:t>85579459</w:t>
            </w:r>
            <w:r>
              <w:rPr>
                <w:rFonts w:hint="eastAsia" w:asciiTheme="minorEastAsia" w:hAnsiTheme="minorEastAsia" w:eastAsiaTheme="minorEastAsia"/>
                <w:color w:val="auto"/>
              </w:rPr>
              <w:t>；</w:t>
            </w:r>
            <w:r>
              <w:rPr>
                <w:rFonts w:asciiTheme="minorEastAsia" w:hAnsiTheme="minorEastAsia" w:eastAsiaTheme="minorEastAsia"/>
                <w:color w:val="auto"/>
              </w:rPr>
              <w:t>13875864330</w:t>
            </w:r>
          </w:p>
        </w:tc>
      </w:tr>
    </w:tbl>
    <w:p w14:paraId="565FD37C">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附页2</w:t>
      </w:r>
    </w:p>
    <w:p w14:paraId="2768D2D0">
      <w:pPr>
        <w:snapToGrid w:val="0"/>
        <w:spacing w:line="360" w:lineRule="auto"/>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湖南省政府采购信用担保试点工作的信用担保机构名单</w:t>
      </w:r>
    </w:p>
    <w:tbl>
      <w:tblPr>
        <w:tblStyle w:val="19"/>
        <w:tblW w:w="0" w:type="auto"/>
        <w:tblInd w:w="108" w:type="dxa"/>
        <w:tblLayout w:type="fixed"/>
        <w:tblCellMar>
          <w:top w:w="0" w:type="dxa"/>
          <w:left w:w="0" w:type="dxa"/>
          <w:bottom w:w="0" w:type="dxa"/>
          <w:right w:w="0" w:type="dxa"/>
        </w:tblCellMar>
      </w:tblPr>
      <w:tblGrid>
        <w:gridCol w:w="4320"/>
        <w:gridCol w:w="1080"/>
        <w:gridCol w:w="3780"/>
      </w:tblGrid>
      <w:tr w14:paraId="112E859C">
        <w:tblPrEx>
          <w:tblCellMar>
            <w:top w:w="0" w:type="dxa"/>
            <w:left w:w="0" w:type="dxa"/>
            <w:bottom w:w="0" w:type="dxa"/>
            <w:right w:w="0" w:type="dxa"/>
          </w:tblCellMar>
        </w:tblPrEx>
        <w:trPr>
          <w:trHeight w:val="450" w:hRule="atLeast"/>
        </w:trPr>
        <w:tc>
          <w:tcPr>
            <w:tcW w:w="4320" w:type="dxa"/>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E93BA07">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信用担保机构</w:t>
            </w:r>
          </w:p>
        </w:tc>
        <w:tc>
          <w:tcPr>
            <w:tcW w:w="1080"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4010502">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联系人</w:t>
            </w:r>
          </w:p>
        </w:tc>
        <w:tc>
          <w:tcPr>
            <w:tcW w:w="3780"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0A7316C">
            <w:pPr>
              <w:snapToGrid w:val="0"/>
              <w:spacing w:line="360" w:lineRule="auto"/>
              <w:jc w:val="center"/>
              <w:rPr>
                <w:rFonts w:asciiTheme="minorEastAsia" w:hAnsiTheme="minorEastAsia" w:eastAsiaTheme="minorEastAsia"/>
                <w:b/>
                <w:color w:val="auto"/>
              </w:rPr>
            </w:pPr>
            <w:r>
              <w:rPr>
                <w:rFonts w:hint="eastAsia" w:asciiTheme="minorEastAsia" w:hAnsiTheme="minorEastAsia" w:eastAsiaTheme="minorEastAsia"/>
                <w:b/>
                <w:color w:val="auto"/>
              </w:rPr>
              <w:t>联系电话</w:t>
            </w:r>
          </w:p>
        </w:tc>
      </w:tr>
      <w:tr w14:paraId="0F419A3F">
        <w:tblPrEx>
          <w:tblCellMar>
            <w:top w:w="0" w:type="dxa"/>
            <w:left w:w="0" w:type="dxa"/>
            <w:bottom w:w="0" w:type="dxa"/>
            <w:right w:w="0" w:type="dxa"/>
          </w:tblCellMar>
        </w:tblPrEx>
        <w:trPr>
          <w:trHeight w:val="615" w:hRule="atLeast"/>
        </w:trPr>
        <w:tc>
          <w:tcPr>
            <w:tcW w:w="43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423CC045">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中国投资担保公司</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07145CF">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何  嘉</w:t>
            </w:r>
          </w:p>
        </w:tc>
        <w:tc>
          <w:tcPr>
            <w:tcW w:w="378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B9BE66D">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010-88822659/13718642233</w:t>
            </w:r>
          </w:p>
        </w:tc>
      </w:tr>
      <w:tr w14:paraId="08C3E725">
        <w:tblPrEx>
          <w:tblCellMar>
            <w:top w:w="0" w:type="dxa"/>
            <w:left w:w="0" w:type="dxa"/>
            <w:bottom w:w="0" w:type="dxa"/>
            <w:right w:w="0" w:type="dxa"/>
          </w:tblCellMar>
        </w:tblPrEx>
        <w:trPr>
          <w:trHeight w:val="555" w:hRule="atLeast"/>
        </w:trPr>
        <w:tc>
          <w:tcPr>
            <w:tcW w:w="43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D9F6FF1">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湖南省中小企业信用担保有限责任公司</w:t>
            </w:r>
          </w:p>
        </w:tc>
        <w:tc>
          <w:tcPr>
            <w:tcW w:w="108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0C4C68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蔡建雄</w:t>
            </w:r>
          </w:p>
        </w:tc>
        <w:tc>
          <w:tcPr>
            <w:tcW w:w="378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3CB2015">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0731-84172390-201/15573193555</w:t>
            </w:r>
          </w:p>
        </w:tc>
      </w:tr>
      <w:tr w14:paraId="2A57335C">
        <w:tblPrEx>
          <w:tblCellMar>
            <w:top w:w="0" w:type="dxa"/>
            <w:left w:w="0" w:type="dxa"/>
            <w:bottom w:w="0" w:type="dxa"/>
            <w:right w:w="0" w:type="dxa"/>
          </w:tblCellMar>
        </w:tblPrEx>
        <w:trPr>
          <w:trHeight w:val="1198" w:hRule="atLeast"/>
        </w:trPr>
        <w:tc>
          <w:tcPr>
            <w:tcW w:w="4320" w:type="dxa"/>
            <w:tcBorders>
              <w:top w:val="single" w:color="000000" w:sz="6"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4B57D8A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湖南农业信用担保有限公司</w:t>
            </w:r>
          </w:p>
        </w:tc>
        <w:tc>
          <w:tcPr>
            <w:tcW w:w="1080" w:type="dxa"/>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785FDC9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彭  球</w:t>
            </w:r>
          </w:p>
          <w:p w14:paraId="37FE8F4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邓霞英</w:t>
            </w:r>
          </w:p>
        </w:tc>
        <w:tc>
          <w:tcPr>
            <w:tcW w:w="3780" w:type="dxa"/>
            <w:tcBorders>
              <w:top w:val="single" w:color="000000" w:sz="6"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200337B7">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0731-89761702/13875980906 0731-89761706/13574125851</w:t>
            </w:r>
          </w:p>
        </w:tc>
      </w:tr>
    </w:tbl>
    <w:p w14:paraId="27FB4263">
      <w:pPr>
        <w:snapToGrid w:val="0"/>
        <w:spacing w:line="360" w:lineRule="auto"/>
        <w:rPr>
          <w:rFonts w:asciiTheme="minorEastAsia" w:hAnsiTheme="minorEastAsia" w:eastAsiaTheme="minorEastAsia"/>
          <w:b/>
          <w:color w:val="auto"/>
        </w:rPr>
      </w:pPr>
    </w:p>
    <w:p w14:paraId="6A35B553">
      <w:pPr>
        <w:snapToGrid w:val="0"/>
        <w:spacing w:line="360" w:lineRule="auto"/>
        <w:rPr>
          <w:rFonts w:asciiTheme="minorEastAsia" w:hAnsiTheme="minorEastAsia" w:eastAsiaTheme="minorEastAsia"/>
          <w:b/>
          <w:color w:val="auto"/>
        </w:rPr>
      </w:pPr>
    </w:p>
    <w:p w14:paraId="00999D12">
      <w:pPr>
        <w:snapToGrid w:val="0"/>
        <w:spacing w:line="360" w:lineRule="auto"/>
        <w:rPr>
          <w:rFonts w:asciiTheme="minorEastAsia" w:hAnsiTheme="minorEastAsia" w:eastAsiaTheme="minorEastAsia"/>
          <w:b/>
          <w:color w:val="auto"/>
        </w:rPr>
      </w:pPr>
    </w:p>
    <w:p w14:paraId="1A5D08F9">
      <w:pPr>
        <w:rPr>
          <w:rFonts w:asciiTheme="minorEastAsia" w:hAnsiTheme="minorEastAsia" w:eastAsiaTheme="minorEastAsia"/>
          <w:b/>
          <w:color w:val="auto"/>
        </w:rPr>
      </w:pPr>
      <w:r>
        <w:rPr>
          <w:rFonts w:asciiTheme="minorEastAsia" w:hAnsiTheme="minorEastAsia" w:eastAsiaTheme="minorEastAsia"/>
          <w:b/>
          <w:color w:val="auto"/>
        </w:rPr>
        <w:br w:type="page"/>
      </w:r>
    </w:p>
    <w:p w14:paraId="75886EC0">
      <w:pPr>
        <w:snapToGrid w:val="0"/>
        <w:spacing w:line="360" w:lineRule="auto"/>
        <w:rPr>
          <w:rFonts w:ascii="宋体"/>
          <w:b/>
          <w:color w:val="auto"/>
        </w:rPr>
      </w:pPr>
      <w:r>
        <w:rPr>
          <w:rFonts w:hint="eastAsia" w:ascii="宋体"/>
          <w:b/>
          <w:color w:val="auto"/>
        </w:rPr>
        <w:t>附页3</w:t>
      </w:r>
    </w:p>
    <w:p w14:paraId="67B3FE55">
      <w:pPr>
        <w:snapToGrid w:val="0"/>
        <w:spacing w:line="360" w:lineRule="auto"/>
        <w:jc w:val="center"/>
        <w:rPr>
          <w:rFonts w:ascii="宋体"/>
          <w:b/>
          <w:color w:val="auto"/>
          <w:sz w:val="28"/>
        </w:rPr>
      </w:pPr>
      <w:r>
        <w:rPr>
          <w:rFonts w:hint="eastAsia" w:ascii="宋体"/>
          <w:b/>
          <w:color w:val="auto"/>
          <w:sz w:val="28"/>
        </w:rPr>
        <w:t>政府采购履约担保函</w:t>
      </w:r>
    </w:p>
    <w:p w14:paraId="112D1AEB">
      <w:pPr>
        <w:snapToGrid w:val="0"/>
        <w:spacing w:line="360" w:lineRule="auto"/>
        <w:ind w:firstLine="6510"/>
        <w:rPr>
          <w:rFonts w:ascii="宋体"/>
          <w:b/>
          <w:color w:val="auto"/>
        </w:rPr>
      </w:pPr>
      <w:r>
        <w:rPr>
          <w:rFonts w:hint="eastAsia" w:ascii="宋体"/>
          <w:color w:val="auto"/>
        </w:rPr>
        <w:t>编号：</w:t>
      </w:r>
      <w:r>
        <w:rPr>
          <w:rFonts w:hint="eastAsia" w:ascii="宋体"/>
          <w:color w:val="auto"/>
          <w:u w:val="single"/>
        </w:rPr>
        <w:t xml:space="preserve">              </w:t>
      </w:r>
    </w:p>
    <w:p w14:paraId="437AA97C">
      <w:pPr>
        <w:snapToGrid w:val="0"/>
        <w:spacing w:line="360" w:lineRule="auto"/>
        <w:rPr>
          <w:rFonts w:ascii="宋体"/>
          <w:color w:val="auto"/>
        </w:rPr>
      </w:pPr>
      <w:r>
        <w:rPr>
          <w:rFonts w:hint="eastAsia" w:ascii="宋体"/>
          <w:color w:val="auto"/>
        </w:rPr>
        <w:t xml:space="preserve"> </w:t>
      </w:r>
      <w:r>
        <w:rPr>
          <w:rFonts w:hint="eastAsia" w:ascii="宋体"/>
          <w:color w:val="auto"/>
          <w:u w:val="single"/>
        </w:rPr>
        <w:t xml:space="preserve">                     </w:t>
      </w:r>
      <w:r>
        <w:rPr>
          <w:rFonts w:hint="eastAsia" w:ascii="宋体"/>
          <w:color w:val="auto"/>
        </w:rPr>
        <w:t xml:space="preserve">（采购人）： </w:t>
      </w:r>
    </w:p>
    <w:p w14:paraId="2216639B">
      <w:pPr>
        <w:snapToGrid w:val="0"/>
        <w:spacing w:line="360" w:lineRule="auto"/>
        <w:ind w:firstLine="420"/>
        <w:rPr>
          <w:rFonts w:ascii="宋体"/>
          <w:color w:val="auto"/>
        </w:rPr>
      </w:pPr>
      <w:r>
        <w:rPr>
          <w:rFonts w:hint="eastAsia" w:ascii="宋体"/>
          <w:color w:val="auto"/>
        </w:rPr>
        <w:t>鉴于你方与</w:t>
      </w:r>
      <w:r>
        <w:rPr>
          <w:rFonts w:hint="eastAsia" w:ascii="宋体"/>
          <w:color w:val="auto"/>
          <w:u w:val="single"/>
        </w:rPr>
        <w:t xml:space="preserve">                   </w:t>
      </w:r>
      <w:r>
        <w:rPr>
          <w:rFonts w:hint="eastAsia" w:ascii="宋体"/>
          <w:color w:val="auto"/>
        </w:rPr>
        <w:t>（以下简称供应商）于</w:t>
      </w:r>
      <w:r>
        <w:rPr>
          <w:rFonts w:hint="eastAsia" w:ascii="宋体"/>
          <w:color w:val="auto"/>
          <w:u w:val="single"/>
        </w:rPr>
        <w:t xml:space="preserve">     </w:t>
      </w:r>
      <w:r>
        <w:rPr>
          <w:rFonts w:hint="eastAsia" w:ascii="宋体"/>
          <w:color w:val="auto"/>
        </w:rPr>
        <w:t>年</w:t>
      </w:r>
      <w:r>
        <w:rPr>
          <w:rFonts w:hint="eastAsia" w:ascii="宋体"/>
          <w:color w:val="auto"/>
          <w:u w:val="single"/>
        </w:rPr>
        <w:t xml:space="preserve">   </w:t>
      </w:r>
      <w:r>
        <w:rPr>
          <w:rFonts w:hint="eastAsia" w:ascii="宋体"/>
          <w:color w:val="auto"/>
        </w:rPr>
        <w:t>月</w:t>
      </w:r>
      <w:r>
        <w:rPr>
          <w:rFonts w:hint="eastAsia" w:ascii="宋体"/>
          <w:color w:val="auto"/>
          <w:u w:val="single"/>
        </w:rPr>
        <w:t xml:space="preserve">   </w:t>
      </w:r>
      <w:r>
        <w:rPr>
          <w:rFonts w:hint="eastAsia" w:ascii="宋体"/>
          <w:color w:val="auto"/>
        </w:rPr>
        <w:t>日签定编号为</w:t>
      </w:r>
      <w:r>
        <w:rPr>
          <w:rFonts w:hint="eastAsia" w:ascii="宋体"/>
          <w:color w:val="auto"/>
          <w:u w:val="single"/>
        </w:rPr>
        <w:t xml:space="preserve">           </w:t>
      </w:r>
      <w:r>
        <w:rPr>
          <w:rFonts w:hint="eastAsia" w:ascii="宋体"/>
          <w:color w:val="auto"/>
        </w:rPr>
        <w:t>的《</w:t>
      </w:r>
      <w:r>
        <w:rPr>
          <w:rFonts w:hint="eastAsia" w:ascii="宋体"/>
          <w:color w:val="auto"/>
          <w:u w:val="single"/>
        </w:rPr>
        <w:t xml:space="preserve">            </w:t>
      </w:r>
      <w:r>
        <w:rPr>
          <w:rFonts w:hint="eastAsia" w:ascii="宋体"/>
          <w:color w:val="auto"/>
        </w:rPr>
        <w:t>政府采购合同》（以下简称主合同），且依据该合同的约定，供应商应在</w:t>
      </w:r>
      <w:r>
        <w:rPr>
          <w:rFonts w:hint="eastAsia" w:ascii="宋体"/>
          <w:color w:val="auto"/>
          <w:u w:val="single"/>
        </w:rPr>
        <w:t xml:space="preserve">     </w:t>
      </w:r>
      <w:r>
        <w:rPr>
          <w:rFonts w:hint="eastAsia" w:ascii="宋体"/>
          <w:color w:val="auto"/>
        </w:rPr>
        <w:t>年</w:t>
      </w:r>
      <w:r>
        <w:rPr>
          <w:rFonts w:hint="eastAsia" w:ascii="宋体"/>
          <w:color w:val="auto"/>
          <w:u w:val="single"/>
        </w:rPr>
        <w:t xml:space="preserve">   </w:t>
      </w:r>
      <w:r>
        <w:rPr>
          <w:rFonts w:hint="eastAsia" w:ascii="宋体"/>
          <w:color w:val="auto"/>
        </w:rPr>
        <w:t>月</w:t>
      </w:r>
      <w:r>
        <w:rPr>
          <w:rFonts w:hint="eastAsia" w:ascii="宋体"/>
          <w:color w:val="auto"/>
          <w:u w:val="single"/>
        </w:rPr>
        <w:t xml:space="preserve">   </w:t>
      </w:r>
      <w:r>
        <w:rPr>
          <w:rFonts w:hint="eastAsia" w:ascii="宋体"/>
          <w:color w:val="auto"/>
        </w:rPr>
        <w:t>日前向你方交纳履约保证金，且可以履约担保函的形式交纳履约保证金。应供应商的申请，我方以保证的方式向你方提供如下履约保证金担保：</w:t>
      </w:r>
    </w:p>
    <w:p w14:paraId="45B0032D">
      <w:pPr>
        <w:snapToGrid w:val="0"/>
        <w:spacing w:line="360" w:lineRule="auto"/>
        <w:ind w:firstLine="422"/>
        <w:rPr>
          <w:rFonts w:ascii="宋体"/>
          <w:b/>
          <w:color w:val="auto"/>
        </w:rPr>
      </w:pPr>
      <w:r>
        <w:rPr>
          <w:rFonts w:hint="eastAsia" w:ascii="宋体"/>
          <w:b/>
          <w:color w:val="auto"/>
        </w:rPr>
        <w:t>一、保证责任的情形及保证金额</w:t>
      </w:r>
    </w:p>
    <w:p w14:paraId="14405B0B">
      <w:pPr>
        <w:snapToGrid w:val="0"/>
        <w:spacing w:line="360" w:lineRule="auto"/>
        <w:ind w:firstLine="420"/>
        <w:rPr>
          <w:rFonts w:ascii="宋体"/>
          <w:color w:val="auto"/>
        </w:rPr>
      </w:pPr>
      <w:r>
        <w:rPr>
          <w:rFonts w:hint="eastAsia" w:ascii="宋体"/>
          <w:color w:val="auto"/>
        </w:rPr>
        <w:t>（一）在供应商出现下列情形之一时，我方承担保证责任：</w:t>
      </w:r>
    </w:p>
    <w:p w14:paraId="59A95D71">
      <w:pPr>
        <w:snapToGrid w:val="0"/>
        <w:spacing w:line="360" w:lineRule="auto"/>
        <w:ind w:firstLine="420"/>
        <w:rPr>
          <w:rFonts w:ascii="宋体"/>
          <w:color w:val="auto"/>
        </w:rPr>
      </w:pPr>
      <w:r>
        <w:rPr>
          <w:rFonts w:hint="eastAsia" w:ascii="宋体"/>
          <w:color w:val="auto"/>
        </w:rPr>
        <w:t>1．将中标项目转让给他人，或者在磋商文件中未说明，且未经采购人同意，将中标项目分包给他人的；</w:t>
      </w:r>
    </w:p>
    <w:p w14:paraId="38FC5124">
      <w:pPr>
        <w:snapToGrid w:val="0"/>
        <w:spacing w:line="360" w:lineRule="auto"/>
        <w:ind w:firstLine="420"/>
        <w:rPr>
          <w:rFonts w:ascii="宋体"/>
          <w:color w:val="auto"/>
        </w:rPr>
      </w:pPr>
      <w:r>
        <w:rPr>
          <w:rFonts w:hint="eastAsia" w:ascii="宋体"/>
          <w:color w:val="auto"/>
        </w:rPr>
        <w:t xml:space="preserve">2．主合同约定的应当缴纳履约保证金的情形: </w:t>
      </w:r>
    </w:p>
    <w:p w14:paraId="160ECCB6">
      <w:pPr>
        <w:snapToGrid w:val="0"/>
        <w:spacing w:line="360" w:lineRule="auto"/>
        <w:ind w:firstLine="420"/>
        <w:rPr>
          <w:rFonts w:ascii="宋体"/>
          <w:b/>
          <w:color w:val="auto"/>
        </w:rPr>
      </w:pPr>
      <w:r>
        <w:rPr>
          <w:rFonts w:hint="eastAsia" w:ascii="宋体"/>
          <w:color w:val="auto"/>
        </w:rPr>
        <w:t xml:space="preserve">（1）未按主合同约定的质量、数量和期限供应货物/提供服务/完成工程的； </w:t>
      </w:r>
    </w:p>
    <w:p w14:paraId="470456C2">
      <w:pPr>
        <w:snapToGrid w:val="0"/>
        <w:spacing w:line="360" w:lineRule="auto"/>
        <w:ind w:firstLine="420"/>
        <w:rPr>
          <w:rFonts w:ascii="宋体"/>
          <w:color w:val="auto"/>
          <w:u w:val="single"/>
        </w:rPr>
      </w:pPr>
      <w:r>
        <w:rPr>
          <w:rFonts w:hint="eastAsia" w:ascii="宋体"/>
          <w:color w:val="auto"/>
        </w:rPr>
        <w:t>（2）</w:t>
      </w:r>
      <w:r>
        <w:rPr>
          <w:rFonts w:hint="eastAsia" w:ascii="宋体"/>
          <w:color w:val="auto"/>
          <w:u w:val="single"/>
        </w:rPr>
        <w:t xml:space="preserve">                                                  </w:t>
      </w:r>
      <w:r>
        <w:rPr>
          <w:rFonts w:hint="eastAsia" w:ascii="宋体"/>
          <w:color w:val="auto"/>
        </w:rPr>
        <w:t>。</w:t>
      </w:r>
    </w:p>
    <w:p w14:paraId="1544FEAE">
      <w:pPr>
        <w:snapToGrid w:val="0"/>
        <w:spacing w:line="360" w:lineRule="auto"/>
        <w:ind w:firstLine="420"/>
        <w:rPr>
          <w:rFonts w:ascii="宋体"/>
          <w:color w:val="auto"/>
        </w:rPr>
      </w:pPr>
      <w:r>
        <w:rPr>
          <w:rFonts w:hint="eastAsia" w:ascii="宋体"/>
          <w:color w:val="auto"/>
        </w:rPr>
        <w:t>（二）我方的保证范围是主合同约定的合同价款总额的</w:t>
      </w:r>
      <w:r>
        <w:rPr>
          <w:rFonts w:hint="eastAsia" w:ascii="宋体"/>
          <w:color w:val="auto"/>
          <w:u w:val="single"/>
        </w:rPr>
        <w:t xml:space="preserve">   </w:t>
      </w:r>
      <w:r>
        <w:rPr>
          <w:rFonts w:hint="eastAsia" w:ascii="宋体"/>
          <w:color w:val="auto"/>
        </w:rPr>
        <w:t>%数额为</w:t>
      </w:r>
      <w:r>
        <w:rPr>
          <w:rFonts w:hint="eastAsia" w:ascii="宋体"/>
          <w:color w:val="auto"/>
          <w:u w:val="single"/>
        </w:rPr>
        <w:t xml:space="preserve">      </w:t>
      </w:r>
      <w:r>
        <w:rPr>
          <w:rFonts w:hint="eastAsia" w:ascii="宋体"/>
          <w:color w:val="auto"/>
        </w:rPr>
        <w:t>元（大写</w:t>
      </w:r>
      <w:r>
        <w:rPr>
          <w:rFonts w:hint="eastAsia" w:ascii="宋体"/>
          <w:color w:val="auto"/>
          <w:u w:val="single"/>
        </w:rPr>
        <w:t xml:space="preserve">                  </w:t>
      </w:r>
      <w:r>
        <w:rPr>
          <w:rFonts w:hint="eastAsia" w:ascii="宋体"/>
          <w:color w:val="auto"/>
        </w:rPr>
        <w:t>），币种为</w:t>
      </w:r>
      <w:r>
        <w:rPr>
          <w:rFonts w:hint="eastAsia" w:ascii="宋体"/>
          <w:color w:val="auto"/>
          <w:u w:val="single"/>
        </w:rPr>
        <w:t xml:space="preserve">        </w:t>
      </w:r>
      <w:r>
        <w:rPr>
          <w:rFonts w:hint="eastAsia" w:ascii="宋体"/>
          <w:color w:val="auto"/>
        </w:rPr>
        <w:t>。（即主合同履约保证金金额）</w:t>
      </w:r>
    </w:p>
    <w:p w14:paraId="07B8D038">
      <w:pPr>
        <w:snapToGrid w:val="0"/>
        <w:spacing w:line="360" w:lineRule="auto"/>
        <w:ind w:firstLine="422"/>
        <w:rPr>
          <w:rFonts w:ascii="宋体"/>
          <w:b/>
          <w:color w:val="auto"/>
        </w:rPr>
      </w:pPr>
      <w:r>
        <w:rPr>
          <w:rFonts w:hint="eastAsia" w:ascii="宋体"/>
          <w:b/>
          <w:color w:val="auto"/>
        </w:rPr>
        <w:t xml:space="preserve">二、保证的方式及保证期间 </w:t>
      </w:r>
    </w:p>
    <w:p w14:paraId="0601DA3D">
      <w:pPr>
        <w:snapToGrid w:val="0"/>
        <w:spacing w:line="360" w:lineRule="auto"/>
        <w:ind w:firstLine="420"/>
        <w:rPr>
          <w:rFonts w:ascii="宋体"/>
          <w:color w:val="auto"/>
        </w:rPr>
      </w:pPr>
      <w:r>
        <w:rPr>
          <w:rFonts w:hint="eastAsia" w:ascii="宋体"/>
          <w:color w:val="auto"/>
        </w:rPr>
        <w:t xml:space="preserve">我方保证的方式为：连带责任保证。 </w:t>
      </w:r>
    </w:p>
    <w:p w14:paraId="330F2339">
      <w:pPr>
        <w:snapToGrid w:val="0"/>
        <w:spacing w:line="360" w:lineRule="auto"/>
        <w:ind w:firstLine="420"/>
        <w:rPr>
          <w:rFonts w:ascii="宋体"/>
          <w:color w:val="auto"/>
        </w:rPr>
      </w:pPr>
      <w:r>
        <w:rPr>
          <w:rFonts w:hint="eastAsia" w:ascii="宋体"/>
          <w:color w:val="auto"/>
        </w:rPr>
        <w:t>我方保证的期间为：自本合同生效之日起至供应商按照主合同约定的供货/完工期限届满后</w:t>
      </w:r>
      <w:r>
        <w:rPr>
          <w:rFonts w:hint="eastAsia" w:ascii="宋体"/>
          <w:color w:val="auto"/>
          <w:u w:val="single"/>
        </w:rPr>
        <w:t xml:space="preserve">    </w:t>
      </w:r>
      <w:r>
        <w:rPr>
          <w:rFonts w:hint="eastAsia" w:ascii="宋体"/>
          <w:color w:val="auto"/>
        </w:rPr>
        <w:t>日内。</w:t>
      </w:r>
    </w:p>
    <w:p w14:paraId="6F2F9B7F">
      <w:pPr>
        <w:snapToGrid w:val="0"/>
        <w:spacing w:line="360" w:lineRule="auto"/>
        <w:ind w:firstLine="420"/>
        <w:rPr>
          <w:rFonts w:ascii="宋体"/>
          <w:color w:val="auto"/>
        </w:rPr>
      </w:pPr>
      <w:r>
        <w:rPr>
          <w:rFonts w:hint="eastAsia" w:ascii="宋体"/>
          <w:color w:val="auto"/>
        </w:rPr>
        <w:t xml:space="preserve">如果供应商未按主合同约定向贵方供应货物/提供服务/完成工程的，由我方在保证金额内向你方支付上述款项。 </w:t>
      </w:r>
    </w:p>
    <w:p w14:paraId="74496E9D">
      <w:pPr>
        <w:snapToGrid w:val="0"/>
        <w:spacing w:line="360" w:lineRule="auto"/>
        <w:ind w:firstLine="422"/>
        <w:rPr>
          <w:rFonts w:ascii="宋体"/>
          <w:b/>
          <w:color w:val="auto"/>
        </w:rPr>
      </w:pPr>
      <w:r>
        <w:rPr>
          <w:rFonts w:hint="eastAsia" w:ascii="宋体"/>
          <w:b/>
          <w:color w:val="auto"/>
        </w:rPr>
        <w:t>三、承担保证责任的程序</w:t>
      </w:r>
    </w:p>
    <w:p w14:paraId="771E83E2">
      <w:pPr>
        <w:snapToGrid w:val="0"/>
        <w:spacing w:line="360" w:lineRule="auto"/>
        <w:ind w:firstLine="420"/>
        <w:rPr>
          <w:rFonts w:ascii="宋体"/>
          <w:b/>
          <w:color w:val="auto"/>
        </w:rPr>
      </w:pPr>
      <w:r>
        <w:rPr>
          <w:rFonts w:hint="eastAsia" w:ascii="宋体"/>
          <w:color w:val="auto"/>
        </w:rPr>
        <w:t xml:space="preserve">1．你方要求我方承担保证责任的，应在本保函保证期间内向我方发出书面索赔通知。索赔通知应写明要求索赔的金额，支付款项应到达的帐号。并附有证明供应商违约事实的证明材料。 </w:t>
      </w:r>
    </w:p>
    <w:p w14:paraId="307C4571">
      <w:pPr>
        <w:snapToGrid w:val="0"/>
        <w:spacing w:line="360" w:lineRule="auto"/>
        <w:ind w:firstLine="420"/>
        <w:rPr>
          <w:rFonts w:ascii="宋体"/>
          <w:color w:val="auto"/>
        </w:rPr>
      </w:pPr>
      <w:r>
        <w:rPr>
          <w:rFonts w:hint="eastAsia" w:ascii="宋体"/>
          <w:color w:val="auto"/>
        </w:rPr>
        <w:t>如果你方与供应商因货物质量问题产生争议，你方还需同时提供</w:t>
      </w:r>
      <w:r>
        <w:rPr>
          <w:rFonts w:hint="eastAsia" w:ascii="宋体"/>
          <w:color w:val="auto"/>
          <w:u w:val="single"/>
        </w:rPr>
        <w:t xml:space="preserve">        </w:t>
      </w:r>
      <w:r>
        <w:rPr>
          <w:rFonts w:hint="eastAsia" w:ascii="宋体"/>
          <w:color w:val="auto"/>
        </w:rPr>
        <w:t>部门出具的质量检测报告，或经诉讼（仲裁）程序裁决后的裁决书、调解书，本保证人即按照检测结果或裁决书、调解书决定是否承担保证责任。</w:t>
      </w:r>
    </w:p>
    <w:p w14:paraId="74E12A90">
      <w:pPr>
        <w:snapToGrid w:val="0"/>
        <w:spacing w:line="360" w:lineRule="auto"/>
        <w:ind w:firstLine="420"/>
        <w:rPr>
          <w:rFonts w:ascii="宋体"/>
          <w:color w:val="auto"/>
        </w:rPr>
      </w:pPr>
      <w:r>
        <w:rPr>
          <w:rFonts w:hint="eastAsia" w:ascii="宋体"/>
          <w:color w:val="auto"/>
        </w:rPr>
        <w:t>2．我方收到你方的书面索赔通知及相应证明材料，在</w:t>
      </w:r>
      <w:r>
        <w:rPr>
          <w:rFonts w:hint="eastAsia" w:ascii="宋体"/>
          <w:color w:val="auto"/>
          <w:u w:val="single"/>
        </w:rPr>
        <w:t xml:space="preserve">    </w:t>
      </w:r>
      <w:r>
        <w:rPr>
          <w:rFonts w:hint="eastAsia" w:ascii="宋体"/>
          <w:color w:val="auto"/>
        </w:rPr>
        <w:t>工作日内进行核定后按照本保函的承诺承担保证责任。</w:t>
      </w:r>
    </w:p>
    <w:p w14:paraId="251BAD77">
      <w:pPr>
        <w:snapToGrid w:val="0"/>
        <w:spacing w:line="360" w:lineRule="auto"/>
        <w:ind w:firstLine="422"/>
        <w:rPr>
          <w:rFonts w:ascii="宋体"/>
          <w:b/>
          <w:color w:val="auto"/>
        </w:rPr>
      </w:pPr>
      <w:r>
        <w:rPr>
          <w:rFonts w:hint="eastAsia" w:ascii="宋体"/>
          <w:b/>
          <w:color w:val="auto"/>
        </w:rPr>
        <w:t>四、保证责任的终止</w:t>
      </w:r>
    </w:p>
    <w:p w14:paraId="2352AB00">
      <w:pPr>
        <w:snapToGrid w:val="0"/>
        <w:spacing w:line="360" w:lineRule="auto"/>
        <w:ind w:firstLine="420"/>
        <w:rPr>
          <w:rFonts w:ascii="宋体"/>
          <w:color w:val="auto"/>
        </w:rPr>
      </w:pPr>
      <w:r>
        <w:rPr>
          <w:rFonts w:hint="eastAsia" w:ascii="宋体"/>
          <w:color w:val="auto"/>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E39A087">
      <w:pPr>
        <w:snapToGrid w:val="0"/>
        <w:spacing w:line="360" w:lineRule="auto"/>
        <w:ind w:firstLine="420"/>
        <w:rPr>
          <w:rFonts w:ascii="宋体"/>
          <w:color w:val="auto"/>
        </w:rPr>
      </w:pPr>
      <w:r>
        <w:rPr>
          <w:rFonts w:hint="eastAsia" w:ascii="宋体"/>
          <w:color w:val="auto"/>
        </w:rPr>
        <w:t>2．我方按照本保函向你方履行了保证责任后，自我方向你方支付款项（支付款项从我方账户划出）之日起，保证责任即终止。</w:t>
      </w:r>
    </w:p>
    <w:p w14:paraId="19C11377">
      <w:pPr>
        <w:snapToGrid w:val="0"/>
        <w:spacing w:line="360" w:lineRule="auto"/>
        <w:ind w:firstLine="420"/>
        <w:rPr>
          <w:rFonts w:ascii="宋体"/>
          <w:color w:val="auto"/>
        </w:rPr>
      </w:pPr>
      <w:r>
        <w:rPr>
          <w:rFonts w:hint="eastAsia" w:ascii="宋体"/>
          <w:color w:val="auto"/>
        </w:rPr>
        <w:t>3．按照法律法规的规定或出现应终止我方保证责任的其它情形的，我方在本保函项下的保证责任亦终止。</w:t>
      </w:r>
    </w:p>
    <w:p w14:paraId="2E459E1C">
      <w:pPr>
        <w:snapToGrid w:val="0"/>
        <w:spacing w:line="360" w:lineRule="auto"/>
        <w:ind w:firstLine="420"/>
        <w:rPr>
          <w:rFonts w:ascii="宋体"/>
          <w:color w:val="auto"/>
        </w:rPr>
      </w:pPr>
      <w:r>
        <w:rPr>
          <w:rFonts w:hint="eastAsia" w:ascii="宋体"/>
          <w:color w:val="auto"/>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79FAF6C6">
      <w:pPr>
        <w:snapToGrid w:val="0"/>
        <w:spacing w:line="360" w:lineRule="auto"/>
        <w:ind w:firstLine="422"/>
        <w:rPr>
          <w:rFonts w:ascii="宋体"/>
          <w:b/>
          <w:color w:val="auto"/>
        </w:rPr>
      </w:pPr>
      <w:r>
        <w:rPr>
          <w:rFonts w:hint="eastAsia" w:ascii="宋体"/>
          <w:b/>
          <w:color w:val="auto"/>
        </w:rPr>
        <w:t>五、免责条款</w:t>
      </w:r>
    </w:p>
    <w:p w14:paraId="11C8CE95">
      <w:pPr>
        <w:snapToGrid w:val="0"/>
        <w:spacing w:line="360" w:lineRule="auto"/>
        <w:ind w:firstLine="420"/>
        <w:rPr>
          <w:rFonts w:ascii="宋体"/>
          <w:color w:val="auto"/>
        </w:rPr>
      </w:pPr>
      <w:r>
        <w:rPr>
          <w:rFonts w:hint="eastAsia" w:ascii="宋体"/>
          <w:color w:val="auto"/>
        </w:rPr>
        <w:t>1．因你方违反主合同约定致使供应商不能履行义务的，我方不承担保证责任。</w:t>
      </w:r>
    </w:p>
    <w:p w14:paraId="38FC350A">
      <w:pPr>
        <w:snapToGrid w:val="0"/>
        <w:spacing w:line="360" w:lineRule="auto"/>
        <w:ind w:firstLine="420"/>
        <w:rPr>
          <w:rFonts w:ascii="宋体"/>
          <w:b/>
          <w:color w:val="auto"/>
        </w:rPr>
      </w:pPr>
      <w:r>
        <w:rPr>
          <w:rFonts w:hint="eastAsia" w:ascii="宋体"/>
          <w:color w:val="auto"/>
        </w:rPr>
        <w:t>2．依照法律法规的规定或你方与供应商的另行约定，全部或者部分免除供应商应缴纳的保证金义务的，我方亦免除相应的保证责任。</w:t>
      </w:r>
    </w:p>
    <w:p w14:paraId="06C5450F">
      <w:pPr>
        <w:snapToGrid w:val="0"/>
        <w:spacing w:line="360" w:lineRule="auto"/>
        <w:ind w:firstLine="420"/>
        <w:rPr>
          <w:rFonts w:ascii="宋体"/>
          <w:color w:val="auto"/>
        </w:rPr>
      </w:pPr>
      <w:r>
        <w:rPr>
          <w:rFonts w:hint="eastAsia" w:ascii="宋体"/>
          <w:color w:val="auto"/>
        </w:rPr>
        <w:t>3．因不可抗力造成供应商不能履行供货义务的，我方不承担保证责任。</w:t>
      </w:r>
    </w:p>
    <w:p w14:paraId="5CF58CF8">
      <w:pPr>
        <w:snapToGrid w:val="0"/>
        <w:spacing w:line="360" w:lineRule="auto"/>
        <w:ind w:firstLine="422"/>
        <w:rPr>
          <w:rFonts w:ascii="宋体"/>
          <w:b/>
          <w:color w:val="auto"/>
        </w:rPr>
      </w:pPr>
      <w:r>
        <w:rPr>
          <w:rFonts w:hint="eastAsia" w:ascii="宋体"/>
          <w:b/>
          <w:color w:val="auto"/>
        </w:rPr>
        <w:t>六、争议的解决</w:t>
      </w:r>
    </w:p>
    <w:p w14:paraId="4C31FCFB">
      <w:pPr>
        <w:snapToGrid w:val="0"/>
        <w:spacing w:line="360" w:lineRule="auto"/>
        <w:ind w:firstLine="420"/>
        <w:rPr>
          <w:rFonts w:ascii="宋体"/>
          <w:color w:val="auto"/>
        </w:rPr>
      </w:pPr>
      <w:r>
        <w:rPr>
          <w:rFonts w:hint="eastAsia" w:ascii="宋体"/>
          <w:color w:val="auto"/>
        </w:rPr>
        <w:t>因本保函发生的纠纷，由你我双方协商解决，协商不成的，通过诉讼程序解决，诉讼管辖地法院为</w:t>
      </w:r>
      <w:r>
        <w:rPr>
          <w:rFonts w:hint="eastAsia" w:ascii="宋体"/>
          <w:color w:val="auto"/>
          <w:u w:val="single"/>
        </w:rPr>
        <w:t xml:space="preserve">          </w:t>
      </w:r>
      <w:r>
        <w:rPr>
          <w:rFonts w:hint="eastAsia" w:ascii="宋体"/>
          <w:color w:val="auto"/>
        </w:rPr>
        <w:t>法院。</w:t>
      </w:r>
    </w:p>
    <w:p w14:paraId="4C9B40B9">
      <w:pPr>
        <w:snapToGrid w:val="0"/>
        <w:spacing w:line="360" w:lineRule="auto"/>
        <w:ind w:firstLine="422"/>
        <w:rPr>
          <w:rFonts w:ascii="宋体"/>
          <w:b/>
          <w:color w:val="auto"/>
        </w:rPr>
      </w:pPr>
      <w:r>
        <w:rPr>
          <w:rFonts w:hint="eastAsia" w:ascii="宋体"/>
          <w:b/>
          <w:color w:val="auto"/>
        </w:rPr>
        <w:t xml:space="preserve">七、保函的生效 </w:t>
      </w:r>
    </w:p>
    <w:p w14:paraId="30D31F42">
      <w:pPr>
        <w:snapToGrid w:val="0"/>
        <w:spacing w:line="360" w:lineRule="auto"/>
        <w:ind w:firstLine="420"/>
        <w:rPr>
          <w:rFonts w:ascii="宋体"/>
          <w:color w:val="auto"/>
        </w:rPr>
      </w:pPr>
      <w:r>
        <w:rPr>
          <w:rFonts w:hint="eastAsia" w:ascii="宋体"/>
          <w:color w:val="auto"/>
        </w:rPr>
        <w:t xml:space="preserve">本保函自我方加盖公章之日起生效。 </w:t>
      </w:r>
    </w:p>
    <w:p w14:paraId="4310DC77">
      <w:pPr>
        <w:tabs>
          <w:tab w:val="left" w:pos="2850"/>
        </w:tabs>
        <w:snapToGrid w:val="0"/>
        <w:spacing w:line="360" w:lineRule="auto"/>
        <w:rPr>
          <w:rFonts w:ascii="宋体"/>
          <w:color w:val="auto"/>
        </w:rPr>
      </w:pPr>
      <w:r>
        <w:rPr>
          <w:rFonts w:hint="eastAsia" w:ascii="宋体"/>
          <w:color w:val="auto"/>
        </w:rPr>
        <w:t xml:space="preserve"> </w:t>
      </w:r>
      <w:r>
        <w:rPr>
          <w:rFonts w:ascii="宋体"/>
          <w:color w:val="auto"/>
        </w:rPr>
        <w:tab/>
      </w:r>
      <w:r>
        <w:rPr>
          <w:rFonts w:hint="eastAsia" w:ascii="宋体"/>
          <w:color w:val="auto"/>
        </w:rPr>
        <w:t xml:space="preserve">          保证人：（公章） </w:t>
      </w:r>
    </w:p>
    <w:p w14:paraId="1EDD8A02">
      <w:pPr>
        <w:snapToGrid w:val="0"/>
        <w:spacing w:line="360" w:lineRule="auto"/>
        <w:rPr>
          <w:rFonts w:ascii="宋体"/>
          <w:color w:val="auto"/>
        </w:rPr>
      </w:pPr>
      <w:r>
        <w:rPr>
          <w:rFonts w:hint="eastAsia" w:ascii="宋体"/>
          <w:color w:val="auto"/>
        </w:rPr>
        <w:t xml:space="preserve">                                    </w:t>
      </w:r>
      <w:r>
        <w:rPr>
          <w:rFonts w:hint="eastAsia" w:ascii="宋体"/>
          <w:color w:val="auto"/>
          <w:u w:val="single"/>
        </w:rPr>
        <w:t xml:space="preserve">       </w:t>
      </w:r>
      <w:r>
        <w:rPr>
          <w:rFonts w:hint="eastAsia" w:ascii="宋体"/>
          <w:color w:val="auto"/>
        </w:rPr>
        <w:t xml:space="preserve"> 年</w:t>
      </w:r>
      <w:r>
        <w:rPr>
          <w:rFonts w:hint="eastAsia" w:ascii="宋体"/>
          <w:color w:val="auto"/>
          <w:u w:val="single"/>
        </w:rPr>
        <w:t xml:space="preserve">   </w:t>
      </w:r>
      <w:r>
        <w:rPr>
          <w:rFonts w:hint="eastAsia" w:ascii="宋体"/>
          <w:color w:val="auto"/>
        </w:rPr>
        <w:t>月</w:t>
      </w:r>
      <w:r>
        <w:rPr>
          <w:rFonts w:hint="eastAsia" w:ascii="宋体"/>
          <w:color w:val="auto"/>
          <w:u w:val="single"/>
        </w:rPr>
        <w:t xml:space="preserve">  </w:t>
      </w:r>
      <w:r>
        <w:rPr>
          <w:rFonts w:hint="eastAsia" w:ascii="宋体"/>
          <w:color w:val="auto"/>
        </w:rPr>
        <w:t xml:space="preserve"> 日</w:t>
      </w:r>
    </w:p>
    <w:p w14:paraId="0F3B4C8B">
      <w:pPr>
        <w:snapToGrid w:val="0"/>
        <w:rPr>
          <w:rFonts w:ascii="宋体"/>
          <w:color w:val="auto"/>
          <w:sz w:val="20"/>
        </w:rPr>
      </w:pPr>
    </w:p>
    <w:p w14:paraId="389D49DC">
      <w:pPr>
        <w:snapToGrid w:val="0"/>
        <w:ind w:left="2940"/>
        <w:rPr>
          <w:rFonts w:ascii="宋体"/>
          <w:color w:val="auto"/>
          <w:sz w:val="20"/>
        </w:rPr>
      </w:pPr>
    </w:p>
    <w:p w14:paraId="2DADE812">
      <w:pPr>
        <w:rPr>
          <w:color w:val="auto"/>
        </w:rPr>
      </w:pPr>
      <w:r>
        <w:rPr>
          <w:color w:val="auto"/>
        </w:rPr>
        <w:br w:type="page"/>
      </w:r>
    </w:p>
    <w:p w14:paraId="172EBB19">
      <w:pPr>
        <w:pStyle w:val="18"/>
        <w:rPr>
          <w:color w:val="auto"/>
        </w:rPr>
      </w:pPr>
    </w:p>
    <w:p w14:paraId="66C62F67">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附页4</w:t>
      </w:r>
    </w:p>
    <w:p w14:paraId="4C438A8D">
      <w:pPr>
        <w:snapToGrid w:val="0"/>
        <w:spacing w:line="360" w:lineRule="auto"/>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评审因素和标准</w:t>
      </w:r>
    </w:p>
    <w:tbl>
      <w:tblPr>
        <w:tblStyle w:val="19"/>
        <w:tblW w:w="9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188"/>
        <w:gridCol w:w="994"/>
        <w:gridCol w:w="615"/>
        <w:gridCol w:w="7122"/>
      </w:tblGrid>
      <w:tr w14:paraId="03298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2797" w:type="dxa"/>
            <w:gridSpan w:val="3"/>
            <w:tcMar>
              <w:top w:w="0" w:type="dxa"/>
              <w:left w:w="108" w:type="dxa"/>
              <w:bottom w:w="0" w:type="dxa"/>
              <w:right w:w="108" w:type="dxa"/>
            </w:tcMar>
            <w:vAlign w:val="center"/>
          </w:tcPr>
          <w:p w14:paraId="67D70716">
            <w:pPr>
              <w:snapToGri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评标因素</w:t>
            </w:r>
          </w:p>
        </w:tc>
        <w:tc>
          <w:tcPr>
            <w:tcW w:w="7122" w:type="dxa"/>
            <w:vMerge w:val="restart"/>
            <w:tcMar>
              <w:top w:w="0" w:type="dxa"/>
              <w:left w:w="108" w:type="dxa"/>
              <w:bottom w:w="0" w:type="dxa"/>
              <w:right w:w="108" w:type="dxa"/>
            </w:tcMar>
            <w:vAlign w:val="center"/>
          </w:tcPr>
          <w:p w14:paraId="0F9B533B">
            <w:pPr>
              <w:snapToGri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评标标准</w:t>
            </w:r>
          </w:p>
        </w:tc>
      </w:tr>
      <w:tr w14:paraId="1C90C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05" w:hRule="atLeast"/>
          <w:jc w:val="center"/>
        </w:trPr>
        <w:tc>
          <w:tcPr>
            <w:tcW w:w="1188" w:type="dxa"/>
            <w:tcMar>
              <w:top w:w="0" w:type="dxa"/>
              <w:left w:w="108" w:type="dxa"/>
              <w:bottom w:w="0" w:type="dxa"/>
              <w:right w:w="108" w:type="dxa"/>
            </w:tcMar>
            <w:vAlign w:val="center"/>
          </w:tcPr>
          <w:p w14:paraId="1045ACAA">
            <w:pPr>
              <w:snapToGri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评标因素</w:t>
            </w:r>
          </w:p>
        </w:tc>
        <w:tc>
          <w:tcPr>
            <w:tcW w:w="994" w:type="dxa"/>
            <w:tcMar>
              <w:top w:w="0" w:type="dxa"/>
              <w:left w:w="108" w:type="dxa"/>
              <w:bottom w:w="0" w:type="dxa"/>
              <w:right w:w="108" w:type="dxa"/>
            </w:tcMar>
            <w:vAlign w:val="center"/>
          </w:tcPr>
          <w:p w14:paraId="0EB6476E">
            <w:pPr>
              <w:snapToGri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评标因素</w:t>
            </w:r>
          </w:p>
        </w:tc>
        <w:tc>
          <w:tcPr>
            <w:tcW w:w="615" w:type="dxa"/>
            <w:tcMar>
              <w:top w:w="0" w:type="dxa"/>
              <w:left w:w="108" w:type="dxa"/>
              <w:bottom w:w="0" w:type="dxa"/>
              <w:right w:w="108" w:type="dxa"/>
            </w:tcMar>
            <w:vAlign w:val="center"/>
          </w:tcPr>
          <w:p w14:paraId="226B420F">
            <w:pPr>
              <w:snapToGrid w:val="0"/>
              <w:spacing w:line="360" w:lineRule="auto"/>
              <w:jc w:val="center"/>
              <w:rPr>
                <w:rFonts w:asciiTheme="minorEastAsia" w:hAnsiTheme="minorEastAsia" w:eastAsiaTheme="minorEastAsia"/>
                <w:color w:val="auto"/>
                <w:szCs w:val="21"/>
              </w:rPr>
            </w:pPr>
            <w:r>
              <w:rPr>
                <w:rFonts w:hint="eastAsia" w:asciiTheme="minorEastAsia" w:hAnsiTheme="minorEastAsia" w:eastAsiaTheme="minorEastAsia"/>
                <w:color w:val="auto"/>
                <w:szCs w:val="21"/>
              </w:rPr>
              <w:t>权值</w:t>
            </w:r>
          </w:p>
        </w:tc>
        <w:tc>
          <w:tcPr>
            <w:tcW w:w="7122" w:type="dxa"/>
            <w:vMerge w:val="continue"/>
            <w:tcMar>
              <w:top w:w="0" w:type="dxa"/>
              <w:left w:w="108" w:type="dxa"/>
              <w:bottom w:w="0" w:type="dxa"/>
              <w:right w:w="108" w:type="dxa"/>
            </w:tcMar>
            <w:vAlign w:val="center"/>
          </w:tcPr>
          <w:p w14:paraId="3109FB98">
            <w:pPr>
              <w:snapToGrid w:val="0"/>
              <w:spacing w:line="360" w:lineRule="auto"/>
              <w:jc w:val="center"/>
              <w:rPr>
                <w:rFonts w:asciiTheme="minorEastAsia" w:hAnsiTheme="minorEastAsia" w:eastAsiaTheme="minorEastAsia"/>
                <w:color w:val="auto"/>
                <w:szCs w:val="21"/>
              </w:rPr>
            </w:pPr>
          </w:p>
        </w:tc>
      </w:tr>
      <w:tr w14:paraId="60BFE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tcMar>
              <w:top w:w="0" w:type="dxa"/>
              <w:left w:w="108" w:type="dxa"/>
              <w:bottom w:w="0" w:type="dxa"/>
              <w:right w:w="108" w:type="dxa"/>
            </w:tcMar>
            <w:vAlign w:val="center"/>
          </w:tcPr>
          <w:p w14:paraId="593C8DE5">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价格</w:t>
            </w:r>
          </w:p>
          <w:p w14:paraId="30C26F17">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（30分）</w:t>
            </w:r>
          </w:p>
        </w:tc>
        <w:tc>
          <w:tcPr>
            <w:tcW w:w="994" w:type="dxa"/>
            <w:tcMar>
              <w:top w:w="0" w:type="dxa"/>
              <w:left w:w="108" w:type="dxa"/>
              <w:bottom w:w="0" w:type="dxa"/>
              <w:right w:w="108" w:type="dxa"/>
            </w:tcMar>
            <w:vAlign w:val="center"/>
          </w:tcPr>
          <w:p w14:paraId="6D5E031D">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磋商报价</w:t>
            </w:r>
          </w:p>
        </w:tc>
        <w:tc>
          <w:tcPr>
            <w:tcW w:w="615" w:type="dxa"/>
            <w:tcMar>
              <w:top w:w="0" w:type="dxa"/>
              <w:left w:w="108" w:type="dxa"/>
              <w:bottom w:w="0" w:type="dxa"/>
              <w:right w:w="108" w:type="dxa"/>
            </w:tcMar>
            <w:vAlign w:val="center"/>
          </w:tcPr>
          <w:p w14:paraId="52F5BE7E">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30</w:t>
            </w:r>
          </w:p>
        </w:tc>
        <w:tc>
          <w:tcPr>
            <w:tcW w:w="7122" w:type="dxa"/>
            <w:tcMar>
              <w:top w:w="0" w:type="dxa"/>
              <w:left w:w="108" w:type="dxa"/>
              <w:bottom w:w="0" w:type="dxa"/>
              <w:right w:w="108" w:type="dxa"/>
            </w:tcMar>
            <w:vAlign w:val="center"/>
          </w:tcPr>
          <w:p w14:paraId="33186173">
            <w:pPr>
              <w:pStyle w:val="56"/>
              <w:adjustRightInd w:val="0"/>
              <w:snapToGrid w:val="0"/>
              <w:spacing w:line="400" w:lineRule="exact"/>
              <w:rPr>
                <w:rFonts w:ascii="宋体" w:hAnsi="宋体" w:cs="宋体"/>
                <w:color w:val="auto"/>
                <w:kern w:val="2"/>
              </w:rPr>
            </w:pPr>
            <w:r>
              <w:rPr>
                <w:rFonts w:hint="eastAsia" w:ascii="宋体" w:hAnsi="宋体" w:cs="宋体"/>
                <w:color w:val="auto"/>
                <w:kern w:val="2"/>
              </w:rPr>
              <w:t>满足磋商文件要求且最后报价最低的供应商的价格为磋商基准价，其价格分为满分。其他供应商的价格分统一按照下列公式计算：</w:t>
            </w:r>
          </w:p>
          <w:p w14:paraId="22C06314">
            <w:pPr>
              <w:pStyle w:val="56"/>
              <w:adjustRightInd w:val="0"/>
              <w:snapToGrid w:val="0"/>
              <w:spacing w:line="400" w:lineRule="exact"/>
              <w:rPr>
                <w:rFonts w:ascii="宋体" w:hAnsi="宋体" w:cs="宋体"/>
                <w:color w:val="auto"/>
                <w:kern w:val="2"/>
              </w:rPr>
            </w:pPr>
            <w:r>
              <w:rPr>
                <w:rFonts w:hint="eastAsia" w:ascii="宋体" w:hAnsi="宋体" w:cs="宋体"/>
                <w:color w:val="auto"/>
                <w:kern w:val="2"/>
              </w:rPr>
              <w:t>磋商报价得分= (磋商基准价/最后磋商报价)*价格权值30</w:t>
            </w:r>
          </w:p>
          <w:p w14:paraId="6D6E0823">
            <w:pPr>
              <w:pStyle w:val="25"/>
              <w:adjustRightInd w:val="0"/>
              <w:snapToGrid w:val="0"/>
              <w:spacing w:line="400" w:lineRule="exact"/>
              <w:ind w:left="0"/>
              <w:rPr>
                <w:rFonts w:ascii="宋体" w:hAnsi="宋体" w:cs="宋体"/>
                <w:color w:val="auto"/>
                <w:sz w:val="24"/>
                <w:szCs w:val="24"/>
              </w:rPr>
            </w:pPr>
            <w:r>
              <w:rPr>
                <w:rFonts w:hint="eastAsia" w:ascii="宋体" w:hAnsi="宋体" w:cs="宋体"/>
                <w:color w:val="auto"/>
                <w:kern w:val="2"/>
                <w:sz w:val="24"/>
                <w:szCs w:val="24"/>
              </w:rPr>
              <w:t>注：因落实政府采购政策进行价格调整的，以调整后的价格计算评标基准价和投标报价。根据“财政部令第87号”第六十条的规定:磋商委员会认为供应商的报价明显低于其他通过符合性审查投标人的报价，有可能影响产品质量或者不能诚信履约的，应当要求其在评标现场合理的时间内提供书面说明，必要时提交相关证明材料;供应商不能证明其报价合理性的，评标委员会应当将其作投标无效处理。</w:t>
            </w:r>
          </w:p>
        </w:tc>
      </w:tr>
      <w:tr w14:paraId="16E7F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restart"/>
            <w:tcMar>
              <w:top w:w="0" w:type="dxa"/>
              <w:left w:w="108" w:type="dxa"/>
              <w:bottom w:w="0" w:type="dxa"/>
              <w:right w:w="108" w:type="dxa"/>
            </w:tcMar>
            <w:vAlign w:val="center"/>
          </w:tcPr>
          <w:p w14:paraId="67D38611">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技术部分（40分）</w:t>
            </w:r>
          </w:p>
        </w:tc>
        <w:tc>
          <w:tcPr>
            <w:tcW w:w="994" w:type="dxa"/>
            <w:tcMar>
              <w:top w:w="0" w:type="dxa"/>
              <w:left w:w="108" w:type="dxa"/>
              <w:bottom w:w="0" w:type="dxa"/>
              <w:right w:w="108" w:type="dxa"/>
            </w:tcMar>
            <w:vAlign w:val="center"/>
          </w:tcPr>
          <w:p w14:paraId="66C37EB8">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施工方案与技术措施</w:t>
            </w:r>
          </w:p>
        </w:tc>
        <w:tc>
          <w:tcPr>
            <w:tcW w:w="615" w:type="dxa"/>
            <w:tcMar>
              <w:top w:w="0" w:type="dxa"/>
              <w:left w:w="108" w:type="dxa"/>
              <w:bottom w:w="0" w:type="dxa"/>
              <w:right w:w="108" w:type="dxa"/>
            </w:tcMar>
            <w:vAlign w:val="center"/>
          </w:tcPr>
          <w:p w14:paraId="721CFE41">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8</w:t>
            </w:r>
          </w:p>
        </w:tc>
        <w:tc>
          <w:tcPr>
            <w:tcW w:w="7122" w:type="dxa"/>
            <w:tcMar>
              <w:top w:w="0" w:type="dxa"/>
              <w:left w:w="108" w:type="dxa"/>
              <w:bottom w:w="0" w:type="dxa"/>
              <w:right w:w="108" w:type="dxa"/>
            </w:tcMar>
            <w:vAlign w:val="center"/>
          </w:tcPr>
          <w:p w14:paraId="3B94609A">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一、评审内容：根据投标人提供的施工方案与技术措施进行计分，完全满足以下要求的计8分：</w:t>
            </w:r>
          </w:p>
          <w:p w14:paraId="4AC60583">
            <w:pPr>
              <w:numPr>
                <w:ilvl w:val="0"/>
                <w:numId w:val="4"/>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对项目总体概况表述清晰、完整；</w:t>
            </w:r>
          </w:p>
          <w:p w14:paraId="6E9F71C4">
            <w:pPr>
              <w:numPr>
                <w:ilvl w:val="0"/>
                <w:numId w:val="4"/>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项目部署及措施先进、可靠；</w:t>
            </w:r>
          </w:p>
          <w:p w14:paraId="2A12FF85">
            <w:pPr>
              <w:numPr>
                <w:ilvl w:val="0"/>
                <w:numId w:val="4"/>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对项目主要及关键方案有深入的表述，对重点、难点事项分析透彻；</w:t>
            </w:r>
          </w:p>
          <w:p w14:paraId="2456ED56">
            <w:pPr>
              <w:numPr>
                <w:ilvl w:val="0"/>
                <w:numId w:val="4"/>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施工平面布置满足施工需要，符合安全、文明生产要求。</w:t>
            </w:r>
          </w:p>
          <w:p w14:paraId="7F59A239">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二、扣分标准：上述内容，1、方案欠完善或针对性欠缺的每项扣1分，上述扣分扣完为止；2、方案缺漏项或不合理的每项扣2分，上述扣分扣完为止；3、未提供的不计分。</w:t>
            </w:r>
          </w:p>
          <w:p w14:paraId="35D7E31D">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7EEF2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continue"/>
            <w:tcMar>
              <w:top w:w="0" w:type="dxa"/>
              <w:left w:w="108" w:type="dxa"/>
              <w:bottom w:w="0" w:type="dxa"/>
              <w:right w:w="108" w:type="dxa"/>
            </w:tcMar>
            <w:vAlign w:val="center"/>
          </w:tcPr>
          <w:p w14:paraId="6B0B2B46">
            <w:pPr>
              <w:adjustRightInd w:val="0"/>
              <w:snapToGrid w:val="0"/>
              <w:spacing w:line="400" w:lineRule="exact"/>
              <w:jc w:val="center"/>
              <w:rPr>
                <w:rFonts w:ascii="宋体" w:hAnsi="宋体" w:cs="宋体"/>
                <w:color w:val="auto"/>
                <w:sz w:val="24"/>
                <w:szCs w:val="24"/>
              </w:rPr>
            </w:pPr>
          </w:p>
        </w:tc>
        <w:tc>
          <w:tcPr>
            <w:tcW w:w="994" w:type="dxa"/>
            <w:tcMar>
              <w:top w:w="0" w:type="dxa"/>
              <w:left w:w="108" w:type="dxa"/>
              <w:bottom w:w="0" w:type="dxa"/>
              <w:right w:w="108" w:type="dxa"/>
            </w:tcMar>
            <w:vAlign w:val="center"/>
          </w:tcPr>
          <w:p w14:paraId="6B336963">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工程进度计划与保证措施</w:t>
            </w:r>
          </w:p>
        </w:tc>
        <w:tc>
          <w:tcPr>
            <w:tcW w:w="615" w:type="dxa"/>
            <w:tcMar>
              <w:top w:w="0" w:type="dxa"/>
              <w:left w:w="108" w:type="dxa"/>
              <w:bottom w:w="0" w:type="dxa"/>
              <w:right w:w="108" w:type="dxa"/>
            </w:tcMar>
            <w:vAlign w:val="center"/>
          </w:tcPr>
          <w:p w14:paraId="13939AB7">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6</w:t>
            </w:r>
          </w:p>
        </w:tc>
        <w:tc>
          <w:tcPr>
            <w:tcW w:w="7122" w:type="dxa"/>
            <w:tcMar>
              <w:top w:w="0" w:type="dxa"/>
              <w:left w:w="108" w:type="dxa"/>
              <w:bottom w:w="0" w:type="dxa"/>
              <w:right w:w="108" w:type="dxa"/>
            </w:tcMar>
            <w:vAlign w:val="center"/>
          </w:tcPr>
          <w:p w14:paraId="765BAC0D">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一、评审内容：根据投标人提供的工程进度计划与保证措施进行计分，完全满足以下要求的计6分：</w:t>
            </w:r>
          </w:p>
          <w:p w14:paraId="38F863E0">
            <w:pPr>
              <w:numPr>
                <w:ilvl w:val="0"/>
                <w:numId w:val="5"/>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总工期及节点工期优于招标采购文件的要求；</w:t>
            </w:r>
          </w:p>
          <w:p w14:paraId="31F1671A">
            <w:pPr>
              <w:numPr>
                <w:ilvl w:val="0"/>
                <w:numId w:val="5"/>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施工进度计划内容全面，线路清晰、准确、完整，计划编制合理、可行；</w:t>
            </w:r>
          </w:p>
          <w:p w14:paraId="63C6AF98">
            <w:pPr>
              <w:numPr>
                <w:ilvl w:val="0"/>
                <w:numId w:val="5"/>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施工措施有力、合理、可行。</w:t>
            </w:r>
          </w:p>
          <w:p w14:paraId="0567A53E">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二、扣分标准：上述内容，1、方案欠完善或针对性欠缺的每项扣1分，上述扣分扣完为止；2、方案缺漏项或不合理的每项扣2分，上述扣分扣完为止；3、未提供的不计分。</w:t>
            </w:r>
          </w:p>
          <w:p w14:paraId="1E57EE19">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45894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continue"/>
            <w:tcMar>
              <w:top w:w="0" w:type="dxa"/>
              <w:left w:w="108" w:type="dxa"/>
              <w:bottom w:w="0" w:type="dxa"/>
              <w:right w:w="108" w:type="dxa"/>
            </w:tcMar>
            <w:vAlign w:val="center"/>
          </w:tcPr>
          <w:p w14:paraId="3231DCCB">
            <w:pPr>
              <w:adjustRightInd w:val="0"/>
              <w:snapToGrid w:val="0"/>
              <w:spacing w:line="400" w:lineRule="exact"/>
              <w:jc w:val="center"/>
              <w:rPr>
                <w:rFonts w:ascii="宋体" w:hAnsi="宋体" w:cs="宋体"/>
                <w:color w:val="auto"/>
                <w:sz w:val="24"/>
                <w:szCs w:val="24"/>
              </w:rPr>
            </w:pPr>
          </w:p>
        </w:tc>
        <w:tc>
          <w:tcPr>
            <w:tcW w:w="994" w:type="dxa"/>
            <w:tcMar>
              <w:top w:w="0" w:type="dxa"/>
              <w:left w:w="108" w:type="dxa"/>
              <w:bottom w:w="0" w:type="dxa"/>
              <w:right w:w="108" w:type="dxa"/>
            </w:tcMar>
            <w:vAlign w:val="center"/>
          </w:tcPr>
          <w:p w14:paraId="5C939F17">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质量管理体系与措施</w:t>
            </w:r>
          </w:p>
        </w:tc>
        <w:tc>
          <w:tcPr>
            <w:tcW w:w="615" w:type="dxa"/>
            <w:tcMar>
              <w:top w:w="0" w:type="dxa"/>
              <w:left w:w="108" w:type="dxa"/>
              <w:bottom w:w="0" w:type="dxa"/>
              <w:right w:w="108" w:type="dxa"/>
            </w:tcMar>
            <w:vAlign w:val="center"/>
          </w:tcPr>
          <w:p w14:paraId="6437B3DA">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8</w:t>
            </w:r>
          </w:p>
        </w:tc>
        <w:tc>
          <w:tcPr>
            <w:tcW w:w="7122" w:type="dxa"/>
            <w:tcMar>
              <w:top w:w="0" w:type="dxa"/>
              <w:left w:w="108" w:type="dxa"/>
              <w:bottom w:w="0" w:type="dxa"/>
              <w:right w:w="108" w:type="dxa"/>
            </w:tcMar>
            <w:vAlign w:val="center"/>
          </w:tcPr>
          <w:p w14:paraId="51B23E51">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一、评审内容：根据投标人提供的质量管理体系与措施进行计分，完全满足以下要求的计8分：</w:t>
            </w:r>
          </w:p>
          <w:p w14:paraId="6AD388E3">
            <w:pPr>
              <w:numPr>
                <w:ilvl w:val="0"/>
                <w:numId w:val="6"/>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质量目标明确，优于招标采购文件的要求；</w:t>
            </w:r>
          </w:p>
          <w:p w14:paraId="3AF51EDD">
            <w:pPr>
              <w:numPr>
                <w:ilvl w:val="0"/>
                <w:numId w:val="6"/>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管理机构健全，职责分工明确；</w:t>
            </w:r>
          </w:p>
          <w:p w14:paraId="3159ED87">
            <w:pPr>
              <w:numPr>
                <w:ilvl w:val="0"/>
                <w:numId w:val="6"/>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管理制度齐全；</w:t>
            </w:r>
          </w:p>
          <w:p w14:paraId="07F13F5E">
            <w:pPr>
              <w:numPr>
                <w:ilvl w:val="0"/>
                <w:numId w:val="6"/>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实施与监控措施全面、有效。</w:t>
            </w:r>
          </w:p>
          <w:p w14:paraId="5045CF71">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二、扣分标准：上述内容，1、方案欠完善或针对性欠缺的每项扣1分，上述扣分扣完为止；2、方案缺漏项或不合理的每项扣2分，上述扣分扣完为止；3、未提供的不计分。</w:t>
            </w:r>
          </w:p>
          <w:p w14:paraId="17383BF7">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2BD74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continue"/>
            <w:tcMar>
              <w:top w:w="0" w:type="dxa"/>
              <w:left w:w="108" w:type="dxa"/>
              <w:bottom w:w="0" w:type="dxa"/>
              <w:right w:w="108" w:type="dxa"/>
            </w:tcMar>
            <w:vAlign w:val="center"/>
          </w:tcPr>
          <w:p w14:paraId="17DC4527">
            <w:pPr>
              <w:adjustRightInd w:val="0"/>
              <w:snapToGrid w:val="0"/>
              <w:spacing w:line="400" w:lineRule="exact"/>
              <w:jc w:val="center"/>
              <w:rPr>
                <w:rFonts w:ascii="宋体" w:hAnsi="宋体" w:cs="宋体"/>
                <w:color w:val="auto"/>
                <w:sz w:val="24"/>
                <w:szCs w:val="24"/>
              </w:rPr>
            </w:pPr>
          </w:p>
        </w:tc>
        <w:tc>
          <w:tcPr>
            <w:tcW w:w="994" w:type="dxa"/>
            <w:tcMar>
              <w:top w:w="0" w:type="dxa"/>
              <w:left w:w="108" w:type="dxa"/>
              <w:bottom w:w="0" w:type="dxa"/>
              <w:right w:w="108" w:type="dxa"/>
            </w:tcMar>
            <w:vAlign w:val="center"/>
          </w:tcPr>
          <w:p w14:paraId="4E5D02D4">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安全管理体系与措施</w:t>
            </w:r>
          </w:p>
        </w:tc>
        <w:tc>
          <w:tcPr>
            <w:tcW w:w="615" w:type="dxa"/>
            <w:tcMar>
              <w:top w:w="0" w:type="dxa"/>
              <w:left w:w="108" w:type="dxa"/>
              <w:bottom w:w="0" w:type="dxa"/>
              <w:right w:w="108" w:type="dxa"/>
            </w:tcMar>
            <w:vAlign w:val="center"/>
          </w:tcPr>
          <w:p w14:paraId="6916F3A5">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8</w:t>
            </w:r>
          </w:p>
        </w:tc>
        <w:tc>
          <w:tcPr>
            <w:tcW w:w="7122" w:type="dxa"/>
            <w:tcMar>
              <w:top w:w="0" w:type="dxa"/>
              <w:left w:w="108" w:type="dxa"/>
              <w:bottom w:w="0" w:type="dxa"/>
              <w:right w:w="108" w:type="dxa"/>
            </w:tcMar>
            <w:vAlign w:val="center"/>
          </w:tcPr>
          <w:p w14:paraId="6021ECBE">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一、评审内容：根据投标人提供的安全管理体系与措施进行计分，完全满足以下要求的计8分：</w:t>
            </w:r>
          </w:p>
          <w:p w14:paraId="6544E319">
            <w:pPr>
              <w:numPr>
                <w:ilvl w:val="0"/>
                <w:numId w:val="7"/>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安全目标明确，优于招标采购文件的要求；</w:t>
            </w:r>
          </w:p>
          <w:p w14:paraId="6264318C">
            <w:pPr>
              <w:numPr>
                <w:ilvl w:val="0"/>
                <w:numId w:val="7"/>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管理机构健全，职责分工明确；</w:t>
            </w:r>
          </w:p>
          <w:p w14:paraId="6BF25D9B">
            <w:pPr>
              <w:numPr>
                <w:ilvl w:val="0"/>
                <w:numId w:val="7"/>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管理制度齐全；</w:t>
            </w:r>
          </w:p>
          <w:p w14:paraId="0D232900">
            <w:pPr>
              <w:numPr>
                <w:ilvl w:val="0"/>
                <w:numId w:val="7"/>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实施与监控措施全面、有效。</w:t>
            </w:r>
          </w:p>
          <w:p w14:paraId="2788FCDB">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二、扣分标准：上述内容，1、方案欠完善或针对性欠缺的每项扣1分，上述扣分扣完为止；2、方案缺漏项或不合理的每项扣2分，上述扣分扣完为止；3、未提供的不计分。</w:t>
            </w:r>
          </w:p>
          <w:p w14:paraId="402FE42C">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3AAA7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continue"/>
            <w:tcMar>
              <w:top w:w="0" w:type="dxa"/>
              <w:left w:w="108" w:type="dxa"/>
              <w:bottom w:w="0" w:type="dxa"/>
              <w:right w:w="108" w:type="dxa"/>
            </w:tcMar>
            <w:vAlign w:val="center"/>
          </w:tcPr>
          <w:p w14:paraId="516D12AA">
            <w:pPr>
              <w:adjustRightInd w:val="0"/>
              <w:snapToGrid w:val="0"/>
              <w:spacing w:line="400" w:lineRule="exact"/>
              <w:jc w:val="center"/>
              <w:rPr>
                <w:rFonts w:ascii="宋体" w:hAnsi="宋体" w:cs="宋体"/>
                <w:color w:val="auto"/>
                <w:sz w:val="24"/>
                <w:szCs w:val="24"/>
              </w:rPr>
            </w:pPr>
          </w:p>
        </w:tc>
        <w:tc>
          <w:tcPr>
            <w:tcW w:w="994" w:type="dxa"/>
            <w:tcMar>
              <w:top w:w="0" w:type="dxa"/>
              <w:left w:w="108" w:type="dxa"/>
              <w:bottom w:w="0" w:type="dxa"/>
              <w:right w:w="108" w:type="dxa"/>
            </w:tcMar>
            <w:vAlign w:val="center"/>
          </w:tcPr>
          <w:p w14:paraId="25282E67">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环境保护管理体系与措施</w:t>
            </w:r>
          </w:p>
        </w:tc>
        <w:tc>
          <w:tcPr>
            <w:tcW w:w="615" w:type="dxa"/>
            <w:tcMar>
              <w:top w:w="0" w:type="dxa"/>
              <w:left w:w="108" w:type="dxa"/>
              <w:bottom w:w="0" w:type="dxa"/>
              <w:right w:w="108" w:type="dxa"/>
            </w:tcMar>
            <w:vAlign w:val="center"/>
          </w:tcPr>
          <w:p w14:paraId="3F47AF03">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8</w:t>
            </w:r>
          </w:p>
        </w:tc>
        <w:tc>
          <w:tcPr>
            <w:tcW w:w="7122" w:type="dxa"/>
            <w:tcMar>
              <w:top w:w="0" w:type="dxa"/>
              <w:left w:w="108" w:type="dxa"/>
              <w:bottom w:w="0" w:type="dxa"/>
              <w:right w:w="108" w:type="dxa"/>
            </w:tcMar>
            <w:vAlign w:val="center"/>
          </w:tcPr>
          <w:p w14:paraId="3CD91EDC">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一、评审内容：根据投标人提供的环境保护管理体系与措施进行计分，完全满足以下要求的计8分：</w:t>
            </w:r>
          </w:p>
          <w:p w14:paraId="643A24F9">
            <w:pPr>
              <w:numPr>
                <w:ilvl w:val="0"/>
                <w:numId w:val="8"/>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环境目标明确，优于招标采购文件的要求；</w:t>
            </w:r>
          </w:p>
          <w:p w14:paraId="72166DA7">
            <w:pPr>
              <w:numPr>
                <w:ilvl w:val="0"/>
                <w:numId w:val="8"/>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管理机构健全，职责分工明确；</w:t>
            </w:r>
          </w:p>
          <w:p w14:paraId="7B645E7E">
            <w:pPr>
              <w:numPr>
                <w:ilvl w:val="0"/>
                <w:numId w:val="8"/>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管理制度齐全；</w:t>
            </w:r>
          </w:p>
          <w:p w14:paraId="50744747">
            <w:pPr>
              <w:numPr>
                <w:ilvl w:val="0"/>
                <w:numId w:val="8"/>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实施与监控措施全面、有效。</w:t>
            </w:r>
          </w:p>
          <w:p w14:paraId="51F42E5E">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二、扣分标准：上述内容，1、方案欠完善或针对性欠缺的每项扣1分，上述扣分扣完为止；2、方案缺漏项或不合理的每项扣2分，上述扣分扣完为止；3、未提供的不计分。</w:t>
            </w:r>
          </w:p>
          <w:p w14:paraId="1F33297F">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272B8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21" w:hRule="atLeast"/>
          <w:jc w:val="center"/>
        </w:trPr>
        <w:tc>
          <w:tcPr>
            <w:tcW w:w="1188" w:type="dxa"/>
            <w:vMerge w:val="continue"/>
            <w:tcMar>
              <w:top w:w="0" w:type="dxa"/>
              <w:left w:w="108" w:type="dxa"/>
              <w:bottom w:w="0" w:type="dxa"/>
              <w:right w:w="108" w:type="dxa"/>
            </w:tcMar>
            <w:vAlign w:val="center"/>
          </w:tcPr>
          <w:p w14:paraId="07A2D20E">
            <w:pPr>
              <w:adjustRightInd w:val="0"/>
              <w:snapToGrid w:val="0"/>
              <w:spacing w:line="400" w:lineRule="exact"/>
              <w:jc w:val="center"/>
              <w:rPr>
                <w:rFonts w:ascii="宋体" w:hAnsi="宋体" w:cs="宋体"/>
                <w:color w:val="auto"/>
                <w:sz w:val="24"/>
                <w:szCs w:val="24"/>
              </w:rPr>
            </w:pPr>
          </w:p>
        </w:tc>
        <w:tc>
          <w:tcPr>
            <w:tcW w:w="994" w:type="dxa"/>
            <w:tcMar>
              <w:top w:w="0" w:type="dxa"/>
              <w:left w:w="108" w:type="dxa"/>
              <w:bottom w:w="0" w:type="dxa"/>
              <w:right w:w="108" w:type="dxa"/>
            </w:tcMar>
            <w:vAlign w:val="center"/>
          </w:tcPr>
          <w:p w14:paraId="17CE3F78">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资源配备计划</w:t>
            </w:r>
          </w:p>
        </w:tc>
        <w:tc>
          <w:tcPr>
            <w:tcW w:w="615" w:type="dxa"/>
            <w:tcMar>
              <w:top w:w="0" w:type="dxa"/>
              <w:left w:w="108" w:type="dxa"/>
              <w:bottom w:w="0" w:type="dxa"/>
              <w:right w:w="108" w:type="dxa"/>
            </w:tcMar>
            <w:vAlign w:val="center"/>
          </w:tcPr>
          <w:p w14:paraId="35BB7F57">
            <w:pPr>
              <w:adjustRightInd w:val="0"/>
              <w:snapToGrid w:val="0"/>
              <w:spacing w:line="400" w:lineRule="exact"/>
              <w:jc w:val="center"/>
              <w:rPr>
                <w:rFonts w:ascii="宋体" w:hAnsi="宋体" w:cs="宋体"/>
                <w:color w:val="auto"/>
                <w:kern w:val="2"/>
                <w:sz w:val="24"/>
                <w:szCs w:val="24"/>
              </w:rPr>
            </w:pPr>
            <w:r>
              <w:rPr>
                <w:rFonts w:hint="eastAsia" w:ascii="宋体" w:hAnsi="宋体" w:cs="宋体"/>
                <w:color w:val="auto"/>
                <w:kern w:val="2"/>
                <w:sz w:val="24"/>
                <w:szCs w:val="24"/>
              </w:rPr>
              <w:t>2</w:t>
            </w:r>
          </w:p>
        </w:tc>
        <w:tc>
          <w:tcPr>
            <w:tcW w:w="7122" w:type="dxa"/>
            <w:tcMar>
              <w:top w:w="0" w:type="dxa"/>
              <w:left w:w="108" w:type="dxa"/>
              <w:bottom w:w="0" w:type="dxa"/>
              <w:right w:w="108" w:type="dxa"/>
            </w:tcMar>
            <w:vAlign w:val="center"/>
          </w:tcPr>
          <w:p w14:paraId="36F546DA">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一、评审内容：根据投标人提供的资源配备计划进行计分，完全满足以下要求的计2分：</w:t>
            </w:r>
          </w:p>
          <w:p w14:paraId="10BC6B08">
            <w:pPr>
              <w:numPr>
                <w:ilvl w:val="0"/>
                <w:numId w:val="9"/>
              </w:num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资源投入计划与施工部署、施工方法及进度计划呼应；</w:t>
            </w:r>
          </w:p>
          <w:p w14:paraId="6523B313">
            <w:pPr>
              <w:adjustRightInd w:val="0"/>
              <w:snapToGrid w:val="0"/>
              <w:spacing w:line="400" w:lineRule="exact"/>
              <w:rPr>
                <w:rFonts w:ascii="宋体" w:hAnsi="宋体" w:cs="宋体"/>
                <w:color w:val="auto"/>
                <w:kern w:val="2"/>
                <w:sz w:val="24"/>
                <w:szCs w:val="24"/>
              </w:rPr>
            </w:pPr>
            <w:r>
              <w:rPr>
                <w:rFonts w:hint="eastAsia" w:ascii="宋体" w:hAnsi="宋体" w:cs="宋体"/>
                <w:color w:val="auto"/>
                <w:kern w:val="2"/>
                <w:sz w:val="24"/>
                <w:szCs w:val="24"/>
              </w:rPr>
              <w:t>2、资源调配投入计划合理、准确。</w:t>
            </w:r>
          </w:p>
          <w:p w14:paraId="2FD39747">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二、扣分标准：上述内容，1、方案欠完善或针对性欠缺的每项扣0.5分，上述扣分扣完为止；2、方案缺漏项或不合理的每项扣1分，上述扣分扣完为止；3、未提供的不计分。</w:t>
            </w:r>
          </w:p>
          <w:p w14:paraId="74BDB19A">
            <w:pPr>
              <w:pStyle w:val="57"/>
              <w:adjustRightInd w:val="0"/>
              <w:snapToGrid w:val="0"/>
              <w:spacing w:line="400" w:lineRule="exact"/>
              <w:rPr>
                <w:rFonts w:ascii="宋体" w:hAnsi="宋体" w:cs="宋体"/>
                <w:color w:val="auto"/>
                <w:kern w:val="2"/>
              </w:rPr>
            </w:pPr>
            <w:r>
              <w:rPr>
                <w:rFonts w:hint="eastAsia" w:ascii="宋体" w:hAnsi="宋体" w:cs="宋体"/>
                <w:color w:val="auto"/>
                <w:kern w:val="2"/>
              </w:rPr>
              <w:t>三、事项说明：1、方案欠完善或针对性欠缺是指项目名称不符、未贴合采购需求、方案内容与项目需求不一致或没有关联性、涉及的技术规范标准等与国家标准或行业标准或招标采购文件要求不一致，相关评审具体实施方案内容与实际实施时存在差异性，计划安排无条理性、方案内容空洞、语义表述不清，存在歧义、逻辑混乱、有错别字，内容不完善等；2、缺漏项是指该项内容未提供具体的实施方案内容，或者整段内容照搬采购需求、评审办法的内容未做修改；不合理是指非专门针对本项目或者不适用项目的情形，内容不完整或者缺少关键安排，套用其他项目方案、内容前后矛盾、表述错误；3、统计分值出现小数点的，先计算各项分值并保留小数点后2位数，第三位数四舍五入，再进行合计分值统计。</w:t>
            </w:r>
          </w:p>
        </w:tc>
      </w:tr>
      <w:tr w14:paraId="1C29F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53" w:hRule="atLeast"/>
          <w:jc w:val="center"/>
        </w:trPr>
        <w:tc>
          <w:tcPr>
            <w:tcW w:w="1188" w:type="dxa"/>
            <w:vMerge w:val="restart"/>
            <w:tcMar>
              <w:top w:w="0" w:type="dxa"/>
              <w:left w:w="108" w:type="dxa"/>
              <w:bottom w:w="0" w:type="dxa"/>
              <w:right w:w="108" w:type="dxa"/>
            </w:tcMar>
            <w:vAlign w:val="center"/>
          </w:tcPr>
          <w:p w14:paraId="4CF6F2A6">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商务</w:t>
            </w:r>
          </w:p>
          <w:p w14:paraId="7CEDD5C0">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（30分）</w:t>
            </w:r>
          </w:p>
        </w:tc>
        <w:tc>
          <w:tcPr>
            <w:tcW w:w="994" w:type="dxa"/>
            <w:tcMar>
              <w:top w:w="0" w:type="dxa"/>
              <w:left w:w="108" w:type="dxa"/>
              <w:bottom w:w="0" w:type="dxa"/>
              <w:right w:w="108" w:type="dxa"/>
            </w:tcMar>
            <w:vAlign w:val="center"/>
          </w:tcPr>
          <w:p w14:paraId="3BBDACD5">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类似</w:t>
            </w:r>
          </w:p>
          <w:p w14:paraId="1CA343E1">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业绩</w:t>
            </w:r>
          </w:p>
        </w:tc>
        <w:tc>
          <w:tcPr>
            <w:tcW w:w="615" w:type="dxa"/>
            <w:tcMar>
              <w:top w:w="0" w:type="dxa"/>
              <w:left w:w="108" w:type="dxa"/>
              <w:bottom w:w="0" w:type="dxa"/>
              <w:right w:w="108" w:type="dxa"/>
            </w:tcMar>
            <w:vAlign w:val="center"/>
          </w:tcPr>
          <w:p w14:paraId="091BAA7C">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15</w:t>
            </w:r>
          </w:p>
        </w:tc>
        <w:tc>
          <w:tcPr>
            <w:tcW w:w="7122" w:type="dxa"/>
            <w:tcMar>
              <w:top w:w="0" w:type="dxa"/>
              <w:left w:w="108" w:type="dxa"/>
              <w:bottom w:w="0" w:type="dxa"/>
              <w:right w:w="108" w:type="dxa"/>
            </w:tcMar>
            <w:vAlign w:val="center"/>
          </w:tcPr>
          <w:p w14:paraId="04EE7183">
            <w:pPr>
              <w:adjustRightInd w:val="0"/>
              <w:snapToGrid w:val="0"/>
              <w:spacing w:line="400" w:lineRule="exact"/>
              <w:rPr>
                <w:rFonts w:ascii="宋体" w:hAnsi="宋体" w:cs="宋体"/>
                <w:color w:val="auto"/>
                <w:sz w:val="24"/>
                <w:szCs w:val="24"/>
              </w:rPr>
            </w:pPr>
            <w:r>
              <w:rPr>
                <w:rFonts w:hint="eastAsia" w:ascii="宋体" w:hAnsi="宋体" w:cs="宋体"/>
                <w:bCs/>
                <w:color w:val="auto"/>
                <w:sz w:val="24"/>
                <w:szCs w:val="24"/>
              </w:rPr>
              <w:t>供应商提供类似项目经验：近三年（即提交首次响应文件截止时间前36个月内）具有类似业绩的。每提供一个计5分，满分15分。</w:t>
            </w:r>
            <w:r>
              <w:rPr>
                <w:rFonts w:hint="eastAsia" w:ascii="宋体" w:hAnsi="宋体" w:cs="宋体"/>
                <w:b/>
                <w:color w:val="auto"/>
                <w:sz w:val="24"/>
                <w:szCs w:val="24"/>
              </w:rPr>
              <w:t>注：时间按建设单位签字的时间计算，响应文件中提供合同复印件或中标通知书复印件并加盖供应商公章，否则不计分。</w:t>
            </w:r>
          </w:p>
        </w:tc>
      </w:tr>
      <w:tr w14:paraId="53096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09" w:hRule="atLeast"/>
          <w:jc w:val="center"/>
        </w:trPr>
        <w:tc>
          <w:tcPr>
            <w:tcW w:w="1188" w:type="dxa"/>
            <w:vMerge w:val="continue"/>
            <w:tcMar>
              <w:top w:w="0" w:type="dxa"/>
              <w:left w:w="108" w:type="dxa"/>
              <w:bottom w:w="0" w:type="dxa"/>
              <w:right w:w="108" w:type="dxa"/>
            </w:tcMar>
            <w:vAlign w:val="center"/>
          </w:tcPr>
          <w:p w14:paraId="67B4E346">
            <w:pPr>
              <w:adjustRightInd w:val="0"/>
              <w:snapToGrid w:val="0"/>
              <w:spacing w:line="400" w:lineRule="exact"/>
              <w:jc w:val="left"/>
              <w:rPr>
                <w:rFonts w:ascii="宋体" w:hAnsi="宋体" w:cs="宋体"/>
                <w:color w:val="auto"/>
                <w:sz w:val="24"/>
                <w:szCs w:val="24"/>
              </w:rPr>
            </w:pPr>
          </w:p>
        </w:tc>
        <w:tc>
          <w:tcPr>
            <w:tcW w:w="994" w:type="dxa"/>
            <w:tcMar>
              <w:top w:w="0" w:type="dxa"/>
              <w:left w:w="108" w:type="dxa"/>
              <w:bottom w:w="0" w:type="dxa"/>
              <w:right w:w="108" w:type="dxa"/>
            </w:tcMar>
            <w:vAlign w:val="center"/>
          </w:tcPr>
          <w:p w14:paraId="5BF84849">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无不良行为记录</w:t>
            </w:r>
          </w:p>
        </w:tc>
        <w:tc>
          <w:tcPr>
            <w:tcW w:w="615" w:type="dxa"/>
            <w:tcMar>
              <w:top w:w="0" w:type="dxa"/>
              <w:left w:w="108" w:type="dxa"/>
              <w:bottom w:w="0" w:type="dxa"/>
              <w:right w:w="108" w:type="dxa"/>
            </w:tcMar>
            <w:vAlign w:val="center"/>
          </w:tcPr>
          <w:p w14:paraId="610A067D">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15</w:t>
            </w:r>
          </w:p>
        </w:tc>
        <w:tc>
          <w:tcPr>
            <w:tcW w:w="7122" w:type="dxa"/>
            <w:tcMar>
              <w:top w:w="0" w:type="dxa"/>
              <w:left w:w="108" w:type="dxa"/>
              <w:bottom w:w="0" w:type="dxa"/>
              <w:right w:w="108" w:type="dxa"/>
            </w:tcMar>
            <w:vAlign w:val="center"/>
          </w:tcPr>
          <w:p w14:paraId="7E0D352F">
            <w:pPr>
              <w:adjustRightInd w:val="0"/>
              <w:snapToGrid w:val="0"/>
              <w:spacing w:line="400" w:lineRule="exact"/>
              <w:rPr>
                <w:rFonts w:ascii="宋体" w:hAnsi="宋体" w:cs="宋体"/>
                <w:color w:val="auto"/>
                <w:sz w:val="24"/>
                <w:szCs w:val="24"/>
              </w:rPr>
            </w:pPr>
            <w:r>
              <w:rPr>
                <w:rFonts w:hint="eastAsia" w:ascii="宋体" w:hAnsi="宋体" w:cs="宋体"/>
                <w:color w:val="auto"/>
                <w:sz w:val="24"/>
                <w:szCs w:val="24"/>
              </w:rPr>
              <w:t>供应商应在响应文件中如实反映拟任项目负责人的不良行为记录，拟任项目经理不良行为记录扣分有效期为180天，自湖南省住房和城乡建设厅公布之日起至提交响应文件截止之日止。列入省公管办或省住建厅发布的黑名单扣分有效期为365天，自湖南省公管办或湖南省住房和城乡建设厅公布之日起至提交投标文件截止之日止。无不良行为记录计15分，一般不良行为记录每条扣5分，严重不良行为记录每条扣10分；列入省公管办或省住建厅发布的黑名单扣15分；扣完为止。</w:t>
            </w:r>
          </w:p>
          <w:p w14:paraId="4305E491">
            <w:pPr>
              <w:adjustRightInd w:val="0"/>
              <w:snapToGrid w:val="0"/>
              <w:spacing w:line="400" w:lineRule="exact"/>
              <w:rPr>
                <w:rFonts w:ascii="宋体" w:hAnsi="宋体" w:cs="宋体"/>
                <w:color w:val="auto"/>
                <w:sz w:val="24"/>
                <w:szCs w:val="24"/>
              </w:rPr>
            </w:pPr>
            <w:r>
              <w:rPr>
                <w:rFonts w:hint="eastAsia" w:ascii="宋体" w:hAnsi="宋体" w:cs="宋体"/>
                <w:b/>
                <w:bCs/>
                <w:color w:val="auto"/>
                <w:sz w:val="24"/>
                <w:szCs w:val="24"/>
              </w:rPr>
              <w:t>注：无不良行为记录的供应商，提交无不良行为记录承诺函即可。一旦发现有弄虚作假，取消投标资格或成交资格。</w:t>
            </w:r>
          </w:p>
        </w:tc>
      </w:tr>
      <w:tr w14:paraId="707E9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5" w:hRule="atLeast"/>
          <w:jc w:val="center"/>
        </w:trPr>
        <w:tc>
          <w:tcPr>
            <w:tcW w:w="1188" w:type="dxa"/>
            <w:tcMar>
              <w:top w:w="0" w:type="dxa"/>
              <w:left w:w="108" w:type="dxa"/>
              <w:bottom w:w="0" w:type="dxa"/>
              <w:right w:w="108" w:type="dxa"/>
            </w:tcMar>
            <w:vAlign w:val="center"/>
          </w:tcPr>
          <w:p w14:paraId="46E0C234">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合计</w:t>
            </w:r>
          </w:p>
        </w:tc>
        <w:tc>
          <w:tcPr>
            <w:tcW w:w="994" w:type="dxa"/>
            <w:tcMar>
              <w:top w:w="0" w:type="dxa"/>
              <w:left w:w="108" w:type="dxa"/>
              <w:bottom w:w="0" w:type="dxa"/>
              <w:right w:w="108" w:type="dxa"/>
            </w:tcMar>
            <w:vAlign w:val="center"/>
          </w:tcPr>
          <w:p w14:paraId="50B9F7AC">
            <w:pPr>
              <w:adjustRightInd w:val="0"/>
              <w:snapToGrid w:val="0"/>
              <w:spacing w:line="400" w:lineRule="exact"/>
              <w:jc w:val="center"/>
              <w:rPr>
                <w:rFonts w:ascii="宋体" w:hAnsi="宋体" w:cs="宋体"/>
                <w:color w:val="auto"/>
                <w:sz w:val="24"/>
                <w:szCs w:val="24"/>
              </w:rPr>
            </w:pPr>
          </w:p>
        </w:tc>
        <w:tc>
          <w:tcPr>
            <w:tcW w:w="615" w:type="dxa"/>
            <w:tcMar>
              <w:top w:w="0" w:type="dxa"/>
              <w:left w:w="108" w:type="dxa"/>
              <w:bottom w:w="0" w:type="dxa"/>
              <w:right w:w="108" w:type="dxa"/>
            </w:tcMar>
            <w:vAlign w:val="center"/>
          </w:tcPr>
          <w:p w14:paraId="3EB4B731">
            <w:pPr>
              <w:adjustRightInd w:val="0"/>
              <w:snapToGrid w:val="0"/>
              <w:spacing w:line="400" w:lineRule="exact"/>
              <w:jc w:val="center"/>
              <w:rPr>
                <w:rFonts w:ascii="宋体" w:hAnsi="宋体" w:cs="宋体"/>
                <w:color w:val="auto"/>
                <w:sz w:val="24"/>
                <w:szCs w:val="24"/>
              </w:rPr>
            </w:pPr>
            <w:r>
              <w:rPr>
                <w:rFonts w:hint="eastAsia" w:ascii="宋体" w:hAnsi="宋体" w:cs="宋体"/>
                <w:color w:val="auto"/>
                <w:sz w:val="24"/>
                <w:szCs w:val="24"/>
              </w:rPr>
              <w:t>100</w:t>
            </w:r>
          </w:p>
        </w:tc>
        <w:tc>
          <w:tcPr>
            <w:tcW w:w="7122" w:type="dxa"/>
            <w:tcMar>
              <w:top w:w="0" w:type="dxa"/>
              <w:left w:w="108" w:type="dxa"/>
              <w:bottom w:w="0" w:type="dxa"/>
              <w:right w:w="108" w:type="dxa"/>
            </w:tcMar>
            <w:vAlign w:val="center"/>
          </w:tcPr>
          <w:p w14:paraId="34EE4DF2">
            <w:pPr>
              <w:adjustRightInd w:val="0"/>
              <w:snapToGrid w:val="0"/>
              <w:spacing w:line="400" w:lineRule="exact"/>
              <w:jc w:val="center"/>
              <w:rPr>
                <w:rFonts w:ascii="宋体" w:hAnsi="宋体" w:cs="宋体"/>
                <w:color w:val="auto"/>
                <w:sz w:val="24"/>
                <w:szCs w:val="24"/>
              </w:rPr>
            </w:pPr>
          </w:p>
        </w:tc>
      </w:tr>
    </w:tbl>
    <w:p w14:paraId="3D0B9E39">
      <w:pPr>
        <w:snapToGrid w:val="0"/>
        <w:spacing w:line="276" w:lineRule="auto"/>
        <w:rPr>
          <w:rFonts w:ascii="宋体"/>
          <w:b/>
          <w:color w:val="auto"/>
        </w:rPr>
      </w:pPr>
      <w:r>
        <w:rPr>
          <w:rFonts w:hint="eastAsia" w:ascii="宋体"/>
          <w:b/>
          <w:color w:val="auto"/>
        </w:rPr>
        <w:t>说明：</w:t>
      </w:r>
    </w:p>
    <w:p w14:paraId="003D6C67">
      <w:pPr>
        <w:snapToGrid w:val="0"/>
        <w:spacing w:line="276" w:lineRule="auto"/>
        <w:rPr>
          <w:rFonts w:ascii="宋体"/>
          <w:b/>
          <w:color w:val="auto"/>
        </w:rPr>
      </w:pPr>
      <w:r>
        <w:rPr>
          <w:rFonts w:hint="eastAsia" w:ascii="宋体"/>
          <w:b/>
          <w:color w:val="auto"/>
        </w:rPr>
        <w:t>1、上述证明材料在响应文件中提供的复印件均须加盖供应商公章，否则，不予计分；</w:t>
      </w:r>
    </w:p>
    <w:p w14:paraId="0FBC1FD7">
      <w:pPr>
        <w:snapToGrid w:val="0"/>
        <w:spacing w:line="276" w:lineRule="auto"/>
        <w:rPr>
          <w:rFonts w:ascii="宋体"/>
          <w:b/>
          <w:color w:val="auto"/>
        </w:rPr>
      </w:pPr>
      <w:r>
        <w:rPr>
          <w:rFonts w:hint="eastAsia" w:ascii="宋体"/>
          <w:b/>
          <w:color w:val="auto"/>
        </w:rPr>
        <w:t>2、评委根据各供应商响应文件的技术方案，结合评标标准自主独立计分；</w:t>
      </w:r>
    </w:p>
    <w:p w14:paraId="6399302D">
      <w:pPr>
        <w:snapToGrid w:val="0"/>
        <w:spacing w:line="276" w:lineRule="auto"/>
        <w:rPr>
          <w:rFonts w:ascii="宋体"/>
          <w:b/>
          <w:color w:val="auto"/>
        </w:rPr>
      </w:pPr>
      <w:r>
        <w:rPr>
          <w:rFonts w:hint="eastAsia" w:ascii="宋体"/>
          <w:b/>
          <w:color w:val="auto"/>
        </w:rPr>
        <w:t>3、计算过程中，算术平均值保留2位小数（百分比亦取2位小数），第三位小数四舍五入；</w:t>
      </w:r>
    </w:p>
    <w:p w14:paraId="0CE6E2D4">
      <w:pPr>
        <w:snapToGrid w:val="0"/>
        <w:spacing w:line="276" w:lineRule="auto"/>
        <w:rPr>
          <w:rFonts w:ascii="宋体"/>
          <w:b/>
          <w:color w:val="auto"/>
        </w:rPr>
      </w:pPr>
      <w:r>
        <w:rPr>
          <w:rFonts w:hint="eastAsia" w:ascii="宋体"/>
          <w:b/>
          <w:color w:val="auto"/>
        </w:rPr>
        <w:t>4、以上证明材料如体现了有效期的，须在有效期内方可计分；</w:t>
      </w:r>
    </w:p>
    <w:p w14:paraId="1FD15D0D">
      <w:pPr>
        <w:snapToGrid w:val="0"/>
        <w:spacing w:line="276" w:lineRule="auto"/>
        <w:rPr>
          <w:rFonts w:asciiTheme="minorEastAsia" w:hAnsiTheme="minorEastAsia" w:eastAsiaTheme="minorEastAsia"/>
          <w:color w:val="auto"/>
          <w:sz w:val="24"/>
        </w:rPr>
      </w:pPr>
      <w:r>
        <w:rPr>
          <w:rFonts w:hint="eastAsia" w:ascii="宋体"/>
          <w:b/>
          <w:color w:val="auto"/>
        </w:rPr>
        <w:t>5、供应商不得提供虚假材料，如评标过程中查有虚假，则作无效标处理，如中标后查有虚假，则取消中标资格，接受相应处罚并承担相应的法律责任。</w:t>
      </w:r>
    </w:p>
    <w:p w14:paraId="46EC75CF">
      <w:pPr>
        <w:rPr>
          <w:rFonts w:asciiTheme="minorEastAsia" w:hAnsiTheme="minorEastAsia" w:eastAsiaTheme="minorEastAsia"/>
          <w:color w:val="auto"/>
          <w:sz w:val="24"/>
        </w:rPr>
      </w:pPr>
      <w:r>
        <w:rPr>
          <w:rFonts w:asciiTheme="minorEastAsia" w:hAnsiTheme="minorEastAsia" w:eastAsiaTheme="minorEastAsia"/>
          <w:color w:val="auto"/>
          <w:sz w:val="24"/>
        </w:rPr>
        <w:br w:type="page"/>
      </w:r>
    </w:p>
    <w:p w14:paraId="3496A0DD">
      <w:pPr>
        <w:snapToGrid w:val="0"/>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磋商须知正文</w:t>
      </w:r>
    </w:p>
    <w:p w14:paraId="3955C973">
      <w:pPr>
        <w:snapToGrid w:val="0"/>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一、说明</w:t>
      </w:r>
    </w:p>
    <w:p w14:paraId="6A3C45A8">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1.适用范围</w:t>
      </w:r>
    </w:p>
    <w:p w14:paraId="72F2F7D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1.1 本磋商文件仅适用于磋商须知前附表(以下简称</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中所叙述的采购项目。</w:t>
      </w:r>
    </w:p>
    <w:p w14:paraId="32CFC09F">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2.定义</w:t>
      </w:r>
    </w:p>
    <w:p w14:paraId="33C548BE">
      <w:pPr>
        <w:snapToGrid w:val="0"/>
        <w:spacing w:line="360" w:lineRule="auto"/>
        <w:ind w:firstLine="420"/>
        <w:rPr>
          <w:rFonts w:asciiTheme="minorEastAsia" w:hAnsiTheme="minorEastAsia" w:eastAsiaTheme="minorEastAsia"/>
          <w:b/>
          <w:color w:val="auto"/>
        </w:rPr>
      </w:pPr>
      <w:r>
        <w:rPr>
          <w:rFonts w:hint="eastAsia" w:asciiTheme="minorEastAsia" w:hAnsiTheme="minorEastAsia" w:eastAsiaTheme="minorEastAsia"/>
          <w:color w:val="auto"/>
        </w:rPr>
        <w:t>2.1 “采购人”是指依法进行政府采购的国家机关、事业单位、团体组织。本次政府采购的采购人名称、地址、电话、联系人见</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w:t>
      </w:r>
    </w:p>
    <w:p w14:paraId="559A9829">
      <w:pPr>
        <w:snapToGrid w:val="0"/>
        <w:spacing w:line="360" w:lineRule="auto"/>
        <w:ind w:firstLine="420"/>
        <w:rPr>
          <w:rFonts w:asciiTheme="minorEastAsia" w:hAnsiTheme="minorEastAsia" w:eastAsiaTheme="minorEastAsia"/>
          <w:b/>
          <w:color w:val="auto"/>
        </w:rPr>
      </w:pPr>
      <w:r>
        <w:rPr>
          <w:rFonts w:hint="eastAsia" w:asciiTheme="minorEastAsia" w:hAnsiTheme="minorEastAsia" w:eastAsiaTheme="minorEastAsia"/>
          <w:color w:val="auto"/>
        </w:rPr>
        <w:t>2.2 “采购代理机构”是指接受采购人委托，代理采购项目的集中采购机构和其他采购代理机构。本次政府采购的采购代理机构名称、地址、电话、联系人见</w:t>
      </w:r>
      <w:r>
        <w:rPr>
          <w:rFonts w:hint="eastAsia" w:asciiTheme="minorEastAsia" w:hAnsiTheme="minorEastAsia" w:eastAsiaTheme="minorEastAsia"/>
          <w:b/>
          <w:color w:val="auto"/>
        </w:rPr>
        <w:t>磋商须知前附表。</w:t>
      </w:r>
    </w:p>
    <w:p w14:paraId="72120E4F">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2.3 “供应商”是指响应磋商文件要求、参加竞争性磋商采购的法人、其他组织或者自然人。本次政府采购项目邀请的供应商通过</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所述方式，邀请符合资格条件的供应商提交响应文件（含资格证明资料），参与竞争性磋商采购活动。</w:t>
      </w:r>
    </w:p>
    <w:p w14:paraId="571856DC">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2.4 “磋商小组”是指依据财政部</w:t>
      </w:r>
      <w:r>
        <w:rPr>
          <w:rFonts w:asciiTheme="minorEastAsia" w:hAnsiTheme="minorEastAsia" w:eastAsiaTheme="minorEastAsia"/>
          <w:color w:val="auto"/>
        </w:rPr>
        <w:t>《</w:t>
      </w:r>
      <w:r>
        <w:rPr>
          <w:rFonts w:hint="eastAsia" w:asciiTheme="minorEastAsia" w:hAnsiTheme="minorEastAsia" w:eastAsiaTheme="minorEastAsia"/>
          <w:color w:val="auto"/>
        </w:rPr>
        <w:t>政府采购竞争性磋商采购方式管理暂行办法</w:t>
      </w:r>
      <w:r>
        <w:rPr>
          <w:rFonts w:asciiTheme="minorEastAsia" w:hAnsiTheme="minorEastAsia" w:eastAsiaTheme="minorEastAsia"/>
          <w:color w:val="auto"/>
        </w:rPr>
        <w:t>》</w:t>
      </w:r>
      <w:r>
        <w:rPr>
          <w:rFonts w:hint="eastAsia" w:asciiTheme="minorEastAsia" w:hAnsiTheme="minorEastAsia" w:eastAsiaTheme="minorEastAsia"/>
          <w:color w:val="auto"/>
        </w:rPr>
        <w:t>有关规定组建，依法依规履行其职责和义务的机构。</w:t>
      </w:r>
    </w:p>
    <w:p w14:paraId="02A51489">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2.5 “货物”是指各种形态和种类的物品，包括原资料、燃料、设备、产品等，详见《政府采购品目分类目录》(</w:t>
      </w:r>
      <w:r>
        <w:rPr>
          <w:rFonts w:asciiTheme="minorEastAsia" w:hAnsiTheme="minorEastAsia" w:eastAsiaTheme="minorEastAsia"/>
          <w:color w:val="auto"/>
        </w:rPr>
        <w:t>财库[2013]189号</w:t>
      </w:r>
      <w:r>
        <w:rPr>
          <w:rFonts w:hint="eastAsia" w:asciiTheme="minorEastAsia" w:hAnsiTheme="minorEastAsia" w:eastAsiaTheme="minorEastAsia"/>
          <w:color w:val="auto"/>
        </w:rPr>
        <w:t>)。</w:t>
      </w:r>
    </w:p>
    <w:p w14:paraId="2183763E">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2.6 “工程”是指建设工程，包括建筑物和构筑物的新建、改建、扩建、装修、拆除、修缮等，详见《政府采购品目分类目录》(</w:t>
      </w:r>
      <w:r>
        <w:rPr>
          <w:rFonts w:asciiTheme="minorEastAsia" w:hAnsiTheme="minorEastAsia" w:eastAsiaTheme="minorEastAsia"/>
          <w:color w:val="auto"/>
        </w:rPr>
        <w:t>财库[2013]189号</w:t>
      </w:r>
      <w:r>
        <w:rPr>
          <w:rFonts w:hint="eastAsia" w:asciiTheme="minorEastAsia" w:hAnsiTheme="minorEastAsia" w:eastAsiaTheme="minorEastAsia"/>
          <w:color w:val="auto"/>
        </w:rPr>
        <w:t>)。</w:t>
      </w:r>
    </w:p>
    <w:p w14:paraId="026FACC6">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2.7 “服务”是指除货物和工程以外的其他政府采购对象，详见《政府采购品目分类目录》(</w:t>
      </w:r>
      <w:r>
        <w:rPr>
          <w:rFonts w:asciiTheme="minorEastAsia" w:hAnsiTheme="minorEastAsia" w:eastAsiaTheme="minorEastAsia"/>
          <w:color w:val="auto"/>
        </w:rPr>
        <w:t>财库[2013]189号</w:t>
      </w:r>
      <w:r>
        <w:rPr>
          <w:rFonts w:hint="eastAsia" w:asciiTheme="minorEastAsia" w:hAnsiTheme="minorEastAsia" w:eastAsiaTheme="minorEastAsia"/>
          <w:color w:val="auto"/>
        </w:rPr>
        <w:t>)。</w:t>
      </w:r>
    </w:p>
    <w:p w14:paraId="5D1AB416">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2.8 “节能产品”或者“环保产品”是指财政部发布的《节能产品政府采购清单》或者《环境标志产品政府采购清单》的产品，“两型产品”是指湖南省财政厅发布的</w:t>
      </w:r>
      <w:r>
        <w:rPr>
          <w:rFonts w:asciiTheme="minorEastAsia" w:hAnsiTheme="minorEastAsia" w:eastAsiaTheme="minorEastAsia"/>
          <w:color w:val="auto"/>
        </w:rPr>
        <w:t>《湖南省两型产品政府采购目录》</w:t>
      </w:r>
      <w:r>
        <w:rPr>
          <w:rFonts w:hint="eastAsia" w:asciiTheme="minorEastAsia" w:hAnsiTheme="minorEastAsia" w:eastAsiaTheme="minorEastAsia"/>
          <w:color w:val="auto"/>
        </w:rPr>
        <w:t>和《长沙市两型产品目录》的产品。</w:t>
      </w:r>
    </w:p>
    <w:p w14:paraId="640A8781">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2.9 “进口产品”是指通过中国海关报关验放进入中国境内且产自关境外的产品，详见《</w:t>
      </w:r>
      <w:r>
        <w:rPr>
          <w:rFonts w:asciiTheme="minorEastAsia" w:hAnsiTheme="minorEastAsia" w:eastAsiaTheme="minorEastAsia"/>
          <w:color w:val="auto"/>
        </w:rPr>
        <w:t>关于政府采购进口产品管理有关问题的通知</w:t>
      </w:r>
      <w:r>
        <w:rPr>
          <w:rFonts w:hint="eastAsia" w:asciiTheme="minorEastAsia" w:hAnsiTheme="minorEastAsia" w:eastAsiaTheme="minorEastAsia"/>
          <w:color w:val="auto"/>
        </w:rPr>
        <w:t>》(财库[2007]119号)。</w:t>
      </w:r>
    </w:p>
    <w:p w14:paraId="5AA04297">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3.供应商的资格要求</w:t>
      </w:r>
    </w:p>
    <w:p w14:paraId="5B0AEB34">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3.1 供应商应当符合</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中规定的资格条件要求。</w:t>
      </w:r>
    </w:p>
    <w:p w14:paraId="08ECE727">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 xml:space="preserve">3.2供应商为联合体形式的，除应满足本章第3.1款资格条件要求及第3.3款规定外，还应遵守以下规定： </w:t>
      </w:r>
    </w:p>
    <w:p w14:paraId="682624CE">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（1）联合体各方应按磋商文件提供的格式签订联合体协议书，明确联合体牵头人和各方权利义务(含承担工作及工作量比例)；</w:t>
      </w:r>
    </w:p>
    <w:p w14:paraId="1572113B">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（2）联合体中有同类资质的供应商按照联合体分工承担相同工作的，应当按照资质等级较低的供应商确定资质等级；</w:t>
      </w:r>
    </w:p>
    <w:p w14:paraId="50A51654">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（3）以联合体形式参加政府采购活动的，联合体各方不得再单独参加或者与其他供应商另外组成</w:t>
      </w:r>
    </w:p>
    <w:p w14:paraId="7893E939">
      <w:pPr>
        <w:snapToGrid w:val="0"/>
        <w:spacing w:line="360" w:lineRule="auto"/>
        <w:jc w:val="left"/>
        <w:rPr>
          <w:rFonts w:asciiTheme="minorEastAsia" w:hAnsiTheme="minorEastAsia" w:eastAsiaTheme="minorEastAsia"/>
          <w:color w:val="auto"/>
        </w:rPr>
      </w:pPr>
      <w:r>
        <w:rPr>
          <w:rFonts w:hint="eastAsia" w:asciiTheme="minorEastAsia" w:hAnsiTheme="minorEastAsia" w:eastAsiaTheme="minorEastAsia"/>
          <w:color w:val="auto"/>
        </w:rPr>
        <w:t>联合体参加同一合同项下的政府采购活动。</w:t>
      </w:r>
    </w:p>
    <w:p w14:paraId="65354E7E">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3.3 供应商不得存在下列情形之一：</w:t>
      </w:r>
    </w:p>
    <w:p w14:paraId="540D0ED6">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（l）与采购人、采购代理机构存在隶属关系或者其他利害关系。</w:t>
      </w:r>
    </w:p>
    <w:p w14:paraId="2ED84C66">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（2）与其他供应商的法定代表人（或者负责人）为同一人，或者与其他供应商存在直接控股、管理关系。</w:t>
      </w:r>
    </w:p>
    <w:p w14:paraId="5EE68EF2">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受到刑事处罚，或者受到较大金额以上的罚款、责令停产停业、在一至三年内禁止参加政府采购活动、暂扣或者吊销许可证、暂扣或者吊销执照等情形之一的行政处罚，或者存在财政部门认定的其他重大违法记录。</w:t>
      </w:r>
    </w:p>
    <w:p w14:paraId="78041AD2">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 xml:space="preserve">4.参与磋商的费用 </w:t>
      </w:r>
    </w:p>
    <w:p w14:paraId="4C29A5B7">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4.1 无论磋商的结果如何，供应商应自行承担所有与竞争性磋商采购活动有关的全部费用。</w:t>
      </w:r>
    </w:p>
    <w:p w14:paraId="09F46E9B">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5．授权委托</w:t>
      </w:r>
    </w:p>
    <w:p w14:paraId="1D8C0CDF">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5.1供应商代表为供应商法定代表人的，应持有法定代表人身份证明。供应商代表不是供应商法定代表人的，应持有法定代表人授权书，并附法定代表人身份证明。</w:t>
      </w:r>
    </w:p>
    <w:p w14:paraId="56812761">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6．联合体形式</w:t>
      </w:r>
    </w:p>
    <w:p w14:paraId="1E3AA2B3">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6.1除</w:t>
      </w:r>
      <w:r>
        <w:rPr>
          <w:rFonts w:asciiTheme="minorEastAsia" w:hAnsiTheme="minorEastAsia" w:eastAsiaTheme="minorEastAsia"/>
          <w:b/>
          <w:color w:val="auto"/>
        </w:rPr>
        <w:t>磋商须知前附表</w:t>
      </w:r>
      <w:r>
        <w:rPr>
          <w:rFonts w:asciiTheme="minorEastAsia" w:hAnsiTheme="minorEastAsia" w:eastAsiaTheme="minorEastAsia"/>
          <w:color w:val="auto"/>
        </w:rPr>
        <w:t>中另有规定，本次磋商采购不接受为联合体形式的供应商。</w:t>
      </w:r>
    </w:p>
    <w:p w14:paraId="6BC660FB">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6.2供应商为联合体形式的，除应符合本章第3条规定外，还应遵守以下规定：</w:t>
      </w:r>
    </w:p>
    <w:p w14:paraId="314956BB">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（l）联合体各方必须签订联合体协议书，明确联合体牵头人和各方的义务、工作、合同工作量比例；</w:t>
      </w:r>
    </w:p>
    <w:p w14:paraId="0E5876BD">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（2）联合体各方均应当符合本章第3.1款规定的供应商基本资格条件；</w:t>
      </w:r>
    </w:p>
    <w:p w14:paraId="61BE07ED">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（3）除</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中另有规定，联合体各方中至少有一方应当符合本章第3.1款规定的供应商特定资格条件；</w:t>
      </w:r>
    </w:p>
    <w:p w14:paraId="42D4E69D">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（4）联合体各方不得再单独或与其他供应商组成新的联合体参加同一项目的采购活动。</w:t>
      </w:r>
    </w:p>
    <w:p w14:paraId="7EE2581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7.现场勘察</w:t>
      </w:r>
    </w:p>
    <w:p w14:paraId="58D45D2A">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7.1供应商应按</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中规定对采购项目现场和周围环境的现场考察。</w:t>
      </w:r>
    </w:p>
    <w:p w14:paraId="2F463A7C">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7.2勘察现场的费用由供应商自己承担，勘察期间所发生的人身伤害及财产损失由供应商自己负责。</w:t>
      </w:r>
    </w:p>
    <w:p w14:paraId="31C56512">
      <w:pPr>
        <w:snapToGrid w:val="0"/>
        <w:spacing w:line="360" w:lineRule="auto"/>
        <w:ind w:firstLine="420"/>
        <w:jc w:val="left"/>
        <w:rPr>
          <w:rFonts w:asciiTheme="minorEastAsia" w:hAnsiTheme="minorEastAsia" w:eastAsiaTheme="minorEastAsia"/>
          <w:b/>
          <w:color w:val="auto"/>
        </w:rPr>
      </w:pPr>
      <w:r>
        <w:rPr>
          <w:rFonts w:hint="eastAsia" w:asciiTheme="minorEastAsia" w:hAnsiTheme="minorEastAsia" w:eastAsiaTheme="minorEastAsia"/>
          <w:color w:val="auto"/>
        </w:rPr>
        <w:t>7.3采购人不对供应商据此而做出的推论、理解和结论负责。一旦成交，供应商不得以任何借口，提出额外补偿，或延长合同期限的要求。</w:t>
      </w:r>
    </w:p>
    <w:p w14:paraId="734A8398">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8.采购进口产品</w:t>
      </w:r>
    </w:p>
    <w:p w14:paraId="2DE5E203">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8.1除</w:t>
      </w:r>
      <w:r>
        <w:rPr>
          <w:rFonts w:hint="eastAsia" w:asciiTheme="minorEastAsia" w:hAnsiTheme="minorEastAsia" w:eastAsiaTheme="minorEastAsia"/>
          <w:b/>
          <w:color w:val="auto"/>
        </w:rPr>
        <w:t>磋商文件前附表</w:t>
      </w:r>
      <w:r>
        <w:rPr>
          <w:rFonts w:hint="eastAsia" w:asciiTheme="minorEastAsia" w:hAnsiTheme="minorEastAsia" w:eastAsiaTheme="minorEastAsia"/>
          <w:color w:val="auto"/>
        </w:rPr>
        <w:t>另有规定外，本项目拒绝进口产品参加竞争性磋商采购活动。</w:t>
      </w:r>
    </w:p>
    <w:p w14:paraId="6A418CA5">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8.2本章第7.1款规定同意购买进口产品的，本项目采购活动不限制满足磋商文件要求的国内产品参与竞争性磋商。</w:t>
      </w:r>
    </w:p>
    <w:p w14:paraId="477527F0">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9. 政府采购政策支持</w:t>
      </w:r>
    </w:p>
    <w:p w14:paraId="14E3136C">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9.1对列入财政部、国家发展改革委发布的《节能产品政府采购清单》且属于应当“强制采购的节能产品”，按照规定实行强制采购。实行政府采购强制采购的节能产品见</w:t>
      </w:r>
      <w:r>
        <w:rPr>
          <w:rFonts w:hint="eastAsia" w:asciiTheme="minorEastAsia" w:hAnsiTheme="minorEastAsia" w:eastAsiaTheme="minorEastAsia"/>
          <w:b/>
          <w:color w:val="auto"/>
        </w:rPr>
        <w:t>磋商文件前附表。</w:t>
      </w:r>
    </w:p>
    <w:p w14:paraId="5A7089FB">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9.2对列入财政部、国家发展改革委发布的《节能产品政府采购清单》的“非强制采购节能产品”，财政部、环境保护部发布的《环境标志产品政府采购清单》的“环境标志产品”，湖南省财政厅、湖南省科学技术厅、湖南省长株潭“两型社会”试验区建设管理委员会发布的《湖南省两型产品政府采购目录》和《长沙市两型产品目录》的“两型产品”以及中小企业，实行优先采购，按照省级以上财政部门有关政策规定，评审时进行价格扣除或加分。实行政府采购优先采购的优惠率见</w:t>
      </w:r>
      <w:r>
        <w:rPr>
          <w:rFonts w:asciiTheme="minorEastAsia" w:hAnsiTheme="minorEastAsia" w:eastAsiaTheme="minorEastAsia"/>
          <w:b/>
          <w:color w:val="auto"/>
        </w:rPr>
        <w:t>磋商文件前附表。</w:t>
      </w:r>
    </w:p>
    <w:p w14:paraId="49BBB2A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9.3产品同时属于“非强制采购节能产品”、“环境标志产品”及“两型产品”的，评审时只有其中一项能享受优先待遇(供应商自行选择，并在报价文件中并填报相关信息及数据)；中小企业可以与同时属于“非强制采购节能产品”、“环境标志产品”及“两型产品”中的一项重复计算。</w:t>
      </w:r>
    </w:p>
    <w:p w14:paraId="2904923B">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9.4同一项目中部分产品属于优先采购政策的，评审时只对该部分产品的报价实行价格扣除及加分。</w:t>
      </w:r>
    </w:p>
    <w:p w14:paraId="589A86E9">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9.5符合本章第9.1款、第9.2款规定的，应提供相关证明资料。</w:t>
      </w:r>
    </w:p>
    <w:p w14:paraId="641FDEFE">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9.6供应商有融资、担保需求的，具体办理流程可向</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所列金融机构和担保机构询问。</w:t>
      </w:r>
    </w:p>
    <w:p w14:paraId="78F5CE22">
      <w:pPr>
        <w:snapToGrid w:val="0"/>
        <w:spacing w:line="360" w:lineRule="auto"/>
        <w:ind w:left="790" w:hanging="790"/>
        <w:rPr>
          <w:rFonts w:asciiTheme="minorEastAsia" w:hAnsiTheme="minorEastAsia" w:eastAsiaTheme="minorEastAsia"/>
          <w:color w:val="auto"/>
        </w:rPr>
      </w:pPr>
      <w:r>
        <w:rPr>
          <w:rFonts w:hint="eastAsia" w:asciiTheme="minorEastAsia" w:hAnsiTheme="minorEastAsia" w:eastAsiaTheme="minorEastAsia"/>
          <w:color w:val="auto"/>
        </w:rPr>
        <w:t>二、磋商文件</w:t>
      </w:r>
    </w:p>
    <w:p w14:paraId="30A488A2">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10．磋商文件的组成</w:t>
      </w:r>
    </w:p>
    <w:p w14:paraId="4F55D3B2">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10.1 磋商文件由下列文件组成：</w:t>
      </w:r>
    </w:p>
    <w:p w14:paraId="369BD3C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第一章 磋商邀请</w:t>
      </w:r>
    </w:p>
    <w:p w14:paraId="775D21CF">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第二章 磋商须知</w:t>
      </w:r>
    </w:p>
    <w:p w14:paraId="2F226222">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第三章 政府采购合同格式条款</w:t>
      </w:r>
    </w:p>
    <w:p w14:paraId="208FE380">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第四章 采购需求</w:t>
      </w:r>
    </w:p>
    <w:p w14:paraId="4A4AB2C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第五章 响应文件组成</w:t>
      </w:r>
    </w:p>
    <w:p w14:paraId="607C5ACA">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10.2磋商小组根据与供应商磋商情况可能实质性变动的内容，包括采购需求中的技术、服务要求以及合同条款，在</w:t>
      </w:r>
      <w:r>
        <w:rPr>
          <w:rFonts w:asciiTheme="minorEastAsia" w:hAnsiTheme="minorEastAsia" w:eastAsiaTheme="minorEastAsia"/>
          <w:b/>
          <w:color w:val="auto"/>
        </w:rPr>
        <w:t>磋商须知前附表</w:t>
      </w:r>
      <w:r>
        <w:rPr>
          <w:rFonts w:asciiTheme="minorEastAsia" w:hAnsiTheme="minorEastAsia" w:eastAsiaTheme="minorEastAsia"/>
          <w:color w:val="auto"/>
        </w:rPr>
        <w:t>中明确。</w:t>
      </w:r>
    </w:p>
    <w:p w14:paraId="4527D45A">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10.3供应商应仔细阅读磋商文件的全部内容，按照磋商文件要求编制响应文件。任何对磋商文件的忽略或误解不能作为响应文件存在缺陷或瑕疵的理由，其风险由供应商承担。</w:t>
      </w:r>
    </w:p>
    <w:p w14:paraId="6BCFA920">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11. 磋商文件的提供期限</w:t>
      </w:r>
    </w:p>
    <w:p w14:paraId="2E018EEA">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11.1磋商文件的提供期限自开始发出之日起不得少于五个工作日。具体提供期限见</w:t>
      </w:r>
      <w:r>
        <w:rPr>
          <w:rFonts w:hint="eastAsia" w:asciiTheme="minorEastAsia" w:hAnsiTheme="minorEastAsia" w:eastAsiaTheme="minorEastAsia"/>
          <w:b/>
          <w:color w:val="auto"/>
        </w:rPr>
        <w:t>磋商文件前附表</w:t>
      </w:r>
      <w:r>
        <w:rPr>
          <w:rFonts w:hint="eastAsia" w:asciiTheme="minorEastAsia" w:hAnsiTheme="minorEastAsia" w:eastAsiaTheme="minorEastAsia"/>
          <w:color w:val="auto"/>
        </w:rPr>
        <w:t>。</w:t>
      </w:r>
    </w:p>
    <w:p w14:paraId="1DBB2BDF">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11.2供应商应持</w:t>
      </w:r>
      <w:r>
        <w:rPr>
          <w:rFonts w:hint="eastAsia" w:asciiTheme="minorEastAsia" w:hAnsiTheme="minorEastAsia" w:eastAsiaTheme="minorEastAsia"/>
          <w:b/>
          <w:color w:val="auto"/>
        </w:rPr>
        <w:t>磋商文件前附表</w:t>
      </w:r>
      <w:r>
        <w:rPr>
          <w:rFonts w:hint="eastAsia" w:asciiTheme="minorEastAsia" w:hAnsiTheme="minorEastAsia" w:eastAsiaTheme="minorEastAsia"/>
          <w:color w:val="auto"/>
        </w:rPr>
        <w:t>规定的资料领取或购买磋商文件。</w:t>
      </w:r>
    </w:p>
    <w:p w14:paraId="4305AF8D">
      <w:pPr>
        <w:snapToGrid w:val="0"/>
        <w:spacing w:line="360" w:lineRule="auto"/>
        <w:rPr>
          <w:rFonts w:asciiTheme="minorEastAsia" w:hAnsiTheme="minorEastAsia" w:eastAsiaTheme="minorEastAsia"/>
          <w:color w:val="auto"/>
        </w:rPr>
      </w:pPr>
      <w:r>
        <w:rPr>
          <w:rFonts w:asciiTheme="minorEastAsia" w:hAnsiTheme="minorEastAsia" w:eastAsiaTheme="minorEastAsia"/>
          <w:b/>
          <w:color w:val="auto"/>
        </w:rPr>
        <w:t>12.提交首次响应文件的截止时间</w:t>
      </w:r>
    </w:p>
    <w:p w14:paraId="2578C07C">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12.1供应商提交首次响应文件截止时间见</w:t>
      </w:r>
      <w:r>
        <w:rPr>
          <w:rFonts w:asciiTheme="minorEastAsia" w:hAnsiTheme="minorEastAsia" w:eastAsiaTheme="minorEastAsia"/>
          <w:b/>
          <w:color w:val="auto"/>
        </w:rPr>
        <w:t>磋商须知前附表</w:t>
      </w:r>
      <w:r>
        <w:rPr>
          <w:rFonts w:asciiTheme="minorEastAsia" w:hAnsiTheme="minorEastAsia" w:eastAsiaTheme="minorEastAsia"/>
          <w:color w:val="auto"/>
        </w:rPr>
        <w:t>。</w:t>
      </w:r>
    </w:p>
    <w:p w14:paraId="59D7B16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13.磋商文件的澄清或者修改</w:t>
      </w:r>
    </w:p>
    <w:p w14:paraId="57625CCE">
      <w:pPr>
        <w:snapToGrid w:val="0"/>
        <w:spacing w:line="360" w:lineRule="auto"/>
        <w:ind w:right="-105" w:firstLine="420"/>
        <w:rPr>
          <w:rFonts w:asciiTheme="minorEastAsia" w:hAnsiTheme="minorEastAsia" w:eastAsiaTheme="minorEastAsia"/>
          <w:color w:val="auto"/>
        </w:rPr>
      </w:pPr>
      <w:r>
        <w:rPr>
          <w:rFonts w:hint="eastAsia" w:asciiTheme="minorEastAsia" w:hAnsiTheme="minorEastAsia" w:eastAsiaTheme="minorEastAsia"/>
          <w:color w:val="auto"/>
        </w:rPr>
        <w:t xml:space="preserve">13.1在提交首次响应文件截止之日前，采购人、采购代理机构可以对已发出的磋商文件进行必要的澄清或者修改。 </w:t>
      </w:r>
    </w:p>
    <w:p w14:paraId="150753FC">
      <w:pPr>
        <w:snapToGrid w:val="0"/>
        <w:spacing w:line="360" w:lineRule="auto"/>
        <w:ind w:right="-105" w:firstLine="420"/>
        <w:rPr>
          <w:rFonts w:asciiTheme="minorEastAsia" w:hAnsiTheme="minorEastAsia" w:eastAsiaTheme="minorEastAsia"/>
          <w:color w:val="auto"/>
        </w:rPr>
      </w:pPr>
      <w:r>
        <w:rPr>
          <w:rFonts w:hint="eastAsia" w:asciiTheme="minorEastAsia" w:hAnsiTheme="minorEastAsia" w:eastAsiaTheme="minorEastAsia"/>
          <w:color w:val="auto"/>
        </w:rPr>
        <w:t>13.2澄清或者修改的内容可能影响响应文件编制的，采购人、采购代理机构应当在提交首次响应文件截止之日3个工作日前，以书面形式通知所有接收磋商文件的供应商，不足3个工作日的，顺延供应商提交首次响应文件截止时间。</w:t>
      </w:r>
    </w:p>
    <w:p w14:paraId="6E0902F2">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13.2提交首次响应文件截止时间前对磋商文件澄清或者修改内容，为磋商文件的组成部分。</w:t>
      </w:r>
    </w:p>
    <w:p w14:paraId="10096EB1">
      <w:pPr>
        <w:snapToGrid w:val="0"/>
        <w:spacing w:line="360" w:lineRule="auto"/>
        <w:ind w:left="790" w:hanging="790"/>
        <w:rPr>
          <w:rFonts w:asciiTheme="minorEastAsia" w:hAnsiTheme="minorEastAsia" w:eastAsiaTheme="minorEastAsia"/>
          <w:color w:val="auto"/>
        </w:rPr>
      </w:pPr>
      <w:r>
        <w:rPr>
          <w:rFonts w:hint="eastAsia" w:asciiTheme="minorEastAsia" w:hAnsiTheme="minorEastAsia" w:eastAsiaTheme="minorEastAsia"/>
          <w:color w:val="auto"/>
        </w:rPr>
        <w:t>三、响应文件</w:t>
      </w:r>
    </w:p>
    <w:p w14:paraId="5474D2C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14.一般要求</w:t>
      </w:r>
    </w:p>
    <w:p w14:paraId="525F0E58">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14.1 供应商应仔细阅读磋商文件的所有内容，按磋商文件的要求编制响应文件，并保证所提供的全部资料的真实性，以使其响应文件对磋商文件做出实质性的响应。</w:t>
      </w:r>
    </w:p>
    <w:p w14:paraId="1755253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14.2 供应商提交的响应文件及供应商与采购人或采购代理机构、磋商小组就有关磋商的所有来往函电均使用中文。供应商可以提交其它语言的资料，但应附中文注释，在有差异时以中文为准。</w:t>
      </w:r>
    </w:p>
    <w:p w14:paraId="008493F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14.3 计量单位应使用我国法定计量单位，未列明时应默认为我国法定计量单位。</w:t>
      </w:r>
    </w:p>
    <w:p w14:paraId="028AC543">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14.4 响应文件应采用书面形式，电报、传真、电子邮件形式的响应文件概不接受。</w:t>
      </w:r>
    </w:p>
    <w:p w14:paraId="39AA7561">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14.5 供应商应按磋商文件中提供的响应文件格式填写。</w:t>
      </w:r>
    </w:p>
    <w:p w14:paraId="30A06372">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15.响应文件的组成</w:t>
      </w:r>
    </w:p>
    <w:p w14:paraId="5EFFD1E8">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 xml:space="preserve">15.1 响应文件包括下列内容： </w:t>
      </w:r>
    </w:p>
    <w:p w14:paraId="50B96587">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（1）磋商响应声明</w:t>
      </w:r>
    </w:p>
    <w:p w14:paraId="1B70068B">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（2）投标承诺</w:t>
      </w:r>
    </w:p>
    <w:p w14:paraId="58B2C2EE">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（3）供应商的资格证明文件</w:t>
      </w:r>
    </w:p>
    <w:p w14:paraId="01D5777D">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（4）施工方案</w:t>
      </w:r>
    </w:p>
    <w:p w14:paraId="0B48A0AB">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（5）技术/商务响应与偏离表</w:t>
      </w:r>
    </w:p>
    <w:p w14:paraId="6E58DE2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（6）提供政府采购政策产品等证明材料</w:t>
      </w:r>
    </w:p>
    <w:p w14:paraId="044A901F">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（7）报价一览表及报价文件</w:t>
      </w:r>
    </w:p>
    <w:p w14:paraId="05B5ABDE">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（8）供应商认为需要提供的其它资料</w:t>
      </w:r>
    </w:p>
    <w:p w14:paraId="21ED6785">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（9）最后报价</w:t>
      </w:r>
    </w:p>
    <w:p w14:paraId="52B58C53">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15.2在磋商过程中，供应商根据磋商小组书面形式要求提交的最后报价(或者重新提交的响应文件和最后报价)是响应文件的有效组成部分。</w:t>
      </w:r>
    </w:p>
    <w:p w14:paraId="0C40E09F">
      <w:pPr>
        <w:snapToGrid w:val="0"/>
        <w:spacing w:line="360" w:lineRule="auto"/>
        <w:ind w:firstLine="420"/>
        <w:rPr>
          <w:rFonts w:asciiTheme="minorEastAsia" w:hAnsiTheme="minorEastAsia" w:eastAsiaTheme="minorEastAsia"/>
          <w:b/>
          <w:color w:val="auto"/>
        </w:rPr>
      </w:pPr>
      <w:r>
        <w:rPr>
          <w:rFonts w:hint="eastAsia" w:asciiTheme="minorEastAsia" w:hAnsiTheme="minorEastAsia" w:eastAsiaTheme="minorEastAsia"/>
          <w:color w:val="auto"/>
        </w:rPr>
        <w:t>15.3磋商文件规定可能发生实质性变动的，供应商应当在《技术/商务响应与偏离表》中对应内容注明。</w:t>
      </w:r>
    </w:p>
    <w:p w14:paraId="4FD16F3D">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15.4根据《政府采购法》第四十二条的规定，供应商无论成交与否，其响应文件不予退还。</w:t>
      </w:r>
    </w:p>
    <w:p w14:paraId="2B0FD1CC">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16.报价</w:t>
      </w:r>
    </w:p>
    <w:p w14:paraId="7A66B9C1">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16.1供应商应当根据磋商文件要求和范围，以人民币报价，以元为单位，保留小数点后两位。</w:t>
      </w:r>
    </w:p>
    <w:p w14:paraId="1BD47A8F">
      <w:pPr>
        <w:widowControl/>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16.2供应商应按第五章 响应文件组成格式填写。</w:t>
      </w:r>
    </w:p>
    <w:p w14:paraId="4F4F1BED">
      <w:pPr>
        <w:widowControl/>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16.3响应文件中标明的价格在合同执行过程中是固定不变的，不得以任何理由予以变更。以可变动价格提交的报价将被认为是非实质响应而被拒绝。</w:t>
      </w:r>
    </w:p>
    <w:p w14:paraId="4DD64713">
      <w:pPr>
        <w:widowControl/>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16.4供应商的报价不得超过采购项目预算，采购项目预算或其计算方法见磋商须知前附表。</w:t>
      </w:r>
    </w:p>
    <w:p w14:paraId="1E35DAAC">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17.供应商符合磋商文件规定的证明文件</w:t>
      </w:r>
    </w:p>
    <w:p w14:paraId="061F2E29">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17.1供应商应提交满足本章第3.1款规定的资格条件要求的证明文件,该证明文件作为响应文件的一部分。</w:t>
      </w:r>
    </w:p>
    <w:p w14:paraId="34EECADF">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17.2如果供应商为联合体，则应提交联合体各方资格证明文件、联合体协议。否则，在评审时将其视为无效响应。</w:t>
      </w:r>
    </w:p>
    <w:p w14:paraId="7143FB6B">
      <w:pPr>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17.3 除</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另有规定外，供应商提供的货物及服务不是供应商制造或拥有的，则必须提供经销、或代理采购货物、或采购货物提供售后服务的证明文件。</w:t>
      </w:r>
    </w:p>
    <w:p w14:paraId="4F5B2886">
      <w:pPr>
        <w:snapToGrid w:val="0"/>
        <w:spacing w:before="120"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18．样品提供</w:t>
      </w:r>
    </w:p>
    <w:p w14:paraId="6FA5EE98">
      <w:pPr>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 xml:space="preserve">18.1 </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规定供应商在磋商时提供样品的，供应商</w:t>
      </w:r>
      <w:r>
        <w:rPr>
          <w:rFonts w:asciiTheme="minorEastAsia" w:hAnsiTheme="minorEastAsia" w:eastAsiaTheme="minorEastAsia"/>
          <w:color w:val="auto"/>
        </w:rPr>
        <w:t>有以下情形之一的</w:t>
      </w:r>
      <w:r>
        <w:rPr>
          <w:rFonts w:hint="eastAsia" w:asciiTheme="minorEastAsia" w:hAnsiTheme="minorEastAsia" w:eastAsiaTheme="minorEastAsia"/>
          <w:color w:val="auto"/>
        </w:rPr>
        <w:t>，在评审时将其视为无效响应。</w:t>
      </w:r>
    </w:p>
    <w:p w14:paraId="406D53F0">
      <w:pPr>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（1）未在</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规定的提交时间、地点提交</w:t>
      </w:r>
      <w:r>
        <w:rPr>
          <w:rFonts w:asciiTheme="minorEastAsia" w:hAnsiTheme="minorEastAsia" w:eastAsiaTheme="minorEastAsia"/>
          <w:color w:val="auto"/>
        </w:rPr>
        <w:t>的</w:t>
      </w:r>
      <w:r>
        <w:rPr>
          <w:rFonts w:hint="eastAsia" w:asciiTheme="minorEastAsia" w:hAnsiTheme="minorEastAsia" w:eastAsiaTheme="minorEastAsia"/>
          <w:color w:val="auto"/>
        </w:rPr>
        <w:t>；</w:t>
      </w:r>
    </w:p>
    <w:p w14:paraId="2A9765B4">
      <w:pPr>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（2）供应商提供的样品与磋商文件中要求提供样品的型号、规格不一致</w:t>
      </w:r>
      <w:r>
        <w:rPr>
          <w:rFonts w:asciiTheme="minorEastAsia" w:hAnsiTheme="minorEastAsia" w:eastAsiaTheme="minorEastAsia"/>
          <w:color w:val="auto"/>
        </w:rPr>
        <w:t>的</w:t>
      </w:r>
      <w:r>
        <w:rPr>
          <w:rFonts w:hint="eastAsia" w:asciiTheme="minorEastAsia" w:hAnsiTheme="minorEastAsia" w:eastAsiaTheme="minorEastAsia"/>
          <w:color w:val="auto"/>
        </w:rPr>
        <w:t>。</w:t>
      </w:r>
    </w:p>
    <w:p w14:paraId="5C91610B">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19.</w:t>
      </w:r>
      <w:r>
        <w:rPr>
          <w:rFonts w:hint="eastAsia" w:asciiTheme="minorEastAsia" w:hAnsiTheme="minorEastAsia" w:eastAsiaTheme="minorEastAsia"/>
          <w:color w:val="auto"/>
        </w:rPr>
        <w:t xml:space="preserve"> </w:t>
      </w:r>
      <w:r>
        <w:rPr>
          <w:rFonts w:hint="eastAsia" w:asciiTheme="minorEastAsia" w:hAnsiTheme="minorEastAsia" w:eastAsiaTheme="minorEastAsia"/>
          <w:b/>
          <w:color w:val="auto"/>
        </w:rPr>
        <w:t>磋商保证金</w:t>
      </w:r>
    </w:p>
    <w:p w14:paraId="134CE5C0">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19.1</w:t>
      </w:r>
      <w:r>
        <w:rPr>
          <w:rFonts w:asciiTheme="minorEastAsia" w:hAnsiTheme="minorEastAsia" w:eastAsiaTheme="minorEastAsia"/>
          <w:b/>
          <w:color w:val="auto"/>
        </w:rPr>
        <w:t>磋商须知前附表</w:t>
      </w:r>
      <w:r>
        <w:rPr>
          <w:rFonts w:asciiTheme="minorEastAsia" w:hAnsiTheme="minorEastAsia" w:eastAsiaTheme="minorEastAsia"/>
          <w:color w:val="auto"/>
        </w:rPr>
        <w:t>规定交纳磋商保证金的，应按</w:t>
      </w:r>
      <w:r>
        <w:rPr>
          <w:rFonts w:asciiTheme="minorEastAsia" w:hAnsiTheme="minorEastAsia" w:eastAsiaTheme="minorEastAsia"/>
          <w:b/>
          <w:color w:val="auto"/>
        </w:rPr>
        <w:t>磋商须知前附表</w:t>
      </w:r>
      <w:r>
        <w:rPr>
          <w:rFonts w:asciiTheme="minorEastAsia" w:hAnsiTheme="minorEastAsia" w:eastAsiaTheme="minorEastAsia"/>
          <w:color w:val="auto"/>
        </w:rPr>
        <w:t>规定的磋商保证金形式交纳，不得以现金方式交纳，在提交首次响应文件截止时间前，向采购人指定保证金账户交纳不超过采购项目预算2﹪的磋商保证金(数额采用四舍五入，计算至元)。磋商保证金有效期应当与本章第20.1款规定的响应文件有效期一致。</w:t>
      </w:r>
    </w:p>
    <w:p w14:paraId="41B5168B">
      <w:pPr>
        <w:snapToGrid w:val="0"/>
        <w:spacing w:line="360" w:lineRule="auto"/>
        <w:ind w:firstLine="420"/>
        <w:rPr>
          <w:rFonts w:asciiTheme="minorEastAsia" w:hAnsiTheme="minorEastAsia" w:eastAsiaTheme="minorEastAsia"/>
          <w:b/>
          <w:color w:val="auto"/>
        </w:rPr>
      </w:pPr>
      <w:r>
        <w:rPr>
          <w:rFonts w:hint="eastAsia" w:asciiTheme="minorEastAsia" w:hAnsiTheme="minorEastAsia" w:eastAsiaTheme="minorEastAsia"/>
          <w:color w:val="auto"/>
        </w:rPr>
        <w:t>19.2供应商为联合体的，可以由联合体中的一方或者共同交纳磋商保证金，其交纳的磋商保证金，对联合体各方均具有约束力。</w:t>
      </w:r>
    </w:p>
    <w:p w14:paraId="3CA01D4B">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19.3供应商未按照磋商文件要求提交磋商保证金的，响应无效。</w:t>
      </w:r>
    </w:p>
    <w:p w14:paraId="6AFC0B2D">
      <w:pPr>
        <w:tabs>
          <w:tab w:val="left" w:pos="6300"/>
        </w:tabs>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19.4采购代理机构在成交通知书发出后5个工作日内退还未成交供应商的磋商保证金；在采购合同签定后5个工作日内退还成交供应商的磋商保证金，但因供应商自身原因导致无法及时退还的除外。</w:t>
      </w:r>
    </w:p>
    <w:p w14:paraId="723851EE">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19.5 有下列情形之一的，磋商保证金不予退还，并上缴本级财政国库：</w:t>
      </w:r>
    </w:p>
    <w:p w14:paraId="2AE60A38">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（1）供应商在提交首次响应文件截止时间后撤回响应文件的；</w:t>
      </w:r>
    </w:p>
    <w:p w14:paraId="00670ECA">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（2）供应商在响应文件中提供虚假资料的；</w:t>
      </w:r>
    </w:p>
    <w:p w14:paraId="320F1B07">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（3）确定成交结果后，无正当理由放弃成交资格的；</w:t>
      </w:r>
    </w:p>
    <w:p w14:paraId="63AD611B">
      <w:pPr>
        <w:widowControl/>
        <w:snapToGrid w:val="0"/>
        <w:spacing w:line="360" w:lineRule="auto"/>
        <w:ind w:firstLine="525"/>
        <w:jc w:val="left"/>
        <w:rPr>
          <w:rFonts w:asciiTheme="minorEastAsia" w:hAnsiTheme="minorEastAsia" w:eastAsiaTheme="minorEastAsia"/>
          <w:color w:val="auto"/>
        </w:rPr>
      </w:pPr>
      <w:r>
        <w:rPr>
          <w:rFonts w:hint="eastAsia" w:asciiTheme="minorEastAsia" w:hAnsiTheme="minorEastAsia" w:eastAsiaTheme="minorEastAsia"/>
          <w:color w:val="auto"/>
        </w:rPr>
        <w:t>(4) 除因不可抗力或磋商文件认可的情形以外，成交供应商不与采购人签订合同的；</w:t>
      </w:r>
    </w:p>
    <w:p w14:paraId="708C156E">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（5）供应商与采购人、其他供应商或者采购代理机构恶意串通的；</w:t>
      </w:r>
    </w:p>
    <w:p w14:paraId="3DB91E2C">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（6）磋商文件规定的其他情形。</w:t>
      </w:r>
    </w:p>
    <w:p w14:paraId="40A00BE4">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20.</w:t>
      </w:r>
      <w:r>
        <w:rPr>
          <w:rFonts w:hint="eastAsia" w:asciiTheme="minorEastAsia" w:hAnsiTheme="minorEastAsia" w:eastAsiaTheme="minorEastAsia"/>
          <w:color w:val="auto"/>
        </w:rPr>
        <w:t xml:space="preserve"> </w:t>
      </w:r>
      <w:r>
        <w:rPr>
          <w:rFonts w:hint="eastAsia" w:asciiTheme="minorEastAsia" w:hAnsiTheme="minorEastAsia" w:eastAsiaTheme="minorEastAsia"/>
          <w:b/>
          <w:color w:val="auto"/>
        </w:rPr>
        <w:t>响应文件有效期</w:t>
      </w:r>
    </w:p>
    <w:p w14:paraId="5447ED7E">
      <w:pPr>
        <w:snapToGrid w:val="0"/>
        <w:spacing w:line="360" w:lineRule="auto"/>
        <w:ind w:firstLine="404" w:firstLineChars="200"/>
        <w:jc w:val="left"/>
        <w:rPr>
          <w:rFonts w:asciiTheme="minorEastAsia" w:hAnsiTheme="minorEastAsia" w:eastAsiaTheme="minorEastAsia"/>
          <w:color w:val="auto"/>
        </w:rPr>
      </w:pPr>
      <w:r>
        <w:rPr>
          <w:rFonts w:hint="eastAsia" w:asciiTheme="minorEastAsia" w:hAnsiTheme="minorEastAsia" w:eastAsiaTheme="minorEastAsia"/>
          <w:color w:val="auto"/>
        </w:rPr>
        <w:t>20.1响应文件有效期见</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，在此期间响应文件对供应商具有法律约束力，从提交首次响应文件截止时间之日起计算。响应文件有效期不足的将被视为无效响应。</w:t>
      </w:r>
    </w:p>
    <w:p w14:paraId="4902AE2A">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21.响应文件的签署及规定</w:t>
      </w:r>
    </w:p>
    <w:p w14:paraId="4007077C">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21.1响应文件的正本和副本应装订成册，正本一份，副本份数见</w:t>
      </w:r>
      <w:r>
        <w:rPr>
          <w:rFonts w:asciiTheme="minorEastAsia" w:hAnsiTheme="minorEastAsia" w:eastAsiaTheme="minorEastAsia"/>
          <w:b/>
          <w:color w:val="auto"/>
        </w:rPr>
        <w:t>磋商须知前附表</w:t>
      </w:r>
      <w:r>
        <w:rPr>
          <w:rFonts w:asciiTheme="minorEastAsia" w:hAnsiTheme="minorEastAsia" w:eastAsiaTheme="minorEastAsia"/>
          <w:color w:val="auto"/>
        </w:rPr>
        <w:t>。正本和副本的封面上应标记“正本”或“副本”的字样，当正本和副本有差异时，以正本为准。</w:t>
      </w:r>
    </w:p>
    <w:p w14:paraId="6F1A5A9C">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21.2 响应文件正本和副本应按磋商文件要求签章处盖单位章和由法定代表人或其委托代理人签字；任何加行、涂改、增删，应有法定代表人或其委托代理人在旁边签字。否则，将导致响应文件无效。</w:t>
      </w:r>
    </w:p>
    <w:p w14:paraId="40D596DF">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21.3 在磋商过程中，供应商按磋商文件规定和磋商小组要求提交的最后报价(或者重新提交的响应文件和最后报价)，一式两份，可打印或用不退色墨水书写，但需经法定代表人或其委托代理人签字，或者加盖供应商单位章。否则，将导致响应文件无效。</w:t>
      </w:r>
    </w:p>
    <w:p w14:paraId="1DF6862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四、响应文件的递交</w:t>
      </w:r>
    </w:p>
    <w:p w14:paraId="526F9D11">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22.响应文件的密封和标记</w:t>
      </w:r>
    </w:p>
    <w:p w14:paraId="1AF80CD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22.1</w:t>
      </w:r>
      <w:r>
        <w:rPr>
          <w:rFonts w:asciiTheme="minorEastAsia" w:hAnsiTheme="minorEastAsia" w:eastAsiaTheme="minorEastAsia"/>
          <w:b/>
          <w:color w:val="auto"/>
        </w:rPr>
        <w:t>响应文件应密封包装，加贴封条，并在封套的封口处盖供应商单位章或者由法定代表人或其委托代理人签字。</w:t>
      </w:r>
    </w:p>
    <w:p w14:paraId="6339B146">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22.2响应文件封套上应写明的内容见</w:t>
      </w:r>
      <w:r>
        <w:rPr>
          <w:rFonts w:hint="eastAsia" w:asciiTheme="minorEastAsia" w:hAnsiTheme="minorEastAsia" w:eastAsiaTheme="minorEastAsia"/>
          <w:b/>
          <w:color w:val="auto"/>
        </w:rPr>
        <w:t>磋商须知前附表。</w:t>
      </w:r>
    </w:p>
    <w:p w14:paraId="7F396F01">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22.3响应文件如果未按上述规定密封和加写标记，采购人或采购代理机构将拒绝接收。</w:t>
      </w:r>
    </w:p>
    <w:p w14:paraId="5AE68B96">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23.响应文件的补充、修改或者撤回</w:t>
      </w:r>
    </w:p>
    <w:p w14:paraId="3F538DF8">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23.1供应商在提交首次响应文件截止时间前，可以对所提交的首次响应文件进行补充、修改或者撤回，并书面通知采购人、采购代理机构。该通知应有供应商法定代表人或其委托代理人签字。</w:t>
      </w:r>
    </w:p>
    <w:p w14:paraId="799FA5D3">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23.2补充、修改的内容与响应文件不一致时，以补充、修改的内容为准。</w:t>
      </w:r>
    </w:p>
    <w:p w14:paraId="7A33EB8A">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24.响应文件的递交与接收</w:t>
      </w:r>
    </w:p>
    <w:p w14:paraId="17C3F70D">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24.1 供应商应在提交首次响应文件截止时间前，将响应文件送达</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中指定的地点。在截止时间后送达的响应文件，采购人、采购代理机构或者磋商小组应当拒收。</w:t>
      </w:r>
    </w:p>
    <w:p w14:paraId="4F8C3483">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24.2在提交首次响应文件截止时间后，由供应商代表当场查验响应文件的密封状况，采购人或采购代理机构不当场拆封响应文件。</w:t>
      </w:r>
    </w:p>
    <w:p w14:paraId="39C43AA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五、响应文件的磋商与评审</w:t>
      </w:r>
    </w:p>
    <w:p w14:paraId="64F94F5C">
      <w:pPr>
        <w:tabs>
          <w:tab w:val="left" w:pos="0"/>
        </w:tabs>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25.磋商程序</w:t>
      </w:r>
    </w:p>
    <w:p w14:paraId="2C71AE8A">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25.1磋商程序：响应文件审查、磋商（包括澄清）、响应文件评审、提出成交供应商。其中，磋商按本章第30.1款或者第30.2款情形进行。</w:t>
      </w:r>
    </w:p>
    <w:p w14:paraId="11E4FE80">
      <w:pPr>
        <w:widowControl/>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26.</w:t>
      </w:r>
      <w:r>
        <w:rPr>
          <w:rFonts w:hint="eastAsia" w:asciiTheme="minorEastAsia" w:hAnsiTheme="minorEastAsia" w:eastAsiaTheme="minorEastAsia"/>
          <w:color w:val="auto"/>
        </w:rPr>
        <w:t xml:space="preserve"> </w:t>
      </w:r>
      <w:r>
        <w:rPr>
          <w:rFonts w:hint="eastAsia" w:asciiTheme="minorEastAsia" w:hAnsiTheme="minorEastAsia" w:eastAsiaTheme="minorEastAsia"/>
          <w:b/>
          <w:color w:val="auto"/>
        </w:rPr>
        <w:t xml:space="preserve">响应文件审查 </w:t>
      </w:r>
    </w:p>
    <w:p w14:paraId="521F51DE">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26.1 资格性审查：根据本章第3.1项规定的供应商资格条件要求，对响应文件的资格证明等进行审查，以确定供应商是否具备磋商资格条件。</w:t>
      </w:r>
    </w:p>
    <w:p w14:paraId="39A55674">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26.2符合性审查: 对响应文件(包括首次提交的响应文件、重新提交的响应文件)的有效性、完整性和响应程度进行审查，以确定是否对磋商文件的实质性要求作出响应。</w:t>
      </w:r>
    </w:p>
    <w:p w14:paraId="7E113D3F">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26.3响应文件审查结束后，磋商小组所有成员集中与单一供应商分别进行磋商，并给予所有参加磋商的供应商平等的磋商机会。供应商应派其法定代表人或委托代理人参加磋商。</w:t>
      </w:r>
    </w:p>
    <w:p w14:paraId="703AD0D1">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27.实质性响应</w:t>
      </w:r>
    </w:p>
    <w:p w14:paraId="6F37BB2E">
      <w:pPr>
        <w:snapToGrid w:val="0"/>
        <w:spacing w:line="360" w:lineRule="auto"/>
        <w:ind w:firstLine="420"/>
        <w:rPr>
          <w:rFonts w:asciiTheme="minorEastAsia" w:hAnsiTheme="minorEastAsia" w:eastAsiaTheme="minorEastAsia"/>
          <w:color w:val="auto"/>
          <w:u w:val="single"/>
        </w:rPr>
      </w:pPr>
      <w:r>
        <w:rPr>
          <w:rFonts w:asciiTheme="minorEastAsia" w:hAnsiTheme="minorEastAsia" w:eastAsiaTheme="minorEastAsia"/>
          <w:color w:val="auto"/>
        </w:rPr>
        <w:t>27.1实质性响应是指响应文件(包括首次响应文件、重新提交的响应文件)与磋商文件要求的所有条款、条件和规格相符，没有偏离。偏离指不满足、或不响应磋商文件的要求。</w:t>
      </w:r>
    </w:p>
    <w:p w14:paraId="7B73308B">
      <w:pPr>
        <w:tabs>
          <w:tab w:val="left" w:pos="0"/>
          <w:tab w:val="left" w:pos="7560"/>
          <w:tab w:val="left" w:pos="7740"/>
          <w:tab w:val="left" w:pos="7920"/>
        </w:tabs>
        <w:snapToGrid w:val="0"/>
        <w:spacing w:line="360" w:lineRule="auto"/>
        <w:ind w:right="23" w:firstLine="420"/>
        <w:rPr>
          <w:rFonts w:asciiTheme="minorEastAsia" w:hAnsiTheme="minorEastAsia" w:eastAsiaTheme="minorEastAsia"/>
          <w:color w:val="auto"/>
        </w:rPr>
      </w:pPr>
      <w:r>
        <w:rPr>
          <w:rFonts w:hint="eastAsia" w:asciiTheme="minorEastAsia" w:hAnsiTheme="minorEastAsia" w:eastAsiaTheme="minorEastAsia"/>
          <w:color w:val="auto"/>
        </w:rPr>
        <w:t>27.2响应文件是否实质性响应磋商文件要求由磋商小组依据磋商文件规定认定。磋商小组决定响应文件的响应性只根据响应文件本身的真实无误的内容，而不依据外部的证据。</w:t>
      </w:r>
    </w:p>
    <w:p w14:paraId="617F29E4">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 xml:space="preserve">28.无效响应 </w:t>
      </w:r>
    </w:p>
    <w:p w14:paraId="2E825C9B">
      <w:pPr>
        <w:snapToGrid w:val="0"/>
        <w:spacing w:line="360" w:lineRule="auto"/>
        <w:ind w:firstLine="412"/>
        <w:rPr>
          <w:rFonts w:asciiTheme="minorEastAsia" w:hAnsiTheme="minorEastAsia" w:eastAsiaTheme="minorEastAsia"/>
          <w:b/>
          <w:color w:val="auto"/>
        </w:rPr>
      </w:pPr>
      <w:r>
        <w:rPr>
          <w:rFonts w:asciiTheme="minorEastAsia" w:hAnsiTheme="minorEastAsia" w:eastAsiaTheme="minorEastAsia"/>
          <w:color w:val="auto"/>
        </w:rPr>
        <w:t>28.1磋商小组在对资格性和符合性进行审查时，有下列情况之一的，属无效响应，磋商小组应当告知有关供应商：</w:t>
      </w:r>
    </w:p>
    <w:p w14:paraId="759F667E">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（1）供应商不具备本章第3.1款规定的供应商资格条件要求，或存在本章第3.3款情形的；</w:t>
      </w:r>
    </w:p>
    <w:p w14:paraId="1AA9B394">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（2）联合体不符合本章第3.2款规定的；</w:t>
      </w:r>
    </w:p>
    <w:p w14:paraId="28F4629B">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（3）应交未交磋商保证金或金额不足、磋商保证金缴纳形式不符合磋商文件要求的；</w:t>
      </w:r>
    </w:p>
    <w:p w14:paraId="00231423">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（4）响应文件未按照磋商文件要求签署、盖章的；</w:t>
      </w:r>
    </w:p>
    <w:p w14:paraId="6E46519B">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（4）响应文件不满足本章第27.1款规定的实质性要求的；</w:t>
      </w:r>
    </w:p>
    <w:p w14:paraId="02FB47CA">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（5）报价超过采购项目预算的；</w:t>
      </w:r>
    </w:p>
    <w:p w14:paraId="1AC922D3">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（6）响应文件有效期不足的；</w:t>
      </w:r>
    </w:p>
    <w:p w14:paraId="6A12CF3A">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（7）响应文件不符合法律、规章、规范性文件和磋商文件规定及要求的。</w:t>
      </w:r>
    </w:p>
    <w:p w14:paraId="7DFDA266">
      <w:pPr>
        <w:widowControl/>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29.澄清</w:t>
      </w:r>
    </w:p>
    <w:p w14:paraId="57CF5D3A">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29.1 磋商小组在对响应文件的有效性、完整性和对磋商文件的响应程度进行审查时，可以要求供应商对响应文件中含义不明确、同类问题表述不一致或者有明显文字和计算错误的内容等作出必要的澄清、说明或者更正。该要求应当以书面形式作出。供应商的澄清、说明或者更正应当采用书面形式，由其法定代表人或其委托代理人签字或者加盖公章。供应商的澄清、说明或者更正不得超出响应文件的范围或者改变响应文件的实质性内容。</w:t>
      </w:r>
    </w:p>
    <w:p w14:paraId="1C9FDA5E">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29.2 最后报价计算错误修正的原则：最后报价的大写金额和小写金额不一致的，以大写金额为准；总价金额与按分项报价汇总金额不一致的，以分项报价金额计算结果为准；分项报价金额小数点有明显错位的，应以总价为准，并修改分项报价。</w:t>
      </w:r>
    </w:p>
    <w:p w14:paraId="08CA9A39">
      <w:pPr>
        <w:widowControl/>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30.磋商</w:t>
      </w:r>
    </w:p>
    <w:p w14:paraId="2FDE7D36">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30.1本章第10.2项未明确磋商文件实质性变动内容的，或者磋商文件明确了可能发生实质性变动内容，但在磋商过程中，磋商小组根据磋商情况认为磋商文件无需发生实质性变动的，磋商小组应当直接与响应文件审查合格的供应商就价格组织多轮磋商。</w:t>
      </w:r>
    </w:p>
    <w:p w14:paraId="3B63FD4E">
      <w:pPr>
        <w:widowControl/>
        <w:tabs>
          <w:tab w:val="left" w:pos="1080"/>
          <w:tab w:val="left" w:pos="1260"/>
        </w:tabs>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（1）磋商结束后，磋商小组应当要求所有继续参加磋商的供应商在磋商小组规定时间内提交最后报价。</w:t>
      </w:r>
    </w:p>
    <w:p w14:paraId="14E1D74A">
      <w:pPr>
        <w:widowControl/>
        <w:tabs>
          <w:tab w:val="left" w:pos="1080"/>
          <w:tab w:val="left" w:pos="1260"/>
        </w:tabs>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（2）磋商文件明确可能发生实质性变动，但在磋商过程中磋商小组根据磋商情况认为磋商文件无需发生实质性变动的，磋商小组不另行通知。</w:t>
      </w:r>
    </w:p>
    <w:p w14:paraId="2893E633">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30.2本章第10.2款明确磋商文件实质性变动内容的，磋商小组可以组织多轮磋商。在每一轮磋商中，磋商小组可以根据磋商文件规定和磋商情况，对磋商文件的采购需求中的技术、服务要求以及合同草案条款作实质性变动(磋商文件的实质性变动内容为磋商文件的组成部分)，并以书面形式要求响应文件审查合格的供应商，在规定的截止时间前重新提交响应文件。磋商小组应当根据本章第26.2款规定对供应商重新提交的响应文件进行审查。供应商重新提交的响应文件审查不合格的，不得进入下一轮磋商，也不得要求提交最后报价。</w:t>
      </w:r>
    </w:p>
    <w:p w14:paraId="349C6666">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（1）磋商文件能够详细列明采购需求的技术、服务要求的，磋商结束后，磋商小组应当要求所有继续参加磋商的供应商在规定时间内提交最后报价。</w:t>
      </w:r>
    </w:p>
    <w:p w14:paraId="503CF4EB">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磋商文件不能详细列明采购需求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7D7C3D7B">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30.3 重新提交的响应文件或者最后报价应按本章第21.3款规定，由其法定代表人或其委托代理人签字或者加盖供应商单位章，在规定时间内密封递交给磋商小组。</w:t>
      </w:r>
    </w:p>
    <w:p w14:paraId="110FE3BA">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30.4供应商的最后报价及政府采购政策规定的价格扣除情况，磋商小组应召集所有参加最后报价的供应商当场开封公布，并由供应商代表签字确认。</w:t>
      </w:r>
    </w:p>
    <w:p w14:paraId="10E90094">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30.5提交首次响应文件的供应商，在提交最后报价之前，可以根据磋商情况退出磋商，并书面通知采购代理机构或者磋商小组。该通知由供应商法定代表人或其委托代理人签字。采购代理机构按本章第19.4款规定退还退出磋商的供应商的磋商保证金。</w:t>
      </w:r>
    </w:p>
    <w:p w14:paraId="46375160">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30.6提交首次响应文件的供应商，未按磋商文件规定及磋商小组要求提交最后报价(或者重新提交的响应文件和最后报价)，且又未按本章第30.5款规定退出磋商的，供应商的磋商保证金不予退还。</w:t>
      </w:r>
    </w:p>
    <w:p w14:paraId="43C45A26">
      <w:pPr>
        <w:widowControl/>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31.响应文件评审</w:t>
      </w:r>
    </w:p>
    <w:p w14:paraId="1D0FE6B3">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31.1经磋商确定最终采购需求和提交最后报价的供应商后，由磋商小组采用综合评分法对提交最后报价的供应商的响应文件和最后报价进行综合评价。</w:t>
      </w:r>
    </w:p>
    <w:p w14:paraId="1D3E0889">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31.2综合评分法，是指响应文件满足磋商文件全部实质性要求且按评审因素的量化指标评审得分最高的供应商为成交候选供应商的评审方法。本采购项目的评审因素和标准见</w:t>
      </w:r>
      <w:r>
        <w:rPr>
          <w:rFonts w:hint="eastAsia" w:asciiTheme="minorEastAsia" w:hAnsiTheme="minorEastAsia" w:eastAsiaTheme="minorEastAsia"/>
          <w:b/>
          <w:color w:val="auto"/>
        </w:rPr>
        <w:t>磋商须知前附表。</w:t>
      </w:r>
    </w:p>
    <w:p w14:paraId="3632A355">
      <w:pPr>
        <w:widowControl/>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31.3最后报价调整。磋商小组以各供应商最后报价为基础，按照符合政府采购支持中小企业发展的相应条件，对供应商的最后报价进行价格扣除，用扣除后的最后报价计算价格得分，具体价格扣除比例见</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w:t>
      </w:r>
    </w:p>
    <w:p w14:paraId="18F52C15">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31.4综合评分法中的价格分采用低价优先法计算，即满足磋商文件要求且经调整后的最后报价最低的供应商的价格为磋商基准价，其价格分为满分。其他供应商的价格分按照下列公式计算：</w:t>
      </w:r>
    </w:p>
    <w:p w14:paraId="5F74474C">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磋商报价得分=（磋商基准价/最后磋商报价）×价格权值×100</w:t>
      </w:r>
    </w:p>
    <w:p w14:paraId="6AF6FE44">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项目评审过程中，不得去掉最后报价中的最高报价和最低报价。</w:t>
      </w:r>
    </w:p>
    <w:p w14:paraId="1E4E1909">
      <w:pPr>
        <w:widowControl/>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31.5涉及政府采购政策优惠对供应商分值进行调整的，按</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规定调整供应商的技术、商务、价格得分或总得分。</w:t>
      </w:r>
    </w:p>
    <w:p w14:paraId="01276380">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31.6涉及多处或部分获得政府采购政策优惠的，其多处或部分享受政府采购优惠政策的计算方法见</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相关规定。</w:t>
      </w:r>
    </w:p>
    <w:p w14:paraId="059E2335">
      <w:pPr>
        <w:widowControl/>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31.7评审时，磋商小组各成员应当独立对每个供应商的响应文件进行评价、评分，并按照政府采购优惠政策对最后报价进行价格扣除和技术、商务、价格加分后，汇总各供应商的总得分。</w:t>
      </w:r>
    </w:p>
    <w:p w14:paraId="425785F0">
      <w:pPr>
        <w:widowControl/>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32.提出成交供应商</w:t>
      </w:r>
    </w:p>
    <w:p w14:paraId="62EB3D98">
      <w:pPr>
        <w:widowControl/>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 xml:space="preserve">    32.1磋商小组应当根据综合评分情况，按照评审得分由高到低顺序推荐3名以上成交候选供应商，并编写评审报告。评审得分相同的，按照最后报价由低到高的顺序推荐。评审得分且最后报价相同的，按照技术指标优劣顺序推荐。符合《政府采购竞争性磋商采购方式管理暂行办法》(财</w:t>
      </w:r>
    </w:p>
    <w:p w14:paraId="54B2EE33">
      <w:pPr>
        <w:widowControl/>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库〔2014〕214号)和《财政部关于政府采购竞争性磋商采购方式管理暂行办法有关问题的补充通知》（财库〔2015〕124号）所列“政府购买服务项目（含政府和社会资本合作项目）、市场竞争不充分的科研项目以及需要扶持的科技成果转化项目”情形的，可以推荐2家成交候选供应商。</w:t>
      </w:r>
    </w:p>
    <w:p w14:paraId="247869DE">
      <w:pPr>
        <w:tabs>
          <w:tab w:val="left" w:pos="0"/>
        </w:tabs>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33.确定成交供应商</w:t>
      </w:r>
    </w:p>
    <w:p w14:paraId="659EE6BC">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33.1采购代理机构应当在评审结束后2个工作日内将评审报告送采购人确认。</w:t>
      </w:r>
    </w:p>
    <w:p w14:paraId="3CCDA737">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33.2采购人应当在收到评审报告后5个工作日内，从评审报告提出的成交候选供应商中，按照排序由高到低的原则确定成交供应商，也可以书面授权磋商小组直接确定成交供应商。</w:t>
      </w:r>
    </w:p>
    <w:p w14:paraId="15BEF8FB">
      <w:pPr>
        <w:snapToGrid w:val="0"/>
        <w:spacing w:line="360" w:lineRule="auto"/>
        <w:ind w:left="602" w:hanging="602"/>
        <w:rPr>
          <w:rFonts w:asciiTheme="minorEastAsia" w:hAnsiTheme="minorEastAsia" w:eastAsiaTheme="minorEastAsia"/>
          <w:b/>
          <w:color w:val="auto"/>
          <w:sz w:val="20"/>
        </w:rPr>
      </w:pPr>
      <w:r>
        <w:rPr>
          <w:rFonts w:asciiTheme="minorEastAsia" w:hAnsiTheme="minorEastAsia" w:eastAsiaTheme="minorEastAsia"/>
          <w:b/>
          <w:color w:val="auto"/>
          <w:sz w:val="20"/>
        </w:rPr>
        <w:t>34.磋商终止</w:t>
      </w:r>
    </w:p>
    <w:p w14:paraId="4BC292EB">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 xml:space="preserve">34.1出现下列情形之一的，采购人或者采购代理机构应当终止竞争性磋商采购活动，在本章第37.1款指定的媒体上发布项目终止公告并说明原因，重新开展采购活动： </w:t>
      </w:r>
    </w:p>
    <w:p w14:paraId="40487B6E">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（1）因情况变化，不再符合规定的竞争性磋商采购方式适用情形的；</w:t>
      </w:r>
    </w:p>
    <w:p w14:paraId="3F639315">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（2）出现影响采购公正的违法、违规行为的；</w:t>
      </w:r>
    </w:p>
    <w:p w14:paraId="4D818844">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（3）除《政府采购竞争性磋商采购方式管理暂行办法》(财库〔2014〕214号) 和《财政部关于政府采购竞争性磋商采购方式管理暂行办法有关问题的补充通知》（财库〔2015〕124号）所列“政府购买服务项目（含政府和社会资本合作项目）、市场竞争不充分的科研项目以及需要扶持的科技成果转化项目”情形外，在采购过程中符合要求的供应商或者报价未超过采购预算的供应商不足3家的；</w:t>
      </w:r>
    </w:p>
    <w:p w14:paraId="6F2684B7">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（4）因重大变故，采购任务取消的。</w:t>
      </w:r>
    </w:p>
    <w:p w14:paraId="44404007">
      <w:pPr>
        <w:widowControl/>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35．重新评审</w:t>
      </w:r>
    </w:p>
    <w:p w14:paraId="38A64F40">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35.1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w:t>
      </w:r>
    </w:p>
    <w:p w14:paraId="10E51CE1">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36.保密及串通行为</w:t>
      </w:r>
    </w:p>
    <w:p w14:paraId="67B401C1">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36.1磋商小组成员以及与评审工作有关的人员不得泄露评审情况以及评审过程中获悉的国家秘密、商业秘密。</w:t>
      </w:r>
    </w:p>
    <w:p w14:paraId="4916FFD4">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36.2供应商不得与采购人、采购代理机构、其他供应商恶意串通；不得向采购人、采购代理机构或者磋商小组成员行贿或者提供其他不正当利益；不得提供虚假资料谋取成交；不得以任何方式干扰、影响采购工作。</w:t>
      </w:r>
    </w:p>
    <w:p w14:paraId="2629D184">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36.3有下列情形之一的，属于恶意串通，对供应商依照政府采购法第七十七条第一款的规定追究法律责任：</w:t>
      </w:r>
    </w:p>
    <w:p w14:paraId="3FB3DA6E">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（一）供应商直接或者间接从采购人或者采购代理机构处获得其他供应商的相关情况并修改其投标文件或者响应文件；</w:t>
      </w:r>
    </w:p>
    <w:p w14:paraId="2FFA791D">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（二）供应商按照采购人或者采购代理机构的授意撤换、修改投标文件或者响应文件；</w:t>
      </w:r>
    </w:p>
    <w:p w14:paraId="782B4BFA">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（三）供应商之间协商报价、技术方案等投标文件或者响应文件的实质性内容；</w:t>
      </w:r>
    </w:p>
    <w:p w14:paraId="33629FD4">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（四）属于同一集团、协会、商会等组织成员的供应商按照该组织要求协同参加政府采购活动；</w:t>
      </w:r>
    </w:p>
    <w:p w14:paraId="09F24D09">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（五）供应商之间事先约定由某一特定供应商中标、成交；</w:t>
      </w:r>
    </w:p>
    <w:p w14:paraId="12022650">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（六）供应商之间商定部分供应商放弃参加政府采购活动或者放弃中标、成交；</w:t>
      </w:r>
    </w:p>
    <w:p w14:paraId="78C80C7D">
      <w:pPr>
        <w:widowControl/>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（七）供应商与采购人或者采购代理机构之间、供应商相互之间，为谋求特定供应商中标、成交或者排斥其他供应商的其他串通行为。</w:t>
      </w:r>
    </w:p>
    <w:p w14:paraId="2F07805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六、成交结果信息公布与授予合同</w:t>
      </w:r>
    </w:p>
    <w:p w14:paraId="47E9205D">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37.成交信息的公布</w:t>
      </w:r>
    </w:p>
    <w:p w14:paraId="585BB390">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37.1成交供应商确定后2个工作日内，成交结果信息将在</w:t>
      </w:r>
      <w:r>
        <w:rPr>
          <w:rFonts w:asciiTheme="minorEastAsia" w:hAnsiTheme="minorEastAsia" w:eastAsiaTheme="minorEastAsia"/>
          <w:b/>
          <w:color w:val="auto"/>
        </w:rPr>
        <w:t>磋商须知前附表</w:t>
      </w:r>
      <w:r>
        <w:rPr>
          <w:rFonts w:asciiTheme="minorEastAsia" w:hAnsiTheme="minorEastAsia" w:eastAsiaTheme="minorEastAsia"/>
          <w:color w:val="auto"/>
        </w:rPr>
        <w:t>指定的媒体上公布。</w:t>
      </w:r>
    </w:p>
    <w:p w14:paraId="4CB4C570">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38.询问及质疑</w:t>
      </w:r>
    </w:p>
    <w:p w14:paraId="27704547">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38.1供应商对政府采购活动事项有疑问的，可以向采购人或采购代理机构提出询问。</w:t>
      </w:r>
    </w:p>
    <w:p w14:paraId="26A1782C">
      <w:pPr>
        <w:snapToGrid w:val="0"/>
        <w:spacing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38.2供应商若认为磋商文件、采购过程和成交结果使自己的权益受到损害，可以按法律、行政法规及湖南省财政厅规范性文件规定向采购人或采购代理机构提出质疑。</w:t>
      </w:r>
    </w:p>
    <w:p w14:paraId="33B3D92A">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39.成交通知</w:t>
      </w:r>
    </w:p>
    <w:p w14:paraId="0AC9A44C">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39.1成交供应商确定后，采购人或采购代理机构将以书面形式向成交供应商发出成交通知书。成交通知书对采购人和成交供应商具有同等法律效力。</w:t>
      </w:r>
    </w:p>
    <w:p w14:paraId="09847836">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39.2 成交通知书是合同文件的组成部分。</w:t>
      </w:r>
    </w:p>
    <w:p w14:paraId="2AF42A9B">
      <w:pPr>
        <w:tabs>
          <w:tab w:val="left" w:pos="7560"/>
          <w:tab w:val="left" w:pos="7740"/>
          <w:tab w:val="left" w:pos="7920"/>
        </w:tabs>
        <w:autoSpaceDN w:val="0"/>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39.3 成交供应商在收到采购代理机构的成交通知书后10日内，应按照</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的规定，向采购人提交履约担保。联合体成交的，履约担保由联合体各方或联合体中牵头人的名义提交。</w:t>
      </w:r>
    </w:p>
    <w:p w14:paraId="6565E1D0">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39.4 成交供应商</w:t>
      </w:r>
      <w:r>
        <w:rPr>
          <w:rFonts w:asciiTheme="minorEastAsia" w:hAnsiTheme="minorEastAsia" w:eastAsiaTheme="minorEastAsia"/>
          <w:color w:val="auto"/>
          <w:spacing w:val="4"/>
        </w:rPr>
        <w:t>没有按照本章第39.3</w:t>
      </w:r>
      <w:r>
        <w:rPr>
          <w:rFonts w:asciiTheme="minorEastAsia" w:hAnsiTheme="minorEastAsia" w:eastAsiaTheme="minorEastAsia"/>
          <w:color w:val="auto"/>
        </w:rPr>
        <w:t>款</w:t>
      </w:r>
      <w:r>
        <w:rPr>
          <w:rFonts w:asciiTheme="minorEastAsia" w:hAnsiTheme="minorEastAsia" w:eastAsiaTheme="minorEastAsia"/>
          <w:color w:val="auto"/>
          <w:spacing w:val="4"/>
        </w:rPr>
        <w:t>规定</w:t>
      </w:r>
      <w:r>
        <w:rPr>
          <w:rFonts w:asciiTheme="minorEastAsia" w:hAnsiTheme="minorEastAsia" w:eastAsiaTheme="minorEastAsia"/>
          <w:color w:val="auto"/>
        </w:rPr>
        <w:t>提交履约担保的</w:t>
      </w:r>
      <w:r>
        <w:rPr>
          <w:rFonts w:asciiTheme="minorEastAsia" w:hAnsiTheme="minorEastAsia" w:eastAsiaTheme="minorEastAsia"/>
          <w:color w:val="auto"/>
          <w:spacing w:val="4"/>
        </w:rPr>
        <w:t>，视为放弃</w:t>
      </w:r>
      <w:r>
        <w:rPr>
          <w:rFonts w:asciiTheme="minorEastAsia" w:hAnsiTheme="minorEastAsia" w:eastAsiaTheme="minorEastAsia"/>
          <w:color w:val="auto"/>
        </w:rPr>
        <w:t>成交资格</w:t>
      </w:r>
      <w:r>
        <w:rPr>
          <w:rFonts w:asciiTheme="minorEastAsia" w:hAnsiTheme="minorEastAsia" w:eastAsiaTheme="minorEastAsia"/>
          <w:color w:val="auto"/>
          <w:spacing w:val="4"/>
        </w:rPr>
        <w:t>，</w:t>
      </w:r>
      <w:r>
        <w:rPr>
          <w:rFonts w:asciiTheme="minorEastAsia" w:hAnsiTheme="minorEastAsia" w:eastAsiaTheme="minorEastAsia"/>
          <w:color w:val="auto"/>
          <w:spacing w:val="2"/>
        </w:rPr>
        <w:t>其保证金不予退还。</w:t>
      </w:r>
    </w:p>
    <w:p w14:paraId="53F3C0B9">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40.签订合同</w:t>
      </w:r>
    </w:p>
    <w:p w14:paraId="497678CD">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40.1成交供应商应当在成交通知书发出之日起30日内与采购人签订政府采购合同。</w:t>
      </w:r>
    </w:p>
    <w:p w14:paraId="2442F30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40.2磋商文件、成交供应商的响应文件等均为签订政府采购合同的依据。</w:t>
      </w:r>
    </w:p>
    <w:p w14:paraId="44316261">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40.3 成交供应商应当按照合同约定履行义务。成交供应商不得向他人转让成交项目，也不得将成交项目分包后分别向他人转让。</w:t>
      </w:r>
    </w:p>
    <w:p w14:paraId="17566F4A">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40.4 成交供应商有下列情形之一的，责令限期改正，情节严重的，列入不良行为记录名单，在1至3年内禁止参加政府采购活动，并予以通报：</w:t>
      </w:r>
    </w:p>
    <w:p w14:paraId="7079A0B8">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（一）成交后无正当理由不与采购人签订合同的；</w:t>
      </w:r>
    </w:p>
    <w:p w14:paraId="2C7D786E">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（二）未按照采购文件确定的事项签订政府采购合同，或者与采购人另行订立背离合同实质性内容的协议的；</w:t>
      </w:r>
    </w:p>
    <w:p w14:paraId="54BD99C7">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（三）拒绝履行合同义务的；</w:t>
      </w:r>
    </w:p>
    <w:p w14:paraId="434667D5">
      <w:pPr>
        <w:snapToGrid w:val="0"/>
        <w:spacing w:line="360" w:lineRule="auto"/>
        <w:ind w:firstLine="420"/>
        <w:rPr>
          <w:rFonts w:asciiTheme="minorEastAsia" w:hAnsiTheme="minorEastAsia" w:eastAsiaTheme="minorEastAsia"/>
          <w:color w:val="auto"/>
        </w:rPr>
      </w:pPr>
      <w:r>
        <w:rPr>
          <w:rFonts w:asciiTheme="minorEastAsia" w:hAnsiTheme="minorEastAsia" w:eastAsiaTheme="minorEastAsia"/>
          <w:color w:val="auto"/>
        </w:rPr>
        <w:t>（四）违反法律、规章、规范性文件规定的。</w:t>
      </w:r>
    </w:p>
    <w:p w14:paraId="4592A1A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七、其他规定</w:t>
      </w:r>
    </w:p>
    <w:p w14:paraId="6BF211E0">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41.1采购代理服务费</w:t>
      </w:r>
    </w:p>
    <w:p w14:paraId="6C376CA8">
      <w:pPr>
        <w:tabs>
          <w:tab w:val="left" w:pos="420"/>
          <w:tab w:val="left" w:pos="7560"/>
          <w:tab w:val="left" w:pos="7740"/>
          <w:tab w:val="left" w:pos="7920"/>
        </w:tabs>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41.1采购代理机构应按</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规定收取采购代理服务费。</w:t>
      </w:r>
    </w:p>
    <w:p w14:paraId="50E5F1B3">
      <w:pPr>
        <w:tabs>
          <w:tab w:val="left" w:pos="420"/>
          <w:tab w:val="left" w:pos="7560"/>
          <w:tab w:val="left" w:pos="7740"/>
          <w:tab w:val="left" w:pos="7920"/>
        </w:tabs>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41.2集中采购机构不得收取采购代理服务费。</w:t>
      </w:r>
    </w:p>
    <w:p w14:paraId="54284368">
      <w:pPr>
        <w:tabs>
          <w:tab w:val="left" w:pos="420"/>
          <w:tab w:val="left" w:pos="7560"/>
          <w:tab w:val="left" w:pos="7740"/>
          <w:tab w:val="left" w:pos="7920"/>
        </w:tabs>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42. 其他规定</w:t>
      </w:r>
    </w:p>
    <w:p w14:paraId="0E1EC325">
      <w:pPr>
        <w:tabs>
          <w:tab w:val="left" w:pos="420"/>
          <w:tab w:val="left" w:pos="7560"/>
          <w:tab w:val="left" w:pos="7740"/>
          <w:tab w:val="left" w:pos="7920"/>
        </w:tabs>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42.1磋商文件的其他规定见</w:t>
      </w:r>
      <w:r>
        <w:rPr>
          <w:rFonts w:hint="eastAsia" w:asciiTheme="minorEastAsia" w:hAnsiTheme="minorEastAsia" w:eastAsiaTheme="minorEastAsia"/>
          <w:b/>
          <w:color w:val="auto"/>
        </w:rPr>
        <w:t>磋商须知前附表</w:t>
      </w:r>
      <w:r>
        <w:rPr>
          <w:rFonts w:hint="eastAsia" w:asciiTheme="minorEastAsia" w:hAnsiTheme="minorEastAsia" w:eastAsiaTheme="minorEastAsia"/>
          <w:color w:val="auto"/>
        </w:rPr>
        <w:t>。</w:t>
      </w:r>
    </w:p>
    <w:p w14:paraId="5D9C2499">
      <w:pPr>
        <w:spacing w:line="360" w:lineRule="auto"/>
        <w:jc w:val="center"/>
        <w:rPr>
          <w:rStyle w:val="27"/>
          <w:rFonts w:asciiTheme="minorEastAsia" w:hAnsiTheme="minorEastAsia" w:eastAsiaTheme="minorEastAsia"/>
          <w:color w:val="auto"/>
        </w:rPr>
      </w:pPr>
      <w:r>
        <w:rPr>
          <w:rFonts w:asciiTheme="minorEastAsia" w:hAnsiTheme="minorEastAsia" w:eastAsiaTheme="minorEastAsia"/>
          <w:color w:val="auto"/>
        </w:rPr>
        <w:br w:type="page"/>
      </w:r>
    </w:p>
    <w:p w14:paraId="6FB578EE">
      <w:pPr>
        <w:spacing w:line="360" w:lineRule="auto"/>
        <w:jc w:val="center"/>
        <w:rPr>
          <w:rStyle w:val="27"/>
          <w:rFonts w:asciiTheme="minorEastAsia" w:hAnsiTheme="minorEastAsia" w:eastAsiaTheme="minorEastAsia"/>
          <w:color w:val="auto"/>
        </w:rPr>
      </w:pPr>
    </w:p>
    <w:p w14:paraId="548C687B">
      <w:pPr>
        <w:spacing w:line="500" w:lineRule="exact"/>
        <w:jc w:val="center"/>
        <w:rPr>
          <w:rFonts w:ascii="楷体" w:hAnsi="楷体" w:eastAsia="楷体" w:cs="楷体"/>
          <w:color w:val="auto"/>
          <w:sz w:val="44"/>
          <w:szCs w:val="44"/>
        </w:rPr>
      </w:pPr>
    </w:p>
    <w:p w14:paraId="30BC5286">
      <w:pPr>
        <w:spacing w:line="500" w:lineRule="exact"/>
        <w:jc w:val="center"/>
        <w:rPr>
          <w:rFonts w:ascii="楷体" w:hAnsi="楷体" w:eastAsia="楷体" w:cs="楷体"/>
          <w:color w:val="auto"/>
          <w:sz w:val="44"/>
          <w:szCs w:val="44"/>
        </w:rPr>
      </w:pPr>
    </w:p>
    <w:p w14:paraId="38600E36">
      <w:pPr>
        <w:spacing w:line="500" w:lineRule="exact"/>
        <w:jc w:val="center"/>
        <w:rPr>
          <w:rFonts w:ascii="楷体" w:hAnsi="楷体" w:eastAsia="楷体" w:cs="楷体"/>
          <w:color w:val="auto"/>
          <w:sz w:val="44"/>
          <w:szCs w:val="44"/>
        </w:rPr>
      </w:pPr>
    </w:p>
    <w:p w14:paraId="032B4F0B">
      <w:pPr>
        <w:spacing w:line="500" w:lineRule="exact"/>
        <w:jc w:val="center"/>
        <w:rPr>
          <w:rFonts w:ascii="楷体" w:hAnsi="楷体" w:eastAsia="楷体" w:cs="楷体"/>
          <w:color w:val="auto"/>
          <w:sz w:val="44"/>
          <w:szCs w:val="44"/>
        </w:rPr>
      </w:pPr>
    </w:p>
    <w:p w14:paraId="11D4C2D9">
      <w:pPr>
        <w:spacing w:line="500" w:lineRule="exact"/>
        <w:jc w:val="center"/>
        <w:rPr>
          <w:rFonts w:ascii="楷体" w:hAnsi="楷体" w:eastAsia="楷体" w:cs="楷体"/>
          <w:color w:val="auto"/>
          <w:sz w:val="44"/>
          <w:szCs w:val="44"/>
        </w:rPr>
      </w:pPr>
    </w:p>
    <w:p w14:paraId="0A8729E7">
      <w:pPr>
        <w:spacing w:line="500" w:lineRule="exact"/>
        <w:jc w:val="center"/>
        <w:rPr>
          <w:rFonts w:ascii="楷体" w:hAnsi="楷体" w:eastAsia="楷体" w:cs="楷体"/>
          <w:color w:val="auto"/>
          <w:sz w:val="44"/>
          <w:szCs w:val="44"/>
        </w:rPr>
      </w:pPr>
      <w:r>
        <w:rPr>
          <w:rFonts w:hint="eastAsia" w:ascii="楷体" w:hAnsi="楷体" w:eastAsia="楷体" w:cs="楷体"/>
          <w:color w:val="auto"/>
          <w:sz w:val="44"/>
          <w:szCs w:val="44"/>
        </w:rPr>
        <w:t>长沙经开区果园江湾学校分布式光伏电站及充电桩项目工程施工合同</w:t>
      </w:r>
    </w:p>
    <w:p w14:paraId="07DA5F29">
      <w:pPr>
        <w:spacing w:line="360" w:lineRule="exact"/>
        <w:rPr>
          <w:rFonts w:ascii="楷体" w:hAnsi="楷体" w:eastAsia="楷体" w:cs="楷体"/>
          <w:b/>
          <w:color w:val="auto"/>
          <w:sz w:val="57"/>
        </w:rPr>
      </w:pPr>
    </w:p>
    <w:p w14:paraId="0975EBDD">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63A4B3BB">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14FDB967">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66BB961F">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717D06BE">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009D6C25">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6226C973">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626CE3FD">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597FBA3C">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70A215F9">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rPr>
      </w:pPr>
    </w:p>
    <w:p w14:paraId="7EE5C6AA">
      <w:pPr>
        <w:tabs>
          <w:tab w:val="left" w:pos="4968"/>
          <w:tab w:val="left" w:pos="9270"/>
          <w:tab w:val="left" w:pos="9346"/>
        </w:tabs>
        <w:autoSpaceDE w:val="0"/>
        <w:autoSpaceDN w:val="0"/>
        <w:adjustRightInd w:val="0"/>
        <w:snapToGrid w:val="0"/>
        <w:spacing w:line="360" w:lineRule="exact"/>
        <w:rPr>
          <w:rFonts w:ascii="楷体" w:hAnsi="楷体" w:eastAsia="楷体" w:cs="楷体"/>
          <w:b/>
          <w:color w:val="auto"/>
          <w:sz w:val="32"/>
          <w:u w:val="single"/>
        </w:rPr>
      </w:pPr>
      <w:r>
        <w:rPr>
          <w:rFonts w:hint="eastAsia" w:ascii="楷体" w:hAnsi="楷体" w:eastAsia="楷体" w:cs="楷体"/>
          <w:b/>
          <w:color w:val="auto"/>
          <w:sz w:val="32"/>
        </w:rPr>
        <w:tab/>
      </w:r>
      <w:r>
        <w:rPr>
          <w:rFonts w:hint="eastAsia" w:ascii="楷体" w:hAnsi="楷体" w:eastAsia="楷体" w:cs="楷体"/>
          <w:b/>
          <w:color w:val="auto"/>
          <w:sz w:val="32"/>
        </w:rPr>
        <w:t xml:space="preserve">                    </w:t>
      </w:r>
      <w:r>
        <w:rPr>
          <w:rFonts w:hint="eastAsia" w:ascii="楷体" w:hAnsi="楷体" w:eastAsia="楷体" w:cs="楷体"/>
          <w:b/>
          <w:color w:val="auto"/>
          <w:sz w:val="32"/>
        </w:rPr>
        <w:tab/>
      </w:r>
      <w:r>
        <w:rPr>
          <w:rFonts w:hint="eastAsia" w:ascii="楷体" w:hAnsi="楷体" w:eastAsia="楷体" w:cs="楷体"/>
          <w:b/>
          <w:color w:val="auto"/>
          <w:sz w:val="32"/>
        </w:rPr>
        <w:t xml:space="preserve">                                    发 包 人：</w:t>
      </w:r>
      <w:r>
        <w:rPr>
          <w:rFonts w:hint="eastAsia" w:ascii="楷体" w:hAnsi="楷体" w:eastAsia="楷体" w:cs="楷体"/>
          <w:b/>
          <w:color w:val="auto"/>
          <w:sz w:val="32"/>
          <w:u w:val="single"/>
        </w:rPr>
        <w:t xml:space="preserve">                </w:t>
      </w:r>
    </w:p>
    <w:p w14:paraId="5C6666CF">
      <w:pPr>
        <w:pBdr>
          <w:top w:val="none" w:color="auto" w:sz="0" w:space="1"/>
          <w:left w:val="none" w:color="auto" w:sz="0" w:space="4"/>
          <w:bottom w:val="none" w:color="auto" w:sz="0" w:space="1"/>
          <w:right w:val="none" w:color="auto" w:sz="0" w:space="4"/>
        </w:pBdr>
        <w:tabs>
          <w:tab w:val="left" w:pos="9270"/>
        </w:tabs>
        <w:autoSpaceDE w:val="0"/>
        <w:autoSpaceDN w:val="0"/>
        <w:adjustRightInd w:val="0"/>
        <w:snapToGrid w:val="0"/>
        <w:spacing w:line="360" w:lineRule="exact"/>
        <w:rPr>
          <w:rFonts w:ascii="楷体" w:hAnsi="楷体" w:eastAsia="楷体" w:cs="楷体"/>
          <w:b/>
          <w:color w:val="auto"/>
          <w:sz w:val="32"/>
        </w:rPr>
      </w:pPr>
      <w:r>
        <w:rPr>
          <w:rFonts w:hint="eastAsia" w:ascii="楷体" w:hAnsi="楷体" w:eastAsia="楷体" w:cs="楷体"/>
          <w:b/>
          <w:color w:val="auto"/>
          <w:sz w:val="32"/>
        </w:rPr>
        <w:t>签订地点：湖南东方数智能源投资有限公司</w:t>
      </w:r>
    </w:p>
    <w:p w14:paraId="2E366DDD">
      <w:pPr>
        <w:pBdr>
          <w:top w:val="none" w:color="auto" w:sz="0" w:space="1"/>
          <w:left w:val="none" w:color="auto" w:sz="0" w:space="4"/>
          <w:bottom w:val="none" w:color="auto" w:sz="0" w:space="1"/>
          <w:right w:val="none" w:color="auto" w:sz="0" w:space="4"/>
        </w:pBdr>
        <w:tabs>
          <w:tab w:val="left" w:pos="9270"/>
        </w:tabs>
        <w:autoSpaceDE w:val="0"/>
        <w:autoSpaceDN w:val="0"/>
        <w:adjustRightInd w:val="0"/>
        <w:snapToGrid w:val="0"/>
        <w:spacing w:line="360" w:lineRule="exact"/>
        <w:rPr>
          <w:rFonts w:ascii="楷体" w:hAnsi="楷体" w:eastAsia="楷体" w:cs="楷体"/>
          <w:b/>
          <w:color w:val="auto"/>
          <w:sz w:val="32"/>
        </w:rPr>
      </w:pPr>
      <w:r>
        <w:rPr>
          <w:rFonts w:hint="eastAsia" w:ascii="楷体" w:hAnsi="楷体" w:eastAsia="楷体" w:cs="楷体"/>
          <w:b/>
          <w:color w:val="auto"/>
          <w:sz w:val="32"/>
        </w:rPr>
        <w:t>签订时间：</w:t>
      </w:r>
      <w:r>
        <w:rPr>
          <w:rFonts w:hint="eastAsia" w:ascii="楷体" w:hAnsi="楷体" w:eastAsia="楷体" w:cs="楷体"/>
          <w:b/>
          <w:color w:val="auto"/>
          <w:sz w:val="32"/>
          <w:u w:val="single"/>
        </w:rPr>
        <w:t xml:space="preserve">     </w:t>
      </w:r>
      <w:r>
        <w:rPr>
          <w:rFonts w:hint="eastAsia" w:ascii="楷体" w:hAnsi="楷体" w:eastAsia="楷体" w:cs="楷体"/>
          <w:b/>
          <w:color w:val="auto"/>
          <w:sz w:val="32"/>
        </w:rPr>
        <w:t>年</w:t>
      </w:r>
      <w:r>
        <w:rPr>
          <w:rFonts w:hint="eastAsia" w:ascii="楷体" w:hAnsi="楷体" w:eastAsia="楷体" w:cs="楷体"/>
          <w:b/>
          <w:color w:val="auto"/>
          <w:sz w:val="32"/>
          <w:u w:val="single"/>
        </w:rPr>
        <w:t xml:space="preserve">   </w:t>
      </w:r>
      <w:r>
        <w:rPr>
          <w:rFonts w:hint="eastAsia" w:ascii="楷体" w:hAnsi="楷体" w:eastAsia="楷体" w:cs="楷体"/>
          <w:b/>
          <w:color w:val="auto"/>
          <w:sz w:val="32"/>
        </w:rPr>
        <w:t>月</w:t>
      </w:r>
      <w:r>
        <w:rPr>
          <w:rFonts w:hint="eastAsia" w:ascii="楷体" w:hAnsi="楷体" w:eastAsia="楷体" w:cs="楷体"/>
          <w:b/>
          <w:color w:val="auto"/>
          <w:sz w:val="32"/>
          <w:u w:val="single"/>
        </w:rPr>
        <w:t xml:space="preserve">   </w:t>
      </w:r>
      <w:r>
        <w:rPr>
          <w:rFonts w:hint="eastAsia" w:ascii="楷体" w:hAnsi="楷体" w:eastAsia="楷体" w:cs="楷体"/>
          <w:b/>
          <w:color w:val="auto"/>
          <w:sz w:val="32"/>
        </w:rPr>
        <w:t>日</w:t>
      </w:r>
    </w:p>
    <w:p w14:paraId="13DFE992">
      <w:pPr>
        <w:autoSpaceDE w:val="0"/>
        <w:autoSpaceDN w:val="0"/>
        <w:adjustRightInd w:val="0"/>
        <w:snapToGrid w:val="0"/>
        <w:spacing w:line="360" w:lineRule="exact"/>
        <w:rPr>
          <w:rFonts w:ascii="楷体" w:hAnsi="楷体" w:eastAsia="楷体" w:cs="楷体"/>
          <w:b/>
          <w:color w:val="auto"/>
        </w:rPr>
      </w:pPr>
    </w:p>
    <w:p w14:paraId="41F720F2">
      <w:pPr>
        <w:spacing w:line="360" w:lineRule="exact"/>
        <w:rPr>
          <w:rFonts w:ascii="楷体" w:hAnsi="楷体" w:eastAsia="楷体" w:cs="楷体"/>
          <w:b/>
          <w:color w:val="auto"/>
        </w:rPr>
      </w:pPr>
    </w:p>
    <w:p w14:paraId="7D5859F1">
      <w:pPr>
        <w:spacing w:line="360" w:lineRule="exact"/>
        <w:rPr>
          <w:rFonts w:ascii="楷体" w:hAnsi="楷体" w:eastAsia="楷体" w:cs="楷体"/>
          <w:b/>
          <w:color w:val="auto"/>
        </w:rPr>
      </w:pPr>
    </w:p>
    <w:p w14:paraId="2F6B58EC">
      <w:pPr>
        <w:spacing w:line="360" w:lineRule="exact"/>
        <w:rPr>
          <w:rFonts w:ascii="楷体" w:hAnsi="楷体" w:eastAsia="楷体" w:cs="楷体"/>
          <w:b/>
          <w:color w:val="auto"/>
          <w:sz w:val="12"/>
        </w:rPr>
      </w:pPr>
    </w:p>
    <w:p w14:paraId="3C29CA08">
      <w:pPr>
        <w:spacing w:line="360" w:lineRule="exact"/>
        <w:jc w:val="center"/>
        <w:rPr>
          <w:rFonts w:ascii="楷体" w:hAnsi="楷体" w:eastAsia="楷体" w:cs="楷体"/>
          <w:color w:val="auto"/>
          <w:sz w:val="30"/>
          <w:szCs w:val="30"/>
        </w:rPr>
      </w:pPr>
      <w:r>
        <w:rPr>
          <w:rFonts w:hint="eastAsia" w:ascii="楷体" w:hAnsi="楷体" w:eastAsia="楷体" w:cs="楷体"/>
          <w:color w:val="auto"/>
        </w:rPr>
        <w:br w:type="page"/>
      </w:r>
      <w:r>
        <w:rPr>
          <w:rFonts w:hint="eastAsia" w:ascii="楷体" w:hAnsi="楷体" w:eastAsia="楷体" w:cs="楷体"/>
          <w:b/>
          <w:bCs/>
          <w:color w:val="auto"/>
          <w:kern w:val="32"/>
          <w:sz w:val="30"/>
          <w:szCs w:val="30"/>
        </w:rPr>
        <w:t>第一部分   合同协议书</w:t>
      </w:r>
    </w:p>
    <w:p w14:paraId="0EA836F0">
      <w:pPr>
        <w:spacing w:line="360" w:lineRule="exact"/>
        <w:jc w:val="left"/>
        <w:rPr>
          <w:rFonts w:ascii="楷体" w:hAnsi="楷体" w:eastAsia="楷体" w:cs="楷体"/>
          <w:b/>
          <w:color w:val="auto"/>
          <w:sz w:val="24"/>
          <w:szCs w:val="24"/>
        </w:rPr>
      </w:pPr>
      <w:r>
        <w:rPr>
          <w:rFonts w:hint="eastAsia" w:ascii="楷体" w:hAnsi="楷体" w:eastAsia="楷体" w:cs="楷体"/>
          <w:b/>
          <w:color w:val="auto"/>
          <w:sz w:val="24"/>
          <w:szCs w:val="24"/>
        </w:rPr>
        <w:t>发包人（全称）：</w:t>
      </w:r>
      <w:r>
        <w:rPr>
          <w:rFonts w:hint="eastAsia" w:ascii="楷体" w:hAnsi="楷体" w:eastAsia="楷体" w:cs="楷体"/>
          <w:b/>
          <w:color w:val="auto"/>
          <w:sz w:val="24"/>
          <w:szCs w:val="24"/>
          <w:u w:val="single"/>
        </w:rPr>
        <w:t>湖南东方数智能源投资有限公司</w:t>
      </w:r>
    </w:p>
    <w:p w14:paraId="0DBEEB05">
      <w:pPr>
        <w:tabs>
          <w:tab w:val="left" w:pos="5803"/>
        </w:tabs>
        <w:spacing w:line="360" w:lineRule="exact"/>
        <w:jc w:val="left"/>
        <w:rPr>
          <w:rFonts w:ascii="楷体" w:hAnsi="楷体" w:eastAsia="楷体" w:cs="楷体"/>
          <w:b/>
          <w:color w:val="auto"/>
          <w:sz w:val="24"/>
          <w:szCs w:val="24"/>
        </w:rPr>
      </w:pPr>
      <w:r>
        <w:rPr>
          <w:rFonts w:hint="eastAsia" w:ascii="楷体" w:hAnsi="楷体" w:eastAsia="楷体" w:cs="楷体"/>
          <w:b/>
          <w:color w:val="auto"/>
          <w:sz w:val="24"/>
          <w:szCs w:val="24"/>
        </w:rPr>
        <w:t>承包人（全称）：</w:t>
      </w:r>
      <w:r>
        <w:rPr>
          <w:rFonts w:hint="eastAsia" w:ascii="楷体" w:hAnsi="楷体" w:eastAsia="楷体" w:cs="楷体"/>
          <w:b/>
          <w:color w:val="auto"/>
          <w:sz w:val="24"/>
          <w:szCs w:val="24"/>
          <w:u w:val="single"/>
        </w:rPr>
        <w:t xml:space="preserve">                           </w:t>
      </w:r>
    </w:p>
    <w:p w14:paraId="02E1F3D1">
      <w:pPr>
        <w:autoSpaceDE w:val="0"/>
        <w:autoSpaceDN w:val="0"/>
        <w:adjustRightInd w:val="0"/>
        <w:snapToGrid w:val="0"/>
        <w:spacing w:line="360" w:lineRule="exact"/>
        <w:ind w:firstLine="464" w:firstLineChars="200"/>
        <w:rPr>
          <w:rFonts w:ascii="楷体" w:hAnsi="楷体" w:eastAsia="楷体" w:cs="楷体"/>
          <w:color w:val="auto"/>
          <w:sz w:val="24"/>
          <w:szCs w:val="24"/>
        </w:rPr>
      </w:pPr>
    </w:p>
    <w:p w14:paraId="042A0635">
      <w:pPr>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color w:val="auto"/>
          <w:sz w:val="24"/>
          <w:szCs w:val="24"/>
        </w:rPr>
        <w:t>根据《中华人民共和国民法典》《中华人民共和国建筑法》及有关法律规定，遵循平等、自愿、公平和诚实信用的原则，双方就长沙经开区果园江湾学校分布式光伏电站及充电桩项目工程施工及有关事项协商一致，共同达成如下协议：</w:t>
      </w:r>
    </w:p>
    <w:p w14:paraId="78D24790">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一、工程概况</w:t>
      </w:r>
    </w:p>
    <w:p w14:paraId="306AA07C">
      <w:pPr>
        <w:tabs>
          <w:tab w:val="left" w:pos="1201"/>
        </w:tabs>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1.工程名称：</w:t>
      </w:r>
      <w:r>
        <w:rPr>
          <w:rFonts w:hint="eastAsia" w:ascii="楷体" w:hAnsi="楷体" w:eastAsia="楷体" w:cs="楷体"/>
          <w:color w:val="auto"/>
          <w:kern w:val="2"/>
          <w:sz w:val="24"/>
          <w:szCs w:val="24"/>
          <w:u w:val="single"/>
        </w:rPr>
        <w:t>长沙经开区果园江湾学校分布式光伏电站及充电桩项目</w:t>
      </w:r>
    </w:p>
    <w:p w14:paraId="17B5A6CF">
      <w:pPr>
        <w:tabs>
          <w:tab w:val="left" w:pos="1201"/>
        </w:tabs>
        <w:adjustRightInd w:val="0"/>
        <w:snapToGrid w:val="0"/>
        <w:spacing w:line="360" w:lineRule="exact"/>
        <w:ind w:firstLine="464" w:firstLineChars="200"/>
        <w:rPr>
          <w:rFonts w:ascii="楷体" w:hAnsi="楷体" w:eastAsia="楷体" w:cs="楷体"/>
          <w:color w:val="auto"/>
          <w:kern w:val="2"/>
          <w:sz w:val="24"/>
          <w:szCs w:val="24"/>
          <w:u w:val="single"/>
        </w:rPr>
      </w:pPr>
      <w:r>
        <w:rPr>
          <w:rFonts w:hint="eastAsia" w:ascii="楷体" w:hAnsi="楷体" w:eastAsia="楷体" w:cs="楷体"/>
          <w:color w:val="auto"/>
          <w:kern w:val="2"/>
          <w:sz w:val="24"/>
          <w:szCs w:val="24"/>
        </w:rPr>
        <w:t>2.工程地点</w:t>
      </w:r>
      <w:r>
        <w:rPr>
          <w:rFonts w:hint="eastAsia" w:ascii="楷体" w:hAnsi="楷体" w:eastAsia="楷体" w:cs="楷体"/>
          <w:color w:val="auto"/>
          <w:kern w:val="2"/>
          <w:sz w:val="24"/>
          <w:szCs w:val="24"/>
          <w:u w:val="single"/>
        </w:rPr>
        <w:t>：长沙经开区</w:t>
      </w:r>
    </w:p>
    <w:p w14:paraId="0269E8BF">
      <w:pPr>
        <w:tabs>
          <w:tab w:val="left" w:pos="1201"/>
        </w:tabs>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3.资金来源：</w:t>
      </w:r>
      <w:r>
        <w:rPr>
          <w:rFonts w:hint="eastAsia" w:ascii="楷体" w:hAnsi="楷体" w:eastAsia="楷体" w:cs="楷体"/>
          <w:color w:val="auto"/>
          <w:kern w:val="2"/>
          <w:sz w:val="24"/>
          <w:szCs w:val="24"/>
          <w:u w:val="single"/>
        </w:rPr>
        <w:t>企业自筹资金</w:t>
      </w:r>
    </w:p>
    <w:p w14:paraId="22610724">
      <w:pPr>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rPr>
        <w:t>4.工程承包范围：</w:t>
      </w:r>
      <w:r>
        <w:rPr>
          <w:rFonts w:hint="eastAsia" w:ascii="楷体" w:hAnsi="楷体" w:eastAsia="楷体" w:cs="楷体"/>
          <w:color w:val="auto"/>
          <w:sz w:val="24"/>
          <w:szCs w:val="24"/>
          <w:u w:val="single"/>
        </w:rPr>
        <w:t>主要施工内容包括沟槽开挖及回填、余方外弃、设备基础施工、充电桩安装、电缆敷设、光伏组件支架采购及安装、逆变器采购及安装、桥架安装、数据监控系统、清洗系统、报装及并网手续等。具体以发包人提供的设计图纸和工程量清单中所包含的施工项为准，从施工到竣工验收、质保期全过程。（充电桩、光伏组件由甲方提供）。</w:t>
      </w:r>
    </w:p>
    <w:p w14:paraId="7B2794F5">
      <w:pPr>
        <w:tabs>
          <w:tab w:val="left" w:pos="1584"/>
        </w:tabs>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二、合同工期</w:t>
      </w:r>
    </w:p>
    <w:p w14:paraId="2899E681">
      <w:pPr>
        <w:tabs>
          <w:tab w:val="left" w:pos="1584"/>
        </w:tabs>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计划开工日期：  年   月   日</w:t>
      </w:r>
    </w:p>
    <w:p w14:paraId="67FAD44C">
      <w:pPr>
        <w:tabs>
          <w:tab w:val="left" w:pos="1584"/>
        </w:tabs>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计划竣工日期：   年    月    日</w:t>
      </w:r>
    </w:p>
    <w:p w14:paraId="2BD482CC">
      <w:pPr>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color w:val="auto"/>
          <w:sz w:val="24"/>
          <w:szCs w:val="24"/>
        </w:rPr>
        <w:t>工期总日历天数：</w:t>
      </w:r>
      <w:r>
        <w:rPr>
          <w:rFonts w:hint="eastAsia" w:ascii="楷体" w:hAnsi="楷体" w:eastAsia="楷体" w:cs="楷体"/>
          <w:color w:val="auto"/>
          <w:sz w:val="24"/>
          <w:szCs w:val="24"/>
          <w:u w:val="single"/>
        </w:rPr>
        <w:t>90日历天（以发包人通知进场时间为准 ）。</w:t>
      </w:r>
    </w:p>
    <w:p w14:paraId="6A4487A3">
      <w:pPr>
        <w:autoSpaceDE w:val="0"/>
        <w:autoSpaceDN w:val="0"/>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u w:val="single"/>
        </w:rPr>
        <w:t>单项工程节点工期约定如下：以发包人下达的施工进度计划为准，承包人必须按照施工进度计划实施。</w:t>
      </w:r>
    </w:p>
    <w:p w14:paraId="4841A10C">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三、质量标准</w:t>
      </w:r>
    </w:p>
    <w:p w14:paraId="3FE43BCA">
      <w:pPr>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color w:val="auto"/>
          <w:sz w:val="24"/>
          <w:szCs w:val="24"/>
        </w:rPr>
        <w:t>工程质量符合</w:t>
      </w:r>
      <w:r>
        <w:rPr>
          <w:rFonts w:hint="eastAsia" w:ascii="楷体" w:hAnsi="楷体" w:eastAsia="楷体" w:cs="楷体"/>
          <w:color w:val="auto"/>
          <w:sz w:val="24"/>
          <w:szCs w:val="24"/>
          <w:u w:val="single"/>
        </w:rPr>
        <w:t>现行国家有关工程施工验收规范和标准的合格要求</w:t>
      </w:r>
      <w:r>
        <w:rPr>
          <w:rFonts w:hint="eastAsia" w:ascii="楷体" w:hAnsi="楷体" w:eastAsia="楷体" w:cs="楷体"/>
          <w:color w:val="auto"/>
          <w:sz w:val="24"/>
          <w:szCs w:val="24"/>
        </w:rPr>
        <w:t>标准。</w:t>
      </w:r>
    </w:p>
    <w:p w14:paraId="4B6C1C43">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四、签约合同价与合同价格形式</w:t>
      </w:r>
    </w:p>
    <w:p w14:paraId="44C21A89">
      <w:pPr>
        <w:tabs>
          <w:tab w:val="left" w:pos="1100"/>
        </w:tabs>
        <w:autoSpaceDE w:val="0"/>
        <w:autoSpaceDN w:val="0"/>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1.签约合同暂定价为：</w:t>
      </w:r>
    </w:p>
    <w:p w14:paraId="3170F98D">
      <w:pPr>
        <w:tabs>
          <w:tab w:val="left" w:pos="2836"/>
          <w:tab w:val="left" w:pos="3648"/>
        </w:tabs>
        <w:autoSpaceDE w:val="0"/>
        <w:autoSpaceDN w:val="0"/>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rPr>
        <w:t>人民币（大写）：</w:t>
      </w:r>
      <w:r>
        <w:rPr>
          <w:rFonts w:hint="eastAsia" w:ascii="楷体" w:hAnsi="楷体" w:eastAsia="楷体" w:cs="楷体"/>
          <w:color w:val="auto"/>
          <w:sz w:val="24"/>
          <w:szCs w:val="24"/>
          <w:u w:val="single"/>
        </w:rPr>
        <w:t xml:space="preserve">                                  </w:t>
      </w:r>
    </w:p>
    <w:p w14:paraId="3B6770D6">
      <w:pPr>
        <w:tabs>
          <w:tab w:val="left" w:pos="2836"/>
          <w:tab w:val="left" w:pos="3648"/>
        </w:tabs>
        <w:autoSpaceDE w:val="0"/>
        <w:autoSpaceDN w:val="0"/>
        <w:adjustRightInd w:val="0"/>
        <w:snapToGrid w:val="0"/>
        <w:spacing w:line="360" w:lineRule="exact"/>
        <w:ind w:firstLine="1160" w:firstLineChars="500"/>
        <w:rPr>
          <w:rFonts w:ascii="楷体" w:hAnsi="楷体" w:eastAsia="楷体" w:cs="楷体"/>
          <w:color w:val="auto"/>
          <w:sz w:val="24"/>
          <w:szCs w:val="24"/>
          <w:u w:val="single"/>
        </w:rPr>
      </w:pPr>
      <w:r>
        <w:rPr>
          <w:rFonts w:hint="eastAsia" w:ascii="楷体" w:hAnsi="楷体" w:eastAsia="楷体" w:cs="楷体"/>
          <w:color w:val="auto"/>
          <w:sz w:val="24"/>
          <w:szCs w:val="24"/>
        </w:rPr>
        <w:t>（小写）</w:t>
      </w:r>
      <w:r>
        <w:rPr>
          <w:rFonts w:hint="eastAsia" w:ascii="楷体" w:hAnsi="楷体" w:eastAsia="楷体" w:cs="楷体"/>
          <w:color w:val="auto"/>
          <w:sz w:val="24"/>
          <w:szCs w:val="24"/>
          <w:u w:val="single"/>
        </w:rPr>
        <w:t>：¥                （含税价）</w:t>
      </w:r>
    </w:p>
    <w:p w14:paraId="5C9EAA7D">
      <w:pPr>
        <w:tabs>
          <w:tab w:val="left" w:pos="2836"/>
          <w:tab w:val="left" w:pos="3648"/>
        </w:tabs>
        <w:autoSpaceDE w:val="0"/>
        <w:autoSpaceDN w:val="0"/>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rPr>
        <w:t>成交优惠率：</w:t>
      </w:r>
      <w:r>
        <w:rPr>
          <w:rFonts w:hint="eastAsia" w:ascii="楷体" w:hAnsi="楷体" w:eastAsia="楷体" w:cs="楷体"/>
          <w:color w:val="auto"/>
          <w:sz w:val="24"/>
          <w:szCs w:val="24"/>
          <w:u w:val="single"/>
        </w:rPr>
        <w:t xml:space="preserve">     %</w:t>
      </w:r>
    </w:p>
    <w:p w14:paraId="36271788">
      <w:pPr>
        <w:tabs>
          <w:tab w:val="left" w:pos="5980"/>
          <w:tab w:val="left" w:pos="8100"/>
        </w:tabs>
        <w:autoSpaceDE w:val="0"/>
        <w:autoSpaceDN w:val="0"/>
        <w:spacing w:line="420" w:lineRule="exact"/>
        <w:ind w:right="-235" w:firstLine="464" w:firstLineChars="200"/>
        <w:rPr>
          <w:rFonts w:ascii="楷体" w:hAnsi="楷体" w:eastAsia="楷体" w:cs="楷体"/>
          <w:color w:val="auto"/>
          <w:sz w:val="24"/>
          <w:szCs w:val="24"/>
        </w:rPr>
      </w:pPr>
      <w:r>
        <w:rPr>
          <w:rFonts w:hint="eastAsia" w:ascii="楷体" w:hAnsi="楷体" w:eastAsia="楷体" w:cs="楷体"/>
          <w:color w:val="auto"/>
          <w:sz w:val="24"/>
          <w:szCs w:val="24"/>
        </w:rPr>
        <w:t>成交优惠率={1-（分部分项工程费投标报价+单价措施项目费投标报价+总价措施项目费投标报价）/（分部分项工程费上限价+单价措施项目费上限价+总价措施项目费上限价）}*100%，报价优惠率以该公式计算出的精准数值为准。</w:t>
      </w:r>
    </w:p>
    <w:p w14:paraId="18CBAE44">
      <w:pPr>
        <w:tabs>
          <w:tab w:val="left" w:pos="5980"/>
          <w:tab w:val="left" w:pos="8100"/>
        </w:tabs>
        <w:autoSpaceDE w:val="0"/>
        <w:autoSpaceDN w:val="0"/>
        <w:spacing w:line="420" w:lineRule="exact"/>
        <w:ind w:right="-235" w:firstLine="464" w:firstLineChars="200"/>
        <w:rPr>
          <w:rFonts w:ascii="楷体" w:hAnsi="楷体" w:eastAsia="楷体" w:cs="楷体"/>
          <w:color w:val="auto"/>
          <w:sz w:val="24"/>
          <w:szCs w:val="24"/>
        </w:rPr>
      </w:pPr>
      <w:r>
        <w:rPr>
          <w:rFonts w:hint="eastAsia" w:ascii="楷体" w:hAnsi="楷体" w:eastAsia="楷体" w:cs="楷体"/>
          <w:color w:val="auto"/>
          <w:sz w:val="24"/>
          <w:szCs w:val="24"/>
        </w:rPr>
        <w:t>绿色施工安全防护措施项目费结算时固定费率部分分别根据各专业工程的分部分项工程费+单个措施项目费之和为基数按比例调整；如投标报价的绿色施工安全防护措施项目费与上限价绿色施工安全防护措施项目费金额不一致，则各专业固定费率部分再统一乘以（投标报价的绿色施工安全防护措施项目费/上限价绿色施工安全防护措施项目费）系数。</w:t>
      </w:r>
    </w:p>
    <w:p w14:paraId="3F1FD36B">
      <w:pPr>
        <w:tabs>
          <w:tab w:val="left" w:pos="1100"/>
          <w:tab w:val="left" w:pos="2874"/>
          <w:tab w:val="left" w:pos="5304"/>
        </w:tabs>
        <w:autoSpaceDE w:val="0"/>
        <w:autoSpaceDN w:val="0"/>
        <w:adjustRightInd w:val="0"/>
        <w:snapToGrid w:val="0"/>
        <w:spacing w:line="360" w:lineRule="exact"/>
        <w:ind w:firstLine="464" w:firstLineChars="200"/>
        <w:rPr>
          <w:rFonts w:ascii="楷体" w:hAnsi="楷体" w:eastAsia="楷体" w:cs="楷体"/>
          <w:color w:val="auto"/>
          <w:kern w:val="2"/>
          <w:sz w:val="24"/>
          <w:szCs w:val="24"/>
          <w:u w:val="single"/>
        </w:rPr>
      </w:pPr>
      <w:r>
        <w:rPr>
          <w:rFonts w:hint="eastAsia" w:ascii="楷体" w:hAnsi="楷体" w:eastAsia="楷体" w:cs="楷体"/>
          <w:color w:val="auto"/>
          <w:kern w:val="2"/>
          <w:sz w:val="24"/>
          <w:szCs w:val="24"/>
          <w:u w:val="single"/>
        </w:rPr>
        <w:t>2.合同价格形式：工程量清单综合单价。合同承包范围内的工程量清单综合单价按投标工程量清单综合单价固定包干，除合同另有约定外，综合单价不得调整。工程量清单漏项及变更计价原则的约定：预算工程量清单有相同项目的，按照相同项目单价；预算工程量清单中无相同项目，但有类似项目的，参照类似项目的单价采用平推法（如路面结构基层厚度等）或内插法确定；预算工程量清单无相同或类似项目的，按预算计价标准办理（包括定额及取费标准、人工费等），材料价格以施工同期《长沙建设造价》为基期价，同时执行成交优惠率。</w:t>
      </w:r>
    </w:p>
    <w:p w14:paraId="3E1C2C09">
      <w:pPr>
        <w:tabs>
          <w:tab w:val="left" w:pos="1584"/>
        </w:tabs>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b/>
          <w:bCs/>
          <w:color w:val="auto"/>
          <w:sz w:val="24"/>
          <w:szCs w:val="24"/>
        </w:rPr>
        <w:t>五、项目经理</w:t>
      </w:r>
    </w:p>
    <w:p w14:paraId="3A73DD0A">
      <w:pPr>
        <w:tabs>
          <w:tab w:val="left" w:pos="1584"/>
        </w:tabs>
        <w:autoSpaceDE w:val="0"/>
        <w:autoSpaceDN w:val="0"/>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rPr>
        <w:t>承包人项目经理：</w:t>
      </w:r>
      <w:r>
        <w:rPr>
          <w:rFonts w:hint="eastAsia" w:ascii="楷体" w:hAnsi="楷体" w:eastAsia="楷体" w:cs="楷体"/>
          <w:color w:val="auto"/>
          <w:sz w:val="24"/>
          <w:szCs w:val="24"/>
          <w:u w:val="single"/>
        </w:rPr>
        <w:t xml:space="preserve">     </w:t>
      </w:r>
      <w:r>
        <w:rPr>
          <w:rFonts w:hint="eastAsia" w:ascii="楷体" w:hAnsi="楷体" w:eastAsia="楷体" w:cs="楷体"/>
          <w:color w:val="auto"/>
          <w:sz w:val="24"/>
          <w:szCs w:val="24"/>
        </w:rPr>
        <w:t>，联系电话：</w:t>
      </w:r>
      <w:r>
        <w:rPr>
          <w:rFonts w:hint="eastAsia" w:ascii="楷体" w:hAnsi="楷体" w:eastAsia="楷体" w:cs="楷体"/>
          <w:color w:val="auto"/>
          <w:sz w:val="24"/>
          <w:szCs w:val="24"/>
          <w:u w:val="single"/>
        </w:rPr>
        <w:t xml:space="preserve">    </w:t>
      </w:r>
      <w:r>
        <w:rPr>
          <w:rFonts w:hint="eastAsia" w:ascii="楷体" w:hAnsi="楷体" w:eastAsia="楷体" w:cs="楷体"/>
          <w:color w:val="auto"/>
          <w:sz w:val="24"/>
          <w:szCs w:val="24"/>
        </w:rPr>
        <w:t>，身份证号码：</w:t>
      </w:r>
      <w:r>
        <w:rPr>
          <w:rFonts w:hint="eastAsia" w:ascii="楷体" w:hAnsi="楷体" w:eastAsia="楷体" w:cs="楷体"/>
          <w:color w:val="auto"/>
          <w:sz w:val="24"/>
          <w:szCs w:val="24"/>
          <w:u w:val="single"/>
        </w:rPr>
        <w:t xml:space="preserve">     </w:t>
      </w:r>
      <w:r>
        <w:rPr>
          <w:rFonts w:hint="eastAsia" w:ascii="楷体" w:hAnsi="楷体" w:eastAsia="楷体" w:cs="楷体"/>
          <w:color w:val="auto"/>
          <w:sz w:val="24"/>
          <w:szCs w:val="24"/>
        </w:rPr>
        <w:t>。证书类别</w:t>
      </w:r>
      <w:r>
        <w:rPr>
          <w:rFonts w:hint="eastAsia" w:ascii="楷体" w:hAnsi="楷体" w:eastAsia="楷体" w:cs="楷体"/>
          <w:color w:val="auto"/>
          <w:sz w:val="24"/>
          <w:szCs w:val="24"/>
          <w:u w:val="single"/>
        </w:rPr>
        <w:t xml:space="preserve">：     </w:t>
      </w:r>
    </w:p>
    <w:p w14:paraId="45BB21CA">
      <w:pPr>
        <w:tabs>
          <w:tab w:val="left" w:pos="1584"/>
        </w:tabs>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color w:val="auto"/>
          <w:sz w:val="24"/>
          <w:szCs w:val="24"/>
        </w:rPr>
        <w:t>证书编号</w:t>
      </w:r>
      <w:r>
        <w:rPr>
          <w:rFonts w:hint="eastAsia" w:ascii="楷体" w:hAnsi="楷体" w:eastAsia="楷体" w:cs="楷体"/>
          <w:color w:val="auto"/>
          <w:sz w:val="24"/>
          <w:szCs w:val="24"/>
          <w:u w:val="single"/>
        </w:rPr>
        <w:t xml:space="preserve">：        </w:t>
      </w:r>
    </w:p>
    <w:p w14:paraId="6D2B3567">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六、合同文件构成</w:t>
      </w:r>
    </w:p>
    <w:p w14:paraId="7BD65111">
      <w:pPr>
        <w:autoSpaceDE w:val="0"/>
        <w:autoSpaceDN w:val="0"/>
        <w:adjustRightInd w:val="0"/>
        <w:snapToGrid w:val="0"/>
        <w:spacing w:line="360" w:lineRule="exact"/>
        <w:ind w:firstLine="464" w:firstLineChars="200"/>
        <w:rPr>
          <w:rFonts w:ascii="楷体" w:hAnsi="楷体" w:eastAsia="楷体" w:cs="楷体"/>
          <w:color w:val="auto"/>
          <w:sz w:val="24"/>
          <w:szCs w:val="24"/>
          <w:u w:val="single"/>
        </w:rPr>
      </w:pPr>
      <w:r>
        <w:rPr>
          <w:rFonts w:hint="eastAsia" w:ascii="楷体" w:hAnsi="楷体" w:eastAsia="楷体" w:cs="楷体"/>
          <w:color w:val="auto"/>
          <w:sz w:val="24"/>
          <w:szCs w:val="24"/>
          <w:u w:val="single"/>
        </w:rPr>
        <w:t>本协议书与下列文件一起构成合同文件，并按以下顺序进行解释：</w:t>
      </w:r>
    </w:p>
    <w:p w14:paraId="4828EC59">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（1）本协议书；</w:t>
      </w:r>
    </w:p>
    <w:p w14:paraId="232A1261">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（2）成交通知书；</w:t>
      </w:r>
    </w:p>
    <w:p w14:paraId="3E2E3E1B">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（3）专用合同条件及附件；</w:t>
      </w:r>
    </w:p>
    <w:p w14:paraId="12259EAC">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（4）投标函及投标函附录；</w:t>
      </w:r>
    </w:p>
    <w:p w14:paraId="1CBF02D5">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（5）磋商文件及其附件；</w:t>
      </w:r>
    </w:p>
    <w:p w14:paraId="1D7F24D8">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（6）通用合同条件；</w:t>
      </w:r>
    </w:p>
    <w:p w14:paraId="08B5861C">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（7）技术标准、规范和要求；</w:t>
      </w:r>
    </w:p>
    <w:p w14:paraId="1909332C">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（8）图纸；</w:t>
      </w:r>
    </w:p>
    <w:p w14:paraId="01EDA5CE">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 xml:space="preserve">（9）已标价工程量清单（指已执行成交优惠率后的工程量清单，下同）或预算书； </w:t>
      </w:r>
    </w:p>
    <w:p w14:paraId="57D04E1B">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（10）双方约定的其他合同文件。</w:t>
      </w:r>
    </w:p>
    <w:p w14:paraId="485E6A1D">
      <w:pPr>
        <w:autoSpaceDE w:val="0"/>
        <w:autoSpaceDN w:val="0"/>
        <w:snapToGrid w:val="0"/>
        <w:spacing w:line="360" w:lineRule="exact"/>
        <w:ind w:firstLine="464" w:firstLineChars="200"/>
        <w:jc w:val="left"/>
        <w:rPr>
          <w:rFonts w:ascii="楷体" w:hAnsi="楷体" w:eastAsia="楷体" w:cs="楷体"/>
          <w:color w:val="auto"/>
          <w:sz w:val="24"/>
          <w:szCs w:val="24"/>
          <w:u w:val="single"/>
        </w:rPr>
      </w:pPr>
      <w:r>
        <w:rPr>
          <w:rFonts w:hint="eastAsia" w:ascii="楷体" w:hAnsi="楷体" w:eastAsia="楷体" w:cs="楷体"/>
          <w:color w:val="auto"/>
          <w:sz w:val="24"/>
          <w:szCs w:val="24"/>
          <w:u w:val="single"/>
        </w:rPr>
        <w:t>（11）项目部人员任命函及证件。</w:t>
      </w:r>
    </w:p>
    <w:p w14:paraId="3AB8C075">
      <w:pPr>
        <w:autoSpaceDE w:val="0"/>
        <w:autoSpaceDN w:val="0"/>
        <w:adjustRightInd w:val="0"/>
        <w:snapToGrid w:val="0"/>
        <w:spacing w:line="360" w:lineRule="exact"/>
        <w:ind w:firstLine="464" w:firstLineChars="200"/>
        <w:rPr>
          <w:rFonts w:ascii="楷体" w:hAnsi="楷体" w:eastAsia="楷体" w:cs="楷体"/>
          <w:color w:val="auto"/>
          <w:sz w:val="24"/>
          <w:szCs w:val="24"/>
        </w:rPr>
      </w:pPr>
      <w:r>
        <w:rPr>
          <w:rFonts w:hint="eastAsia" w:ascii="楷体" w:hAnsi="楷体" w:eastAsia="楷体" w:cs="楷体"/>
          <w:color w:val="auto"/>
          <w:sz w:val="24"/>
          <w:szCs w:val="24"/>
        </w:rPr>
        <w:t>在合同订立及履行过程中形成的与合同有关的文件均构成合同文件组成部分。上述各项合同文件包括合同当事人就该项合同文件所作出的补充和修改，属于同一类内容的文件，应以最新签署的为准。专用合同条款及其附件须经合同当事人签字或盖章。</w:t>
      </w:r>
    </w:p>
    <w:p w14:paraId="7E2CC1F8">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七、承诺</w:t>
      </w:r>
    </w:p>
    <w:p w14:paraId="369EF002">
      <w:pPr>
        <w:tabs>
          <w:tab w:val="left" w:pos="1196"/>
        </w:tabs>
        <w:autoSpaceDE w:val="0"/>
        <w:autoSpaceDN w:val="0"/>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1.发包人承诺按照法律规定履行项目审批手续、筹集工程建设资金并按照合同约定的期限和方式支付合同价款。</w:t>
      </w:r>
    </w:p>
    <w:p w14:paraId="585ED9C0">
      <w:pPr>
        <w:tabs>
          <w:tab w:val="left" w:pos="1201"/>
        </w:tabs>
        <w:autoSpaceDE w:val="0"/>
        <w:autoSpaceDN w:val="0"/>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2.承包人承诺具有承包此工程项目的资质，按照法律规定及合同约定组织完成工程施工，确保工程质量和安全，不进行转包及违法分包，并在缺陷责任期及保修期内承担相应的工程维修责任。</w:t>
      </w:r>
    </w:p>
    <w:p w14:paraId="7CEBE4EF">
      <w:pPr>
        <w:tabs>
          <w:tab w:val="left" w:pos="1201"/>
        </w:tabs>
        <w:autoSpaceDE w:val="0"/>
        <w:autoSpaceDN w:val="0"/>
        <w:adjustRightInd w:val="0"/>
        <w:snapToGrid w:val="0"/>
        <w:spacing w:line="360" w:lineRule="exact"/>
        <w:ind w:firstLine="464" w:firstLineChars="200"/>
        <w:rPr>
          <w:rFonts w:ascii="楷体" w:hAnsi="楷体" w:eastAsia="楷体" w:cs="楷体"/>
          <w:color w:val="auto"/>
          <w:kern w:val="2"/>
          <w:sz w:val="24"/>
          <w:szCs w:val="24"/>
        </w:rPr>
      </w:pPr>
      <w:r>
        <w:rPr>
          <w:rFonts w:hint="eastAsia" w:ascii="楷体" w:hAnsi="楷体" w:eastAsia="楷体" w:cs="楷体"/>
          <w:color w:val="auto"/>
          <w:kern w:val="2"/>
          <w:sz w:val="24"/>
          <w:szCs w:val="24"/>
        </w:rPr>
        <w:t>3.发包人和承包人通过招投标形式签订合同的，双方理解并承诺不再就同一工程另行签订与合同实质性内容相背离的协议。</w:t>
      </w:r>
    </w:p>
    <w:p w14:paraId="45681C3C">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八、词语含义</w:t>
      </w:r>
    </w:p>
    <w:p w14:paraId="25DDD9DD">
      <w:pPr>
        <w:tabs>
          <w:tab w:val="left" w:pos="1584"/>
        </w:tabs>
        <w:autoSpaceDE w:val="0"/>
        <w:autoSpaceDN w:val="0"/>
        <w:adjustRightInd w:val="0"/>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本协议书中词语含义与第二部分通用合同条款中赋予的含义相同。</w:t>
      </w:r>
    </w:p>
    <w:p w14:paraId="79D912E4">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bookmarkStart w:id="9" w:name="_Toc351203489"/>
      <w:r>
        <w:rPr>
          <w:rFonts w:hint="eastAsia" w:ascii="楷体" w:hAnsi="楷体" w:eastAsia="楷体" w:cs="楷体"/>
          <w:b/>
          <w:bCs/>
          <w:color w:val="auto"/>
          <w:sz w:val="24"/>
          <w:szCs w:val="24"/>
        </w:rPr>
        <w:t>九、签订时间</w:t>
      </w:r>
      <w:bookmarkEnd w:id="9"/>
    </w:p>
    <w:p w14:paraId="5FD8D945">
      <w:pPr>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本合同于</w:t>
      </w:r>
      <w:r>
        <w:rPr>
          <w:rFonts w:hint="eastAsia" w:ascii="楷体" w:hAnsi="楷体" w:eastAsia="楷体" w:cs="楷体"/>
          <w:bCs/>
          <w:color w:val="auto"/>
          <w:sz w:val="24"/>
          <w:szCs w:val="24"/>
          <w:u w:val="single"/>
        </w:rPr>
        <w:t xml:space="preserve">         </w:t>
      </w:r>
      <w:r>
        <w:rPr>
          <w:rFonts w:hint="eastAsia" w:ascii="楷体" w:hAnsi="楷体" w:eastAsia="楷体" w:cs="楷体"/>
          <w:bCs/>
          <w:color w:val="auto"/>
          <w:sz w:val="24"/>
          <w:szCs w:val="24"/>
        </w:rPr>
        <w:t>年</w:t>
      </w:r>
      <w:r>
        <w:rPr>
          <w:rFonts w:hint="eastAsia" w:ascii="楷体" w:hAnsi="楷体" w:eastAsia="楷体" w:cs="楷体"/>
          <w:bCs/>
          <w:color w:val="auto"/>
          <w:sz w:val="24"/>
          <w:szCs w:val="24"/>
          <w:u w:val="single"/>
        </w:rPr>
        <w:t xml:space="preserve">    </w:t>
      </w:r>
      <w:r>
        <w:rPr>
          <w:rFonts w:hint="eastAsia" w:ascii="楷体" w:hAnsi="楷体" w:eastAsia="楷体" w:cs="楷体"/>
          <w:bCs/>
          <w:color w:val="auto"/>
          <w:sz w:val="24"/>
          <w:szCs w:val="24"/>
        </w:rPr>
        <w:t>月</w:t>
      </w:r>
      <w:r>
        <w:rPr>
          <w:rFonts w:hint="eastAsia" w:ascii="楷体" w:hAnsi="楷体" w:eastAsia="楷体" w:cs="楷体"/>
          <w:bCs/>
          <w:color w:val="auto"/>
          <w:sz w:val="24"/>
          <w:szCs w:val="24"/>
          <w:u w:val="single"/>
        </w:rPr>
        <w:t xml:space="preserve">    </w:t>
      </w:r>
      <w:r>
        <w:rPr>
          <w:rFonts w:hint="eastAsia" w:ascii="楷体" w:hAnsi="楷体" w:eastAsia="楷体" w:cs="楷体"/>
          <w:bCs/>
          <w:color w:val="auto"/>
          <w:sz w:val="24"/>
          <w:szCs w:val="24"/>
        </w:rPr>
        <w:t>日签订。</w:t>
      </w:r>
    </w:p>
    <w:p w14:paraId="56A03C82">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bookmarkStart w:id="10" w:name="_Toc351203490"/>
      <w:r>
        <w:rPr>
          <w:rFonts w:hint="eastAsia" w:ascii="楷体" w:hAnsi="楷体" w:eastAsia="楷体" w:cs="楷体"/>
          <w:b/>
          <w:bCs/>
          <w:color w:val="auto"/>
          <w:sz w:val="24"/>
          <w:szCs w:val="24"/>
        </w:rPr>
        <w:t>十、签订地点</w:t>
      </w:r>
      <w:bookmarkEnd w:id="10"/>
    </w:p>
    <w:p w14:paraId="4881D44F">
      <w:pPr>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本合同在</w:t>
      </w:r>
      <w:r>
        <w:rPr>
          <w:rFonts w:hint="eastAsia" w:ascii="楷体" w:hAnsi="楷体" w:eastAsia="楷体" w:cs="楷体"/>
          <w:bCs/>
          <w:color w:val="auto"/>
          <w:sz w:val="24"/>
          <w:szCs w:val="24"/>
          <w:lang w:eastAsia="zh-Hans"/>
        </w:rPr>
        <w:t>湖南东方数智能源投资有限公司签订</w:t>
      </w:r>
      <w:r>
        <w:rPr>
          <w:rFonts w:hint="eastAsia" w:ascii="楷体" w:hAnsi="楷体" w:eastAsia="楷体" w:cs="楷体"/>
          <w:bCs/>
          <w:color w:val="auto"/>
          <w:sz w:val="24"/>
          <w:szCs w:val="24"/>
        </w:rPr>
        <w:t>。</w:t>
      </w:r>
    </w:p>
    <w:p w14:paraId="6FCC7135">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bookmarkStart w:id="11" w:name="_Toc351203491"/>
      <w:r>
        <w:rPr>
          <w:rFonts w:hint="eastAsia" w:ascii="楷体" w:hAnsi="楷体" w:eastAsia="楷体" w:cs="楷体"/>
          <w:b/>
          <w:bCs/>
          <w:color w:val="auto"/>
          <w:sz w:val="24"/>
          <w:szCs w:val="24"/>
        </w:rPr>
        <w:t>十一、补充协议</w:t>
      </w:r>
      <w:bookmarkEnd w:id="11"/>
    </w:p>
    <w:p w14:paraId="366F0AA0">
      <w:pPr>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合同未尽事宜，合同当事人另行签订补充协议，补充协议是合同的组成部分，与本合同具有同等法律效力。</w:t>
      </w:r>
    </w:p>
    <w:p w14:paraId="1D2E2A6C">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bookmarkStart w:id="12" w:name="_Toc351203492"/>
      <w:r>
        <w:rPr>
          <w:rFonts w:hint="eastAsia" w:ascii="楷体" w:hAnsi="楷体" w:eastAsia="楷体" w:cs="楷体"/>
          <w:b/>
          <w:bCs/>
          <w:color w:val="auto"/>
          <w:sz w:val="24"/>
          <w:szCs w:val="24"/>
        </w:rPr>
        <w:t>十二、合同生效</w:t>
      </w:r>
      <w:bookmarkEnd w:id="12"/>
    </w:p>
    <w:p w14:paraId="74C83C5C">
      <w:pPr>
        <w:autoSpaceDE w:val="0"/>
        <w:autoSpaceDN w:val="0"/>
        <w:snapToGrid w:val="0"/>
        <w:spacing w:line="360" w:lineRule="exact"/>
        <w:ind w:firstLine="464" w:firstLineChars="200"/>
        <w:jc w:val="left"/>
        <w:rPr>
          <w:rFonts w:ascii="楷体" w:hAnsi="楷体" w:eastAsia="楷体" w:cs="楷体"/>
          <w:bCs/>
          <w:color w:val="auto"/>
          <w:sz w:val="24"/>
          <w:szCs w:val="24"/>
        </w:rPr>
      </w:pPr>
      <w:r>
        <w:rPr>
          <w:rFonts w:hint="eastAsia" w:ascii="楷体" w:hAnsi="楷体" w:eastAsia="楷体" w:cs="楷体"/>
          <w:bCs/>
          <w:color w:val="auto"/>
          <w:sz w:val="24"/>
          <w:szCs w:val="24"/>
        </w:rPr>
        <w:t>本合同自双方法定代表人或委托代理人签字、盖章后</w:t>
      </w:r>
      <w:bookmarkStart w:id="13" w:name="十一、合同份数"/>
      <w:bookmarkEnd w:id="13"/>
      <w:r>
        <w:rPr>
          <w:rFonts w:hint="eastAsia" w:ascii="楷体" w:hAnsi="楷体" w:eastAsia="楷体" w:cs="楷体"/>
          <w:bCs/>
          <w:color w:val="auto"/>
          <w:sz w:val="24"/>
          <w:szCs w:val="24"/>
        </w:rPr>
        <w:t>生效。</w:t>
      </w:r>
    </w:p>
    <w:p w14:paraId="1477388F">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bookmarkStart w:id="14" w:name="_Toc351203493"/>
      <w:r>
        <w:rPr>
          <w:rFonts w:hint="eastAsia" w:ascii="楷体" w:hAnsi="楷体" w:eastAsia="楷体" w:cs="楷体"/>
          <w:b/>
          <w:bCs/>
          <w:color w:val="auto"/>
          <w:sz w:val="24"/>
          <w:szCs w:val="24"/>
        </w:rPr>
        <w:t>十三、合同份数</w:t>
      </w:r>
      <w:bookmarkEnd w:id="14"/>
    </w:p>
    <w:p w14:paraId="67DB231F">
      <w:pPr>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本合同一式</w:t>
      </w:r>
      <w:r>
        <w:rPr>
          <w:rFonts w:hint="eastAsia" w:ascii="楷体" w:hAnsi="楷体" w:eastAsia="楷体" w:cs="楷体"/>
          <w:bCs/>
          <w:color w:val="auto"/>
          <w:sz w:val="24"/>
          <w:szCs w:val="24"/>
          <w:u w:val="single"/>
        </w:rPr>
        <w:t xml:space="preserve"> 陆 </w:t>
      </w:r>
      <w:r>
        <w:rPr>
          <w:rFonts w:hint="eastAsia" w:ascii="楷体" w:hAnsi="楷体" w:eastAsia="楷体" w:cs="楷体"/>
          <w:bCs/>
          <w:color w:val="auto"/>
          <w:sz w:val="24"/>
          <w:szCs w:val="24"/>
        </w:rPr>
        <w:t>份，均具有同等法律效力，发包人执</w:t>
      </w:r>
      <w:r>
        <w:rPr>
          <w:rFonts w:hint="eastAsia" w:ascii="楷体" w:hAnsi="楷体" w:eastAsia="楷体" w:cs="楷体"/>
          <w:bCs/>
          <w:color w:val="auto"/>
          <w:sz w:val="24"/>
          <w:szCs w:val="24"/>
          <w:u w:val="single"/>
        </w:rPr>
        <w:t xml:space="preserve"> 肆 </w:t>
      </w:r>
      <w:r>
        <w:rPr>
          <w:rFonts w:hint="eastAsia" w:ascii="楷体" w:hAnsi="楷体" w:eastAsia="楷体" w:cs="楷体"/>
          <w:bCs/>
          <w:color w:val="auto"/>
          <w:sz w:val="24"/>
          <w:szCs w:val="24"/>
        </w:rPr>
        <w:t>份，承包人执</w:t>
      </w:r>
      <w:r>
        <w:rPr>
          <w:rFonts w:hint="eastAsia" w:ascii="楷体" w:hAnsi="楷体" w:eastAsia="楷体" w:cs="楷体"/>
          <w:bCs/>
          <w:color w:val="auto"/>
          <w:sz w:val="24"/>
          <w:szCs w:val="24"/>
          <w:u w:val="single"/>
        </w:rPr>
        <w:t xml:space="preserve"> 贰  </w:t>
      </w:r>
      <w:r>
        <w:rPr>
          <w:rFonts w:hint="eastAsia" w:ascii="楷体" w:hAnsi="楷体" w:eastAsia="楷体" w:cs="楷体"/>
          <w:bCs/>
          <w:color w:val="auto"/>
          <w:sz w:val="24"/>
          <w:szCs w:val="24"/>
        </w:rPr>
        <w:t>份。</w:t>
      </w:r>
    </w:p>
    <w:p w14:paraId="205E877C">
      <w:pPr>
        <w:tabs>
          <w:tab w:val="left" w:pos="1584"/>
        </w:tabs>
        <w:autoSpaceDE w:val="0"/>
        <w:autoSpaceDN w:val="0"/>
        <w:adjustRightInd w:val="0"/>
        <w:snapToGrid w:val="0"/>
        <w:spacing w:line="360" w:lineRule="exact"/>
        <w:ind w:firstLine="464" w:firstLineChars="200"/>
        <w:rPr>
          <w:rFonts w:ascii="楷体" w:hAnsi="楷体" w:eastAsia="楷体" w:cs="楷体"/>
          <w:b/>
          <w:bCs/>
          <w:color w:val="auto"/>
          <w:sz w:val="24"/>
          <w:szCs w:val="24"/>
        </w:rPr>
      </w:pPr>
      <w:r>
        <w:rPr>
          <w:rFonts w:hint="eastAsia" w:ascii="楷体" w:hAnsi="楷体" w:eastAsia="楷体" w:cs="楷体"/>
          <w:b/>
          <w:bCs/>
          <w:color w:val="auto"/>
          <w:sz w:val="24"/>
          <w:szCs w:val="24"/>
        </w:rPr>
        <w:t>十四、特别声明</w:t>
      </w:r>
    </w:p>
    <w:p w14:paraId="31B427D7">
      <w:pPr>
        <w:snapToGrid w:val="0"/>
        <w:spacing w:line="360" w:lineRule="exact"/>
        <w:ind w:firstLine="464" w:firstLineChars="200"/>
        <w:rPr>
          <w:rFonts w:ascii="楷体" w:hAnsi="楷体" w:eastAsia="楷体" w:cs="楷体"/>
          <w:bCs/>
          <w:color w:val="auto"/>
          <w:sz w:val="24"/>
          <w:szCs w:val="24"/>
        </w:rPr>
      </w:pPr>
      <w:r>
        <w:rPr>
          <w:rFonts w:hint="eastAsia" w:ascii="楷体" w:hAnsi="楷体" w:eastAsia="楷体" w:cs="楷体"/>
          <w:bCs/>
          <w:color w:val="auto"/>
          <w:sz w:val="24"/>
          <w:szCs w:val="24"/>
        </w:rPr>
        <w:t>承包人已完全了解本合同（含协议书、专用合同条款、通用合同条款）约定的全部内容，特别是约束承包人条款，合同一经签订，则表示承包人愿意受合同约束。</w:t>
      </w:r>
    </w:p>
    <w:p w14:paraId="0D38CB7E">
      <w:pPr>
        <w:snapToGrid w:val="0"/>
        <w:spacing w:line="360" w:lineRule="exact"/>
        <w:ind w:firstLine="464" w:firstLineChars="200"/>
        <w:rPr>
          <w:rFonts w:ascii="楷体" w:hAnsi="楷体" w:eastAsia="楷体" w:cs="楷体"/>
          <w:color w:val="auto"/>
          <w:sz w:val="24"/>
          <w:szCs w:val="24"/>
        </w:rPr>
      </w:pPr>
    </w:p>
    <w:p w14:paraId="1287D4E3">
      <w:pPr>
        <w:spacing w:line="360" w:lineRule="exact"/>
        <w:rPr>
          <w:rFonts w:ascii="Calibri"/>
          <w:color w:val="auto"/>
        </w:rPr>
      </w:pPr>
    </w:p>
    <w:tbl>
      <w:tblPr>
        <w:tblStyle w:val="19"/>
        <w:tblpPr w:leftFromText="180" w:rightFromText="180" w:vertAnchor="text" w:horzAnchor="page" w:tblpX="1270" w:tblpY="498"/>
        <w:tblOverlap w:val="never"/>
        <w:tblW w:w="9510" w:type="dxa"/>
        <w:tblInd w:w="0" w:type="dxa"/>
        <w:tblLayout w:type="fixed"/>
        <w:tblCellMar>
          <w:top w:w="0" w:type="dxa"/>
          <w:left w:w="108" w:type="dxa"/>
          <w:bottom w:w="0" w:type="dxa"/>
          <w:right w:w="108" w:type="dxa"/>
        </w:tblCellMar>
      </w:tblPr>
      <w:tblGrid>
        <w:gridCol w:w="4747"/>
        <w:gridCol w:w="4763"/>
      </w:tblGrid>
      <w:tr w14:paraId="52EDBC0B">
        <w:tblPrEx>
          <w:tblCellMar>
            <w:top w:w="0" w:type="dxa"/>
            <w:left w:w="108" w:type="dxa"/>
            <w:bottom w:w="0" w:type="dxa"/>
            <w:right w:w="108" w:type="dxa"/>
          </w:tblCellMar>
        </w:tblPrEx>
        <w:trPr>
          <w:trHeight w:val="763" w:hRule="atLeast"/>
        </w:trPr>
        <w:tc>
          <w:tcPr>
            <w:tcW w:w="4747" w:type="dxa"/>
            <w:vAlign w:val="center"/>
          </w:tcPr>
          <w:p w14:paraId="6E42581F">
            <w:pPr>
              <w:spacing w:line="300" w:lineRule="exact"/>
              <w:rPr>
                <w:rFonts w:ascii="楷体" w:hAnsi="楷体" w:eastAsia="楷体" w:cs="楷体"/>
                <w:color w:val="auto"/>
                <w:sz w:val="24"/>
                <w:szCs w:val="24"/>
              </w:rPr>
            </w:pPr>
          </w:p>
          <w:p w14:paraId="6099093A">
            <w:pPr>
              <w:spacing w:line="300" w:lineRule="exact"/>
              <w:ind w:left="1622" w:hanging="1624" w:hangingChars="700"/>
              <w:rPr>
                <w:rFonts w:ascii="楷体" w:hAnsi="楷体" w:eastAsia="楷体" w:cs="楷体"/>
                <w:color w:val="auto"/>
                <w:sz w:val="24"/>
                <w:szCs w:val="24"/>
              </w:rPr>
            </w:pPr>
            <w:r>
              <w:rPr>
                <w:rFonts w:hint="eastAsia" w:ascii="楷体" w:hAnsi="楷体" w:eastAsia="楷体" w:cs="楷体"/>
                <w:color w:val="auto"/>
                <w:sz w:val="24"/>
                <w:szCs w:val="24"/>
              </w:rPr>
              <w:t>甲方（盖章）：</w:t>
            </w:r>
          </w:p>
        </w:tc>
        <w:tc>
          <w:tcPr>
            <w:tcW w:w="4763" w:type="dxa"/>
            <w:vAlign w:val="center"/>
          </w:tcPr>
          <w:p w14:paraId="6B7C09C4">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乙方（盖章）：</w:t>
            </w:r>
          </w:p>
        </w:tc>
      </w:tr>
      <w:tr w14:paraId="3971EEA5">
        <w:tblPrEx>
          <w:tblCellMar>
            <w:top w:w="0" w:type="dxa"/>
            <w:left w:w="108" w:type="dxa"/>
            <w:bottom w:w="0" w:type="dxa"/>
            <w:right w:w="108" w:type="dxa"/>
          </w:tblCellMar>
        </w:tblPrEx>
        <w:trPr>
          <w:trHeight w:val="474" w:hRule="atLeast"/>
        </w:trPr>
        <w:tc>
          <w:tcPr>
            <w:tcW w:w="4747" w:type="dxa"/>
            <w:vAlign w:val="center"/>
          </w:tcPr>
          <w:p w14:paraId="43E93032">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法定代表人：</w:t>
            </w:r>
          </w:p>
        </w:tc>
        <w:tc>
          <w:tcPr>
            <w:tcW w:w="4763" w:type="dxa"/>
            <w:vAlign w:val="center"/>
          </w:tcPr>
          <w:p w14:paraId="7FD3F13B">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法定代表人：</w:t>
            </w:r>
          </w:p>
        </w:tc>
      </w:tr>
      <w:tr w14:paraId="3DDC2F03">
        <w:tblPrEx>
          <w:tblCellMar>
            <w:top w:w="0" w:type="dxa"/>
            <w:left w:w="108" w:type="dxa"/>
            <w:bottom w:w="0" w:type="dxa"/>
            <w:right w:w="108" w:type="dxa"/>
          </w:tblCellMar>
        </w:tblPrEx>
        <w:trPr>
          <w:trHeight w:val="474" w:hRule="atLeast"/>
        </w:trPr>
        <w:tc>
          <w:tcPr>
            <w:tcW w:w="4747" w:type="dxa"/>
            <w:vAlign w:val="center"/>
          </w:tcPr>
          <w:p w14:paraId="59D7974B">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或授权代表（签章）：</w:t>
            </w:r>
          </w:p>
        </w:tc>
        <w:tc>
          <w:tcPr>
            <w:tcW w:w="4763" w:type="dxa"/>
            <w:vAlign w:val="center"/>
          </w:tcPr>
          <w:p w14:paraId="26A0AEF5">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或授权代表（签章）：</w:t>
            </w:r>
          </w:p>
        </w:tc>
      </w:tr>
      <w:tr w14:paraId="5F5ADA82">
        <w:tblPrEx>
          <w:tblCellMar>
            <w:top w:w="0" w:type="dxa"/>
            <w:left w:w="108" w:type="dxa"/>
            <w:bottom w:w="0" w:type="dxa"/>
            <w:right w:w="108" w:type="dxa"/>
          </w:tblCellMar>
        </w:tblPrEx>
        <w:trPr>
          <w:trHeight w:val="474" w:hRule="atLeast"/>
        </w:trPr>
        <w:tc>
          <w:tcPr>
            <w:tcW w:w="4747" w:type="dxa"/>
            <w:vAlign w:val="center"/>
          </w:tcPr>
          <w:p w14:paraId="012A6CB6">
            <w:pPr>
              <w:spacing w:line="300" w:lineRule="exact"/>
              <w:jc w:val="left"/>
              <w:rPr>
                <w:rFonts w:ascii="楷体" w:hAnsi="楷体" w:eastAsia="楷体" w:cs="楷体"/>
                <w:color w:val="auto"/>
                <w:sz w:val="24"/>
                <w:szCs w:val="24"/>
              </w:rPr>
            </w:pPr>
            <w:r>
              <w:rPr>
                <w:rFonts w:hint="eastAsia" w:ascii="楷体" w:hAnsi="楷体" w:eastAsia="楷体" w:cs="楷体"/>
                <w:color w:val="auto"/>
                <w:sz w:val="24"/>
                <w:szCs w:val="24"/>
              </w:rPr>
              <w:t>统一社会信用代码：</w:t>
            </w:r>
          </w:p>
        </w:tc>
        <w:tc>
          <w:tcPr>
            <w:tcW w:w="4763" w:type="dxa"/>
            <w:vAlign w:val="center"/>
          </w:tcPr>
          <w:p w14:paraId="117731CE">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统一社会信用代码：</w:t>
            </w:r>
          </w:p>
        </w:tc>
      </w:tr>
      <w:tr w14:paraId="7D4CDE2A">
        <w:tblPrEx>
          <w:tblCellMar>
            <w:top w:w="0" w:type="dxa"/>
            <w:left w:w="108" w:type="dxa"/>
            <w:bottom w:w="0" w:type="dxa"/>
            <w:right w:w="108" w:type="dxa"/>
          </w:tblCellMar>
        </w:tblPrEx>
        <w:trPr>
          <w:trHeight w:val="684" w:hRule="atLeast"/>
        </w:trPr>
        <w:tc>
          <w:tcPr>
            <w:tcW w:w="4747" w:type="dxa"/>
            <w:vAlign w:val="center"/>
          </w:tcPr>
          <w:p w14:paraId="18287E73">
            <w:pPr>
              <w:spacing w:line="300" w:lineRule="exact"/>
              <w:jc w:val="left"/>
              <w:rPr>
                <w:rFonts w:ascii="楷体" w:hAnsi="楷体" w:eastAsia="楷体" w:cs="楷体"/>
                <w:color w:val="auto"/>
                <w:sz w:val="24"/>
                <w:szCs w:val="24"/>
              </w:rPr>
            </w:pPr>
            <w:r>
              <w:rPr>
                <w:rFonts w:hint="eastAsia" w:ascii="楷体" w:hAnsi="楷体" w:eastAsia="楷体" w:cs="楷体"/>
                <w:color w:val="auto"/>
                <w:sz w:val="24"/>
                <w:szCs w:val="24"/>
              </w:rPr>
              <w:t>地    址：</w:t>
            </w:r>
          </w:p>
        </w:tc>
        <w:tc>
          <w:tcPr>
            <w:tcW w:w="4763" w:type="dxa"/>
            <w:vAlign w:val="center"/>
          </w:tcPr>
          <w:p w14:paraId="35B24B47">
            <w:pPr>
              <w:spacing w:line="300" w:lineRule="exact"/>
              <w:jc w:val="left"/>
              <w:rPr>
                <w:rFonts w:ascii="楷体" w:hAnsi="楷体" w:eastAsia="楷体" w:cs="楷体"/>
                <w:color w:val="auto"/>
                <w:sz w:val="24"/>
                <w:szCs w:val="24"/>
              </w:rPr>
            </w:pPr>
            <w:r>
              <w:rPr>
                <w:rFonts w:hint="eastAsia" w:ascii="楷体" w:hAnsi="楷体" w:eastAsia="楷体" w:cs="楷体"/>
                <w:color w:val="auto"/>
                <w:sz w:val="24"/>
                <w:szCs w:val="24"/>
              </w:rPr>
              <w:t>地    址：</w:t>
            </w:r>
          </w:p>
        </w:tc>
      </w:tr>
      <w:tr w14:paraId="1E6246FF">
        <w:tblPrEx>
          <w:tblCellMar>
            <w:top w:w="0" w:type="dxa"/>
            <w:left w:w="108" w:type="dxa"/>
            <w:bottom w:w="0" w:type="dxa"/>
            <w:right w:w="108" w:type="dxa"/>
          </w:tblCellMar>
        </w:tblPrEx>
        <w:trPr>
          <w:trHeight w:val="504" w:hRule="atLeast"/>
        </w:trPr>
        <w:tc>
          <w:tcPr>
            <w:tcW w:w="4747" w:type="dxa"/>
            <w:vAlign w:val="center"/>
          </w:tcPr>
          <w:p w14:paraId="7B2E44A4">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电    话：</w:t>
            </w:r>
          </w:p>
        </w:tc>
        <w:tc>
          <w:tcPr>
            <w:tcW w:w="4763" w:type="dxa"/>
            <w:vAlign w:val="center"/>
          </w:tcPr>
          <w:p w14:paraId="56B3197B">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电    话：</w:t>
            </w:r>
          </w:p>
        </w:tc>
      </w:tr>
      <w:tr w14:paraId="0BFED9E5">
        <w:tblPrEx>
          <w:tblCellMar>
            <w:top w:w="0" w:type="dxa"/>
            <w:left w:w="108" w:type="dxa"/>
            <w:bottom w:w="0" w:type="dxa"/>
            <w:right w:w="108" w:type="dxa"/>
          </w:tblCellMar>
        </w:tblPrEx>
        <w:trPr>
          <w:trHeight w:val="464" w:hRule="atLeast"/>
        </w:trPr>
        <w:tc>
          <w:tcPr>
            <w:tcW w:w="4747" w:type="dxa"/>
            <w:vAlign w:val="center"/>
          </w:tcPr>
          <w:p w14:paraId="658A2140">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开户银行：</w:t>
            </w:r>
          </w:p>
        </w:tc>
        <w:tc>
          <w:tcPr>
            <w:tcW w:w="4763" w:type="dxa"/>
            <w:vAlign w:val="center"/>
          </w:tcPr>
          <w:p w14:paraId="39490F6F">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开户银行：</w:t>
            </w:r>
          </w:p>
        </w:tc>
      </w:tr>
      <w:tr w14:paraId="6222327B">
        <w:tblPrEx>
          <w:tblCellMar>
            <w:top w:w="0" w:type="dxa"/>
            <w:left w:w="108" w:type="dxa"/>
            <w:bottom w:w="0" w:type="dxa"/>
            <w:right w:w="108" w:type="dxa"/>
          </w:tblCellMar>
        </w:tblPrEx>
        <w:trPr>
          <w:trHeight w:val="464" w:hRule="atLeast"/>
        </w:trPr>
        <w:tc>
          <w:tcPr>
            <w:tcW w:w="4747" w:type="dxa"/>
            <w:vAlign w:val="center"/>
          </w:tcPr>
          <w:p w14:paraId="6A766B3D">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银行账号：</w:t>
            </w:r>
          </w:p>
        </w:tc>
        <w:tc>
          <w:tcPr>
            <w:tcW w:w="4763" w:type="dxa"/>
            <w:vAlign w:val="center"/>
          </w:tcPr>
          <w:p w14:paraId="5202410E">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银行账号：</w:t>
            </w:r>
          </w:p>
        </w:tc>
      </w:tr>
      <w:tr w14:paraId="25BD74BE">
        <w:tblPrEx>
          <w:tblCellMar>
            <w:top w:w="0" w:type="dxa"/>
            <w:left w:w="108" w:type="dxa"/>
            <w:bottom w:w="0" w:type="dxa"/>
            <w:right w:w="108" w:type="dxa"/>
          </w:tblCellMar>
        </w:tblPrEx>
        <w:trPr>
          <w:trHeight w:val="425" w:hRule="atLeast"/>
        </w:trPr>
        <w:tc>
          <w:tcPr>
            <w:tcW w:w="4747" w:type="dxa"/>
            <w:vAlign w:val="center"/>
          </w:tcPr>
          <w:p w14:paraId="707AA44D">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日期：    年    月    日</w:t>
            </w:r>
          </w:p>
        </w:tc>
        <w:tc>
          <w:tcPr>
            <w:tcW w:w="4763" w:type="dxa"/>
            <w:vAlign w:val="center"/>
          </w:tcPr>
          <w:p w14:paraId="0697BCF6">
            <w:pPr>
              <w:spacing w:line="300" w:lineRule="exact"/>
              <w:rPr>
                <w:rFonts w:ascii="楷体" w:hAnsi="楷体" w:eastAsia="楷体" w:cs="楷体"/>
                <w:color w:val="auto"/>
                <w:sz w:val="24"/>
                <w:szCs w:val="24"/>
              </w:rPr>
            </w:pPr>
            <w:r>
              <w:rPr>
                <w:rFonts w:hint="eastAsia" w:ascii="楷体" w:hAnsi="楷体" w:eastAsia="楷体" w:cs="楷体"/>
                <w:color w:val="auto"/>
                <w:sz w:val="24"/>
                <w:szCs w:val="24"/>
              </w:rPr>
              <w:t>日期：    年   月    日</w:t>
            </w:r>
          </w:p>
        </w:tc>
      </w:tr>
    </w:tbl>
    <w:p w14:paraId="35C4E1E7">
      <w:pPr>
        <w:spacing w:line="360" w:lineRule="exact"/>
        <w:rPr>
          <w:rFonts w:ascii="楷体" w:hAnsi="楷体" w:eastAsia="楷体" w:cs="楷体"/>
          <w:color w:val="auto"/>
        </w:rPr>
      </w:pPr>
    </w:p>
    <w:p w14:paraId="49365725">
      <w:pPr>
        <w:spacing w:line="360" w:lineRule="exact"/>
        <w:rPr>
          <w:rFonts w:ascii="楷体" w:hAnsi="楷体" w:eastAsia="楷体" w:cs="楷体"/>
          <w:color w:val="auto"/>
        </w:rPr>
      </w:pPr>
    </w:p>
    <w:p w14:paraId="18B1ADC4">
      <w:pPr>
        <w:spacing w:line="360" w:lineRule="exact"/>
        <w:rPr>
          <w:rFonts w:ascii="楷体" w:hAnsi="楷体" w:eastAsia="楷体" w:cs="楷体"/>
          <w:color w:val="auto"/>
        </w:rPr>
      </w:pPr>
    </w:p>
    <w:p w14:paraId="6AC015AB">
      <w:pPr>
        <w:spacing w:line="360" w:lineRule="exact"/>
        <w:rPr>
          <w:rFonts w:ascii="楷体" w:hAnsi="楷体" w:eastAsia="楷体" w:cs="楷体"/>
          <w:color w:val="auto"/>
        </w:rPr>
      </w:pPr>
    </w:p>
    <w:p w14:paraId="22DA1B5C">
      <w:pPr>
        <w:spacing w:line="360" w:lineRule="exact"/>
        <w:rPr>
          <w:rFonts w:ascii="楷体" w:hAnsi="楷体" w:eastAsia="楷体" w:cs="楷体"/>
          <w:color w:val="auto"/>
        </w:rPr>
      </w:pPr>
    </w:p>
    <w:p w14:paraId="179A3383">
      <w:pPr>
        <w:spacing w:line="360" w:lineRule="exact"/>
        <w:rPr>
          <w:rFonts w:ascii="楷体" w:hAnsi="楷体" w:eastAsia="楷体" w:cs="楷体"/>
          <w:color w:val="auto"/>
        </w:rPr>
      </w:pPr>
    </w:p>
    <w:p w14:paraId="50B9F2B7">
      <w:pPr>
        <w:spacing w:line="360" w:lineRule="exact"/>
        <w:rPr>
          <w:rFonts w:ascii="楷体" w:hAnsi="楷体" w:eastAsia="楷体" w:cs="楷体"/>
          <w:color w:val="auto"/>
        </w:rPr>
      </w:pPr>
    </w:p>
    <w:p w14:paraId="2117B40A">
      <w:pPr>
        <w:spacing w:line="360" w:lineRule="exact"/>
        <w:rPr>
          <w:rFonts w:ascii="楷体" w:hAnsi="楷体" w:eastAsia="楷体" w:cs="楷体"/>
          <w:color w:val="auto"/>
        </w:rPr>
      </w:pPr>
    </w:p>
    <w:p w14:paraId="1B9339C6">
      <w:pPr>
        <w:spacing w:line="360" w:lineRule="exact"/>
        <w:rPr>
          <w:rFonts w:ascii="楷体" w:hAnsi="楷体" w:eastAsia="楷体" w:cs="楷体"/>
          <w:color w:val="auto"/>
        </w:rPr>
      </w:pPr>
    </w:p>
    <w:p w14:paraId="006037F2">
      <w:pPr>
        <w:spacing w:line="360" w:lineRule="exact"/>
        <w:rPr>
          <w:rFonts w:ascii="楷体" w:hAnsi="楷体" w:eastAsia="楷体" w:cs="楷体"/>
          <w:color w:val="auto"/>
        </w:rPr>
      </w:pPr>
    </w:p>
    <w:p w14:paraId="2219C0AF">
      <w:pPr>
        <w:spacing w:line="360" w:lineRule="exact"/>
        <w:ind w:firstLine="1872" w:firstLineChars="600"/>
        <w:rPr>
          <w:rFonts w:ascii="楷体" w:hAnsi="楷体" w:eastAsia="楷体" w:cs="楷体"/>
          <w:b/>
          <w:bCs/>
          <w:color w:val="auto"/>
          <w:kern w:val="32"/>
          <w:sz w:val="32"/>
          <w:szCs w:val="32"/>
        </w:rPr>
      </w:pPr>
      <w:bookmarkStart w:id="15" w:name="_Toc16131"/>
      <w:r>
        <w:rPr>
          <w:rFonts w:hint="eastAsia" w:ascii="楷体" w:hAnsi="楷体" w:eastAsia="楷体" w:cs="楷体"/>
          <w:b/>
          <w:bCs/>
          <w:color w:val="auto"/>
          <w:kern w:val="32"/>
          <w:sz w:val="32"/>
          <w:szCs w:val="32"/>
        </w:rPr>
        <w:t>第二部分   通用合同条款</w:t>
      </w:r>
      <w:bookmarkEnd w:id="15"/>
    </w:p>
    <w:p w14:paraId="6CFFED88">
      <w:pPr>
        <w:autoSpaceDE w:val="0"/>
        <w:autoSpaceDN w:val="0"/>
        <w:snapToGrid w:val="0"/>
        <w:spacing w:line="360" w:lineRule="exact"/>
        <w:rPr>
          <w:rFonts w:ascii="楷体" w:hAnsi="楷体" w:eastAsia="楷体" w:cs="楷体"/>
          <w:color w:val="auto"/>
          <w:spacing w:val="1"/>
          <w:w w:val="111"/>
          <w:szCs w:val="21"/>
        </w:rPr>
      </w:pPr>
      <w:r>
        <w:rPr>
          <w:rFonts w:hint="eastAsia" w:ascii="楷体" w:hAnsi="楷体" w:eastAsia="楷体" w:cs="楷体"/>
          <w:b/>
          <w:color w:val="auto"/>
          <w:spacing w:val="5"/>
          <w:w w:val="115"/>
          <w:position w:val="3"/>
          <w:szCs w:val="21"/>
        </w:rPr>
        <w:t>1</w:t>
      </w:r>
      <w:r>
        <w:rPr>
          <w:rFonts w:hint="eastAsia" w:ascii="楷体" w:hAnsi="楷体" w:eastAsia="楷体" w:cs="楷体"/>
          <w:b/>
          <w:color w:val="auto"/>
          <w:spacing w:val="-2"/>
          <w:w w:val="115"/>
          <w:position w:val="3"/>
          <w:szCs w:val="21"/>
        </w:rPr>
        <w:t>.</w:t>
      </w:r>
      <w:r>
        <w:rPr>
          <w:rFonts w:hint="eastAsia" w:ascii="楷体" w:hAnsi="楷体" w:eastAsia="楷体" w:cs="楷体"/>
          <w:b/>
          <w:color w:val="auto"/>
          <w:position w:val="3"/>
          <w:szCs w:val="21"/>
        </w:rPr>
        <w:t>一般约定</w:t>
      </w:r>
    </w:p>
    <w:p w14:paraId="2A0A76DA">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1"/>
          <w:w w:val="111"/>
          <w:szCs w:val="21"/>
        </w:rPr>
        <w:t xml:space="preserve">    1</w:t>
      </w:r>
      <w:r>
        <w:rPr>
          <w:rFonts w:hint="eastAsia" w:ascii="楷体" w:hAnsi="楷体" w:eastAsia="楷体" w:cs="楷体"/>
          <w:color w:val="auto"/>
          <w:spacing w:val="-2"/>
          <w:w w:val="116"/>
          <w:szCs w:val="21"/>
        </w:rPr>
        <w:t>.</w:t>
      </w:r>
      <w:r>
        <w:rPr>
          <w:rFonts w:hint="eastAsia" w:ascii="楷体" w:hAnsi="楷体" w:eastAsia="楷体" w:cs="楷体"/>
          <w:color w:val="auto"/>
          <w:w w:val="116"/>
          <w:szCs w:val="21"/>
        </w:rPr>
        <w:t>1</w:t>
      </w:r>
      <w:r>
        <w:rPr>
          <w:rFonts w:hint="eastAsia" w:ascii="楷体" w:hAnsi="楷体" w:eastAsia="楷体" w:cs="楷体"/>
          <w:color w:val="auto"/>
          <w:spacing w:val="10"/>
          <w:szCs w:val="21"/>
        </w:rPr>
        <w:t xml:space="preserve"> </w:t>
      </w:r>
      <w:r>
        <w:rPr>
          <w:rFonts w:hint="eastAsia" w:ascii="楷体" w:hAnsi="楷体" w:eastAsia="楷体" w:cs="楷体"/>
          <w:color w:val="auto"/>
          <w:w w:val="101"/>
          <w:szCs w:val="21"/>
        </w:rPr>
        <w:t>词</w:t>
      </w:r>
      <w:r>
        <w:rPr>
          <w:rFonts w:hint="eastAsia" w:ascii="楷体" w:hAnsi="楷体" w:eastAsia="楷体" w:cs="楷体"/>
          <w:color w:val="auto"/>
          <w:spacing w:val="5"/>
          <w:w w:val="101"/>
          <w:szCs w:val="21"/>
        </w:rPr>
        <w:t>语</w:t>
      </w:r>
      <w:r>
        <w:rPr>
          <w:rFonts w:hint="eastAsia" w:ascii="楷体" w:hAnsi="楷体" w:eastAsia="楷体" w:cs="楷体"/>
          <w:color w:val="auto"/>
          <w:spacing w:val="-5"/>
          <w:w w:val="101"/>
          <w:szCs w:val="21"/>
        </w:rPr>
        <w:t>定</w:t>
      </w:r>
      <w:r>
        <w:rPr>
          <w:rFonts w:hint="eastAsia" w:ascii="楷体" w:hAnsi="楷体" w:eastAsia="楷体" w:cs="楷体"/>
          <w:color w:val="auto"/>
          <w:w w:val="101"/>
          <w:szCs w:val="21"/>
        </w:rPr>
        <w:t>义</w:t>
      </w:r>
      <w:r>
        <w:rPr>
          <w:rFonts w:hint="eastAsia" w:ascii="楷体" w:hAnsi="楷体" w:eastAsia="楷体" w:cs="楷体"/>
          <w:color w:val="auto"/>
          <w:spacing w:val="-5"/>
          <w:w w:val="101"/>
          <w:szCs w:val="21"/>
        </w:rPr>
        <w:t>与</w:t>
      </w:r>
      <w:r>
        <w:rPr>
          <w:rFonts w:hint="eastAsia" w:ascii="楷体" w:hAnsi="楷体" w:eastAsia="楷体" w:cs="楷体"/>
          <w:color w:val="auto"/>
          <w:spacing w:val="5"/>
          <w:w w:val="101"/>
          <w:szCs w:val="21"/>
        </w:rPr>
        <w:t>解释</w:t>
      </w:r>
    </w:p>
    <w:p w14:paraId="51782154">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5"/>
          <w:w w:val="101"/>
          <w:szCs w:val="21"/>
        </w:rPr>
        <w:t xml:space="preserve">    合</w:t>
      </w:r>
      <w:r>
        <w:rPr>
          <w:rFonts w:hint="eastAsia" w:ascii="楷体" w:hAnsi="楷体" w:eastAsia="楷体" w:cs="楷体"/>
          <w:color w:val="auto"/>
          <w:w w:val="101"/>
          <w:szCs w:val="21"/>
        </w:rPr>
        <w:t>同协议书</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通用合</w:t>
      </w:r>
      <w:r>
        <w:rPr>
          <w:rFonts w:hint="eastAsia" w:ascii="楷体" w:hAnsi="楷体" w:eastAsia="楷体" w:cs="楷体"/>
          <w:color w:val="auto"/>
          <w:spacing w:val="5"/>
          <w:w w:val="101"/>
          <w:szCs w:val="21"/>
        </w:rPr>
        <w:t>同</w:t>
      </w:r>
      <w:r>
        <w:rPr>
          <w:rFonts w:hint="eastAsia" w:ascii="楷体" w:hAnsi="楷体" w:eastAsia="楷体" w:cs="楷体"/>
          <w:color w:val="auto"/>
          <w:w w:val="101"/>
          <w:szCs w:val="21"/>
        </w:rPr>
        <w:t>条款、专</w:t>
      </w:r>
      <w:r>
        <w:rPr>
          <w:rFonts w:hint="eastAsia" w:ascii="楷体" w:hAnsi="楷体" w:eastAsia="楷体" w:cs="楷体"/>
          <w:color w:val="auto"/>
          <w:spacing w:val="5"/>
          <w:w w:val="101"/>
          <w:szCs w:val="21"/>
        </w:rPr>
        <w:t>用</w:t>
      </w:r>
      <w:r>
        <w:rPr>
          <w:rFonts w:hint="eastAsia" w:ascii="楷体" w:hAnsi="楷体" w:eastAsia="楷体" w:cs="楷体"/>
          <w:color w:val="auto"/>
          <w:w w:val="101"/>
          <w:szCs w:val="21"/>
        </w:rPr>
        <w:t>合同条</w:t>
      </w:r>
      <w:r>
        <w:rPr>
          <w:rFonts w:hint="eastAsia" w:ascii="楷体" w:hAnsi="楷体" w:eastAsia="楷体" w:cs="楷体"/>
          <w:color w:val="auto"/>
          <w:spacing w:val="5"/>
          <w:w w:val="101"/>
          <w:szCs w:val="21"/>
        </w:rPr>
        <w:t>款</w:t>
      </w:r>
      <w:r>
        <w:rPr>
          <w:rFonts w:hint="eastAsia" w:ascii="楷体" w:hAnsi="楷体" w:eastAsia="楷体" w:cs="楷体"/>
          <w:color w:val="auto"/>
          <w:w w:val="101"/>
          <w:szCs w:val="21"/>
        </w:rPr>
        <w:t>中的下列</w:t>
      </w:r>
      <w:r>
        <w:rPr>
          <w:rFonts w:hint="eastAsia" w:ascii="楷体" w:hAnsi="楷体" w:eastAsia="楷体" w:cs="楷体"/>
          <w:color w:val="auto"/>
          <w:spacing w:val="5"/>
          <w:w w:val="101"/>
          <w:szCs w:val="21"/>
        </w:rPr>
        <w:t>词</w:t>
      </w:r>
      <w:r>
        <w:rPr>
          <w:rFonts w:hint="eastAsia" w:ascii="楷体" w:hAnsi="楷体" w:eastAsia="楷体" w:cs="楷体"/>
          <w:color w:val="auto"/>
          <w:w w:val="101"/>
          <w:szCs w:val="21"/>
        </w:rPr>
        <w:t>语具</w:t>
      </w:r>
      <w:r>
        <w:rPr>
          <w:rFonts w:hint="eastAsia" w:ascii="楷体" w:hAnsi="楷体" w:eastAsia="楷体" w:cs="楷体"/>
          <w:color w:val="auto"/>
          <w:spacing w:val="5"/>
          <w:w w:val="101"/>
          <w:szCs w:val="21"/>
        </w:rPr>
        <w:t>有</w:t>
      </w:r>
      <w:r>
        <w:rPr>
          <w:rFonts w:hint="eastAsia" w:ascii="楷体" w:hAnsi="楷体" w:eastAsia="楷体" w:cs="楷体"/>
          <w:color w:val="auto"/>
          <w:w w:val="101"/>
          <w:szCs w:val="21"/>
        </w:rPr>
        <w:t>本款</w:t>
      </w:r>
      <w:r>
        <w:rPr>
          <w:rFonts w:hint="eastAsia" w:ascii="楷体" w:hAnsi="楷体" w:eastAsia="楷体" w:cs="楷体"/>
          <w:color w:val="auto"/>
          <w:spacing w:val="-5"/>
          <w:w w:val="101"/>
          <w:szCs w:val="21"/>
        </w:rPr>
        <w:t>所</w:t>
      </w:r>
      <w:r>
        <w:rPr>
          <w:rFonts w:hint="eastAsia" w:ascii="楷体" w:hAnsi="楷体" w:eastAsia="楷体" w:cs="楷体"/>
          <w:color w:val="auto"/>
          <w:spacing w:val="5"/>
          <w:w w:val="101"/>
          <w:szCs w:val="21"/>
        </w:rPr>
        <w:t>赋</w:t>
      </w:r>
      <w:r>
        <w:rPr>
          <w:rFonts w:hint="eastAsia" w:ascii="楷体" w:hAnsi="楷体" w:eastAsia="楷体" w:cs="楷体"/>
          <w:color w:val="auto"/>
          <w:spacing w:val="-5"/>
          <w:w w:val="101"/>
          <w:szCs w:val="21"/>
        </w:rPr>
        <w:t>予</w:t>
      </w:r>
      <w:r>
        <w:rPr>
          <w:rFonts w:hint="eastAsia" w:ascii="楷体" w:hAnsi="楷体" w:eastAsia="楷体" w:cs="楷体"/>
          <w:color w:val="auto"/>
          <w:w w:val="101"/>
          <w:szCs w:val="21"/>
        </w:rPr>
        <w:t>的</w:t>
      </w:r>
      <w:r>
        <w:rPr>
          <w:rFonts w:hint="eastAsia" w:ascii="楷体" w:hAnsi="楷体" w:eastAsia="楷体" w:cs="楷体"/>
          <w:color w:val="auto"/>
          <w:spacing w:val="-5"/>
          <w:w w:val="101"/>
          <w:szCs w:val="21"/>
        </w:rPr>
        <w:t>含</w:t>
      </w:r>
      <w:r>
        <w:rPr>
          <w:rFonts w:hint="eastAsia" w:ascii="楷体" w:hAnsi="楷体" w:eastAsia="楷体" w:cs="楷体"/>
          <w:color w:val="auto"/>
          <w:w w:val="101"/>
          <w:szCs w:val="21"/>
        </w:rPr>
        <w:t>义</w:t>
      </w:r>
      <w:r>
        <w:rPr>
          <w:rFonts w:hint="eastAsia" w:ascii="楷体" w:hAnsi="楷体" w:eastAsia="楷体" w:cs="楷体"/>
          <w:color w:val="auto"/>
          <w:spacing w:val="-5"/>
          <w:w w:val="101"/>
          <w:szCs w:val="21"/>
        </w:rPr>
        <w:t>：</w:t>
      </w:r>
    </w:p>
    <w:p w14:paraId="562933BB">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position w:val="3"/>
          <w:szCs w:val="21"/>
        </w:rPr>
        <w:t xml:space="preserve">    1</w:t>
      </w:r>
      <w:r>
        <w:rPr>
          <w:rFonts w:hint="eastAsia" w:ascii="楷体" w:hAnsi="楷体" w:eastAsia="楷体" w:cs="楷体"/>
          <w:color w:val="auto"/>
          <w:spacing w:val="1"/>
          <w:w w:val="101"/>
          <w:position w:val="3"/>
          <w:szCs w:val="21"/>
        </w:rPr>
        <w:t>.</w:t>
      </w:r>
      <w:r>
        <w:rPr>
          <w:rFonts w:hint="eastAsia" w:ascii="楷体" w:hAnsi="楷体" w:eastAsia="楷体" w:cs="楷体"/>
          <w:color w:val="auto"/>
          <w:spacing w:val="2"/>
          <w:w w:val="101"/>
          <w:position w:val="3"/>
          <w:szCs w:val="21"/>
        </w:rPr>
        <w:t>1</w:t>
      </w:r>
      <w:r>
        <w:rPr>
          <w:rFonts w:hint="eastAsia" w:ascii="楷体" w:hAnsi="楷体" w:eastAsia="楷体" w:cs="楷体"/>
          <w:color w:val="auto"/>
          <w:spacing w:val="-4"/>
          <w:w w:val="101"/>
          <w:position w:val="3"/>
          <w:szCs w:val="21"/>
        </w:rPr>
        <w:t>.</w:t>
      </w:r>
      <w:r>
        <w:rPr>
          <w:rFonts w:hint="eastAsia" w:ascii="楷体" w:hAnsi="楷体" w:eastAsia="楷体" w:cs="楷体"/>
          <w:color w:val="auto"/>
          <w:w w:val="101"/>
          <w:position w:val="3"/>
          <w:szCs w:val="21"/>
        </w:rPr>
        <w:t>1</w:t>
      </w:r>
      <w:r>
        <w:rPr>
          <w:rFonts w:hint="eastAsia" w:ascii="楷体" w:hAnsi="楷体" w:eastAsia="楷体" w:cs="楷体"/>
          <w:color w:val="auto"/>
          <w:position w:val="3"/>
          <w:szCs w:val="21"/>
        </w:rPr>
        <w:t xml:space="preserve"> </w:t>
      </w:r>
      <w:r>
        <w:rPr>
          <w:rFonts w:hint="eastAsia" w:ascii="楷体" w:hAnsi="楷体" w:eastAsia="楷体" w:cs="楷体"/>
          <w:color w:val="auto"/>
          <w:w w:val="101"/>
          <w:position w:val="3"/>
          <w:szCs w:val="21"/>
        </w:rPr>
        <w:t>合同</w:t>
      </w:r>
    </w:p>
    <w:p w14:paraId="3A7E664D">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1.1.1.1 合同：是指根据法律规定和合同当事人约定具有约束力的文件，构成合同的文件包括合同协议书、成交通知书（如果有）、投标函及其附录（如果有）、专用合同条款及其附件、通用合同条款、技术标准和要求、图纸、已标价工程量清单或预算书以及其他合同文件。</w:t>
      </w:r>
    </w:p>
    <w:p w14:paraId="52A2597B">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1.1.1.2 合同协议书：是指构成合同的由发包人和承包人共同签署的称为“合同协议书”的书面文件。</w:t>
      </w:r>
    </w:p>
    <w:p w14:paraId="321B2279">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1.1.1.3 成交通知书：是指构成合同的由发包人通知承包人成交的书面文件。</w:t>
      </w:r>
    </w:p>
    <w:p w14:paraId="7FC31CAA">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1.1.1.4 投标函：是指构成合同的由承包人填写并签署的用于投标的称为“投标函”的文件。</w:t>
      </w:r>
    </w:p>
    <w:p w14:paraId="6BDEDD87">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1.1.1.5 投标函附录：是指构成合同的附在投标函后的称为“投标函附录”的文件。</w:t>
      </w:r>
    </w:p>
    <w:p w14:paraId="2975CD7F">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1.1.1.6 技术标准和要求：是指构成合同的施工应当遵守的或指导施工的国家、行业或地方的技术标准和要求，以及合同约定的技术标准和要求。</w:t>
      </w:r>
    </w:p>
    <w:p w14:paraId="3D849C17">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7</w:t>
      </w:r>
      <w:r>
        <w:rPr>
          <w:rFonts w:hint="eastAsia" w:ascii="楷体" w:hAnsi="楷体" w:eastAsia="楷体" w:cs="楷体"/>
          <w:color w:val="auto"/>
          <w:szCs w:val="21"/>
        </w:rPr>
        <w:t xml:space="preserve"> </w:t>
      </w:r>
      <w:r>
        <w:rPr>
          <w:rFonts w:hint="eastAsia" w:ascii="楷体" w:hAnsi="楷体" w:eastAsia="楷体" w:cs="楷体"/>
          <w:color w:val="auto"/>
          <w:w w:val="101"/>
          <w:szCs w:val="21"/>
        </w:rPr>
        <w:t>图</w:t>
      </w:r>
      <w:r>
        <w:rPr>
          <w:rFonts w:hint="eastAsia" w:ascii="楷体" w:hAnsi="楷体" w:eastAsia="楷体" w:cs="楷体"/>
          <w:color w:val="auto"/>
          <w:spacing w:val="5"/>
          <w:w w:val="101"/>
          <w:szCs w:val="21"/>
        </w:rPr>
        <w:t>纸</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是</w:t>
      </w:r>
      <w:r>
        <w:rPr>
          <w:rFonts w:hint="eastAsia" w:ascii="楷体" w:hAnsi="楷体" w:eastAsia="楷体" w:cs="楷体"/>
          <w:color w:val="auto"/>
          <w:spacing w:val="-5"/>
          <w:w w:val="101"/>
          <w:szCs w:val="21"/>
        </w:rPr>
        <w:t>指</w:t>
      </w:r>
      <w:r>
        <w:rPr>
          <w:rFonts w:hint="eastAsia" w:ascii="楷体" w:hAnsi="楷体" w:eastAsia="楷体" w:cs="楷体"/>
          <w:color w:val="auto"/>
          <w:w w:val="101"/>
          <w:szCs w:val="21"/>
        </w:rPr>
        <w:t>构成</w:t>
      </w:r>
      <w:r>
        <w:rPr>
          <w:rFonts w:hint="eastAsia" w:ascii="楷体" w:hAnsi="楷体" w:eastAsia="楷体" w:cs="楷体"/>
          <w:color w:val="auto"/>
          <w:spacing w:val="-5"/>
          <w:w w:val="101"/>
          <w:szCs w:val="21"/>
        </w:rPr>
        <w:t>合</w:t>
      </w:r>
      <w:r>
        <w:rPr>
          <w:rFonts w:hint="eastAsia" w:ascii="楷体" w:hAnsi="楷体" w:eastAsia="楷体" w:cs="楷体"/>
          <w:color w:val="auto"/>
          <w:w w:val="101"/>
          <w:szCs w:val="21"/>
        </w:rPr>
        <w:t>同的图</w:t>
      </w:r>
      <w:r>
        <w:rPr>
          <w:rFonts w:hint="eastAsia" w:ascii="楷体" w:hAnsi="楷体" w:eastAsia="楷体" w:cs="楷体"/>
          <w:color w:val="auto"/>
          <w:spacing w:val="-5"/>
          <w:w w:val="101"/>
          <w:szCs w:val="21"/>
        </w:rPr>
        <w:t>纸，</w:t>
      </w:r>
      <w:r>
        <w:rPr>
          <w:rFonts w:hint="eastAsia" w:ascii="楷体" w:hAnsi="楷体" w:eastAsia="楷体" w:cs="楷体"/>
          <w:color w:val="auto"/>
          <w:spacing w:val="5"/>
          <w:w w:val="101"/>
          <w:szCs w:val="21"/>
        </w:rPr>
        <w:t>包</w:t>
      </w:r>
      <w:r>
        <w:rPr>
          <w:rFonts w:hint="eastAsia" w:ascii="楷体" w:hAnsi="楷体" w:eastAsia="楷体" w:cs="楷体"/>
          <w:color w:val="auto"/>
          <w:spacing w:val="-5"/>
          <w:w w:val="101"/>
          <w:szCs w:val="21"/>
        </w:rPr>
        <w:t>括</w:t>
      </w:r>
      <w:r>
        <w:rPr>
          <w:rFonts w:hint="eastAsia" w:ascii="楷体" w:hAnsi="楷体" w:eastAsia="楷体" w:cs="楷体"/>
          <w:color w:val="auto"/>
          <w:w w:val="101"/>
          <w:szCs w:val="21"/>
        </w:rPr>
        <w:t>由</w:t>
      </w:r>
      <w:r>
        <w:rPr>
          <w:rFonts w:hint="eastAsia" w:ascii="楷体" w:hAnsi="楷体" w:eastAsia="楷体" w:cs="楷体"/>
          <w:color w:val="auto"/>
          <w:spacing w:val="-5"/>
          <w:w w:val="101"/>
          <w:szCs w:val="21"/>
        </w:rPr>
        <w:t>发</w:t>
      </w:r>
      <w:r>
        <w:rPr>
          <w:rFonts w:hint="eastAsia" w:ascii="楷体" w:hAnsi="楷体" w:eastAsia="楷体" w:cs="楷体"/>
          <w:color w:val="auto"/>
          <w:spacing w:val="5"/>
          <w:w w:val="101"/>
          <w:szCs w:val="21"/>
        </w:rPr>
        <w:t>包</w:t>
      </w:r>
      <w:r>
        <w:rPr>
          <w:rFonts w:hint="eastAsia" w:ascii="楷体" w:hAnsi="楷体" w:eastAsia="楷体" w:cs="楷体"/>
          <w:color w:val="auto"/>
          <w:spacing w:val="-5"/>
          <w:w w:val="101"/>
          <w:szCs w:val="21"/>
        </w:rPr>
        <w:t>人</w:t>
      </w:r>
      <w:r>
        <w:rPr>
          <w:rFonts w:hint="eastAsia" w:ascii="楷体" w:hAnsi="楷体" w:eastAsia="楷体" w:cs="楷体"/>
          <w:color w:val="auto"/>
          <w:w w:val="101"/>
          <w:szCs w:val="21"/>
        </w:rPr>
        <w:t>按</w:t>
      </w:r>
      <w:r>
        <w:rPr>
          <w:rFonts w:hint="eastAsia" w:ascii="楷体" w:hAnsi="楷体" w:eastAsia="楷体" w:cs="楷体"/>
          <w:color w:val="auto"/>
          <w:spacing w:val="-5"/>
          <w:w w:val="101"/>
          <w:szCs w:val="21"/>
        </w:rPr>
        <w:t>照</w:t>
      </w:r>
      <w:r>
        <w:rPr>
          <w:rFonts w:hint="eastAsia" w:ascii="楷体" w:hAnsi="楷体" w:eastAsia="楷体" w:cs="楷体"/>
          <w:color w:val="auto"/>
          <w:spacing w:val="5"/>
          <w:w w:val="101"/>
          <w:szCs w:val="21"/>
        </w:rPr>
        <w:t>合</w:t>
      </w:r>
      <w:r>
        <w:rPr>
          <w:rFonts w:hint="eastAsia" w:ascii="楷体" w:hAnsi="楷体" w:eastAsia="楷体" w:cs="楷体"/>
          <w:color w:val="auto"/>
          <w:spacing w:val="-5"/>
          <w:w w:val="101"/>
          <w:szCs w:val="21"/>
        </w:rPr>
        <w:t>同</w:t>
      </w:r>
      <w:r>
        <w:rPr>
          <w:rFonts w:hint="eastAsia" w:ascii="楷体" w:hAnsi="楷体" w:eastAsia="楷体" w:cs="楷体"/>
          <w:color w:val="auto"/>
          <w:w w:val="101"/>
          <w:szCs w:val="21"/>
        </w:rPr>
        <w:t>约</w:t>
      </w:r>
      <w:r>
        <w:rPr>
          <w:rFonts w:hint="eastAsia" w:ascii="楷体" w:hAnsi="楷体" w:eastAsia="楷体" w:cs="楷体"/>
          <w:color w:val="auto"/>
          <w:spacing w:val="5"/>
          <w:w w:val="101"/>
          <w:szCs w:val="21"/>
        </w:rPr>
        <w:t>定</w:t>
      </w:r>
      <w:r>
        <w:rPr>
          <w:rFonts w:hint="eastAsia" w:ascii="楷体" w:hAnsi="楷体" w:eastAsia="楷体" w:cs="楷体"/>
          <w:color w:val="auto"/>
          <w:w w:val="101"/>
          <w:szCs w:val="21"/>
        </w:rPr>
        <w:t>提供</w:t>
      </w:r>
      <w:r>
        <w:rPr>
          <w:rFonts w:hint="eastAsia" w:ascii="楷体" w:hAnsi="楷体" w:eastAsia="楷体" w:cs="楷体"/>
          <w:color w:val="auto"/>
          <w:spacing w:val="5"/>
          <w:w w:val="101"/>
          <w:szCs w:val="21"/>
        </w:rPr>
        <w:t>或</w:t>
      </w:r>
      <w:r>
        <w:rPr>
          <w:rFonts w:hint="eastAsia" w:ascii="楷体" w:hAnsi="楷体" w:eastAsia="楷体" w:cs="楷体"/>
          <w:color w:val="auto"/>
          <w:w w:val="101"/>
          <w:szCs w:val="21"/>
        </w:rPr>
        <w:t>经发包人</w:t>
      </w:r>
      <w:r>
        <w:rPr>
          <w:rFonts w:hint="eastAsia" w:ascii="楷体" w:hAnsi="楷体" w:eastAsia="楷体" w:cs="楷体"/>
          <w:color w:val="auto"/>
          <w:spacing w:val="5"/>
          <w:w w:val="101"/>
          <w:szCs w:val="21"/>
        </w:rPr>
        <w:t>批</w:t>
      </w:r>
      <w:r>
        <w:rPr>
          <w:rFonts w:hint="eastAsia" w:ascii="楷体" w:hAnsi="楷体" w:eastAsia="楷体" w:cs="楷体"/>
          <w:color w:val="auto"/>
          <w:w w:val="101"/>
          <w:szCs w:val="21"/>
        </w:rPr>
        <w:t>准的设计</w:t>
      </w:r>
      <w:r>
        <w:rPr>
          <w:rFonts w:hint="eastAsia" w:ascii="楷体" w:hAnsi="楷体" w:eastAsia="楷体" w:cs="楷体"/>
          <w:color w:val="auto"/>
          <w:spacing w:val="5"/>
          <w:w w:val="101"/>
          <w:szCs w:val="21"/>
        </w:rPr>
        <w:t>文</w:t>
      </w:r>
      <w:r>
        <w:rPr>
          <w:rFonts w:hint="eastAsia" w:ascii="楷体" w:hAnsi="楷体" w:eastAsia="楷体" w:cs="楷体"/>
          <w:color w:val="auto"/>
          <w:w w:val="101"/>
          <w:szCs w:val="21"/>
        </w:rPr>
        <w:t>件、施工图、鸟瞰图及模型等，以及在合同履行过程中形成的图纸文件。图纸应当按照法律规定审查合格。</w:t>
      </w:r>
    </w:p>
    <w:p w14:paraId="3D92E82A">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1.1.1.8 已标价工程量清单：是指构成合同的由承包人按照规定的格式和要求填写并标明价格的工程量清单，包括说明和表格。</w:t>
      </w:r>
    </w:p>
    <w:p w14:paraId="058BFD05">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w w:val="101"/>
          <w:szCs w:val="21"/>
        </w:rPr>
        <w:t xml:space="preserve">    1.1.1.9  预算书：是指构成合同的由承包人按照发包人规定的格式和</w:t>
      </w:r>
      <w:r>
        <w:rPr>
          <w:rFonts w:hint="eastAsia" w:ascii="楷体" w:hAnsi="楷体" w:eastAsia="楷体" w:cs="楷体"/>
          <w:color w:val="auto"/>
          <w:spacing w:val="-5"/>
          <w:w w:val="101"/>
          <w:szCs w:val="21"/>
        </w:rPr>
        <w:t>要</w:t>
      </w:r>
      <w:r>
        <w:rPr>
          <w:rFonts w:hint="eastAsia" w:ascii="楷体" w:hAnsi="楷体" w:eastAsia="楷体" w:cs="楷体"/>
          <w:color w:val="auto"/>
          <w:spacing w:val="5"/>
          <w:w w:val="101"/>
          <w:szCs w:val="21"/>
        </w:rPr>
        <w:t>求</w:t>
      </w:r>
      <w:r>
        <w:rPr>
          <w:rFonts w:hint="eastAsia" w:ascii="楷体" w:hAnsi="楷体" w:eastAsia="楷体" w:cs="楷体"/>
          <w:color w:val="auto"/>
          <w:spacing w:val="-5"/>
          <w:w w:val="101"/>
          <w:szCs w:val="21"/>
        </w:rPr>
        <w:t>编</w:t>
      </w:r>
      <w:r>
        <w:rPr>
          <w:rFonts w:hint="eastAsia" w:ascii="楷体" w:hAnsi="楷体" w:eastAsia="楷体" w:cs="楷体"/>
          <w:color w:val="auto"/>
          <w:w w:val="101"/>
          <w:szCs w:val="21"/>
        </w:rPr>
        <w:t>制</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工</w:t>
      </w:r>
      <w:r>
        <w:rPr>
          <w:rFonts w:hint="eastAsia" w:ascii="楷体" w:hAnsi="楷体" w:eastAsia="楷体" w:cs="楷体"/>
          <w:color w:val="auto"/>
          <w:spacing w:val="-5"/>
          <w:w w:val="101"/>
          <w:szCs w:val="21"/>
        </w:rPr>
        <w:t>程</w:t>
      </w:r>
      <w:r>
        <w:rPr>
          <w:rFonts w:hint="eastAsia" w:ascii="楷体" w:hAnsi="楷体" w:eastAsia="楷体" w:cs="楷体"/>
          <w:color w:val="auto"/>
          <w:w w:val="101"/>
          <w:szCs w:val="21"/>
        </w:rPr>
        <w:t>预</w:t>
      </w:r>
      <w:r>
        <w:rPr>
          <w:rFonts w:hint="eastAsia" w:ascii="楷体" w:hAnsi="楷体" w:eastAsia="楷体" w:cs="楷体"/>
          <w:color w:val="auto"/>
          <w:spacing w:val="-5"/>
          <w:w w:val="101"/>
          <w:szCs w:val="21"/>
        </w:rPr>
        <w:t>算</w:t>
      </w:r>
      <w:r>
        <w:rPr>
          <w:rFonts w:hint="eastAsia" w:ascii="楷体" w:hAnsi="楷体" w:eastAsia="楷体" w:cs="楷体"/>
          <w:color w:val="auto"/>
          <w:spacing w:val="5"/>
          <w:w w:val="101"/>
          <w:szCs w:val="21"/>
        </w:rPr>
        <w:t>文</w:t>
      </w:r>
      <w:r>
        <w:rPr>
          <w:rFonts w:hint="eastAsia" w:ascii="楷体" w:hAnsi="楷体" w:eastAsia="楷体" w:cs="楷体"/>
          <w:color w:val="auto"/>
          <w:spacing w:val="-5"/>
          <w:w w:val="101"/>
          <w:szCs w:val="21"/>
        </w:rPr>
        <w:t>件。</w:t>
      </w:r>
    </w:p>
    <w:p w14:paraId="3701F469">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w w:val="101"/>
          <w:szCs w:val="21"/>
        </w:rPr>
        <w:t>0</w:t>
      </w:r>
      <w:r>
        <w:rPr>
          <w:rFonts w:hint="eastAsia" w:ascii="楷体" w:hAnsi="楷体" w:eastAsia="楷体" w:cs="楷体"/>
          <w:color w:val="auto"/>
          <w:szCs w:val="21"/>
        </w:rPr>
        <w:t xml:space="preserve"> </w:t>
      </w:r>
      <w:r>
        <w:rPr>
          <w:rFonts w:hint="eastAsia" w:ascii="楷体" w:hAnsi="楷体" w:eastAsia="楷体" w:cs="楷体"/>
          <w:color w:val="auto"/>
          <w:w w:val="101"/>
          <w:szCs w:val="21"/>
        </w:rPr>
        <w:t>其他合</w:t>
      </w:r>
      <w:r>
        <w:rPr>
          <w:rFonts w:hint="eastAsia" w:ascii="楷体" w:hAnsi="楷体" w:eastAsia="楷体" w:cs="楷体"/>
          <w:color w:val="auto"/>
          <w:spacing w:val="-5"/>
          <w:w w:val="101"/>
          <w:szCs w:val="21"/>
        </w:rPr>
        <w:t>同</w:t>
      </w:r>
      <w:r>
        <w:rPr>
          <w:rFonts w:hint="eastAsia" w:ascii="楷体" w:hAnsi="楷体" w:eastAsia="楷体" w:cs="楷体"/>
          <w:color w:val="auto"/>
          <w:w w:val="101"/>
          <w:szCs w:val="21"/>
        </w:rPr>
        <w:t>文件</w:t>
      </w:r>
      <w:r>
        <w:rPr>
          <w:rFonts w:hint="eastAsia" w:ascii="楷体" w:hAnsi="楷体" w:eastAsia="楷体" w:cs="楷体"/>
          <w:color w:val="auto"/>
          <w:spacing w:val="-77"/>
          <w:w w:val="101"/>
          <w:szCs w:val="21"/>
        </w:rPr>
        <w:t>：</w:t>
      </w:r>
      <w:r>
        <w:rPr>
          <w:rFonts w:hint="eastAsia" w:ascii="楷体" w:hAnsi="楷体" w:eastAsia="楷体" w:cs="楷体"/>
          <w:color w:val="auto"/>
          <w:spacing w:val="-5"/>
          <w:w w:val="101"/>
          <w:szCs w:val="21"/>
        </w:rPr>
        <w:t>是</w:t>
      </w:r>
      <w:r>
        <w:rPr>
          <w:rFonts w:hint="eastAsia" w:ascii="楷体" w:hAnsi="楷体" w:eastAsia="楷体" w:cs="楷体"/>
          <w:color w:val="auto"/>
          <w:w w:val="101"/>
          <w:szCs w:val="21"/>
        </w:rPr>
        <w:t>指经合</w:t>
      </w:r>
      <w:r>
        <w:rPr>
          <w:rFonts w:hint="eastAsia" w:ascii="楷体" w:hAnsi="楷体" w:eastAsia="楷体" w:cs="楷体"/>
          <w:color w:val="auto"/>
          <w:spacing w:val="-5"/>
          <w:w w:val="101"/>
          <w:szCs w:val="21"/>
        </w:rPr>
        <w:t>同当</w:t>
      </w:r>
      <w:r>
        <w:rPr>
          <w:rFonts w:hint="eastAsia" w:ascii="楷体" w:hAnsi="楷体" w:eastAsia="楷体" w:cs="楷体"/>
          <w:color w:val="auto"/>
          <w:spacing w:val="5"/>
          <w:w w:val="101"/>
          <w:szCs w:val="21"/>
        </w:rPr>
        <w:t>事</w:t>
      </w:r>
      <w:r>
        <w:rPr>
          <w:rFonts w:hint="eastAsia" w:ascii="楷体" w:hAnsi="楷体" w:eastAsia="楷体" w:cs="楷体"/>
          <w:color w:val="auto"/>
          <w:spacing w:val="-5"/>
          <w:w w:val="101"/>
          <w:szCs w:val="21"/>
        </w:rPr>
        <w:t>人</w:t>
      </w:r>
      <w:r>
        <w:rPr>
          <w:rFonts w:hint="eastAsia" w:ascii="楷体" w:hAnsi="楷体" w:eastAsia="楷体" w:cs="楷体"/>
          <w:color w:val="auto"/>
          <w:w w:val="101"/>
          <w:szCs w:val="21"/>
        </w:rPr>
        <w:t>约</w:t>
      </w:r>
      <w:r>
        <w:rPr>
          <w:rFonts w:hint="eastAsia" w:ascii="楷体" w:hAnsi="楷体" w:eastAsia="楷体" w:cs="楷体"/>
          <w:color w:val="auto"/>
          <w:spacing w:val="-5"/>
          <w:w w:val="101"/>
          <w:szCs w:val="21"/>
        </w:rPr>
        <w:t>定</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与</w:t>
      </w:r>
      <w:r>
        <w:rPr>
          <w:rFonts w:hint="eastAsia" w:ascii="楷体" w:hAnsi="楷体" w:eastAsia="楷体" w:cs="楷体"/>
          <w:color w:val="auto"/>
          <w:w w:val="101"/>
          <w:szCs w:val="21"/>
        </w:rPr>
        <w:t>工</w:t>
      </w:r>
      <w:r>
        <w:rPr>
          <w:rFonts w:hint="eastAsia" w:ascii="楷体" w:hAnsi="楷体" w:eastAsia="楷体" w:cs="楷体"/>
          <w:color w:val="auto"/>
          <w:spacing w:val="-5"/>
          <w:w w:val="101"/>
          <w:szCs w:val="21"/>
        </w:rPr>
        <w:t>程</w:t>
      </w:r>
      <w:r>
        <w:rPr>
          <w:rFonts w:hint="eastAsia" w:ascii="楷体" w:hAnsi="楷体" w:eastAsia="楷体" w:cs="楷体"/>
          <w:color w:val="auto"/>
          <w:spacing w:val="5"/>
          <w:w w:val="101"/>
          <w:szCs w:val="21"/>
        </w:rPr>
        <w:t>施</w:t>
      </w:r>
      <w:r>
        <w:rPr>
          <w:rFonts w:hint="eastAsia" w:ascii="楷体" w:hAnsi="楷体" w:eastAsia="楷体" w:cs="楷体"/>
          <w:color w:val="auto"/>
          <w:spacing w:val="-5"/>
          <w:w w:val="101"/>
          <w:szCs w:val="21"/>
        </w:rPr>
        <w:t>工</w:t>
      </w:r>
      <w:r>
        <w:rPr>
          <w:rFonts w:hint="eastAsia" w:ascii="楷体" w:hAnsi="楷体" w:eastAsia="楷体" w:cs="楷体"/>
          <w:color w:val="auto"/>
          <w:w w:val="101"/>
          <w:szCs w:val="21"/>
        </w:rPr>
        <w:t>有关的具</w:t>
      </w:r>
      <w:r>
        <w:rPr>
          <w:rFonts w:hint="eastAsia" w:ascii="楷体" w:hAnsi="楷体" w:eastAsia="楷体" w:cs="楷体"/>
          <w:color w:val="auto"/>
          <w:spacing w:val="5"/>
          <w:w w:val="101"/>
          <w:szCs w:val="21"/>
        </w:rPr>
        <w:t>有</w:t>
      </w:r>
      <w:r>
        <w:rPr>
          <w:rFonts w:hint="eastAsia" w:ascii="楷体" w:hAnsi="楷体" w:eastAsia="楷体" w:cs="楷体"/>
          <w:color w:val="auto"/>
          <w:w w:val="101"/>
          <w:szCs w:val="21"/>
        </w:rPr>
        <w:t>合同约束</w:t>
      </w:r>
      <w:r>
        <w:rPr>
          <w:rFonts w:hint="eastAsia" w:ascii="楷体" w:hAnsi="楷体" w:eastAsia="楷体" w:cs="楷体"/>
          <w:color w:val="auto"/>
          <w:spacing w:val="5"/>
          <w:w w:val="101"/>
          <w:szCs w:val="21"/>
        </w:rPr>
        <w:t>力</w:t>
      </w:r>
      <w:r>
        <w:rPr>
          <w:rFonts w:hint="eastAsia" w:ascii="楷体" w:hAnsi="楷体" w:eastAsia="楷体" w:cs="楷体"/>
          <w:color w:val="auto"/>
          <w:w w:val="101"/>
          <w:szCs w:val="21"/>
        </w:rPr>
        <w:t>的文件或</w:t>
      </w:r>
      <w:r>
        <w:rPr>
          <w:rFonts w:hint="eastAsia" w:ascii="楷体" w:hAnsi="楷体" w:eastAsia="楷体" w:cs="楷体"/>
          <w:color w:val="auto"/>
          <w:spacing w:val="5"/>
          <w:w w:val="101"/>
          <w:szCs w:val="21"/>
        </w:rPr>
        <w:t>书</w:t>
      </w:r>
      <w:r>
        <w:rPr>
          <w:rFonts w:hint="eastAsia" w:ascii="楷体" w:hAnsi="楷体" w:eastAsia="楷体" w:cs="楷体"/>
          <w:color w:val="auto"/>
          <w:w w:val="101"/>
          <w:szCs w:val="21"/>
        </w:rPr>
        <w:t>面协</w:t>
      </w:r>
      <w:r>
        <w:rPr>
          <w:rFonts w:hint="eastAsia" w:ascii="楷体" w:hAnsi="楷体" w:eastAsia="楷体" w:cs="楷体"/>
          <w:color w:val="auto"/>
          <w:spacing w:val="-5"/>
          <w:w w:val="101"/>
          <w:szCs w:val="21"/>
        </w:rPr>
        <w:t>议</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合同当</w:t>
      </w:r>
      <w:r>
        <w:rPr>
          <w:rFonts w:hint="eastAsia" w:ascii="楷体" w:hAnsi="楷体" w:eastAsia="楷体" w:cs="楷体"/>
          <w:color w:val="auto"/>
          <w:spacing w:val="5"/>
          <w:w w:val="101"/>
          <w:szCs w:val="21"/>
        </w:rPr>
        <w:t>事</w:t>
      </w:r>
      <w:r>
        <w:rPr>
          <w:rFonts w:hint="eastAsia" w:ascii="楷体" w:hAnsi="楷体" w:eastAsia="楷体" w:cs="楷体"/>
          <w:color w:val="auto"/>
          <w:w w:val="101"/>
          <w:szCs w:val="21"/>
        </w:rPr>
        <w:t>人可以在</w:t>
      </w:r>
      <w:r>
        <w:rPr>
          <w:rFonts w:hint="eastAsia" w:ascii="楷体" w:hAnsi="楷体" w:eastAsia="楷体" w:cs="楷体"/>
          <w:color w:val="auto"/>
          <w:spacing w:val="5"/>
          <w:w w:val="101"/>
          <w:szCs w:val="21"/>
        </w:rPr>
        <w:t>专</w:t>
      </w:r>
      <w:r>
        <w:rPr>
          <w:rFonts w:hint="eastAsia" w:ascii="楷体" w:hAnsi="楷体" w:eastAsia="楷体" w:cs="楷体"/>
          <w:color w:val="auto"/>
          <w:w w:val="101"/>
          <w:szCs w:val="21"/>
        </w:rPr>
        <w:t>用合同条款</w:t>
      </w:r>
      <w:r>
        <w:rPr>
          <w:rFonts w:hint="eastAsia" w:ascii="楷体" w:hAnsi="楷体" w:eastAsia="楷体" w:cs="楷体"/>
          <w:color w:val="auto"/>
          <w:spacing w:val="-5"/>
          <w:w w:val="101"/>
          <w:szCs w:val="21"/>
        </w:rPr>
        <w:t>中</w:t>
      </w:r>
      <w:r>
        <w:rPr>
          <w:rFonts w:hint="eastAsia" w:ascii="楷体" w:hAnsi="楷体" w:eastAsia="楷体" w:cs="楷体"/>
          <w:color w:val="auto"/>
          <w:spacing w:val="5"/>
          <w:w w:val="101"/>
          <w:szCs w:val="21"/>
        </w:rPr>
        <w:t>进</w:t>
      </w:r>
      <w:r>
        <w:rPr>
          <w:rFonts w:hint="eastAsia" w:ascii="楷体" w:hAnsi="楷体" w:eastAsia="楷体" w:cs="楷体"/>
          <w:color w:val="auto"/>
          <w:spacing w:val="-5"/>
          <w:w w:val="101"/>
          <w:szCs w:val="21"/>
        </w:rPr>
        <w:t>行</w:t>
      </w:r>
      <w:r>
        <w:rPr>
          <w:rFonts w:hint="eastAsia" w:ascii="楷体" w:hAnsi="楷体" w:eastAsia="楷体" w:cs="楷体"/>
          <w:color w:val="auto"/>
          <w:w w:val="101"/>
          <w:szCs w:val="21"/>
        </w:rPr>
        <w:t>约</w:t>
      </w:r>
      <w:r>
        <w:rPr>
          <w:rFonts w:hint="eastAsia" w:ascii="楷体" w:hAnsi="楷体" w:eastAsia="楷体" w:cs="楷体"/>
          <w:color w:val="auto"/>
          <w:spacing w:val="-10"/>
          <w:w w:val="101"/>
          <w:szCs w:val="21"/>
        </w:rPr>
        <w:t>定。</w:t>
      </w:r>
    </w:p>
    <w:p w14:paraId="40807CFC">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position w:val="2"/>
          <w:szCs w:val="21"/>
        </w:rPr>
        <w:t xml:space="preserve">    1</w:t>
      </w:r>
      <w:r>
        <w:rPr>
          <w:rFonts w:hint="eastAsia" w:ascii="楷体" w:hAnsi="楷体" w:eastAsia="楷体" w:cs="楷体"/>
          <w:color w:val="auto"/>
          <w:spacing w:val="1"/>
          <w:w w:val="101"/>
          <w:position w:val="2"/>
          <w:szCs w:val="21"/>
        </w:rPr>
        <w:t>.</w:t>
      </w:r>
      <w:r>
        <w:rPr>
          <w:rFonts w:hint="eastAsia" w:ascii="楷体" w:hAnsi="楷体" w:eastAsia="楷体" w:cs="楷体"/>
          <w:color w:val="auto"/>
          <w:spacing w:val="2"/>
          <w:w w:val="101"/>
          <w:position w:val="2"/>
          <w:szCs w:val="21"/>
        </w:rPr>
        <w:t>1</w:t>
      </w:r>
      <w:r>
        <w:rPr>
          <w:rFonts w:hint="eastAsia" w:ascii="楷体" w:hAnsi="楷体" w:eastAsia="楷体" w:cs="楷体"/>
          <w:color w:val="auto"/>
          <w:spacing w:val="-4"/>
          <w:w w:val="101"/>
          <w:position w:val="2"/>
          <w:szCs w:val="21"/>
        </w:rPr>
        <w:t>.</w:t>
      </w:r>
      <w:r>
        <w:rPr>
          <w:rFonts w:hint="eastAsia" w:ascii="楷体" w:hAnsi="楷体" w:eastAsia="楷体" w:cs="楷体"/>
          <w:color w:val="auto"/>
          <w:w w:val="101"/>
          <w:position w:val="2"/>
          <w:szCs w:val="21"/>
        </w:rPr>
        <w:t>2</w:t>
      </w:r>
      <w:r>
        <w:rPr>
          <w:rFonts w:hint="eastAsia" w:ascii="楷体" w:hAnsi="楷体" w:eastAsia="楷体" w:cs="楷体"/>
          <w:color w:val="auto"/>
          <w:position w:val="2"/>
          <w:szCs w:val="21"/>
        </w:rPr>
        <w:t xml:space="preserve"> </w:t>
      </w:r>
      <w:r>
        <w:rPr>
          <w:rFonts w:hint="eastAsia" w:ascii="楷体" w:hAnsi="楷体" w:eastAsia="楷体" w:cs="楷体"/>
          <w:color w:val="auto"/>
          <w:w w:val="101"/>
          <w:position w:val="2"/>
          <w:szCs w:val="21"/>
        </w:rPr>
        <w:t>合</w:t>
      </w:r>
      <w:r>
        <w:rPr>
          <w:rFonts w:hint="eastAsia" w:ascii="楷体" w:hAnsi="楷体" w:eastAsia="楷体" w:cs="楷体"/>
          <w:color w:val="auto"/>
          <w:spacing w:val="-5"/>
          <w:w w:val="101"/>
          <w:position w:val="2"/>
          <w:szCs w:val="21"/>
        </w:rPr>
        <w:t>同</w:t>
      </w:r>
      <w:r>
        <w:rPr>
          <w:rFonts w:hint="eastAsia" w:ascii="楷体" w:hAnsi="楷体" w:eastAsia="楷体" w:cs="楷体"/>
          <w:color w:val="auto"/>
          <w:spacing w:val="5"/>
          <w:w w:val="101"/>
          <w:position w:val="2"/>
          <w:szCs w:val="21"/>
        </w:rPr>
        <w:t>当</w:t>
      </w:r>
      <w:r>
        <w:rPr>
          <w:rFonts w:hint="eastAsia" w:ascii="楷体" w:hAnsi="楷体" w:eastAsia="楷体" w:cs="楷体"/>
          <w:color w:val="auto"/>
          <w:spacing w:val="-5"/>
          <w:w w:val="101"/>
          <w:position w:val="2"/>
          <w:szCs w:val="21"/>
        </w:rPr>
        <w:t>事</w:t>
      </w:r>
      <w:r>
        <w:rPr>
          <w:rFonts w:hint="eastAsia" w:ascii="楷体" w:hAnsi="楷体" w:eastAsia="楷体" w:cs="楷体"/>
          <w:color w:val="auto"/>
          <w:w w:val="101"/>
          <w:position w:val="2"/>
          <w:szCs w:val="21"/>
        </w:rPr>
        <w:t>人</w:t>
      </w:r>
      <w:r>
        <w:rPr>
          <w:rFonts w:hint="eastAsia" w:ascii="楷体" w:hAnsi="楷体" w:eastAsia="楷体" w:cs="楷体"/>
          <w:color w:val="auto"/>
          <w:spacing w:val="-5"/>
          <w:w w:val="101"/>
          <w:position w:val="2"/>
          <w:szCs w:val="21"/>
        </w:rPr>
        <w:t>及</w:t>
      </w:r>
      <w:r>
        <w:rPr>
          <w:rFonts w:hint="eastAsia" w:ascii="楷体" w:hAnsi="楷体" w:eastAsia="楷体" w:cs="楷体"/>
          <w:color w:val="auto"/>
          <w:spacing w:val="5"/>
          <w:w w:val="101"/>
          <w:position w:val="2"/>
          <w:szCs w:val="21"/>
        </w:rPr>
        <w:t>其</w:t>
      </w:r>
      <w:r>
        <w:rPr>
          <w:rFonts w:hint="eastAsia" w:ascii="楷体" w:hAnsi="楷体" w:eastAsia="楷体" w:cs="楷体"/>
          <w:color w:val="auto"/>
          <w:spacing w:val="-5"/>
          <w:w w:val="101"/>
          <w:position w:val="2"/>
          <w:szCs w:val="21"/>
        </w:rPr>
        <w:t>他</w:t>
      </w:r>
      <w:r>
        <w:rPr>
          <w:rFonts w:hint="eastAsia" w:ascii="楷体" w:hAnsi="楷体" w:eastAsia="楷体" w:cs="楷体"/>
          <w:color w:val="auto"/>
          <w:w w:val="101"/>
          <w:position w:val="2"/>
          <w:szCs w:val="21"/>
        </w:rPr>
        <w:t>相</w:t>
      </w:r>
      <w:r>
        <w:rPr>
          <w:rFonts w:hint="eastAsia" w:ascii="楷体" w:hAnsi="楷体" w:eastAsia="楷体" w:cs="楷体"/>
          <w:color w:val="auto"/>
          <w:spacing w:val="-5"/>
          <w:w w:val="101"/>
          <w:position w:val="2"/>
          <w:szCs w:val="21"/>
        </w:rPr>
        <w:t>关方</w:t>
      </w:r>
    </w:p>
    <w:p w14:paraId="390672F6">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2</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1</w:t>
      </w:r>
      <w:r>
        <w:rPr>
          <w:rFonts w:hint="eastAsia" w:ascii="楷体" w:hAnsi="楷体" w:eastAsia="楷体" w:cs="楷体"/>
          <w:color w:val="auto"/>
          <w:szCs w:val="21"/>
        </w:rPr>
        <w:t xml:space="preserve"> </w:t>
      </w:r>
      <w:r>
        <w:rPr>
          <w:rFonts w:hint="eastAsia" w:ascii="楷体" w:hAnsi="楷体" w:eastAsia="楷体" w:cs="楷体"/>
          <w:color w:val="auto"/>
          <w:spacing w:val="-5"/>
          <w:w w:val="101"/>
          <w:szCs w:val="21"/>
        </w:rPr>
        <w:t>合</w:t>
      </w:r>
      <w:r>
        <w:rPr>
          <w:rFonts w:hint="eastAsia" w:ascii="楷体" w:hAnsi="楷体" w:eastAsia="楷体" w:cs="楷体"/>
          <w:color w:val="auto"/>
          <w:spacing w:val="5"/>
          <w:w w:val="101"/>
          <w:szCs w:val="21"/>
        </w:rPr>
        <w:t>同</w:t>
      </w:r>
      <w:r>
        <w:rPr>
          <w:rFonts w:hint="eastAsia" w:ascii="楷体" w:hAnsi="楷体" w:eastAsia="楷体" w:cs="楷体"/>
          <w:color w:val="auto"/>
          <w:spacing w:val="-5"/>
          <w:w w:val="101"/>
          <w:szCs w:val="21"/>
        </w:rPr>
        <w:t>当</w:t>
      </w:r>
      <w:r>
        <w:rPr>
          <w:rFonts w:hint="eastAsia" w:ascii="楷体" w:hAnsi="楷体" w:eastAsia="楷体" w:cs="楷体"/>
          <w:color w:val="auto"/>
          <w:w w:val="101"/>
          <w:szCs w:val="21"/>
        </w:rPr>
        <w:t>事</w:t>
      </w:r>
      <w:r>
        <w:rPr>
          <w:rFonts w:hint="eastAsia" w:ascii="楷体" w:hAnsi="楷体" w:eastAsia="楷体" w:cs="楷体"/>
          <w:color w:val="auto"/>
          <w:spacing w:val="-5"/>
          <w:w w:val="101"/>
          <w:szCs w:val="21"/>
        </w:rPr>
        <w:t>人</w:t>
      </w:r>
      <w:r>
        <w:rPr>
          <w:rFonts w:hint="eastAsia" w:ascii="楷体" w:hAnsi="楷体" w:eastAsia="楷体" w:cs="楷体"/>
          <w:color w:val="auto"/>
          <w:spacing w:val="5"/>
          <w:w w:val="101"/>
          <w:szCs w:val="21"/>
        </w:rPr>
        <w:t>：</w:t>
      </w:r>
      <w:r>
        <w:rPr>
          <w:rFonts w:hint="eastAsia" w:ascii="楷体" w:hAnsi="楷体" w:eastAsia="楷体" w:cs="楷体"/>
          <w:color w:val="auto"/>
          <w:spacing w:val="-5"/>
          <w:w w:val="101"/>
          <w:szCs w:val="21"/>
        </w:rPr>
        <w:t>发</w:t>
      </w:r>
      <w:r>
        <w:rPr>
          <w:rFonts w:hint="eastAsia" w:ascii="楷体" w:hAnsi="楷体" w:eastAsia="楷体" w:cs="楷体"/>
          <w:color w:val="auto"/>
          <w:spacing w:val="5"/>
          <w:w w:val="101"/>
          <w:szCs w:val="21"/>
        </w:rPr>
        <w:t>包</w:t>
      </w:r>
      <w:r>
        <w:rPr>
          <w:rFonts w:hint="eastAsia" w:ascii="楷体" w:hAnsi="楷体" w:eastAsia="楷体" w:cs="楷体"/>
          <w:color w:val="auto"/>
          <w:spacing w:val="-5"/>
          <w:w w:val="101"/>
          <w:szCs w:val="21"/>
        </w:rPr>
        <w:t>人和（</w:t>
      </w:r>
      <w:r>
        <w:rPr>
          <w:rFonts w:hint="eastAsia" w:ascii="楷体" w:hAnsi="楷体" w:eastAsia="楷体" w:cs="楷体"/>
          <w:color w:val="auto"/>
          <w:spacing w:val="5"/>
          <w:w w:val="101"/>
          <w:szCs w:val="21"/>
        </w:rPr>
        <w:t>或</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承</w:t>
      </w:r>
      <w:r>
        <w:rPr>
          <w:rFonts w:hint="eastAsia" w:ascii="楷体" w:hAnsi="楷体" w:eastAsia="楷体" w:cs="楷体"/>
          <w:color w:val="auto"/>
          <w:spacing w:val="-5"/>
          <w:w w:val="101"/>
          <w:szCs w:val="21"/>
        </w:rPr>
        <w:t>包</w:t>
      </w:r>
      <w:r>
        <w:rPr>
          <w:rFonts w:hint="eastAsia" w:ascii="楷体" w:hAnsi="楷体" w:eastAsia="楷体" w:cs="楷体"/>
          <w:color w:val="auto"/>
          <w:spacing w:val="5"/>
          <w:w w:val="101"/>
          <w:szCs w:val="21"/>
        </w:rPr>
        <w:t>人。</w:t>
      </w:r>
    </w:p>
    <w:p w14:paraId="4DFDCAEE">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2</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2</w:t>
      </w:r>
      <w:r>
        <w:rPr>
          <w:rFonts w:hint="eastAsia" w:ascii="楷体" w:hAnsi="楷体" w:eastAsia="楷体" w:cs="楷体"/>
          <w:color w:val="auto"/>
          <w:szCs w:val="21"/>
        </w:rPr>
        <w:t xml:space="preserve"> </w:t>
      </w:r>
      <w:r>
        <w:rPr>
          <w:rFonts w:hint="eastAsia" w:ascii="楷体" w:hAnsi="楷体" w:eastAsia="楷体" w:cs="楷体"/>
          <w:color w:val="auto"/>
          <w:spacing w:val="-8"/>
          <w:szCs w:val="21"/>
        </w:rPr>
        <w:t xml:space="preserve"> </w:t>
      </w:r>
      <w:r>
        <w:rPr>
          <w:rFonts w:hint="eastAsia" w:ascii="楷体" w:hAnsi="楷体" w:eastAsia="楷体" w:cs="楷体"/>
          <w:color w:val="auto"/>
          <w:w w:val="101"/>
          <w:szCs w:val="21"/>
        </w:rPr>
        <w:t>发</w:t>
      </w:r>
      <w:r>
        <w:rPr>
          <w:rFonts w:hint="eastAsia" w:ascii="楷体" w:hAnsi="楷体" w:eastAsia="楷体" w:cs="楷体"/>
          <w:color w:val="auto"/>
          <w:spacing w:val="5"/>
          <w:w w:val="101"/>
          <w:szCs w:val="21"/>
        </w:rPr>
        <w:t>包</w:t>
      </w:r>
      <w:r>
        <w:rPr>
          <w:rFonts w:hint="eastAsia" w:ascii="楷体" w:hAnsi="楷体" w:eastAsia="楷体" w:cs="楷体"/>
          <w:color w:val="auto"/>
          <w:spacing w:val="-5"/>
          <w:w w:val="101"/>
          <w:szCs w:val="21"/>
        </w:rPr>
        <w:t>人</w:t>
      </w:r>
      <w:r>
        <w:rPr>
          <w:rFonts w:hint="eastAsia" w:ascii="楷体" w:hAnsi="楷体" w:eastAsia="楷体" w:cs="楷体"/>
          <w:color w:val="auto"/>
          <w:w w:val="101"/>
          <w:szCs w:val="21"/>
        </w:rPr>
        <w:t>：</w:t>
      </w:r>
      <w:r>
        <w:rPr>
          <w:rFonts w:hint="eastAsia" w:ascii="楷体" w:hAnsi="楷体" w:eastAsia="楷体" w:cs="楷体"/>
          <w:color w:val="auto"/>
          <w:spacing w:val="-5"/>
          <w:w w:val="101"/>
          <w:szCs w:val="21"/>
        </w:rPr>
        <w:t>是</w:t>
      </w:r>
      <w:r>
        <w:rPr>
          <w:rFonts w:hint="eastAsia" w:ascii="楷体" w:hAnsi="楷体" w:eastAsia="楷体" w:cs="楷体"/>
          <w:color w:val="auto"/>
          <w:w w:val="101"/>
          <w:szCs w:val="21"/>
        </w:rPr>
        <w:t>指与</w:t>
      </w:r>
      <w:r>
        <w:rPr>
          <w:rFonts w:hint="eastAsia" w:ascii="楷体" w:hAnsi="楷体" w:eastAsia="楷体" w:cs="楷体"/>
          <w:color w:val="auto"/>
          <w:spacing w:val="-5"/>
          <w:w w:val="101"/>
          <w:szCs w:val="21"/>
        </w:rPr>
        <w:t>承</w:t>
      </w:r>
      <w:r>
        <w:rPr>
          <w:rFonts w:hint="eastAsia" w:ascii="楷体" w:hAnsi="楷体" w:eastAsia="楷体" w:cs="楷体"/>
          <w:color w:val="auto"/>
          <w:w w:val="101"/>
          <w:szCs w:val="21"/>
        </w:rPr>
        <w:t>包人签</w:t>
      </w:r>
      <w:r>
        <w:rPr>
          <w:rFonts w:hint="eastAsia" w:ascii="楷体" w:hAnsi="楷体" w:eastAsia="楷体" w:cs="楷体"/>
          <w:color w:val="auto"/>
          <w:spacing w:val="-5"/>
          <w:w w:val="101"/>
          <w:szCs w:val="21"/>
        </w:rPr>
        <w:t>订合</w:t>
      </w:r>
      <w:r>
        <w:rPr>
          <w:rFonts w:hint="eastAsia" w:ascii="楷体" w:hAnsi="楷体" w:eastAsia="楷体" w:cs="楷体"/>
          <w:color w:val="auto"/>
          <w:spacing w:val="5"/>
          <w:w w:val="101"/>
          <w:szCs w:val="21"/>
        </w:rPr>
        <w:t>同</w:t>
      </w:r>
      <w:r>
        <w:rPr>
          <w:rFonts w:hint="eastAsia" w:ascii="楷体" w:hAnsi="楷体" w:eastAsia="楷体" w:cs="楷体"/>
          <w:color w:val="auto"/>
          <w:spacing w:val="-5"/>
          <w:w w:val="101"/>
          <w:szCs w:val="21"/>
        </w:rPr>
        <w:t>协</w:t>
      </w:r>
      <w:r>
        <w:rPr>
          <w:rFonts w:hint="eastAsia" w:ascii="楷体" w:hAnsi="楷体" w:eastAsia="楷体" w:cs="楷体"/>
          <w:color w:val="auto"/>
          <w:w w:val="101"/>
          <w:szCs w:val="21"/>
        </w:rPr>
        <w:t>议</w:t>
      </w:r>
      <w:r>
        <w:rPr>
          <w:rFonts w:hint="eastAsia" w:ascii="楷体" w:hAnsi="楷体" w:eastAsia="楷体" w:cs="楷体"/>
          <w:color w:val="auto"/>
          <w:spacing w:val="-5"/>
          <w:w w:val="101"/>
          <w:szCs w:val="21"/>
        </w:rPr>
        <w:t>书</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当</w:t>
      </w:r>
      <w:r>
        <w:rPr>
          <w:rFonts w:hint="eastAsia" w:ascii="楷体" w:hAnsi="楷体" w:eastAsia="楷体" w:cs="楷体"/>
          <w:color w:val="auto"/>
          <w:w w:val="101"/>
          <w:szCs w:val="21"/>
        </w:rPr>
        <w:t>事</w:t>
      </w:r>
      <w:r>
        <w:rPr>
          <w:rFonts w:hint="eastAsia" w:ascii="楷体" w:hAnsi="楷体" w:eastAsia="楷体" w:cs="楷体"/>
          <w:color w:val="auto"/>
          <w:spacing w:val="-5"/>
          <w:w w:val="101"/>
          <w:szCs w:val="21"/>
        </w:rPr>
        <w:t>人</w:t>
      </w:r>
      <w:r>
        <w:rPr>
          <w:rFonts w:hint="eastAsia" w:ascii="楷体" w:hAnsi="楷体" w:eastAsia="楷体" w:cs="楷体"/>
          <w:color w:val="auto"/>
          <w:spacing w:val="5"/>
          <w:w w:val="101"/>
          <w:szCs w:val="21"/>
        </w:rPr>
        <w:t>及</w:t>
      </w:r>
      <w:r>
        <w:rPr>
          <w:rFonts w:hint="eastAsia" w:ascii="楷体" w:hAnsi="楷体" w:eastAsia="楷体" w:cs="楷体"/>
          <w:color w:val="auto"/>
          <w:spacing w:val="-5"/>
          <w:w w:val="101"/>
          <w:szCs w:val="21"/>
        </w:rPr>
        <w:t>取</w:t>
      </w:r>
      <w:r>
        <w:rPr>
          <w:rFonts w:hint="eastAsia" w:ascii="楷体" w:hAnsi="楷体" w:eastAsia="楷体" w:cs="楷体"/>
          <w:color w:val="auto"/>
          <w:w w:val="101"/>
          <w:szCs w:val="21"/>
        </w:rPr>
        <w:t>得</w:t>
      </w:r>
      <w:r>
        <w:rPr>
          <w:rFonts w:hint="eastAsia" w:ascii="楷体" w:hAnsi="楷体" w:eastAsia="楷体" w:cs="楷体"/>
          <w:color w:val="auto"/>
          <w:spacing w:val="-5"/>
          <w:w w:val="101"/>
          <w:szCs w:val="21"/>
        </w:rPr>
        <w:t>该</w:t>
      </w:r>
      <w:r>
        <w:rPr>
          <w:rFonts w:hint="eastAsia" w:ascii="楷体" w:hAnsi="楷体" w:eastAsia="楷体" w:cs="楷体"/>
          <w:color w:val="auto"/>
          <w:w w:val="101"/>
          <w:szCs w:val="21"/>
        </w:rPr>
        <w:t>当</w:t>
      </w:r>
      <w:r>
        <w:rPr>
          <w:rFonts w:hint="eastAsia" w:ascii="楷体" w:hAnsi="楷体" w:eastAsia="楷体" w:cs="楷体"/>
          <w:color w:val="auto"/>
          <w:spacing w:val="-5"/>
          <w:w w:val="101"/>
          <w:szCs w:val="21"/>
        </w:rPr>
        <w:t>事</w:t>
      </w:r>
      <w:r>
        <w:rPr>
          <w:rFonts w:hint="eastAsia" w:ascii="楷体" w:hAnsi="楷体" w:eastAsia="楷体" w:cs="楷体"/>
          <w:color w:val="auto"/>
          <w:spacing w:val="5"/>
          <w:w w:val="101"/>
          <w:szCs w:val="21"/>
        </w:rPr>
        <w:t>人</w:t>
      </w:r>
      <w:r>
        <w:rPr>
          <w:rFonts w:hint="eastAsia" w:ascii="楷体" w:hAnsi="楷体" w:eastAsia="楷体" w:cs="楷体"/>
          <w:color w:val="auto"/>
          <w:spacing w:val="-5"/>
          <w:w w:val="101"/>
          <w:szCs w:val="21"/>
        </w:rPr>
        <w:t>资</w:t>
      </w:r>
      <w:r>
        <w:rPr>
          <w:rFonts w:hint="eastAsia" w:ascii="楷体" w:hAnsi="楷体" w:eastAsia="楷体" w:cs="楷体"/>
          <w:color w:val="auto"/>
          <w:w w:val="101"/>
          <w:szCs w:val="21"/>
        </w:rPr>
        <w:t>格</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合</w:t>
      </w:r>
      <w:r>
        <w:rPr>
          <w:rFonts w:hint="eastAsia" w:ascii="楷体" w:hAnsi="楷体" w:eastAsia="楷体" w:cs="楷体"/>
          <w:color w:val="auto"/>
          <w:spacing w:val="-5"/>
          <w:w w:val="101"/>
          <w:szCs w:val="21"/>
        </w:rPr>
        <w:t>法</w:t>
      </w:r>
      <w:r>
        <w:rPr>
          <w:rFonts w:hint="eastAsia" w:ascii="楷体" w:hAnsi="楷体" w:eastAsia="楷体" w:cs="楷体"/>
          <w:color w:val="auto"/>
          <w:w w:val="101"/>
          <w:szCs w:val="21"/>
        </w:rPr>
        <w:t>继</w:t>
      </w:r>
      <w:r>
        <w:rPr>
          <w:rFonts w:hint="eastAsia" w:ascii="楷体" w:hAnsi="楷体" w:eastAsia="楷体" w:cs="楷体"/>
          <w:color w:val="auto"/>
          <w:spacing w:val="-5"/>
          <w:w w:val="101"/>
          <w:szCs w:val="21"/>
        </w:rPr>
        <w:t>承</w:t>
      </w:r>
      <w:r>
        <w:rPr>
          <w:rFonts w:hint="eastAsia" w:ascii="楷体" w:hAnsi="楷体" w:eastAsia="楷体" w:cs="楷体"/>
          <w:color w:val="auto"/>
          <w:w w:val="101"/>
          <w:szCs w:val="21"/>
        </w:rPr>
        <w:t>人。</w:t>
      </w:r>
    </w:p>
    <w:p w14:paraId="085AF54D">
      <w:pPr>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 xml:space="preserve">    1.1.2.3  承包人：是指与发包人签订合同协议书的，具有相应工程施工承包资质的当事人及取得该当事人资格的合法继承人。</w:t>
      </w:r>
    </w:p>
    <w:p w14:paraId="48E9E1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1.1.2.4 监理人：是指在专用合同条款中指明的，受发包人委托按照法律规定进行工程监督管理的法人或其他组织。</w:t>
      </w:r>
    </w:p>
    <w:p w14:paraId="57D53FE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1.1.2.5 设计人：是指在专用合同条款中指明的，受发包人委托负责工程设计并具备相应工程设计资质的法人或其他组织。</w:t>
      </w:r>
    </w:p>
    <w:p w14:paraId="7AD6B5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1.1.2.6 分包人：是指按照法律规定和合同约定，分包部分工程或工作，并与承包人签订分包合同的具有相应资质的法人。</w:t>
      </w:r>
    </w:p>
    <w:p w14:paraId="54FFFC1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1.1.2.7 发包人代表：是指由发包人任命并派驻施工现场在发包人授权范围内行使发包人权利的人。</w:t>
      </w:r>
    </w:p>
    <w:p w14:paraId="3B73032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1.1.2.8 项目经理：是指由承包人任命并派驻施工现场，在承包人授权范围内负责合同履行，且按照法律规定具有相应资格的项目负责人。</w:t>
      </w:r>
    </w:p>
    <w:p w14:paraId="163FF0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1.1.2.9 总监理工程师：是指由监理人任命并派驻施工现场进行工程监理的总负责人。</w:t>
      </w:r>
    </w:p>
    <w:p w14:paraId="58487F2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 工程和设备</w:t>
      </w:r>
    </w:p>
    <w:p w14:paraId="2AF42B4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1.1.3.1 工程：是指与合同协议书中工程承包范围对应的永久工程和（或）临时工程。</w:t>
      </w:r>
    </w:p>
    <w:p w14:paraId="2FDEDC0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1.1.3.2 永久工程：是指按合同约定建造并移交给发包人的工程，包括工程设备。</w:t>
      </w:r>
    </w:p>
    <w:p w14:paraId="1C68B31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1.1.3.3 临时工程：是指为完成合同约定的永久工程所修建的各类临时性工程，不包括施工设备。</w:t>
      </w:r>
    </w:p>
    <w:p w14:paraId="10254C2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1.1.3.4 单位工程：是指在合同协议书中指明的，具备独立施工条件并能形成独立使用功能的永久工程。</w:t>
      </w:r>
    </w:p>
    <w:p w14:paraId="1A64A7B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1.1.3.5 工程设备：是指构成永久工程的机电设备、金属结构设备、仪器及其他类似的设备和装置。</w:t>
      </w:r>
    </w:p>
    <w:p w14:paraId="101594A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1.1.3.6  施工设备：是指为完成合同约定的各项工作所需的设备、器具和其他物品，但不包括工程设备、临时工程和材料。</w:t>
      </w:r>
    </w:p>
    <w:p w14:paraId="1D63C7E1">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5"/>
          <w:w w:val="101"/>
          <w:szCs w:val="21"/>
        </w:rPr>
        <w:t xml:space="preserve">    1.1.3.7  施工现场：是指用于工程施工的场所，以及在专用合同条款中指明作为施工场所组成部分的其他场所，包括永久占地和临时占地。</w:t>
      </w:r>
    </w:p>
    <w:p w14:paraId="2F9848E2">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position w:val="3"/>
          <w:szCs w:val="21"/>
        </w:rPr>
        <w:t xml:space="preserve">    1</w:t>
      </w:r>
      <w:r>
        <w:rPr>
          <w:rFonts w:hint="eastAsia" w:ascii="楷体" w:hAnsi="楷体" w:eastAsia="楷体" w:cs="楷体"/>
          <w:color w:val="auto"/>
          <w:spacing w:val="1"/>
          <w:w w:val="101"/>
          <w:position w:val="3"/>
          <w:szCs w:val="21"/>
        </w:rPr>
        <w:t>.</w:t>
      </w:r>
      <w:r>
        <w:rPr>
          <w:rFonts w:hint="eastAsia" w:ascii="楷体" w:hAnsi="楷体" w:eastAsia="楷体" w:cs="楷体"/>
          <w:color w:val="auto"/>
          <w:spacing w:val="2"/>
          <w:w w:val="101"/>
          <w:position w:val="3"/>
          <w:szCs w:val="21"/>
        </w:rPr>
        <w:t>1</w:t>
      </w:r>
      <w:r>
        <w:rPr>
          <w:rFonts w:hint="eastAsia" w:ascii="楷体" w:hAnsi="楷体" w:eastAsia="楷体" w:cs="楷体"/>
          <w:color w:val="auto"/>
          <w:spacing w:val="-4"/>
          <w:w w:val="101"/>
          <w:position w:val="3"/>
          <w:szCs w:val="21"/>
        </w:rPr>
        <w:t>.</w:t>
      </w:r>
      <w:r>
        <w:rPr>
          <w:rFonts w:hint="eastAsia" w:ascii="楷体" w:hAnsi="楷体" w:eastAsia="楷体" w:cs="楷体"/>
          <w:color w:val="auto"/>
          <w:spacing w:val="2"/>
          <w:w w:val="101"/>
          <w:position w:val="3"/>
          <w:szCs w:val="21"/>
        </w:rPr>
        <w:t>3</w:t>
      </w:r>
      <w:r>
        <w:rPr>
          <w:rFonts w:hint="eastAsia" w:ascii="楷体" w:hAnsi="楷体" w:eastAsia="楷体" w:cs="楷体"/>
          <w:color w:val="auto"/>
          <w:spacing w:val="-4"/>
          <w:w w:val="101"/>
          <w:position w:val="3"/>
          <w:szCs w:val="21"/>
        </w:rPr>
        <w:t>.</w:t>
      </w:r>
      <w:r>
        <w:rPr>
          <w:rFonts w:hint="eastAsia" w:ascii="楷体" w:hAnsi="楷体" w:eastAsia="楷体" w:cs="楷体"/>
          <w:color w:val="auto"/>
          <w:w w:val="101"/>
          <w:position w:val="3"/>
          <w:szCs w:val="21"/>
        </w:rPr>
        <w:t>8</w:t>
      </w:r>
      <w:r>
        <w:rPr>
          <w:rFonts w:hint="eastAsia" w:ascii="楷体" w:hAnsi="楷体" w:eastAsia="楷体" w:cs="楷体"/>
          <w:color w:val="auto"/>
          <w:position w:val="3"/>
          <w:szCs w:val="21"/>
        </w:rPr>
        <w:t xml:space="preserve"> </w:t>
      </w:r>
      <w:r>
        <w:rPr>
          <w:rFonts w:hint="eastAsia" w:ascii="楷体" w:hAnsi="楷体" w:eastAsia="楷体" w:cs="楷体"/>
          <w:color w:val="auto"/>
          <w:spacing w:val="-8"/>
          <w:position w:val="3"/>
          <w:szCs w:val="21"/>
        </w:rPr>
        <w:t xml:space="preserve"> </w:t>
      </w:r>
      <w:r>
        <w:rPr>
          <w:rFonts w:hint="eastAsia" w:ascii="楷体" w:hAnsi="楷体" w:eastAsia="楷体" w:cs="楷体"/>
          <w:color w:val="auto"/>
          <w:w w:val="101"/>
          <w:position w:val="3"/>
          <w:szCs w:val="21"/>
        </w:rPr>
        <w:t>临</w:t>
      </w:r>
      <w:r>
        <w:rPr>
          <w:rFonts w:hint="eastAsia" w:ascii="楷体" w:hAnsi="楷体" w:eastAsia="楷体" w:cs="楷体"/>
          <w:color w:val="auto"/>
          <w:spacing w:val="5"/>
          <w:w w:val="101"/>
          <w:position w:val="3"/>
          <w:szCs w:val="21"/>
        </w:rPr>
        <w:t>时</w:t>
      </w:r>
      <w:r>
        <w:rPr>
          <w:rFonts w:hint="eastAsia" w:ascii="楷体" w:hAnsi="楷体" w:eastAsia="楷体" w:cs="楷体"/>
          <w:color w:val="auto"/>
          <w:spacing w:val="-5"/>
          <w:w w:val="101"/>
          <w:position w:val="3"/>
          <w:szCs w:val="21"/>
        </w:rPr>
        <w:t>设</w:t>
      </w:r>
      <w:r>
        <w:rPr>
          <w:rFonts w:hint="eastAsia" w:ascii="楷体" w:hAnsi="楷体" w:eastAsia="楷体" w:cs="楷体"/>
          <w:color w:val="auto"/>
          <w:w w:val="101"/>
          <w:position w:val="3"/>
          <w:szCs w:val="21"/>
        </w:rPr>
        <w:t>施</w:t>
      </w:r>
      <w:r>
        <w:rPr>
          <w:rFonts w:hint="eastAsia" w:ascii="楷体" w:hAnsi="楷体" w:eastAsia="楷体" w:cs="楷体"/>
          <w:color w:val="auto"/>
          <w:spacing w:val="-5"/>
          <w:w w:val="101"/>
          <w:position w:val="3"/>
          <w:szCs w:val="21"/>
        </w:rPr>
        <w:t>：</w:t>
      </w:r>
      <w:r>
        <w:rPr>
          <w:rFonts w:hint="eastAsia" w:ascii="楷体" w:hAnsi="楷体" w:eastAsia="楷体" w:cs="楷体"/>
          <w:color w:val="auto"/>
          <w:w w:val="101"/>
          <w:position w:val="3"/>
          <w:szCs w:val="21"/>
        </w:rPr>
        <w:t>是指</w:t>
      </w:r>
      <w:r>
        <w:rPr>
          <w:rFonts w:hint="eastAsia" w:ascii="楷体" w:hAnsi="楷体" w:eastAsia="楷体" w:cs="楷体"/>
          <w:color w:val="auto"/>
          <w:spacing w:val="-5"/>
          <w:w w:val="101"/>
          <w:position w:val="3"/>
          <w:szCs w:val="21"/>
        </w:rPr>
        <w:t>为</w:t>
      </w:r>
      <w:r>
        <w:rPr>
          <w:rFonts w:hint="eastAsia" w:ascii="楷体" w:hAnsi="楷体" w:eastAsia="楷体" w:cs="楷体"/>
          <w:color w:val="auto"/>
          <w:w w:val="101"/>
          <w:position w:val="3"/>
          <w:szCs w:val="21"/>
        </w:rPr>
        <w:t>完成合</w:t>
      </w:r>
      <w:r>
        <w:rPr>
          <w:rFonts w:hint="eastAsia" w:ascii="楷体" w:hAnsi="楷体" w:eastAsia="楷体" w:cs="楷体"/>
          <w:color w:val="auto"/>
          <w:spacing w:val="-5"/>
          <w:w w:val="101"/>
          <w:position w:val="3"/>
          <w:szCs w:val="21"/>
        </w:rPr>
        <w:t>同约</w:t>
      </w:r>
      <w:r>
        <w:rPr>
          <w:rFonts w:hint="eastAsia" w:ascii="楷体" w:hAnsi="楷体" w:eastAsia="楷体" w:cs="楷体"/>
          <w:color w:val="auto"/>
          <w:spacing w:val="5"/>
          <w:w w:val="101"/>
          <w:position w:val="3"/>
          <w:szCs w:val="21"/>
        </w:rPr>
        <w:t>定</w:t>
      </w:r>
      <w:r>
        <w:rPr>
          <w:rFonts w:hint="eastAsia" w:ascii="楷体" w:hAnsi="楷体" w:eastAsia="楷体" w:cs="楷体"/>
          <w:color w:val="auto"/>
          <w:spacing w:val="-5"/>
          <w:w w:val="101"/>
          <w:position w:val="3"/>
          <w:szCs w:val="21"/>
        </w:rPr>
        <w:t>的</w:t>
      </w:r>
      <w:r>
        <w:rPr>
          <w:rFonts w:hint="eastAsia" w:ascii="楷体" w:hAnsi="楷体" w:eastAsia="楷体" w:cs="楷体"/>
          <w:color w:val="auto"/>
          <w:w w:val="101"/>
          <w:position w:val="3"/>
          <w:szCs w:val="21"/>
        </w:rPr>
        <w:t>各</w:t>
      </w:r>
      <w:r>
        <w:rPr>
          <w:rFonts w:hint="eastAsia" w:ascii="楷体" w:hAnsi="楷体" w:eastAsia="楷体" w:cs="楷体"/>
          <w:color w:val="auto"/>
          <w:spacing w:val="-5"/>
          <w:w w:val="101"/>
          <w:position w:val="3"/>
          <w:szCs w:val="21"/>
        </w:rPr>
        <w:t>项</w:t>
      </w:r>
      <w:r>
        <w:rPr>
          <w:rFonts w:hint="eastAsia" w:ascii="楷体" w:hAnsi="楷体" w:eastAsia="楷体" w:cs="楷体"/>
          <w:color w:val="auto"/>
          <w:spacing w:val="5"/>
          <w:w w:val="101"/>
          <w:position w:val="3"/>
          <w:szCs w:val="21"/>
        </w:rPr>
        <w:t>工</w:t>
      </w:r>
      <w:r>
        <w:rPr>
          <w:rFonts w:hint="eastAsia" w:ascii="楷体" w:hAnsi="楷体" w:eastAsia="楷体" w:cs="楷体"/>
          <w:color w:val="auto"/>
          <w:spacing w:val="-5"/>
          <w:w w:val="101"/>
          <w:position w:val="3"/>
          <w:szCs w:val="21"/>
        </w:rPr>
        <w:t>作</w:t>
      </w:r>
      <w:r>
        <w:rPr>
          <w:rFonts w:hint="eastAsia" w:ascii="楷体" w:hAnsi="楷体" w:eastAsia="楷体" w:cs="楷体"/>
          <w:color w:val="auto"/>
          <w:w w:val="101"/>
          <w:position w:val="3"/>
          <w:szCs w:val="21"/>
        </w:rPr>
        <w:t>所</w:t>
      </w:r>
      <w:r>
        <w:rPr>
          <w:rFonts w:hint="eastAsia" w:ascii="楷体" w:hAnsi="楷体" w:eastAsia="楷体" w:cs="楷体"/>
          <w:color w:val="auto"/>
          <w:spacing w:val="-5"/>
          <w:w w:val="101"/>
          <w:position w:val="3"/>
          <w:szCs w:val="21"/>
        </w:rPr>
        <w:t>服</w:t>
      </w:r>
      <w:r>
        <w:rPr>
          <w:rFonts w:hint="eastAsia" w:ascii="楷体" w:hAnsi="楷体" w:eastAsia="楷体" w:cs="楷体"/>
          <w:color w:val="auto"/>
          <w:spacing w:val="5"/>
          <w:w w:val="101"/>
          <w:position w:val="3"/>
          <w:szCs w:val="21"/>
        </w:rPr>
        <w:t>务</w:t>
      </w:r>
      <w:r>
        <w:rPr>
          <w:rFonts w:hint="eastAsia" w:ascii="楷体" w:hAnsi="楷体" w:eastAsia="楷体" w:cs="楷体"/>
          <w:color w:val="auto"/>
          <w:spacing w:val="-5"/>
          <w:w w:val="101"/>
          <w:position w:val="3"/>
          <w:szCs w:val="21"/>
        </w:rPr>
        <w:t>的</w:t>
      </w:r>
      <w:r>
        <w:rPr>
          <w:rFonts w:hint="eastAsia" w:ascii="楷体" w:hAnsi="楷体" w:eastAsia="楷体" w:cs="楷体"/>
          <w:color w:val="auto"/>
          <w:w w:val="101"/>
          <w:position w:val="3"/>
          <w:szCs w:val="21"/>
        </w:rPr>
        <w:t>临时</w:t>
      </w:r>
      <w:r>
        <w:rPr>
          <w:rFonts w:hint="eastAsia" w:ascii="楷体" w:hAnsi="楷体" w:eastAsia="楷体" w:cs="楷体"/>
          <w:color w:val="auto"/>
          <w:w w:val="101"/>
          <w:szCs w:val="21"/>
        </w:rPr>
        <w:t>性</w:t>
      </w:r>
      <w:r>
        <w:rPr>
          <w:rFonts w:hint="eastAsia" w:ascii="楷体" w:hAnsi="楷体" w:eastAsia="楷体" w:cs="楷体"/>
          <w:color w:val="auto"/>
          <w:spacing w:val="-5"/>
          <w:w w:val="101"/>
          <w:szCs w:val="21"/>
        </w:rPr>
        <w:t>生</w:t>
      </w:r>
      <w:r>
        <w:rPr>
          <w:rFonts w:hint="eastAsia" w:ascii="楷体" w:hAnsi="楷体" w:eastAsia="楷体" w:cs="楷体"/>
          <w:color w:val="auto"/>
          <w:spacing w:val="5"/>
          <w:w w:val="101"/>
          <w:szCs w:val="21"/>
        </w:rPr>
        <w:t>产</w:t>
      </w:r>
      <w:r>
        <w:rPr>
          <w:rFonts w:hint="eastAsia" w:ascii="楷体" w:hAnsi="楷体" w:eastAsia="楷体" w:cs="楷体"/>
          <w:color w:val="auto"/>
          <w:spacing w:val="-5"/>
          <w:w w:val="101"/>
          <w:szCs w:val="21"/>
        </w:rPr>
        <w:t>和</w:t>
      </w:r>
      <w:r>
        <w:rPr>
          <w:rFonts w:hint="eastAsia" w:ascii="楷体" w:hAnsi="楷体" w:eastAsia="楷体" w:cs="楷体"/>
          <w:color w:val="auto"/>
          <w:w w:val="101"/>
          <w:szCs w:val="21"/>
        </w:rPr>
        <w:t>生</w:t>
      </w:r>
      <w:r>
        <w:rPr>
          <w:rFonts w:hint="eastAsia" w:ascii="楷体" w:hAnsi="楷体" w:eastAsia="楷体" w:cs="楷体"/>
          <w:color w:val="auto"/>
          <w:spacing w:val="-5"/>
          <w:w w:val="101"/>
          <w:szCs w:val="21"/>
        </w:rPr>
        <w:t>活</w:t>
      </w:r>
      <w:r>
        <w:rPr>
          <w:rFonts w:hint="eastAsia" w:ascii="楷体" w:hAnsi="楷体" w:eastAsia="楷体" w:cs="楷体"/>
          <w:color w:val="auto"/>
          <w:spacing w:val="5"/>
          <w:w w:val="101"/>
          <w:szCs w:val="21"/>
        </w:rPr>
        <w:t>设</w:t>
      </w:r>
      <w:r>
        <w:rPr>
          <w:rFonts w:hint="eastAsia" w:ascii="楷体" w:hAnsi="楷体" w:eastAsia="楷体" w:cs="楷体"/>
          <w:color w:val="auto"/>
          <w:spacing w:val="-5"/>
          <w:w w:val="101"/>
          <w:szCs w:val="21"/>
        </w:rPr>
        <w:t>施。</w:t>
      </w:r>
    </w:p>
    <w:p w14:paraId="222D043C">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3</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9</w:t>
      </w:r>
      <w:r>
        <w:rPr>
          <w:rFonts w:hint="eastAsia" w:ascii="楷体" w:hAnsi="楷体" w:eastAsia="楷体" w:cs="楷体"/>
          <w:color w:val="auto"/>
          <w:szCs w:val="21"/>
        </w:rPr>
        <w:t xml:space="preserve"> </w:t>
      </w:r>
      <w:r>
        <w:rPr>
          <w:rFonts w:hint="eastAsia" w:ascii="楷体" w:hAnsi="楷体" w:eastAsia="楷体" w:cs="楷体"/>
          <w:color w:val="auto"/>
          <w:spacing w:val="-8"/>
          <w:szCs w:val="21"/>
        </w:rPr>
        <w:t xml:space="preserve"> </w:t>
      </w:r>
      <w:r>
        <w:rPr>
          <w:rFonts w:hint="eastAsia" w:ascii="楷体" w:hAnsi="楷体" w:eastAsia="楷体" w:cs="楷体"/>
          <w:color w:val="auto"/>
          <w:w w:val="101"/>
          <w:szCs w:val="21"/>
        </w:rPr>
        <w:t>永</w:t>
      </w:r>
      <w:r>
        <w:rPr>
          <w:rFonts w:hint="eastAsia" w:ascii="楷体" w:hAnsi="楷体" w:eastAsia="楷体" w:cs="楷体"/>
          <w:color w:val="auto"/>
          <w:spacing w:val="5"/>
          <w:w w:val="101"/>
          <w:szCs w:val="21"/>
        </w:rPr>
        <w:t>久</w:t>
      </w:r>
      <w:r>
        <w:rPr>
          <w:rFonts w:hint="eastAsia" w:ascii="楷体" w:hAnsi="楷体" w:eastAsia="楷体" w:cs="楷体"/>
          <w:color w:val="auto"/>
          <w:spacing w:val="-5"/>
          <w:w w:val="101"/>
          <w:szCs w:val="21"/>
        </w:rPr>
        <w:t>占</w:t>
      </w:r>
      <w:r>
        <w:rPr>
          <w:rFonts w:hint="eastAsia" w:ascii="楷体" w:hAnsi="楷体" w:eastAsia="楷体" w:cs="楷体"/>
          <w:color w:val="auto"/>
          <w:w w:val="101"/>
          <w:szCs w:val="21"/>
        </w:rPr>
        <w:t>地</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是指</w:t>
      </w:r>
      <w:r>
        <w:rPr>
          <w:rFonts w:hint="eastAsia" w:ascii="楷体" w:hAnsi="楷体" w:eastAsia="楷体" w:cs="楷体"/>
          <w:color w:val="auto"/>
          <w:spacing w:val="-5"/>
          <w:w w:val="101"/>
          <w:szCs w:val="21"/>
        </w:rPr>
        <w:t>专</w:t>
      </w:r>
      <w:r>
        <w:rPr>
          <w:rFonts w:hint="eastAsia" w:ascii="楷体" w:hAnsi="楷体" w:eastAsia="楷体" w:cs="楷体"/>
          <w:color w:val="auto"/>
          <w:w w:val="101"/>
          <w:szCs w:val="21"/>
        </w:rPr>
        <w:t>用合同</w:t>
      </w:r>
      <w:r>
        <w:rPr>
          <w:rFonts w:hint="eastAsia" w:ascii="楷体" w:hAnsi="楷体" w:eastAsia="楷体" w:cs="楷体"/>
          <w:color w:val="auto"/>
          <w:spacing w:val="-5"/>
          <w:w w:val="101"/>
          <w:szCs w:val="21"/>
        </w:rPr>
        <w:t>条款</w:t>
      </w:r>
      <w:r>
        <w:rPr>
          <w:rFonts w:hint="eastAsia" w:ascii="楷体" w:hAnsi="楷体" w:eastAsia="楷体" w:cs="楷体"/>
          <w:color w:val="auto"/>
          <w:spacing w:val="5"/>
          <w:w w:val="101"/>
          <w:szCs w:val="21"/>
        </w:rPr>
        <w:t>中</w:t>
      </w:r>
      <w:r>
        <w:rPr>
          <w:rFonts w:hint="eastAsia" w:ascii="楷体" w:hAnsi="楷体" w:eastAsia="楷体" w:cs="楷体"/>
          <w:color w:val="auto"/>
          <w:spacing w:val="-5"/>
          <w:w w:val="101"/>
          <w:szCs w:val="21"/>
        </w:rPr>
        <w:t>指</w:t>
      </w:r>
      <w:r>
        <w:rPr>
          <w:rFonts w:hint="eastAsia" w:ascii="楷体" w:hAnsi="楷体" w:eastAsia="楷体" w:cs="楷体"/>
          <w:color w:val="auto"/>
          <w:w w:val="101"/>
          <w:szCs w:val="21"/>
        </w:rPr>
        <w:t>明</w:t>
      </w:r>
      <w:r>
        <w:rPr>
          <w:rFonts w:hint="eastAsia" w:ascii="楷体" w:hAnsi="楷体" w:eastAsia="楷体" w:cs="楷体"/>
          <w:color w:val="auto"/>
          <w:spacing w:val="-5"/>
          <w:w w:val="101"/>
          <w:szCs w:val="21"/>
        </w:rPr>
        <w:t>为</w:t>
      </w:r>
      <w:r>
        <w:rPr>
          <w:rFonts w:hint="eastAsia" w:ascii="楷体" w:hAnsi="楷体" w:eastAsia="楷体" w:cs="楷体"/>
          <w:color w:val="auto"/>
          <w:spacing w:val="5"/>
          <w:w w:val="101"/>
          <w:szCs w:val="21"/>
        </w:rPr>
        <w:t>实</w:t>
      </w:r>
      <w:r>
        <w:rPr>
          <w:rFonts w:hint="eastAsia" w:ascii="楷体" w:hAnsi="楷体" w:eastAsia="楷体" w:cs="楷体"/>
          <w:color w:val="auto"/>
          <w:spacing w:val="-5"/>
          <w:w w:val="101"/>
          <w:szCs w:val="21"/>
        </w:rPr>
        <w:t>施</w:t>
      </w:r>
      <w:r>
        <w:rPr>
          <w:rFonts w:hint="eastAsia" w:ascii="楷体" w:hAnsi="楷体" w:eastAsia="楷体" w:cs="楷体"/>
          <w:color w:val="auto"/>
          <w:w w:val="101"/>
          <w:szCs w:val="21"/>
        </w:rPr>
        <w:t>工</w:t>
      </w:r>
      <w:r>
        <w:rPr>
          <w:rFonts w:hint="eastAsia" w:ascii="楷体" w:hAnsi="楷体" w:eastAsia="楷体" w:cs="楷体"/>
          <w:color w:val="auto"/>
          <w:spacing w:val="-5"/>
          <w:w w:val="101"/>
          <w:szCs w:val="21"/>
        </w:rPr>
        <w:t>程</w:t>
      </w:r>
      <w:r>
        <w:rPr>
          <w:rFonts w:hint="eastAsia" w:ascii="楷体" w:hAnsi="楷体" w:eastAsia="楷体" w:cs="楷体"/>
          <w:color w:val="auto"/>
          <w:spacing w:val="5"/>
          <w:w w:val="101"/>
          <w:szCs w:val="21"/>
        </w:rPr>
        <w:t>需</w:t>
      </w:r>
      <w:r>
        <w:rPr>
          <w:rFonts w:hint="eastAsia" w:ascii="楷体" w:hAnsi="楷体" w:eastAsia="楷体" w:cs="楷体"/>
          <w:color w:val="auto"/>
          <w:spacing w:val="-5"/>
          <w:w w:val="101"/>
          <w:szCs w:val="21"/>
        </w:rPr>
        <w:t>永</w:t>
      </w:r>
      <w:r>
        <w:rPr>
          <w:rFonts w:hint="eastAsia" w:ascii="楷体" w:hAnsi="楷体" w:eastAsia="楷体" w:cs="楷体"/>
          <w:color w:val="auto"/>
          <w:w w:val="101"/>
          <w:szCs w:val="21"/>
        </w:rPr>
        <w:t>久占用</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土</w:t>
      </w:r>
      <w:r>
        <w:rPr>
          <w:rFonts w:hint="eastAsia" w:ascii="楷体" w:hAnsi="楷体" w:eastAsia="楷体" w:cs="楷体"/>
          <w:color w:val="auto"/>
          <w:spacing w:val="-5"/>
          <w:w w:val="101"/>
          <w:szCs w:val="21"/>
        </w:rPr>
        <w:t>地。</w:t>
      </w:r>
    </w:p>
    <w:p w14:paraId="0B55CC9D">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3</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w w:val="101"/>
          <w:szCs w:val="21"/>
        </w:rPr>
        <w:t>0</w:t>
      </w:r>
      <w:r>
        <w:rPr>
          <w:rFonts w:hint="eastAsia" w:ascii="楷体" w:hAnsi="楷体" w:eastAsia="楷体" w:cs="楷体"/>
          <w:color w:val="auto"/>
          <w:szCs w:val="21"/>
        </w:rPr>
        <w:t xml:space="preserve"> </w:t>
      </w:r>
      <w:r>
        <w:rPr>
          <w:rFonts w:hint="eastAsia" w:ascii="楷体" w:hAnsi="楷体" w:eastAsia="楷体" w:cs="楷体"/>
          <w:color w:val="auto"/>
          <w:w w:val="101"/>
          <w:szCs w:val="21"/>
        </w:rPr>
        <w:t>临时占地</w:t>
      </w:r>
      <w:r>
        <w:rPr>
          <w:rFonts w:hint="eastAsia" w:ascii="楷体" w:hAnsi="楷体" w:eastAsia="楷体" w:cs="楷体"/>
          <w:color w:val="auto"/>
          <w:spacing w:val="-82"/>
          <w:w w:val="101"/>
          <w:szCs w:val="21"/>
        </w:rPr>
        <w:t>：</w:t>
      </w:r>
      <w:r>
        <w:rPr>
          <w:rFonts w:hint="eastAsia" w:ascii="楷体" w:hAnsi="楷体" w:eastAsia="楷体" w:cs="楷体"/>
          <w:color w:val="auto"/>
          <w:w w:val="101"/>
          <w:szCs w:val="21"/>
        </w:rPr>
        <w:t>是指</w:t>
      </w:r>
      <w:r>
        <w:rPr>
          <w:rFonts w:hint="eastAsia" w:ascii="楷体" w:hAnsi="楷体" w:eastAsia="楷体" w:cs="楷体"/>
          <w:color w:val="auto"/>
          <w:spacing w:val="-5"/>
          <w:w w:val="101"/>
          <w:szCs w:val="21"/>
        </w:rPr>
        <w:t>专</w:t>
      </w:r>
      <w:r>
        <w:rPr>
          <w:rFonts w:hint="eastAsia" w:ascii="楷体" w:hAnsi="楷体" w:eastAsia="楷体" w:cs="楷体"/>
          <w:color w:val="auto"/>
          <w:w w:val="101"/>
          <w:szCs w:val="21"/>
        </w:rPr>
        <w:t>用合同</w:t>
      </w:r>
      <w:r>
        <w:rPr>
          <w:rFonts w:hint="eastAsia" w:ascii="楷体" w:hAnsi="楷体" w:eastAsia="楷体" w:cs="楷体"/>
          <w:color w:val="auto"/>
          <w:spacing w:val="-5"/>
          <w:w w:val="101"/>
          <w:szCs w:val="21"/>
        </w:rPr>
        <w:t>条款</w:t>
      </w:r>
      <w:r>
        <w:rPr>
          <w:rFonts w:hint="eastAsia" w:ascii="楷体" w:hAnsi="楷体" w:eastAsia="楷体" w:cs="楷体"/>
          <w:color w:val="auto"/>
          <w:spacing w:val="5"/>
          <w:w w:val="101"/>
          <w:szCs w:val="21"/>
        </w:rPr>
        <w:t>中</w:t>
      </w:r>
      <w:r>
        <w:rPr>
          <w:rFonts w:hint="eastAsia" w:ascii="楷体" w:hAnsi="楷体" w:eastAsia="楷体" w:cs="楷体"/>
          <w:color w:val="auto"/>
          <w:spacing w:val="-5"/>
          <w:w w:val="101"/>
          <w:szCs w:val="21"/>
        </w:rPr>
        <w:t>指</w:t>
      </w:r>
      <w:r>
        <w:rPr>
          <w:rFonts w:hint="eastAsia" w:ascii="楷体" w:hAnsi="楷体" w:eastAsia="楷体" w:cs="楷体"/>
          <w:color w:val="auto"/>
          <w:w w:val="101"/>
          <w:szCs w:val="21"/>
        </w:rPr>
        <w:t>明</w:t>
      </w:r>
      <w:r>
        <w:rPr>
          <w:rFonts w:hint="eastAsia" w:ascii="楷体" w:hAnsi="楷体" w:eastAsia="楷体" w:cs="楷体"/>
          <w:color w:val="auto"/>
          <w:spacing w:val="-5"/>
          <w:w w:val="101"/>
          <w:szCs w:val="21"/>
        </w:rPr>
        <w:t>为</w:t>
      </w:r>
      <w:r>
        <w:rPr>
          <w:rFonts w:hint="eastAsia" w:ascii="楷体" w:hAnsi="楷体" w:eastAsia="楷体" w:cs="楷体"/>
          <w:color w:val="auto"/>
          <w:spacing w:val="5"/>
          <w:w w:val="101"/>
          <w:szCs w:val="21"/>
        </w:rPr>
        <w:t>实</w:t>
      </w:r>
      <w:r>
        <w:rPr>
          <w:rFonts w:hint="eastAsia" w:ascii="楷体" w:hAnsi="楷体" w:eastAsia="楷体" w:cs="楷体"/>
          <w:color w:val="auto"/>
          <w:spacing w:val="-5"/>
          <w:w w:val="101"/>
          <w:szCs w:val="21"/>
        </w:rPr>
        <w:t>施</w:t>
      </w:r>
      <w:r>
        <w:rPr>
          <w:rFonts w:hint="eastAsia" w:ascii="楷体" w:hAnsi="楷体" w:eastAsia="楷体" w:cs="楷体"/>
          <w:color w:val="auto"/>
          <w:w w:val="101"/>
          <w:szCs w:val="21"/>
        </w:rPr>
        <w:t>工</w:t>
      </w:r>
      <w:r>
        <w:rPr>
          <w:rFonts w:hint="eastAsia" w:ascii="楷体" w:hAnsi="楷体" w:eastAsia="楷体" w:cs="楷体"/>
          <w:color w:val="auto"/>
          <w:spacing w:val="-5"/>
          <w:w w:val="101"/>
          <w:szCs w:val="21"/>
        </w:rPr>
        <w:t>程</w:t>
      </w:r>
      <w:r>
        <w:rPr>
          <w:rFonts w:hint="eastAsia" w:ascii="楷体" w:hAnsi="楷体" w:eastAsia="楷体" w:cs="楷体"/>
          <w:color w:val="auto"/>
          <w:spacing w:val="5"/>
          <w:w w:val="101"/>
          <w:szCs w:val="21"/>
        </w:rPr>
        <w:t>需</w:t>
      </w:r>
      <w:r>
        <w:rPr>
          <w:rFonts w:hint="eastAsia" w:ascii="楷体" w:hAnsi="楷体" w:eastAsia="楷体" w:cs="楷体"/>
          <w:color w:val="auto"/>
          <w:spacing w:val="-5"/>
          <w:w w:val="101"/>
          <w:szCs w:val="21"/>
        </w:rPr>
        <w:t>要</w:t>
      </w:r>
      <w:r>
        <w:rPr>
          <w:rFonts w:hint="eastAsia" w:ascii="楷体" w:hAnsi="楷体" w:eastAsia="楷体" w:cs="楷体"/>
          <w:color w:val="auto"/>
          <w:w w:val="101"/>
          <w:szCs w:val="21"/>
        </w:rPr>
        <w:t>临时占</w:t>
      </w:r>
      <w:r>
        <w:rPr>
          <w:rFonts w:hint="eastAsia" w:ascii="楷体" w:hAnsi="楷体" w:eastAsia="楷体" w:cs="楷体"/>
          <w:color w:val="auto"/>
          <w:spacing w:val="-5"/>
          <w:w w:val="101"/>
          <w:szCs w:val="21"/>
        </w:rPr>
        <w:t>用</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土地。</w:t>
      </w:r>
    </w:p>
    <w:p w14:paraId="6EF74356">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2"/>
          <w:w w:val="101"/>
          <w:position w:val="2"/>
          <w:szCs w:val="21"/>
        </w:rPr>
        <w:t xml:space="preserve">    1</w:t>
      </w:r>
      <w:r>
        <w:rPr>
          <w:rFonts w:hint="eastAsia" w:ascii="楷体" w:hAnsi="楷体" w:eastAsia="楷体" w:cs="楷体"/>
          <w:color w:val="auto"/>
          <w:spacing w:val="1"/>
          <w:w w:val="101"/>
          <w:position w:val="2"/>
          <w:szCs w:val="21"/>
        </w:rPr>
        <w:t>.</w:t>
      </w:r>
      <w:r>
        <w:rPr>
          <w:rFonts w:hint="eastAsia" w:ascii="楷体" w:hAnsi="楷体" w:eastAsia="楷体" w:cs="楷体"/>
          <w:color w:val="auto"/>
          <w:spacing w:val="2"/>
          <w:w w:val="101"/>
          <w:position w:val="2"/>
          <w:szCs w:val="21"/>
        </w:rPr>
        <w:t>1</w:t>
      </w:r>
      <w:r>
        <w:rPr>
          <w:rFonts w:hint="eastAsia" w:ascii="楷体" w:hAnsi="楷体" w:eastAsia="楷体" w:cs="楷体"/>
          <w:color w:val="auto"/>
          <w:spacing w:val="-4"/>
          <w:w w:val="101"/>
          <w:position w:val="2"/>
          <w:szCs w:val="21"/>
        </w:rPr>
        <w:t>.</w:t>
      </w:r>
      <w:r>
        <w:rPr>
          <w:rFonts w:hint="eastAsia" w:ascii="楷体" w:hAnsi="楷体" w:eastAsia="楷体" w:cs="楷体"/>
          <w:color w:val="auto"/>
          <w:w w:val="101"/>
          <w:position w:val="2"/>
          <w:szCs w:val="21"/>
        </w:rPr>
        <w:t>4</w:t>
      </w:r>
      <w:r>
        <w:rPr>
          <w:rFonts w:hint="eastAsia" w:ascii="楷体" w:hAnsi="楷体" w:eastAsia="楷体" w:cs="楷体"/>
          <w:color w:val="auto"/>
          <w:position w:val="2"/>
          <w:szCs w:val="21"/>
        </w:rPr>
        <w:t xml:space="preserve"> </w:t>
      </w:r>
      <w:r>
        <w:rPr>
          <w:rFonts w:hint="eastAsia" w:ascii="楷体" w:hAnsi="楷体" w:eastAsia="楷体" w:cs="楷体"/>
          <w:color w:val="auto"/>
          <w:w w:val="101"/>
          <w:position w:val="2"/>
          <w:szCs w:val="21"/>
        </w:rPr>
        <w:t>日</w:t>
      </w:r>
      <w:r>
        <w:rPr>
          <w:rFonts w:hint="eastAsia" w:ascii="楷体" w:hAnsi="楷体" w:eastAsia="楷体" w:cs="楷体"/>
          <w:color w:val="auto"/>
          <w:spacing w:val="-5"/>
          <w:w w:val="101"/>
          <w:position w:val="2"/>
          <w:szCs w:val="21"/>
        </w:rPr>
        <w:t>期</w:t>
      </w:r>
      <w:r>
        <w:rPr>
          <w:rFonts w:hint="eastAsia" w:ascii="楷体" w:hAnsi="楷体" w:eastAsia="楷体" w:cs="楷体"/>
          <w:color w:val="auto"/>
          <w:spacing w:val="5"/>
          <w:w w:val="101"/>
          <w:position w:val="2"/>
          <w:szCs w:val="21"/>
        </w:rPr>
        <w:t>和</w:t>
      </w:r>
      <w:r>
        <w:rPr>
          <w:rFonts w:hint="eastAsia" w:ascii="楷体" w:hAnsi="楷体" w:eastAsia="楷体" w:cs="楷体"/>
          <w:color w:val="auto"/>
          <w:spacing w:val="-5"/>
          <w:w w:val="101"/>
          <w:position w:val="2"/>
          <w:szCs w:val="21"/>
        </w:rPr>
        <w:t>期</w:t>
      </w:r>
      <w:r>
        <w:rPr>
          <w:rFonts w:hint="eastAsia" w:ascii="楷体" w:hAnsi="楷体" w:eastAsia="楷体" w:cs="楷体"/>
          <w:color w:val="auto"/>
          <w:spacing w:val="5"/>
          <w:w w:val="101"/>
          <w:position w:val="2"/>
          <w:szCs w:val="21"/>
        </w:rPr>
        <w:t>限</w:t>
      </w:r>
    </w:p>
    <w:p w14:paraId="0AE975C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4</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1</w:t>
      </w:r>
      <w:r>
        <w:rPr>
          <w:rFonts w:hint="eastAsia" w:ascii="楷体" w:hAnsi="楷体" w:eastAsia="楷体" w:cs="楷体"/>
          <w:color w:val="auto"/>
          <w:szCs w:val="21"/>
        </w:rPr>
        <w:t xml:space="preserve"> </w:t>
      </w:r>
      <w:r>
        <w:rPr>
          <w:rFonts w:hint="eastAsia" w:ascii="楷体" w:hAnsi="楷体" w:eastAsia="楷体" w:cs="楷体"/>
          <w:color w:val="auto"/>
          <w:w w:val="101"/>
          <w:szCs w:val="21"/>
        </w:rPr>
        <w:t>开</w:t>
      </w:r>
      <w:r>
        <w:rPr>
          <w:rFonts w:hint="eastAsia" w:ascii="楷体" w:hAnsi="楷体" w:eastAsia="楷体" w:cs="楷体"/>
          <w:color w:val="auto"/>
          <w:spacing w:val="5"/>
          <w:w w:val="101"/>
          <w:szCs w:val="21"/>
        </w:rPr>
        <w:t>工</w:t>
      </w:r>
      <w:r>
        <w:rPr>
          <w:rFonts w:hint="eastAsia" w:ascii="楷体" w:hAnsi="楷体" w:eastAsia="楷体" w:cs="楷体"/>
          <w:color w:val="auto"/>
          <w:spacing w:val="-5"/>
          <w:w w:val="101"/>
          <w:szCs w:val="21"/>
        </w:rPr>
        <w:t>日</w:t>
      </w:r>
      <w:r>
        <w:rPr>
          <w:rFonts w:hint="eastAsia" w:ascii="楷体" w:hAnsi="楷体" w:eastAsia="楷体" w:cs="楷体"/>
          <w:color w:val="auto"/>
          <w:w w:val="101"/>
          <w:szCs w:val="21"/>
        </w:rPr>
        <w:t>期</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包括</w:t>
      </w:r>
      <w:r>
        <w:rPr>
          <w:rFonts w:hint="eastAsia" w:ascii="楷体" w:hAnsi="楷体" w:eastAsia="楷体" w:cs="楷体"/>
          <w:color w:val="auto"/>
          <w:spacing w:val="-5"/>
          <w:w w:val="101"/>
          <w:szCs w:val="21"/>
        </w:rPr>
        <w:t>计</w:t>
      </w:r>
      <w:r>
        <w:rPr>
          <w:rFonts w:hint="eastAsia" w:ascii="楷体" w:hAnsi="楷体" w:eastAsia="楷体" w:cs="楷体"/>
          <w:color w:val="auto"/>
          <w:w w:val="101"/>
          <w:szCs w:val="21"/>
        </w:rPr>
        <w:t>划开工</w:t>
      </w:r>
      <w:r>
        <w:rPr>
          <w:rFonts w:hint="eastAsia" w:ascii="楷体" w:hAnsi="楷体" w:eastAsia="楷体" w:cs="楷体"/>
          <w:color w:val="auto"/>
          <w:spacing w:val="-5"/>
          <w:w w:val="101"/>
          <w:szCs w:val="21"/>
        </w:rPr>
        <w:t>日期</w:t>
      </w:r>
      <w:r>
        <w:rPr>
          <w:rFonts w:hint="eastAsia" w:ascii="楷体" w:hAnsi="楷体" w:eastAsia="楷体" w:cs="楷体"/>
          <w:color w:val="auto"/>
          <w:spacing w:val="5"/>
          <w:w w:val="101"/>
          <w:szCs w:val="21"/>
        </w:rPr>
        <w:t>和</w:t>
      </w:r>
      <w:r>
        <w:rPr>
          <w:rFonts w:hint="eastAsia" w:ascii="楷体" w:hAnsi="楷体" w:eastAsia="楷体" w:cs="楷体"/>
          <w:color w:val="auto"/>
          <w:spacing w:val="-5"/>
          <w:w w:val="101"/>
          <w:szCs w:val="21"/>
        </w:rPr>
        <w:t>实</w:t>
      </w:r>
      <w:r>
        <w:rPr>
          <w:rFonts w:hint="eastAsia" w:ascii="楷体" w:hAnsi="楷体" w:eastAsia="楷体" w:cs="楷体"/>
          <w:color w:val="auto"/>
          <w:w w:val="101"/>
          <w:szCs w:val="21"/>
        </w:rPr>
        <w:t>际</w:t>
      </w:r>
      <w:r>
        <w:rPr>
          <w:rFonts w:hint="eastAsia" w:ascii="楷体" w:hAnsi="楷体" w:eastAsia="楷体" w:cs="楷体"/>
          <w:color w:val="auto"/>
          <w:spacing w:val="-5"/>
          <w:w w:val="101"/>
          <w:szCs w:val="21"/>
        </w:rPr>
        <w:t>开</w:t>
      </w:r>
      <w:r>
        <w:rPr>
          <w:rFonts w:hint="eastAsia" w:ascii="楷体" w:hAnsi="楷体" w:eastAsia="楷体" w:cs="楷体"/>
          <w:color w:val="auto"/>
          <w:spacing w:val="5"/>
          <w:w w:val="101"/>
          <w:szCs w:val="21"/>
        </w:rPr>
        <w:t>工</w:t>
      </w:r>
      <w:r>
        <w:rPr>
          <w:rFonts w:hint="eastAsia" w:ascii="楷体" w:hAnsi="楷体" w:eastAsia="楷体" w:cs="楷体"/>
          <w:color w:val="auto"/>
          <w:spacing w:val="-5"/>
          <w:w w:val="101"/>
          <w:szCs w:val="21"/>
        </w:rPr>
        <w:t>日</w:t>
      </w:r>
      <w:r>
        <w:rPr>
          <w:rFonts w:hint="eastAsia" w:ascii="楷体" w:hAnsi="楷体" w:eastAsia="楷体" w:cs="楷体"/>
          <w:color w:val="auto"/>
          <w:w w:val="101"/>
          <w:szCs w:val="21"/>
        </w:rPr>
        <w:t>期</w:t>
      </w:r>
      <w:r>
        <w:rPr>
          <w:rFonts w:hint="eastAsia" w:ascii="楷体" w:hAnsi="楷体" w:eastAsia="楷体" w:cs="楷体"/>
          <w:color w:val="auto"/>
          <w:spacing w:val="-5"/>
          <w:w w:val="101"/>
          <w:szCs w:val="21"/>
        </w:rPr>
        <w:t>。</w:t>
      </w:r>
      <w:r>
        <w:rPr>
          <w:rFonts w:hint="eastAsia" w:ascii="楷体" w:hAnsi="楷体" w:eastAsia="楷体" w:cs="楷体"/>
          <w:color w:val="auto"/>
          <w:spacing w:val="5"/>
          <w:w w:val="101"/>
          <w:szCs w:val="21"/>
        </w:rPr>
        <w:t>计</w:t>
      </w:r>
      <w:r>
        <w:rPr>
          <w:rFonts w:hint="eastAsia" w:ascii="楷体" w:hAnsi="楷体" w:eastAsia="楷体" w:cs="楷体"/>
          <w:color w:val="auto"/>
          <w:spacing w:val="-5"/>
          <w:w w:val="101"/>
          <w:szCs w:val="21"/>
        </w:rPr>
        <w:t>划</w:t>
      </w:r>
      <w:r>
        <w:rPr>
          <w:rFonts w:hint="eastAsia" w:ascii="楷体" w:hAnsi="楷体" w:eastAsia="楷体" w:cs="楷体"/>
          <w:color w:val="auto"/>
          <w:w w:val="101"/>
          <w:szCs w:val="21"/>
        </w:rPr>
        <w:t>开工日期</w:t>
      </w:r>
      <w:r>
        <w:rPr>
          <w:rFonts w:hint="eastAsia" w:ascii="楷体" w:hAnsi="楷体" w:eastAsia="楷体" w:cs="楷体"/>
          <w:color w:val="auto"/>
          <w:spacing w:val="5"/>
          <w:w w:val="101"/>
          <w:szCs w:val="21"/>
        </w:rPr>
        <w:t>是</w:t>
      </w:r>
      <w:r>
        <w:rPr>
          <w:rFonts w:hint="eastAsia" w:ascii="楷体" w:hAnsi="楷体" w:eastAsia="楷体" w:cs="楷体"/>
          <w:color w:val="auto"/>
          <w:w w:val="101"/>
          <w:szCs w:val="21"/>
        </w:rPr>
        <w:t>指合同协</w:t>
      </w:r>
      <w:r>
        <w:rPr>
          <w:rFonts w:hint="eastAsia" w:ascii="楷体" w:hAnsi="楷体" w:eastAsia="楷体" w:cs="楷体"/>
          <w:color w:val="auto"/>
          <w:spacing w:val="5"/>
          <w:w w:val="101"/>
          <w:szCs w:val="21"/>
        </w:rPr>
        <w:t>议</w:t>
      </w:r>
      <w:r>
        <w:rPr>
          <w:rFonts w:hint="eastAsia" w:ascii="楷体" w:hAnsi="楷体" w:eastAsia="楷体" w:cs="楷体"/>
          <w:color w:val="auto"/>
          <w:w w:val="101"/>
          <w:szCs w:val="21"/>
        </w:rPr>
        <w:t>书约定的</w:t>
      </w:r>
      <w:r>
        <w:rPr>
          <w:rFonts w:hint="eastAsia" w:ascii="楷体" w:hAnsi="楷体" w:eastAsia="楷体" w:cs="楷体"/>
          <w:color w:val="auto"/>
          <w:spacing w:val="5"/>
          <w:w w:val="101"/>
          <w:szCs w:val="21"/>
        </w:rPr>
        <w:t>开</w:t>
      </w:r>
      <w:r>
        <w:rPr>
          <w:rFonts w:hint="eastAsia" w:ascii="楷体" w:hAnsi="楷体" w:eastAsia="楷体" w:cs="楷体"/>
          <w:color w:val="auto"/>
          <w:w w:val="101"/>
          <w:szCs w:val="21"/>
        </w:rPr>
        <w:t>工</w:t>
      </w:r>
      <w:r>
        <w:rPr>
          <w:rFonts w:hint="eastAsia" w:ascii="楷体" w:hAnsi="楷体" w:eastAsia="楷体" w:cs="楷体"/>
          <w:color w:val="auto"/>
          <w:spacing w:val="-5"/>
          <w:w w:val="101"/>
          <w:szCs w:val="21"/>
        </w:rPr>
        <w:t>日</w:t>
      </w:r>
      <w:r>
        <w:rPr>
          <w:rFonts w:hint="eastAsia" w:ascii="楷体" w:hAnsi="楷体" w:eastAsia="楷体" w:cs="楷体"/>
          <w:color w:val="auto"/>
          <w:spacing w:val="5"/>
          <w:w w:val="101"/>
          <w:szCs w:val="21"/>
        </w:rPr>
        <w:t>期；实际开工日期是指监理人按照第 7.3.2 项〔开工通知〕约定发出的符合法律规定的开工通知中载明的开工日期。</w:t>
      </w:r>
    </w:p>
    <w:p w14:paraId="49E024C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1.1.4.2 竣工日期：包括计划竣工日期和实际竣工日期。计划竣工日期是指合同协议书约定的竣工日期；实际竣工日期按照第 13.2.3 项〔竣工日期〕的约定确定。</w:t>
      </w:r>
    </w:p>
    <w:p w14:paraId="5982684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1.1.4.3 工期：是指在合同协议书约定的承包人完成工程所需的期限，包括按照合同约定所做的期限变更。</w:t>
      </w:r>
    </w:p>
    <w:p w14:paraId="6CC8B16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1.1.4.4 缺陷责任期：是指承包人按照合同约定承担缺陷修复义务，且发包人预留质量保证金的期限，自工程实际竣工日期起计算。</w:t>
      </w:r>
    </w:p>
    <w:p w14:paraId="285B30B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1.1.4.5 保修期：是指承包人按照合同约定对工程承担保修责任的期限，从工程竣工验收合格之日起计算。</w:t>
      </w:r>
    </w:p>
    <w:p w14:paraId="00E74DC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1.1.4.6 基准日期：招标发包的工程以投标截止日前 28 天的日期为基准日期，直接发包的工程以合同签订日前 28 天的日期为基准日期。</w:t>
      </w:r>
    </w:p>
    <w:p w14:paraId="18D333A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1.1.4.7 天：除特别指明外，均指日历天。合同中按天计算时间的，开始当天不计入，从次日开始计算，期限最后一天的截止时间为当天24:00 时。</w:t>
      </w:r>
    </w:p>
    <w:p w14:paraId="5775977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 合同价格和费用</w:t>
      </w:r>
    </w:p>
    <w:p w14:paraId="59C707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1.1.5.1 签约合同价：是指发包人和承包人在合同协议书中确定的总金额，包括安全文明施工费、暂估价及暂列金额等。</w:t>
      </w:r>
    </w:p>
    <w:p w14:paraId="4DE4984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1.1.5.2 合同价格：是指发包人用于支付承包人按照合同约定完成承包范围内全部工作的金额，包括合同履行过程中按合同约定发生的价格变化。</w:t>
      </w:r>
    </w:p>
    <w:p w14:paraId="11B3783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1.1.5.3 费用：是指为履行合同所发生的或将要发生的所有必需的开支，包括管理费和应分摊的其他费用，但不包括利润。</w:t>
      </w:r>
    </w:p>
    <w:p w14:paraId="57EEF4B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1.1.5.4 暂估价：是指发包人在工程量清单或预算书中提供的用于支付必然发生但暂时不能确定价格的材料、工程设备的单价、专业工程以及服务工作的金额。</w:t>
      </w:r>
    </w:p>
    <w:p w14:paraId="5CD6EFA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 签证确认等的费用。</w:t>
      </w:r>
    </w:p>
    <w:p w14:paraId="0891615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1.1.5.6 计日工：是指合同履行过程中，承包人完成发包人提出的零星工作或需要采用计日工计价的变更工作时，按合同中约定的单价计价的一种方式。</w:t>
      </w:r>
    </w:p>
    <w:p w14:paraId="3E2EED6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2"/>
          <w:w w:val="101"/>
          <w:szCs w:val="21"/>
        </w:rPr>
        <w:t xml:space="preserve">    1</w:t>
      </w:r>
      <w:r>
        <w:rPr>
          <w:rFonts w:hint="eastAsia" w:ascii="楷体" w:hAnsi="楷体" w:eastAsia="楷体" w:cs="楷体"/>
          <w:color w:val="auto"/>
          <w:spacing w:val="1"/>
          <w:w w:val="101"/>
          <w:szCs w:val="21"/>
        </w:rPr>
        <w:t>.</w:t>
      </w:r>
      <w:r>
        <w:rPr>
          <w:rFonts w:hint="eastAsia" w:ascii="楷体" w:hAnsi="楷体" w:eastAsia="楷体" w:cs="楷体"/>
          <w:color w:val="auto"/>
          <w:spacing w:val="2"/>
          <w:w w:val="101"/>
          <w:szCs w:val="21"/>
        </w:rPr>
        <w:t>1</w:t>
      </w:r>
      <w:r>
        <w:rPr>
          <w:rFonts w:hint="eastAsia" w:ascii="楷体" w:hAnsi="楷体" w:eastAsia="楷体" w:cs="楷体"/>
          <w:color w:val="auto"/>
          <w:spacing w:val="-4"/>
          <w:w w:val="101"/>
          <w:szCs w:val="21"/>
        </w:rPr>
        <w:t>.</w:t>
      </w:r>
      <w:r>
        <w:rPr>
          <w:rFonts w:hint="eastAsia" w:ascii="楷体" w:hAnsi="楷体" w:eastAsia="楷体" w:cs="楷体"/>
          <w:color w:val="auto"/>
          <w:spacing w:val="2"/>
          <w:w w:val="101"/>
          <w:szCs w:val="21"/>
        </w:rPr>
        <w:t>5</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7</w:t>
      </w:r>
      <w:r>
        <w:rPr>
          <w:rFonts w:hint="eastAsia" w:ascii="楷体" w:hAnsi="楷体" w:eastAsia="楷体" w:cs="楷体"/>
          <w:color w:val="auto"/>
          <w:szCs w:val="21"/>
        </w:rPr>
        <w:t xml:space="preserve"> </w:t>
      </w:r>
      <w:r>
        <w:rPr>
          <w:rFonts w:hint="eastAsia" w:ascii="楷体" w:hAnsi="楷体" w:eastAsia="楷体" w:cs="楷体"/>
          <w:color w:val="auto"/>
          <w:spacing w:val="-5"/>
          <w:w w:val="101"/>
          <w:szCs w:val="21"/>
        </w:rPr>
        <w:t>质</w:t>
      </w:r>
      <w:r>
        <w:rPr>
          <w:rFonts w:hint="eastAsia" w:ascii="楷体" w:hAnsi="楷体" w:eastAsia="楷体" w:cs="楷体"/>
          <w:color w:val="auto"/>
          <w:spacing w:val="5"/>
          <w:w w:val="101"/>
          <w:szCs w:val="21"/>
        </w:rPr>
        <w:t>量</w:t>
      </w:r>
      <w:r>
        <w:rPr>
          <w:rFonts w:hint="eastAsia" w:ascii="楷体" w:hAnsi="楷体" w:eastAsia="楷体" w:cs="楷体"/>
          <w:color w:val="auto"/>
          <w:spacing w:val="-5"/>
          <w:w w:val="101"/>
          <w:szCs w:val="21"/>
        </w:rPr>
        <w:t>保</w:t>
      </w:r>
      <w:r>
        <w:rPr>
          <w:rFonts w:hint="eastAsia" w:ascii="楷体" w:hAnsi="楷体" w:eastAsia="楷体" w:cs="楷体"/>
          <w:color w:val="auto"/>
          <w:w w:val="101"/>
          <w:szCs w:val="21"/>
        </w:rPr>
        <w:t>证</w:t>
      </w:r>
      <w:r>
        <w:rPr>
          <w:rFonts w:hint="eastAsia" w:ascii="楷体" w:hAnsi="楷体" w:eastAsia="楷体" w:cs="楷体"/>
          <w:color w:val="auto"/>
          <w:spacing w:val="-5"/>
          <w:w w:val="101"/>
          <w:szCs w:val="21"/>
        </w:rPr>
        <w:t>金</w:t>
      </w:r>
      <w:r>
        <w:rPr>
          <w:rFonts w:hint="eastAsia" w:ascii="楷体" w:hAnsi="楷体" w:eastAsia="楷体" w:cs="楷体"/>
          <w:color w:val="auto"/>
          <w:w w:val="101"/>
          <w:szCs w:val="21"/>
        </w:rPr>
        <w:t>：</w:t>
      </w:r>
      <w:r>
        <w:rPr>
          <w:rFonts w:hint="eastAsia" w:ascii="楷体" w:hAnsi="楷体" w:eastAsia="楷体" w:cs="楷体"/>
          <w:color w:val="auto"/>
          <w:spacing w:val="-5"/>
          <w:w w:val="101"/>
          <w:szCs w:val="21"/>
        </w:rPr>
        <w:t>是</w:t>
      </w:r>
      <w:r>
        <w:rPr>
          <w:rFonts w:hint="eastAsia" w:ascii="楷体" w:hAnsi="楷体" w:eastAsia="楷体" w:cs="楷体"/>
          <w:color w:val="auto"/>
          <w:w w:val="101"/>
          <w:szCs w:val="21"/>
        </w:rPr>
        <w:t>指</w:t>
      </w:r>
      <w:r>
        <w:rPr>
          <w:rFonts w:hint="eastAsia" w:ascii="楷体" w:hAnsi="楷体" w:eastAsia="楷体" w:cs="楷体"/>
          <w:color w:val="auto"/>
          <w:spacing w:val="-5"/>
          <w:w w:val="101"/>
          <w:szCs w:val="21"/>
        </w:rPr>
        <w:t>按</w:t>
      </w:r>
      <w:r>
        <w:rPr>
          <w:rFonts w:hint="eastAsia" w:ascii="楷体" w:hAnsi="楷体" w:eastAsia="楷体" w:cs="楷体"/>
          <w:color w:val="auto"/>
          <w:w w:val="101"/>
          <w:szCs w:val="21"/>
        </w:rPr>
        <w:t>照第</w:t>
      </w:r>
      <w:r>
        <w:rPr>
          <w:rFonts w:hint="eastAsia" w:ascii="楷体" w:hAnsi="楷体" w:eastAsia="楷体" w:cs="楷体"/>
          <w:color w:val="auto"/>
          <w:spacing w:val="7"/>
          <w:szCs w:val="21"/>
        </w:rPr>
        <w:t xml:space="preserve"> </w:t>
      </w:r>
      <w:r>
        <w:rPr>
          <w:rFonts w:hint="eastAsia" w:ascii="楷体" w:hAnsi="楷体" w:eastAsia="楷体" w:cs="楷体"/>
          <w:color w:val="auto"/>
          <w:spacing w:val="-2"/>
          <w:w w:val="101"/>
          <w:szCs w:val="21"/>
        </w:rPr>
        <w:t>15</w:t>
      </w:r>
      <w:r>
        <w:rPr>
          <w:rFonts w:hint="eastAsia" w:ascii="楷体" w:hAnsi="楷体" w:eastAsia="楷体" w:cs="楷体"/>
          <w:color w:val="auto"/>
          <w:spacing w:val="-4"/>
          <w:w w:val="101"/>
          <w:szCs w:val="21"/>
        </w:rPr>
        <w:t>.</w:t>
      </w:r>
      <w:r>
        <w:rPr>
          <w:rFonts w:hint="eastAsia" w:ascii="楷体" w:hAnsi="楷体" w:eastAsia="楷体" w:cs="楷体"/>
          <w:color w:val="auto"/>
          <w:w w:val="101"/>
          <w:szCs w:val="21"/>
        </w:rPr>
        <w:t>3</w:t>
      </w:r>
      <w:r>
        <w:rPr>
          <w:rFonts w:hint="eastAsia" w:ascii="楷体" w:hAnsi="楷体" w:eastAsia="楷体" w:cs="楷体"/>
          <w:color w:val="auto"/>
          <w:szCs w:val="21"/>
        </w:rPr>
        <w:t xml:space="preserve"> </w:t>
      </w:r>
      <w:r>
        <w:rPr>
          <w:rFonts w:hint="eastAsia" w:ascii="楷体" w:hAnsi="楷体" w:eastAsia="楷体" w:cs="楷体"/>
          <w:color w:val="auto"/>
          <w:spacing w:val="5"/>
          <w:w w:val="101"/>
          <w:szCs w:val="21"/>
        </w:rPr>
        <w:t>款</w:t>
      </w:r>
      <w:r>
        <w:rPr>
          <w:rFonts w:hint="eastAsia" w:ascii="楷体" w:hAnsi="楷体" w:eastAsia="楷体" w:cs="楷体"/>
          <w:color w:val="auto"/>
          <w:spacing w:val="-5"/>
          <w:w w:val="101"/>
          <w:szCs w:val="21"/>
        </w:rPr>
        <w:t>〔</w:t>
      </w:r>
      <w:r>
        <w:rPr>
          <w:rFonts w:hint="eastAsia" w:ascii="楷体" w:hAnsi="楷体" w:eastAsia="楷体" w:cs="楷体"/>
          <w:color w:val="auto"/>
          <w:w w:val="101"/>
          <w:szCs w:val="21"/>
        </w:rPr>
        <w:t>质</w:t>
      </w:r>
      <w:r>
        <w:rPr>
          <w:rFonts w:hint="eastAsia" w:ascii="楷体" w:hAnsi="楷体" w:eastAsia="楷体" w:cs="楷体"/>
          <w:color w:val="auto"/>
          <w:spacing w:val="-5"/>
          <w:w w:val="101"/>
          <w:szCs w:val="21"/>
        </w:rPr>
        <w:t>量</w:t>
      </w:r>
      <w:r>
        <w:rPr>
          <w:rFonts w:hint="eastAsia" w:ascii="楷体" w:hAnsi="楷体" w:eastAsia="楷体" w:cs="楷体"/>
          <w:color w:val="auto"/>
          <w:spacing w:val="5"/>
          <w:w w:val="101"/>
          <w:szCs w:val="21"/>
        </w:rPr>
        <w:t>保</w:t>
      </w:r>
      <w:r>
        <w:rPr>
          <w:rFonts w:hint="eastAsia" w:ascii="楷体" w:hAnsi="楷体" w:eastAsia="楷体" w:cs="楷体"/>
          <w:color w:val="auto"/>
          <w:spacing w:val="-5"/>
          <w:w w:val="101"/>
          <w:szCs w:val="21"/>
        </w:rPr>
        <w:t>证金</w:t>
      </w:r>
      <w:r>
        <w:rPr>
          <w:rFonts w:hint="eastAsia" w:ascii="楷体" w:hAnsi="楷体" w:eastAsia="楷体" w:cs="楷体"/>
          <w:color w:val="auto"/>
          <w:w w:val="101"/>
          <w:szCs w:val="21"/>
        </w:rPr>
        <w:t>〕约定</w:t>
      </w:r>
      <w:r>
        <w:rPr>
          <w:rFonts w:hint="eastAsia" w:ascii="楷体" w:hAnsi="楷体" w:eastAsia="楷体" w:cs="楷体"/>
          <w:color w:val="auto"/>
          <w:spacing w:val="-5"/>
          <w:w w:val="101"/>
          <w:szCs w:val="21"/>
        </w:rPr>
        <w:t>承包</w:t>
      </w:r>
      <w:r>
        <w:rPr>
          <w:rFonts w:hint="eastAsia" w:ascii="楷体" w:hAnsi="楷体" w:eastAsia="楷体" w:cs="楷体"/>
          <w:color w:val="auto"/>
          <w:w w:val="101"/>
          <w:szCs w:val="21"/>
        </w:rPr>
        <w:t>人</w:t>
      </w:r>
      <w:r>
        <w:rPr>
          <w:rFonts w:hint="eastAsia" w:ascii="楷体" w:hAnsi="楷体" w:eastAsia="楷体" w:cs="楷体"/>
          <w:color w:val="auto"/>
          <w:spacing w:val="-5"/>
          <w:w w:val="101"/>
          <w:szCs w:val="21"/>
        </w:rPr>
        <w:t>用</w:t>
      </w:r>
      <w:r>
        <w:rPr>
          <w:rFonts w:hint="eastAsia" w:ascii="楷体" w:hAnsi="楷体" w:eastAsia="楷体" w:cs="楷体"/>
          <w:color w:val="auto"/>
          <w:spacing w:val="5"/>
          <w:w w:val="101"/>
          <w:szCs w:val="21"/>
        </w:rPr>
        <w:t>于</w:t>
      </w:r>
      <w:r>
        <w:rPr>
          <w:rFonts w:hint="eastAsia" w:ascii="楷体" w:hAnsi="楷体" w:eastAsia="楷体" w:cs="楷体"/>
          <w:color w:val="auto"/>
          <w:spacing w:val="-5"/>
          <w:w w:val="101"/>
          <w:szCs w:val="21"/>
        </w:rPr>
        <w:t>保</w:t>
      </w:r>
      <w:r>
        <w:rPr>
          <w:rFonts w:hint="eastAsia" w:ascii="楷体" w:hAnsi="楷体" w:eastAsia="楷体" w:cs="楷体"/>
          <w:color w:val="auto"/>
          <w:w w:val="101"/>
          <w:szCs w:val="21"/>
        </w:rPr>
        <w:t>证</w:t>
      </w:r>
      <w:r>
        <w:rPr>
          <w:rFonts w:hint="eastAsia" w:ascii="楷体" w:hAnsi="楷体" w:eastAsia="楷体" w:cs="楷体"/>
          <w:color w:val="auto"/>
          <w:spacing w:val="-5"/>
          <w:w w:val="101"/>
          <w:szCs w:val="21"/>
        </w:rPr>
        <w:t>其</w:t>
      </w:r>
      <w:r>
        <w:rPr>
          <w:rFonts w:hint="eastAsia" w:ascii="楷体" w:hAnsi="楷体" w:eastAsia="楷体" w:cs="楷体"/>
          <w:color w:val="auto"/>
          <w:spacing w:val="5"/>
          <w:w w:val="101"/>
          <w:szCs w:val="21"/>
        </w:rPr>
        <w:t>在</w:t>
      </w:r>
      <w:r>
        <w:rPr>
          <w:rFonts w:hint="eastAsia" w:ascii="楷体" w:hAnsi="楷体" w:eastAsia="楷体" w:cs="楷体"/>
          <w:color w:val="auto"/>
          <w:spacing w:val="-5"/>
          <w:w w:val="101"/>
          <w:szCs w:val="21"/>
        </w:rPr>
        <w:t>缺</w:t>
      </w:r>
      <w:r>
        <w:rPr>
          <w:rFonts w:hint="eastAsia" w:ascii="楷体" w:hAnsi="楷体" w:eastAsia="楷体" w:cs="楷体"/>
          <w:color w:val="auto"/>
          <w:w w:val="101"/>
          <w:szCs w:val="21"/>
        </w:rPr>
        <w:t>陷</w:t>
      </w:r>
      <w:r>
        <w:rPr>
          <w:rFonts w:hint="eastAsia" w:ascii="楷体" w:hAnsi="楷体" w:eastAsia="楷体" w:cs="楷体"/>
          <w:color w:val="auto"/>
          <w:spacing w:val="-5"/>
          <w:w w:val="101"/>
          <w:szCs w:val="21"/>
        </w:rPr>
        <w:t>责</w:t>
      </w:r>
      <w:r>
        <w:rPr>
          <w:rFonts w:hint="eastAsia" w:ascii="楷体" w:hAnsi="楷体" w:eastAsia="楷体" w:cs="楷体"/>
          <w:color w:val="auto"/>
          <w:spacing w:val="5"/>
          <w:w w:val="101"/>
          <w:szCs w:val="21"/>
        </w:rPr>
        <w:t>任</w:t>
      </w:r>
      <w:r>
        <w:rPr>
          <w:rFonts w:hint="eastAsia" w:ascii="楷体" w:hAnsi="楷体" w:eastAsia="楷体" w:cs="楷体"/>
          <w:color w:val="auto"/>
          <w:spacing w:val="-5"/>
          <w:w w:val="101"/>
          <w:szCs w:val="21"/>
        </w:rPr>
        <w:t>期</w:t>
      </w:r>
      <w:r>
        <w:rPr>
          <w:rFonts w:hint="eastAsia" w:ascii="楷体" w:hAnsi="楷体" w:eastAsia="楷体" w:cs="楷体"/>
          <w:color w:val="auto"/>
          <w:w w:val="101"/>
          <w:szCs w:val="21"/>
        </w:rPr>
        <w:t>内</w:t>
      </w:r>
      <w:r>
        <w:rPr>
          <w:rFonts w:hint="eastAsia" w:ascii="楷体" w:hAnsi="楷体" w:eastAsia="楷体" w:cs="楷体"/>
          <w:color w:val="auto"/>
          <w:spacing w:val="-5"/>
          <w:w w:val="101"/>
          <w:szCs w:val="21"/>
        </w:rPr>
        <w:t>履</w:t>
      </w:r>
      <w:r>
        <w:rPr>
          <w:rFonts w:hint="eastAsia" w:ascii="楷体" w:hAnsi="楷体" w:eastAsia="楷体" w:cs="楷体"/>
          <w:color w:val="auto"/>
          <w:spacing w:val="5"/>
          <w:w w:val="101"/>
          <w:szCs w:val="21"/>
        </w:rPr>
        <w:t>行缺陷修补义务的担保。</w:t>
      </w:r>
    </w:p>
    <w:p w14:paraId="4A2F01D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1.1.5.8 总价项目：是指在现行国家、行业以及地方的计量规则中无工程量计算规则，在已标价工程量清单或预算书中以总价或以费率形式计算的项目。</w:t>
      </w:r>
    </w:p>
    <w:p w14:paraId="2040D8A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1.1.6 其他</w:t>
      </w:r>
    </w:p>
    <w:p w14:paraId="67169D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1.1.6.1 书面形式：是指合同文件、信函、电报、传真等可以有形地表现所载内容的形式。</w:t>
      </w:r>
    </w:p>
    <w:p w14:paraId="537CB67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 语言文字</w:t>
      </w:r>
    </w:p>
    <w:p w14:paraId="5E425AE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合同以中国的汉语简体文字编写、解释和说明。合同当事人在专用合同条款中约定使用两种以上语言时，汉语为优先解释和说明合同的语言。</w:t>
      </w:r>
    </w:p>
    <w:p w14:paraId="12F053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 法律</w:t>
      </w:r>
    </w:p>
    <w:p w14:paraId="7B415F6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合同所称法律是指中华人民共和国法律、行政法规、部门规章，以及工程所在地的地方性法规、自治条例、单行条例和地方政府规章等。</w:t>
      </w:r>
    </w:p>
    <w:p w14:paraId="798FB85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合同当事人可以在专用合同条款中约定合同适用的其他规范性文件。</w:t>
      </w:r>
    </w:p>
    <w:p w14:paraId="63F3C32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 标准和规范</w:t>
      </w:r>
    </w:p>
    <w:p w14:paraId="768156A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1.4.1 适用于工程的国家标准、行业标准、工程所在地的地方性标准，以及相应的规范、规程等，合同当事人有特别要求的，应在专用合同条款中约定。</w:t>
      </w:r>
    </w:p>
    <w:p w14:paraId="70AA8E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1.4.2 发包人要求使用国外标准、规范的，发包人负责提供原文版本和中文译本，并在专用合同条款中约定提供标准规范的名称、份数和时间。</w:t>
      </w:r>
    </w:p>
    <w:p w14:paraId="23C7DE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6689131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 合同文件的优先顺序</w:t>
      </w:r>
    </w:p>
    <w:p w14:paraId="4657626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组成合同的各项文件应互相解释，互为说明。除专用合同条款另有约定外，解释合同文件的优先顺序如下：</w:t>
      </w:r>
    </w:p>
    <w:p w14:paraId="71A1BB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（1）合同协议书；</w:t>
      </w:r>
    </w:p>
    <w:p w14:paraId="42759E7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（2）成交通知书（如果有）；</w:t>
      </w:r>
    </w:p>
    <w:p w14:paraId="169EB79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（3）投标函及其附录（如果有）；</w:t>
      </w:r>
    </w:p>
    <w:p w14:paraId="1509582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（4）专用合同条款及其附件；</w:t>
      </w:r>
    </w:p>
    <w:p w14:paraId="696BFB3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（5）通用合同条款；</w:t>
      </w:r>
    </w:p>
    <w:p w14:paraId="18BA98D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（6）技术标准和要求；</w:t>
      </w:r>
    </w:p>
    <w:p w14:paraId="2D16EE4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（7）图纸；</w:t>
      </w:r>
    </w:p>
    <w:p w14:paraId="302F4ED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（8）已标价工程量清单或预算书；</w:t>
      </w:r>
    </w:p>
    <w:p w14:paraId="22786C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（9）其他合同文件。</w:t>
      </w:r>
    </w:p>
    <w:p w14:paraId="1772405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上述各项合同文件包括合同当事人就该项合同文件所作出的补充和修改，属于同一类内容的文件，应以最新签署的为准。在合同订立及履行过程中形成的与合同有关的文件均构成合同文件组成部分，并根据其性质确定优先解释顺序。</w:t>
      </w:r>
    </w:p>
    <w:p w14:paraId="15B1925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 图纸和承包人文件</w:t>
      </w:r>
    </w:p>
    <w:p w14:paraId="345AAF2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 图纸的提供和交底</w:t>
      </w:r>
    </w:p>
    <w:p w14:paraId="01C5DD4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发包人应按照专用合同条款约定的期限、数量和内容向承包人免费提供图纸，并组织承包人、监理人和设计人进行图纸会审和设计交底。发包人至迟不得晚于第 7.3.2 项〔开工通知〕载明的开工日期前14 天向承包人提供图纸。</w:t>
      </w:r>
    </w:p>
    <w:p w14:paraId="05929B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因发包人未按合同约定提供图纸导致承包人费用增加和（或）工期延误的，按照第7.5.1项〔因发包人原因导致工期延误〕约定办理。</w:t>
      </w:r>
    </w:p>
    <w:p w14:paraId="3548D73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 图纸的错误</w:t>
      </w:r>
    </w:p>
    <w:p w14:paraId="627694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5B7375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1.6.3 图纸的修改和补充</w:t>
      </w:r>
    </w:p>
    <w:p w14:paraId="466EA40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图纸需要修改和补充的，应经图纸原设计人及审批部门同意，并由监理人在工程或工程相应部位施工前将修改后的图纸或补充图纸提交给承包人，承包人应按修改或补充后的图纸施工。</w:t>
      </w:r>
    </w:p>
    <w:p w14:paraId="33A6E35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1.6.4 承包人文件</w:t>
      </w:r>
    </w:p>
    <w:p w14:paraId="637D7B7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承包人应按照专用合同条款的约定提供应当由其编制的与工程施工有关的文件，并按照专用合同条款约定的期限、数量和形式提交监理人，并由监理人报送发包人。</w:t>
      </w:r>
    </w:p>
    <w:p w14:paraId="54EC3F0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除专用合同条款另有约定外，监理人应在收到承包人文件后 7 天内审查完毕，监理人对承包人文件有异议的，承包人应予以修改，并重新报送监理人。监理人的审查并不减轻或免除承包人根据合同约定应当承担的责任。</w:t>
      </w:r>
    </w:p>
    <w:p w14:paraId="305E6F0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1.6.5 图纸和承包人文件的保管</w:t>
      </w:r>
    </w:p>
    <w:p w14:paraId="1B8083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除专用合同条款另有约定外，承包人应在施工现场另外保存一套完整的图纸和承包人文件，供发包人、监理人及有关人员进行工程检查时使用。</w:t>
      </w:r>
    </w:p>
    <w:p w14:paraId="6C9FE67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 联络</w:t>
      </w:r>
    </w:p>
    <w:p w14:paraId="53EFE9E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1.7.1 与合同有关的通知、批准、证明、证书、指示、指令、要求、请求、同意、意见、确定和决定等，均应采用书面形式，并应在合同约定的期限内送达接收人和送达地点。</w:t>
      </w:r>
    </w:p>
    <w:p w14:paraId="30D0F9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1.7.2 发包人和承包人应在专用合同条款中约定各自的送达接收人和送达地点。任何一方合同当事人指定的接收人或送达地点发生变动的，应提前3天以书面形式通知对方。</w:t>
      </w:r>
    </w:p>
    <w:p w14:paraId="520AAF0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1.7.3 发包人和承包人应当及时签收另一方送达至送达地点和指定 接收人的来往信函。拒不签收的，由此增加的费用和（或）延误的工 期由拒绝接收一方承担。</w:t>
      </w:r>
    </w:p>
    <w:p w14:paraId="6E05F1F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 严禁贿赂</w:t>
      </w:r>
    </w:p>
    <w:p w14:paraId="61E89ED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合同当事人不得以贿赂或变相贿赂的方式，谋取非法利益或损害对方权益。因一方合同当事人的贿赂造成对方损失的，应赔偿损失，并承担相应的法律责任。</w:t>
      </w:r>
    </w:p>
    <w:p w14:paraId="747EF8E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承包人不得与监理人或发包人聘请的第三方串通损害发包人利益。未经发包人书面同意，承包人不得为监理人提供合同约定以外的通讯设备、交通工具及其他任何形式的利益，不得向监理人支付报酬。</w:t>
      </w:r>
    </w:p>
    <w:p w14:paraId="00CADB8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 化石、文物</w:t>
      </w:r>
    </w:p>
    <w:p w14:paraId="0544D49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19DDBE9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发包人、监理人和承包人应按有关政府行政管理部门要求采取妥善的保护措施，由此增加的费用和（或）延误的工期由发包人承担。</w:t>
      </w:r>
    </w:p>
    <w:p w14:paraId="472D9761">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承包人发现文物后不及时报告或隐瞒不报，致使文物丢失或损坏的，应赔偿损失，并承担相应的法律责任。</w:t>
      </w:r>
    </w:p>
    <w:p w14:paraId="641E6CA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 交通运输</w:t>
      </w:r>
    </w:p>
    <w:p w14:paraId="07476D9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1.10.1 出入现场的权利</w:t>
      </w:r>
    </w:p>
    <w:p w14:paraId="7DCCF84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除专用合同条款另有约定外，发包人应根据施工需要，负责取得出入施工现场所需的批准手续和全部权利，以及取得因施工所需修建道路、桥梁以及其他基础设施的权利，并承担相关手续费用和建设费用。</w:t>
      </w:r>
    </w:p>
    <w:p w14:paraId="0F3CE4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协助发包人办理修建场内外道路、桥梁以及其他基础设施的手续。承包人应在订立合同前查勘施工现场，并根据工程规模及技术参数合理预见工程施工所需的进出施工现场的方式、手段、路径等。因承包人未合理预见所增加的费用和（或）延误的工期由承包人承担。</w:t>
      </w:r>
    </w:p>
    <w:p w14:paraId="24DA684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1.10.2 场外交通</w:t>
      </w:r>
    </w:p>
    <w:p w14:paraId="3FE99DB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77C9936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1.10.3 场内交通</w:t>
      </w:r>
    </w:p>
    <w:p w14:paraId="3CFC495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78566F9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612BC3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场外交通和场内交通的边界由合同当事人在专用合同条款中约定。</w:t>
      </w:r>
    </w:p>
    <w:p w14:paraId="0E7DC6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1.10.4 超大件和超重件的运输</w:t>
      </w:r>
    </w:p>
    <w:p w14:paraId="7AC5803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0458196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1.10.5 道路和桥梁的损坏责任</w:t>
      </w:r>
    </w:p>
    <w:p w14:paraId="2DFD2F7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因承包人运输造成施工场地内外公共道路和桥梁损坏的，由承包人承担修复损坏的全部费用和可能引起的赔偿。</w:t>
      </w:r>
    </w:p>
    <w:p w14:paraId="40787AC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1.10.6 水路和航空运输</w:t>
      </w:r>
    </w:p>
    <w:p w14:paraId="15B9F4B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本款前述各项的内容适用于水路运输和航空运输，其中“道路” 一词的涵义包括河道、航线、船闸、机场、码头、堤防以及水路或航空运输中其他相似结构物；“车辆”一词的涵义包括船舶和飞机等。</w:t>
      </w:r>
    </w:p>
    <w:p w14:paraId="34B676F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 知识产权</w:t>
      </w:r>
    </w:p>
    <w:p w14:paraId="3C26298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07EF400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 目的而复制、使用上述文件或将之提供给任何第三方。</w:t>
      </w:r>
    </w:p>
    <w:p w14:paraId="705F4CE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6535EED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1.11.4 除专用合同条款另有约定外，承包人在合同签订前和签订时已确定采用的专利、专有技术、技术秘密的使用费已包含在签约合同价中。</w:t>
      </w:r>
    </w:p>
    <w:p w14:paraId="40426D0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 保密</w:t>
      </w:r>
    </w:p>
    <w:p w14:paraId="796D853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除法律规定或合同另有约定外，未经发包人同意，承包人不得将发包人提供的图纸、文件以及声明需要保密的资料信息等商业秘密泄 露给第三方。</w:t>
      </w:r>
    </w:p>
    <w:p w14:paraId="08C474B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除法律规定或合同另有约定外，未经承包人同意，发包人不得将承包人提供的技术秘密及声明需要保密的资料信息等商业秘密泄露给第三方。</w:t>
      </w:r>
    </w:p>
    <w:p w14:paraId="6A4D9F5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1.13 工程量清单错误的修正</w:t>
      </w:r>
    </w:p>
    <w:p w14:paraId="6EE4A4A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除专用合同条款另有约定外，发包人提供的工程量清单，应被认为是准确的和完整的。出现下列情形之一时，发包人应予以修正，并相应调整合同价格：</w:t>
      </w:r>
    </w:p>
    <w:p w14:paraId="3CE2536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（1）工程量清单存在缺项、漏项的；</w:t>
      </w:r>
    </w:p>
    <w:p w14:paraId="404B71E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（2）工程量清单偏差超出专用合同条款约定的工程量偏差范围的；</w:t>
      </w:r>
    </w:p>
    <w:p w14:paraId="43449C4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（3）未按照国家现行计量规范强制性规定计量的。</w:t>
      </w:r>
    </w:p>
    <w:p w14:paraId="4D9CFE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2.发包人</w:t>
      </w:r>
    </w:p>
    <w:p w14:paraId="0F609F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2.1 许可或批准</w:t>
      </w:r>
    </w:p>
    <w:p w14:paraId="59DA0C0B">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3DE6FF5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因发包人原因未能及时办理完毕前述许可、批准或备案，由发包人承担由此增加的费用和（或）延误的工期，并支付承包人合理的利润。</w:t>
      </w:r>
    </w:p>
    <w:p w14:paraId="1B5B48F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2.2 发包人代表</w:t>
      </w:r>
    </w:p>
    <w:p w14:paraId="1F56A5C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1B5A46E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发包人代表不能按照合同约定履行其职责及义务，并导致合同无法继续正常履行的，承包人可以要求发包人撤换发包人代表。</w:t>
      </w:r>
    </w:p>
    <w:p w14:paraId="75BBA20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不属于法定必须监理的工程，监理人的职权可以由发包人代表或发包人指定的其他人员行使。</w:t>
      </w:r>
    </w:p>
    <w:p w14:paraId="10D571A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2.3 发包人人员</w:t>
      </w:r>
    </w:p>
    <w:p w14:paraId="5EEC2E2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发包人应要求在施工现场的发包人人员遵守法律及有关安全、质量、环境保护、文明施工等规定，并保障承包人免于承受因发包人人员未遵守上述要求给承包人造成的损失和责任。</w:t>
      </w:r>
    </w:p>
    <w:p w14:paraId="3BFE136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发包人人员包括发包人代表及其他由发包人派驻施工现场的人员。</w:t>
      </w:r>
    </w:p>
    <w:p w14:paraId="5788034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2.4 施工现场、施工条件和基础资料的提供</w:t>
      </w:r>
    </w:p>
    <w:p w14:paraId="2938097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2.4.1 提供施工现场 除专用合同条款另有约定外，发包人应最迟于开工日期  7 天前向承包人移交施工现场。</w:t>
      </w:r>
    </w:p>
    <w:p w14:paraId="3870F48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2.4.2 提供施工条件</w:t>
      </w:r>
    </w:p>
    <w:p w14:paraId="6453248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除专用合同条款另有约定外，发包人应负责提供施工所需要的条件，包括：</w:t>
      </w:r>
    </w:p>
    <w:p w14:paraId="28029D7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（1）将施工用水、电力、通讯线路等施工所必需的条件接至施工现场内；</w:t>
      </w:r>
    </w:p>
    <w:p w14:paraId="2B8E3D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（2）保证向承包人提供正常施工所需要的进入施工现场的交通条件；</w:t>
      </w:r>
    </w:p>
    <w:p w14:paraId="38798B3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（3）协调处理施工现场周围地下管线和邻近建筑物、构筑物、古树名木的保护工作，并承担相关费用；</w:t>
      </w:r>
    </w:p>
    <w:p w14:paraId="37E8C5D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（4）按照专用合同条款约定应提供的其他设施和条件。</w:t>
      </w:r>
    </w:p>
    <w:p w14:paraId="65EDBB6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2.4.3 提供基础资料</w:t>
      </w:r>
    </w:p>
    <w:p w14:paraId="0AA50C2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发包人应当在移交施工现场前向承包人提供施工现场及工程施工所必需的毗邻区域内供水、排水、供电、供气、供热、通信、广播电视等地下管线资料，气象和水文观测资料，地质勘察资料，相邻建筑 物、构筑物和地下工程等有关基础资料，并对所提供资料的真实性、准确性和完整性负责。</w:t>
      </w:r>
    </w:p>
    <w:p w14:paraId="5C1F7C8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按照法律规定确需在开工后方能提供的基础资料，发包人应尽其努力及时地在相应工程施工前的合理期限内提供，合理期限应以不影响承包人的正常施工为限。</w:t>
      </w:r>
    </w:p>
    <w:p w14:paraId="2ACEEB0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2.5 资金来源证明及支付担保</w:t>
      </w:r>
    </w:p>
    <w:p w14:paraId="643A73F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除专用合同条款另有约定外，发包人应在收到承包人要求提供资金来源证明的书面通知后28天内，向承包人提供能够按照合同约定支付合同价款的相应资金来源证明。</w:t>
      </w:r>
    </w:p>
    <w:p w14:paraId="76FA99C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除专用合同条款另有约定外，发包人要求承包人提供履约担保的，发包人应当向承包人提供支付担保。支付担保可以采用银行保函或担保公司担保等形式，具体由合同当事人在专用合同条款中约定。</w:t>
      </w:r>
    </w:p>
    <w:p w14:paraId="6AEA1FC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2.6 支付合同价款</w:t>
      </w:r>
    </w:p>
    <w:p w14:paraId="4022FBA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发包人应按合同约定向承包人及时支付合同价款。</w:t>
      </w:r>
    </w:p>
    <w:p w14:paraId="3E364BE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2.7 组织竣工验收</w:t>
      </w:r>
    </w:p>
    <w:p w14:paraId="5773D1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发包人应按合同约定及时组织竣工验收。</w:t>
      </w:r>
    </w:p>
    <w:p w14:paraId="321BA3D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2.8 现场统一管理协议</w:t>
      </w:r>
    </w:p>
    <w:p w14:paraId="6BDFF25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发包人应与承包人、由发包人直接发包的专业工程的承包人签订施工现场统一管理协议，明确各方的权利义务。施工现场统一管理协议作为专用合同条款的附件。</w:t>
      </w:r>
    </w:p>
    <w:p w14:paraId="034CE2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w:t>
      </w:r>
    </w:p>
    <w:p w14:paraId="1ADA4E2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3.1 承包人的一般义务</w:t>
      </w:r>
    </w:p>
    <w:p w14:paraId="0800137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承包人在履行合同过程中应遵守法律和工程建设标准规范，并履行以下义务：</w:t>
      </w:r>
    </w:p>
    <w:p w14:paraId="2CD0F84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（1）办理法律规定应由承包人办理的许可和批准，并将办理结果书面报送发包人留存；</w:t>
      </w:r>
    </w:p>
    <w:p w14:paraId="09D1888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（2）按法律规定和合同约定完成工程，并在保修期内承担保修义务；</w:t>
      </w:r>
    </w:p>
    <w:p w14:paraId="2A3C3E9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（3）按法律规定和合同约定采取施工安全和环境保护措施，办理工伤保险，确保工程及人员、材料、设备和设施的安全；</w:t>
      </w:r>
    </w:p>
    <w:p w14:paraId="1198FB7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（4）按合同约定的工作内容和施工进度要求，编制施工组织设计和施工措施计划，并对所有施工作业和施工方法的完备性和安全可靠性负责；</w:t>
      </w:r>
    </w:p>
    <w:p w14:paraId="49F701A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19DE95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（6）按照第 6.3 款〔环境保护〕约定负责施工场地及其周边环境与生态的保护工作；</w:t>
      </w:r>
    </w:p>
    <w:p w14:paraId="31E730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（7）按第 6.1 款〔安全文明施工〕约定采取施工安全措施，确保工程及其人员、材料、设备和设施的安全，防止因工程施工造成的人身伤害和财产损失；</w:t>
      </w:r>
    </w:p>
    <w:p w14:paraId="4C2819E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（8）将发包人按合同约定支付的各项价款专用于合同工程，且应及时支付其雇用人员工资，并及时向分包人支付合同价款；</w:t>
      </w:r>
    </w:p>
    <w:p w14:paraId="0A7926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（9）按照法律规定和合同约定编制竣工资料，完成竣工资料立卷及归档，并按专用合同条款约定的竣工资料的套数、内容、时间等要求移交发包人；</w:t>
      </w:r>
    </w:p>
    <w:p w14:paraId="19686BF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（10）应履行的其他义务。</w:t>
      </w:r>
    </w:p>
    <w:p w14:paraId="5A6C838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 项目经理</w:t>
      </w:r>
    </w:p>
    <w:p w14:paraId="47A772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75DF5D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承包人违反上述约定的，应按照专用合同条款的约定，承担违约责任。</w:t>
      </w:r>
    </w:p>
    <w:p w14:paraId="72B7331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23E456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3.2.3  承包人需要更换项目经理的，应提前14天书面通知发包人和监理人，并征得发包人书面同意。通知中应当载明继任项目经理的注册执业资格、管理经验等资料，继任项目经理继续履行第 3.2.1 项约定的职责。未经发包人书面同意，承包人不得擅自更换项目经理。承包人擅自更换项目经理的，应按照专用合同条款的约定承担违约责任。</w:t>
      </w:r>
    </w:p>
    <w:p w14:paraId="1AF728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3.2.4 发包人有权书面通知承包人更换其认为不称职的项目经理，通知中应当载明要求更换的理由。承包人应在接到更换通知后 14 天内向发包人提出书面的改进报告。发包人收到改进报告后仍要求更换的，承包人应在接到第二次更换通知的 28 天内进行更换，并将新任命的项目经理的注册执业资格、管理经验等资料书面通知发包人。继任项目经理继续履行第 3.2.1 项约定的职责。承包人无正当理由拒绝更换项目经理的，应按照专用合同条款的约定承担违约责任。</w:t>
      </w:r>
    </w:p>
    <w:p w14:paraId="4ACF340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3.2.5  项目经理因特殊情况授权其下属人员履行其某项工作职责的，该下属人员应具备履行相应职责的能力，并应提前7天将上述人员的姓名和授权范围书面通知监理人，并征得发包人书面同意。</w:t>
      </w:r>
    </w:p>
    <w:p w14:paraId="44AB3D9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 承包人人员</w:t>
      </w:r>
    </w:p>
    <w:p w14:paraId="0A2C916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3.3.1 除专用合同条款另有约定外，承包人应在接到开工通知后7天内，向发包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3D73A08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3.3.2 承包人派驻到施工现场的主要施工管理人员应相对稳定。施工过程中如有变动，承包人应及时向发包人提交施工现场人员变动情况的报告。承包人更换主要施工管理人员时，应提前 7 天书面通知发包人，并征得发包人书面同意。通知中应当载明继任人员的注册执业资格、管理经验等资料。</w:t>
      </w:r>
    </w:p>
    <w:p w14:paraId="4316970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特殊工种作业人员均应持有相应的资格证明，发包人可以随时检查。</w:t>
      </w:r>
    </w:p>
    <w:p w14:paraId="696E5E5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174ED1B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3.3.4 除专用合同条款另有约定外，承包人的主要施工管理人员离开施工现场每月累计不超过 5 天的，应报发包人同意；主要施工管理人员离开施工现场前应指定一名有经验的人员临时代行其职责，该人员应具备履行相应职责的资格和能力，且应征得监理人或发包人的同意。</w:t>
      </w:r>
    </w:p>
    <w:p w14:paraId="2DD7075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3.3.5 承包人擅自更换主要施工管理人员，或前述人员未经监理人或发包人同意擅自离开施工现场的，应按照专用合同条款约定承担违约责任。</w:t>
      </w:r>
    </w:p>
    <w:p w14:paraId="1371266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3.4 承包人现场查勘</w:t>
      </w:r>
    </w:p>
    <w:p w14:paraId="3732EBC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承包人应对基于发包人按照第 2.4.3 项〔提供基础资料〕提交的基础资料所做出的解释和推断负责，但因基础资料存在错误、遗漏导致承包人解释或推断失实的，由发包人承担责任。</w:t>
      </w:r>
    </w:p>
    <w:p w14:paraId="2EEF55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58F2B39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3.5 分包</w:t>
      </w:r>
    </w:p>
    <w:p w14:paraId="7F4EE723">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3.5.1 分包的约定</w:t>
      </w:r>
    </w:p>
    <w:p w14:paraId="73A0C698">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承包人不得将其承包的全部工程转包给第三人，或将其承包的全部工程肢解后以分包的名义转包给第三人。</w:t>
      </w:r>
    </w:p>
    <w:p w14:paraId="5DC4DDB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承包人不得以劳务分包的名义转包或违法分包工程。</w:t>
      </w:r>
    </w:p>
    <w:p w14:paraId="16C959E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3.6 工程照管与成品、半成品保护</w:t>
      </w:r>
    </w:p>
    <w:p w14:paraId="55D8FAA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（1）除专用合同条款另有约定外，自发包人向承包人移交施工现场之日起，承包人应负责照管工程及工程相关的材料、工程设备，直到颁发工程接收证书之日止。</w:t>
      </w:r>
    </w:p>
    <w:p w14:paraId="2A2B428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（2）在承包人负责照管期间，因承包人原因造成工程、材料、工程设备损坏的，由承包人负责修复或更换，并承担由此增加的费用和（或）延误的工期。</w:t>
      </w:r>
    </w:p>
    <w:p w14:paraId="24B856B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（3）对合同内分期完成的成品和半成品，在工程接收证书颁发前，由承包人承担保护责任。因承包人原因造成成品或半成品损坏的，由承包人负责修复或更换，并承担由此增加的费用和（或）延误的工期。</w:t>
      </w:r>
    </w:p>
    <w:p w14:paraId="2418FBF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3.7 履约担保</w:t>
      </w:r>
    </w:p>
    <w:p w14:paraId="0649179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发包人需要承包人提供履约担保的，由合同当事人在专用合同条款中约定履约担保的方式、金额及期限等。履约担保可以采用银行保函或担保公司担保等形式，具体由合同当事人在专用合同条款中约定。 </w:t>
      </w:r>
    </w:p>
    <w:p w14:paraId="3C87D1E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因承包人原因导致工期延长的，继续提供履约担保所增加的费用由承包人承担；非因承包人原因导致工期延长的，继续提供履约担保所增加的费用由发包人承担。</w:t>
      </w:r>
    </w:p>
    <w:p w14:paraId="61151A3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3.8 联合体</w:t>
      </w:r>
    </w:p>
    <w:p w14:paraId="334F94D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3.8.1 联合体各方应共同与发包人签订合同协议书。联合体各方应为履行合同向发包人承担连带责任。</w:t>
      </w:r>
    </w:p>
    <w:p w14:paraId="24AB307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3.8.2 联合体协议经发包人确认后作为合同附件。在履行合同过程中，未经发包人同意，不得修改联合体协议。</w:t>
      </w:r>
    </w:p>
    <w:p w14:paraId="319E5B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3.8.3 联合体牵头人负责与发包人联系，并接受指示，负责组织联合体各成员全面履行合同。</w:t>
      </w:r>
    </w:p>
    <w:p w14:paraId="7ABEE041">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4.监理人</w:t>
      </w:r>
    </w:p>
    <w:p w14:paraId="12398F8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4.1 监理人的一般规定</w:t>
      </w:r>
    </w:p>
    <w:p w14:paraId="25D0AC3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5A245E3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除专用合同条款另有约定外，监理人在施工现场的办公场所、生活场所由承包人提供，所发生的费用由发包人承担。</w:t>
      </w:r>
    </w:p>
    <w:p w14:paraId="435F8E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4.2 监理人员</w:t>
      </w:r>
    </w:p>
    <w:p w14:paraId="39381FA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 7 天书面通知承包人；更换其他监理人员，监理人应提前 48 小时书面通知承包人。</w:t>
      </w:r>
    </w:p>
    <w:p w14:paraId="6EBAD3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4.3 监理人的指示</w:t>
      </w:r>
    </w:p>
    <w:p w14:paraId="21B603DE">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 24 小时内补发书面监理指示，补发的书面监理指示应与口头指示一致。</w:t>
      </w:r>
    </w:p>
    <w:p w14:paraId="3DC3EBE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1CB23EE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承包人对监理人发出的指示有疑问的，应向监理人提出书面异议，监理人应在48小时内对该指示予以确认、更改或撤销，监理人逾期未回复的，承包人有权拒绝执行上述指示。</w:t>
      </w:r>
    </w:p>
    <w:p w14:paraId="6ADD080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监理人对承包人的任何工作、工程或其采用的材料和工程设备未在约定的或合理期限内提出意见的，视为批准，但不免除或减轻承包人对该工作、工程、材料、工程设备等应承担的责任和义务。</w:t>
      </w:r>
    </w:p>
    <w:p w14:paraId="4475336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4.4 商定或确定</w:t>
      </w:r>
    </w:p>
    <w:p w14:paraId="34ABB4E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合同当事人进行商定或确定时，总监理工程师应当会同合同当事人尽量通过协商达成一致，不能达成一致的，由总监理工程师按照合同约定审慎作出公正的确定。</w:t>
      </w:r>
    </w:p>
    <w:p w14:paraId="5A8EF1D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总监理工程师应将确定以书面形式通知发包人和承包人，并附详细依据。合同当事人对总监理工程师的确定没有异议的，按照总监理工程师的确定执行。任何一方合同当事人有异议，按照第 20 条〔争议解决〕约定处理。争议解决前，合同当事人暂按总监理工程师的确定执行；争议解决后，争议解决的结果与总监理工程师的确定不一致的，按照争议解决的结果执行，由此造成的损失由责任人承担。</w:t>
      </w:r>
    </w:p>
    <w:p w14:paraId="01A463BA">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5.工程质量</w:t>
      </w:r>
    </w:p>
    <w:p w14:paraId="1D895EC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5.1 质量要求</w:t>
      </w:r>
    </w:p>
    <w:p w14:paraId="3882818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5.1.1 工程质量标准必须符合现行国家有关工程施工质量验收规范和标准的要求。有关工程质量的特殊标准或要求由合同当事人在专用合同条款中约定。</w:t>
      </w:r>
    </w:p>
    <w:p w14:paraId="01648B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5.1.2 因发包人原因造成工程质量未达到合同约定标准的，由发包人承担由此增加的费用和（或）延误的工期，并支付承包人合理的利润。</w:t>
      </w:r>
    </w:p>
    <w:p w14:paraId="13BED8F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5.1.3 因承包人原因造成工程质量未达到合同约定标准的，发包人有权要求承包人返工直至工程质量达到合同约定的标准为止，并由承包人承担由此增加的费用和（或）延误的工期。</w:t>
      </w:r>
    </w:p>
    <w:p w14:paraId="1C31ECA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5.2 质量保证措施</w:t>
      </w:r>
    </w:p>
    <w:p w14:paraId="26C29B9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5.2.1 发包人的质量管理</w:t>
      </w:r>
    </w:p>
    <w:p w14:paraId="66522E1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发包人应按照法律规定及合同约定完成与工程质量有关的各项工作。</w:t>
      </w:r>
    </w:p>
    <w:p w14:paraId="17F3015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5.2.2 承包人的质量管理</w:t>
      </w:r>
    </w:p>
    <w:p w14:paraId="2EB7143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承包人按照第 7.1 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04D33C1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承包人应对施工人员进行质量教育和技术培训，定期考核施工人员的劳动技能，严格执行施工规范和操作规程。</w:t>
      </w:r>
    </w:p>
    <w:p w14:paraId="43EEBAA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按照法律规定和发包人、监理人的要求，应配合受委托的检测机构，对材料、工程设备以及工程的所有部位及其施工工艺进行全过程的质量检查和检验，根据检测机构提供的检测报告，编制工程质量报表，报送监理人审查。承包人还应按照法律规定和发包人、监理人、检测机构的要求进行施工现场取样，提供试验样品，进行工程复测并应提交测量成果及其他工作。</w:t>
      </w:r>
    </w:p>
    <w:p w14:paraId="540AC5F2">
      <w:pPr>
        <w:autoSpaceDE w:val="0"/>
        <w:autoSpaceDN w:val="0"/>
        <w:snapToGrid w:val="0"/>
        <w:spacing w:line="360" w:lineRule="exact"/>
        <w:rPr>
          <w:rFonts w:ascii="楷体" w:hAnsi="楷体" w:eastAsia="楷体" w:cs="楷体"/>
          <w:color w:val="auto"/>
          <w:spacing w:val="5"/>
          <w:w w:val="101"/>
          <w:szCs w:val="21"/>
        </w:rPr>
      </w:pPr>
    </w:p>
    <w:p w14:paraId="032BD80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5.3 隐蔽工程检查</w:t>
      </w:r>
    </w:p>
    <w:p w14:paraId="57FC01D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5.3.1 承包人自检</w:t>
      </w:r>
    </w:p>
    <w:p w14:paraId="41F2BF9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承包人应当对工程隐蔽部位进行自检，并经自检确认是否具备覆盖条件。</w:t>
      </w:r>
    </w:p>
    <w:p w14:paraId="30C19F9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5.3.2 检查程序</w:t>
      </w:r>
    </w:p>
    <w:p w14:paraId="227489F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除专用合同条款另有约定外，工程隐蔽部位经承包人自检确认具备覆盖条件的，承包人应在共同检查前 48 小时书面通知监理人检查，通知中应载明隐蔽检查的内容、时间和地点，并应附有自检记录和必要的检查资料。</w:t>
      </w:r>
    </w:p>
    <w:p w14:paraId="6937385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576C2BA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除专用合同条款另有约定外，监理人不能按时进行检查的，应在检查前 24 小时向承包人提交书面延期要求，但延期不能超过 48 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 5.3.3 项〔重新检查〕的约定重新检查。</w:t>
      </w:r>
    </w:p>
    <w:p w14:paraId="73CB634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5.3.3 重新检查</w:t>
      </w:r>
    </w:p>
    <w:p w14:paraId="5DDAC22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133854A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5.3.4 承包人私自覆盖</w:t>
      </w:r>
    </w:p>
    <w:p w14:paraId="548587F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承包人未通知监理人到场检查，私自将工程隐蔽部位覆盖的，监理人有权指示承包人钻孔探测或揭开检查，无论工程隐蔽部位质量是否合格，由此增加的费用和（或）延误的工期均由承包人承担。</w:t>
      </w:r>
    </w:p>
    <w:p w14:paraId="17E14A1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5.4 不合格工程的处理</w:t>
      </w:r>
    </w:p>
    <w:p w14:paraId="2CD37A9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5.4.1 因承包人原因造成工程不合格的，发包人有权随时要求承包人采取补救措施，直至达到合同要求的质量标准，由此增加的费用和（或）延误的工期由承包人承担。无法补救的，按照第 13.2.4 项〔拒绝接收全部或部分工程〕约定执行。</w:t>
      </w:r>
    </w:p>
    <w:p w14:paraId="4F5D803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5.4.2 因发包人原因造成工程不合格的，由此增加的费用和（或）延误的工期由发包人承担，并支付承包人合理的利润。</w:t>
      </w:r>
    </w:p>
    <w:p w14:paraId="2FFC112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5.5 质量争议检测</w:t>
      </w:r>
    </w:p>
    <w:p w14:paraId="51E9231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合同当事人对工程质量有争议的，由双方协商确定的工程质量检测机构鉴定，由此产生的费用及因此造成的损失，由责任方承担。 </w:t>
      </w:r>
    </w:p>
    <w:p w14:paraId="26B5B39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合同当事人均有责任的，由双方根据其责任分别承担。合同当事人无法达成一致的，按照第 4.4 款〔商定或确定〕执行。</w:t>
      </w:r>
    </w:p>
    <w:p w14:paraId="4E50063A">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6.安全文明施工与环境保护</w:t>
      </w:r>
    </w:p>
    <w:p w14:paraId="4134B0A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 安全文明施工</w:t>
      </w:r>
    </w:p>
    <w:p w14:paraId="7484BB2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6.1.1 安全生产要求</w:t>
      </w:r>
    </w:p>
    <w:p w14:paraId="17C0EFA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6E820AB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在施工过程中，如遇到突发的地质变动、事先未知的地下施工障碍等影响施工安全的紧急情况，承包人应及时报告监理人和发包人，发包人应当及时下令停工并报政府有关行政管理部门采取应急措施。 </w:t>
      </w:r>
    </w:p>
    <w:p w14:paraId="54D2960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因安全生产需要暂停施工的，按照第 7.8 款〔暂停施工〕的约定执行。</w:t>
      </w:r>
    </w:p>
    <w:p w14:paraId="3E18C36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6.1.2 安全生产保证措施 </w:t>
      </w:r>
    </w:p>
    <w:p w14:paraId="3D5978E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当按照有关规定编制安全技术措施或者专项施工方案，建立安全生产责任制度、治安保卫制度及安全生产教育培训制度，并按安全生产法律规定及合同约定履行安全职责，如实编制工程安全生产的有关记录，接受发包人、监理人及政府安全监督部门的检查与监督。</w:t>
      </w:r>
    </w:p>
    <w:p w14:paraId="3E9BCF7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6.1.3 特别安全生产事项</w:t>
      </w:r>
    </w:p>
    <w:p w14:paraId="0E4432D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2A116A3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承包人在动力设备、输电线路、地下管道、密封防震车间、易燃易爆地段以及临街交通要道附近施工时，施工开始前应向发包人和监理人提出安全防护措施，经发包人认可后实施。</w:t>
      </w:r>
    </w:p>
    <w:p w14:paraId="4E529276">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实施爆破作业，在放射、毒害性环境中施工（含储存、运输、使用）及使用毒害性、腐蚀性物品施工时，承包人应在施工前 7 天以书面通知发包人和监理人，并报送相应的安全防护措施，经发包人认可后实施。</w:t>
      </w:r>
    </w:p>
    <w:p w14:paraId="7D09456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需单独编制危险性较大分部分项专项工程施工方案的，及要求进行专家论证的超过一定规模的危险性较大的分部分项工程，承包人应及时编制和组织论证。</w:t>
      </w:r>
    </w:p>
    <w:p w14:paraId="0C30140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6.1.4 治安保卫</w:t>
      </w:r>
    </w:p>
    <w:p w14:paraId="785D27A2">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除专用合同条款另有约定外，发包人应与当地公安部门协商，在现场建立治安管理机构或联防组织，统一管理施工场地的治安保卫事项，履行合同工程的治安保卫职责。</w:t>
      </w:r>
    </w:p>
    <w:p w14:paraId="2F595C0B">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发包人和承包人除应协助现场治安管理机构或联防组织维护施工场地的社会治安外，还应做好包括生活区在内的各自管辖区的治安保卫工作。</w:t>
      </w:r>
    </w:p>
    <w:p w14:paraId="1168F35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除专用合同条款另有约定外，发包人和承包人应在工程开工后 7 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50F48AD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6.1.5 文明施工</w:t>
      </w:r>
    </w:p>
    <w:p w14:paraId="4DA085B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承包人在工程施工期间，应当采取措施保持施工现场平整，物料堆放整齐。工程所在地有关政府行政管理部门有特殊要求的，按照其要求执行。合同当事人对文明施工有其他要求的，可以在专用合同条款中明确。</w:t>
      </w:r>
    </w:p>
    <w:p w14:paraId="0359CF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697FCB6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6.1.6 安全文明施工费</w:t>
      </w:r>
    </w:p>
    <w:p w14:paraId="33A4BFC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安全文明施工费由发包人承担，发包人不得以任何形式扣减该部分费用。因基准日期后合同所适用的法律或政府有关规定发生变化，增加的安全文明施工费由发包人承担。</w:t>
      </w:r>
    </w:p>
    <w:p w14:paraId="4058A1D1">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69B6314B">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除专用合同条款另有约定外，安全文明费支付方案应符合以下规定：</w:t>
      </w:r>
    </w:p>
    <w:p w14:paraId="3281125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（1）合同工期在一年以内的工程，发包人应在办理工程项目安全受监手续时将安全文明费一次性支付到位；</w:t>
      </w:r>
    </w:p>
    <w:p w14:paraId="603C954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（2）合同工期在一年以上两年以内的工程，发包人应在办理工程项目安全受监手续时支付安全文明费的 50%，剩余 50%应在工程开工满一年前支付到位；</w:t>
      </w:r>
    </w:p>
    <w:p w14:paraId="17C25A3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（3）合同工期在两年以上的工程，发包人应在办理工程项目安全受监手续时支付安全文明费的50%，开工满一年前，再支付安全文明费的30%，开工满二年前剩余费用全部支付到位。</w:t>
      </w:r>
    </w:p>
    <w:p w14:paraId="611DB91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发包人逾期支付安全文明施工费超过 7 天的，承包人有权向发包人发出要求预付的催告通知，发包人收到通知后 7 天内仍未支付的，承包人有权暂停施工，并按第 16.1.1 项〔发包人违约的情形〕执行。 </w:t>
      </w:r>
    </w:p>
    <w:p w14:paraId="42B4137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3428B28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6.1.7 紧急情况处理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54139C0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6.1.8 事故处理</w:t>
      </w:r>
    </w:p>
    <w:p w14:paraId="0918E38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工程施工过程中发生事故的，承包人应立即通知监理人，监理人应立即通知发包人。发包人和承包人应立即组织人员和设备进行紧急 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410594F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6.1.9 安全生产责任</w:t>
      </w:r>
    </w:p>
    <w:p w14:paraId="1DB2E848">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6.1.9.1 发包人的安全责任</w:t>
      </w:r>
    </w:p>
    <w:p w14:paraId="704708C2">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发包人应负责赔偿以下各种情况造成的损失：</w:t>
      </w:r>
    </w:p>
    <w:p w14:paraId="01BA351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（1）工程或工程的任何部分对土地的占用所造成的第三者财产损失；</w:t>
      </w:r>
    </w:p>
    <w:p w14:paraId="7EF524D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（2）由于发包人原因在施工场地及其毗邻地带造成的第三者人身伤亡和财产损失；</w:t>
      </w:r>
    </w:p>
    <w:p w14:paraId="5DEB6C6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（3）由于发包人原因对承包人、监理人造成的人员人身伤亡和财产损失；</w:t>
      </w:r>
    </w:p>
    <w:p w14:paraId="779CFD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（4）由于发包人原因造成的发包人自身人员的人身伤害以及财产损失。</w:t>
      </w:r>
    </w:p>
    <w:p w14:paraId="28C86D1A">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6.1.9.2 承包人的安全责任</w:t>
      </w:r>
    </w:p>
    <w:p w14:paraId="7AB9BE41">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由于承包人原因在施工场地内及其毗邻地带造成的发包人、监理人以及第三者人员伤亡和财产损失，由承包人负责赔偿。</w:t>
      </w:r>
    </w:p>
    <w:p w14:paraId="7CD6617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6.2 职业健康</w:t>
      </w:r>
    </w:p>
    <w:p w14:paraId="346A2BA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6.2.1 劳动保护</w:t>
      </w:r>
    </w:p>
    <w:p w14:paraId="5260B7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7CFA32B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0A337C0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承包人应按法律规定安排工作时间，保证其雇佣人员享有休息和休假的权利。因工程施工的特殊需要占用休假日或延长工作时间的，应不超过法律规定的限度，并按法律规定给予补休或付酬。</w:t>
      </w:r>
    </w:p>
    <w:p w14:paraId="48551EC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6.2.2 生活条件</w:t>
      </w:r>
    </w:p>
    <w:p w14:paraId="4C6C409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为其履行合同所雇用的人员提供必要的膳宿条件和生活环境；承包人应采取有效措施预防传染病，保证施工人员的健康，并定期对施工现场、施工人员生活基地和工程进行防疫和卫生的专业检查和处理，在远离城镇的施工场地，还应配备必要的伤病防治和急救的医务人员与医疗设施。</w:t>
      </w:r>
    </w:p>
    <w:p w14:paraId="4ED30F6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6.3 环境保护</w:t>
      </w:r>
    </w:p>
    <w:p w14:paraId="71CBA60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在施工组织设计中列明环境保护的具体措施。在合同履行期间，承包人应采取合理措施保护施工现场环境。对施工作业过程中可能引起的扬尘、大气、水、噪音以及固体废物污染采取具体可行的防范措施。</w:t>
      </w:r>
    </w:p>
    <w:p w14:paraId="2CADD45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承包人应当承担因其原因引起的环境污染侵权损害赔偿责任，因上述环境污染引起纠纷而导致暂停施工的，由此增加的费用和（或）延误的工期由承包人承担。</w:t>
      </w:r>
    </w:p>
    <w:p w14:paraId="4724B70A">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7.工期和进度</w:t>
      </w:r>
    </w:p>
    <w:p w14:paraId="65E94F7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7.1 施工组织设计</w:t>
      </w:r>
    </w:p>
    <w:p w14:paraId="7A1EC5D2">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7.1.1 施工组织设计的内容</w:t>
      </w:r>
    </w:p>
    <w:p w14:paraId="5D8FCCED">
      <w:pPr>
        <w:autoSpaceDE w:val="0"/>
        <w:autoSpaceDN w:val="0"/>
        <w:snapToGrid w:val="0"/>
        <w:spacing w:line="360" w:lineRule="exact"/>
        <w:ind w:firstLine="464"/>
        <w:rPr>
          <w:rFonts w:ascii="楷体" w:hAnsi="楷体" w:eastAsia="楷体" w:cs="楷体"/>
          <w:color w:val="auto"/>
          <w:spacing w:val="5"/>
          <w:w w:val="101"/>
          <w:szCs w:val="21"/>
        </w:rPr>
      </w:pPr>
      <w:r>
        <w:rPr>
          <w:rFonts w:hint="eastAsia" w:ascii="楷体" w:hAnsi="楷体" w:eastAsia="楷体" w:cs="楷体"/>
          <w:color w:val="auto"/>
          <w:spacing w:val="5"/>
          <w:w w:val="101"/>
          <w:szCs w:val="21"/>
        </w:rPr>
        <w:t>施工组织设计应包含以下内容：</w:t>
      </w:r>
    </w:p>
    <w:p w14:paraId="7109960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（1）施工方案；</w:t>
      </w:r>
    </w:p>
    <w:p w14:paraId="417E93D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（2）施工现场平面布置图；</w:t>
      </w:r>
    </w:p>
    <w:p w14:paraId="4492A62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（3）施工进度计划和保证措施；</w:t>
      </w:r>
    </w:p>
    <w:p w14:paraId="061EC44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（4）劳动力及材料供应计划；</w:t>
      </w:r>
    </w:p>
    <w:p w14:paraId="5B9CAC7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（5）施工机械设备的选用；</w:t>
      </w:r>
    </w:p>
    <w:p w14:paraId="6F86699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（6）质量保证体系及措施；</w:t>
      </w:r>
    </w:p>
    <w:p w14:paraId="36985D9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（7）安全生产、文明施工措施；</w:t>
      </w:r>
    </w:p>
    <w:p w14:paraId="02DE1DB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（8）环境保护、成本控制措施；</w:t>
      </w:r>
    </w:p>
    <w:p w14:paraId="1CC8AF3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（9）合同当事人约定的其他内容。</w:t>
      </w:r>
    </w:p>
    <w:p w14:paraId="7889A5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7.1.2 施工组织设计的提交和修改</w:t>
      </w:r>
    </w:p>
    <w:p w14:paraId="6F3AFA4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除专用合同条款另有约定外，承包人应在合同签订后14天内，但至迟不得晚于第 7.3.2 项〔开工通知〕载明的开工日期前 7 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449AB6D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施工进度计划的编制和修改按照第 7.2 款〔施工进度计划〕执行。</w:t>
      </w:r>
    </w:p>
    <w:p w14:paraId="60D2EAB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7.2 施工进度计划</w:t>
      </w:r>
    </w:p>
    <w:p w14:paraId="56826A9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7.2.1 施工进度计划的编制</w:t>
      </w:r>
    </w:p>
    <w:p w14:paraId="6D7D7C7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承包人应按照第 7.1 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2780BE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7.2.2 施工进度计划的修订</w:t>
      </w:r>
    </w:p>
    <w:p w14:paraId="1DB9F9D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 7 天内完成审核和批准或提出修改意见。 发包人和监理人对承包人提交的施工进度计划的确认，不能减轻或免除承包人根据法律规定和合同约定应承担的任何责任或义务。</w:t>
      </w:r>
    </w:p>
    <w:p w14:paraId="69DEC05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7.3 开工</w:t>
      </w:r>
    </w:p>
    <w:p w14:paraId="1AE3183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7.3.1 开工准备</w:t>
      </w:r>
    </w:p>
    <w:p w14:paraId="1D10E21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除专用合同条款另有约定外，承包人应按照第 7.1 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27D49FC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除专用合同条款另有约定外，合同当事人应按约定完成开工准备工作。</w:t>
      </w:r>
    </w:p>
    <w:p w14:paraId="0A5B596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7.3.2 开工通知</w:t>
      </w:r>
    </w:p>
    <w:p w14:paraId="438D227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发包人应按照法律规定获得工程施工所需的许可。经发包人同意后，监理人发出的开工通知应符合法律规定。监理人应在计划开工日期7天前向承包人发出开工通知，工期自开工通知中载明的开工日期起算。</w:t>
      </w:r>
    </w:p>
    <w:p w14:paraId="65FC64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除专用合同条款另有约定外，因发包人原因造成监理人未能在计划开工日期之日起 90 天内发出开工通知的，承包人有权提出价格调整要求，或者解除合同。发包人应当承担由此增加的费用和（或）延误的工期，并向承包人支付合理利润。</w:t>
      </w:r>
    </w:p>
    <w:p w14:paraId="0815BD7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7.4 测量放线</w:t>
      </w:r>
    </w:p>
    <w:p w14:paraId="5B34F5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7.4.1  除专用合同条款另有约定外，发包人应在至迟不得晚于第7.3.2 项〔开工通知〕载明的开工日期前7天通过监理人向承包人提供测量基准点、基准线和水准点及其书面资料。发包人应对其提供的测量基准点、基准线和水准点及其书面资料的真实性、准确性和完整性负责。</w:t>
      </w:r>
    </w:p>
    <w:p w14:paraId="3D03B0B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6AB53C6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78F99C5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施工过程中对施工现场内水准点等测量标志物的保护工作由承包人负责。</w:t>
      </w:r>
    </w:p>
    <w:p w14:paraId="7A25E0E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7.5 工期延误</w:t>
      </w:r>
    </w:p>
    <w:p w14:paraId="364564A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7.5.1 因发包人原因导致工期延误</w:t>
      </w:r>
    </w:p>
    <w:p w14:paraId="28114E8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在合同履行过程中，因下列情况导致工期延误和（或）费用增加的，由发包人承担由此延误的工期和（或）增加的费用，且发包人应支付承包人合理的利润：</w:t>
      </w:r>
    </w:p>
    <w:p w14:paraId="1E0EC8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（1）发包人未能按合同约定提供图纸或所提供图纸不符合合同约定的；</w:t>
      </w:r>
    </w:p>
    <w:p w14:paraId="0287509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（2）发包人未能按合同约定提供施工现场、施工条件、基础资料、许可、批准等开工条件的；</w:t>
      </w:r>
    </w:p>
    <w:p w14:paraId="15C6623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（3）发包人提供的测量基准点、基准线和水准点及其书面资料存在错误或疏漏的；</w:t>
      </w:r>
    </w:p>
    <w:p w14:paraId="2B82321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（4）发包人未能在计划开工日期之日起 7 天内同意下达开工通知的；</w:t>
      </w:r>
    </w:p>
    <w:p w14:paraId="130476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（5）发包人未能按合同约定日期支付工程预付款、进度款或竣工结算款的；</w:t>
      </w:r>
    </w:p>
    <w:p w14:paraId="1C65208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（6）监理人未按合同约定发出指示、批准等文件的；</w:t>
      </w:r>
    </w:p>
    <w:p w14:paraId="3BC18A6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（7）专用合同条款中约定的其他情形。</w:t>
      </w:r>
    </w:p>
    <w:p w14:paraId="0FD1098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因发包人原因未按计划开工日期开工的，发包人应按实际开工日期顺延竣工日期，确保实际工期不低于合同约定的工期总日历天数。 因发包人原因导致工期延误需要修订施工进度计划的，按照第 7.2.2 项〔施工进度计划的修订〕执行。</w:t>
      </w:r>
    </w:p>
    <w:p w14:paraId="113424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7.5.2 因承包人原因导致工期延误</w:t>
      </w:r>
    </w:p>
    <w:p w14:paraId="14BCA8B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因承包人原因造成工期延误的，可以在专用合同条款中约定逾期竣工违约金的计算方法和逾期竣工违约金的上限。承包人支付逾期竣工违约金后，不免除承包人继续完成工程及修补缺陷的义务。</w:t>
      </w:r>
    </w:p>
    <w:p w14:paraId="31160A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7.6 不利物质条件</w:t>
      </w:r>
    </w:p>
    <w:p w14:paraId="78F6119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396BF96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 10 条〔变更〕约定执行。承包人因采取合理措施而增加的费用和（或）延误的工期由发包人承担。</w:t>
      </w:r>
    </w:p>
    <w:p w14:paraId="013E028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7.7 异常恶劣的气候条件</w:t>
      </w:r>
    </w:p>
    <w:p w14:paraId="33E6593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31D9F25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承包人应采取克服异常恶劣的气候条件的合理措施继续施工，并及时通知发包人和监理人。监理人经发包人同意后应当及时发出指示，指示构成变更的，按第 10 条〔变更〕约定办理。承包人因采取合理措施而增加的费用和（或）延误的工期由发包人承担。</w:t>
      </w:r>
    </w:p>
    <w:p w14:paraId="4032E7C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 暂停施工</w:t>
      </w:r>
    </w:p>
    <w:p w14:paraId="03115CB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7.8.1 发包人原因引起的暂停施工</w:t>
      </w:r>
    </w:p>
    <w:p w14:paraId="5B20D56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因发包人原因引起暂停施工的，监理人经发包人同意后，应及时下达暂停施工指示。情况紧急且监理人未及时下达暂停施工指示的，按照第 7.8.4 项〔紧急情况下的暂停施工〕执行。</w:t>
      </w:r>
    </w:p>
    <w:p w14:paraId="7D39B0B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因发包人原因引起的暂停施工，发包人应承担由此增加的费用和（或）延误的工期，并支付承包人合理的利润。</w:t>
      </w:r>
    </w:p>
    <w:p w14:paraId="506E419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7.8.2 承包人原因引起的暂停施工</w:t>
      </w:r>
    </w:p>
    <w:p w14:paraId="546A867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因承包人原因引起的暂停施工，承包人应承担由此增加的费用和（或）延误的工期，且承包人在收到监理人复工指示后 84 天内仍未复工的，视为第 16.2.1 项〔承包人违约的情形〕第（7）目约定的承包人无法继续履行合同的情形。</w:t>
      </w:r>
    </w:p>
    <w:p w14:paraId="1769BEB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7.8.3 指示暂停施工</w:t>
      </w:r>
    </w:p>
    <w:p w14:paraId="3389DAB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监理人认为有必要时，并经发包人批准后，可向承包人作出暂停施工的指示，承包人应按监理人指示暂停施工。</w:t>
      </w:r>
    </w:p>
    <w:p w14:paraId="5CBD9ED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7.8.4 紧急情况下的暂停施工</w:t>
      </w:r>
    </w:p>
    <w:p w14:paraId="48E56C6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因紧急情况需暂停施工，且监理人未及时下达暂停施工指示的，承包人可先暂停施工，并及时通知监理人。监理人应在接到通知后 24 小时内发出指示，逾期未发出指示，视为同意承包人暂停施工。监理人不同意承包人暂停施工的，应说明理由，承包人对监理人的答复有异议，按照第 20 条〔争议解决〕约定处理。</w:t>
      </w:r>
    </w:p>
    <w:p w14:paraId="1CDD1E4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7.8.5 暂停施工后的复工</w:t>
      </w:r>
    </w:p>
    <w:p w14:paraId="1755755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5BEACB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承包人无故拖延和拒绝复工的，承包人承担由此增加的费用和（或）延误的工期；因发包人原因无法按时复工的，按照第 7.5.1 项〔因发包人原因导致工期延误〕约定办理。</w:t>
      </w:r>
    </w:p>
    <w:p w14:paraId="255A4D3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7.8.6 暂停施工持续 56 天以上</w:t>
      </w:r>
    </w:p>
    <w:p w14:paraId="2FED5D61">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监理人发出暂停施工指示后 56 天内未向承包人发出复工通知，除该项停工属于第 7.8.2 项〔承包人原因引起的暂停施工〕及第17条〔不可抗力〕约定的情形外，承包人可向发包人提交书面通知，要求发包人在收到书面通知后 28 天内准许已暂停施工的部分或全部工程继续施工。发包人逾期不予批准的，则承包人可以通知发包人，将工程受影响的部分视为按第 10.1 款〔变更的范围〕第（2）项的可取消工作。 </w:t>
      </w:r>
    </w:p>
    <w:p w14:paraId="0A4DCA62">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暂停施工持续 84 天以上不复工的，且不属于第 7.8.2 项〔承包人原因引起的暂停施工〕及第 17 条〔不可抗力〕约定的情形，并影响到整个工程以及合同目的实现的，承包人有权提出价格调整要求，或者解除合同。解除合同的，按照第 16.1.3 项〔因发包人违约解除合同〕执行。</w:t>
      </w:r>
    </w:p>
    <w:p w14:paraId="38EDB9F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7.8.7 暂停施工期间的工程照管</w:t>
      </w:r>
    </w:p>
    <w:p w14:paraId="7683358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暂停施工期间，承包人应负责妥善照管工程并提供安全保障，由此增加的费用由责任方承担。</w:t>
      </w:r>
    </w:p>
    <w:p w14:paraId="5E76532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7.8.8 暂停施工的措施</w:t>
      </w:r>
    </w:p>
    <w:p w14:paraId="0B94EA3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暂停施工期间，发包人和承包人均应采取必要的措施确保工程质量及安全，防止因暂停施工扩大损失。</w:t>
      </w:r>
    </w:p>
    <w:p w14:paraId="6D6214C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7.9 提前竣工</w:t>
      </w:r>
    </w:p>
    <w:p w14:paraId="0708F0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 7 天内予以答复。任何情况下，发包人不得压缩合理工期。</w:t>
      </w:r>
    </w:p>
    <w:p w14:paraId="1079E1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7.9.2 发包人要求承包人提前竣工，或承包人提出提前竣工的建议能够给发包人带来效益的，合同当事人可以在专用合同条款中约定提前竣工的奖励。</w:t>
      </w:r>
    </w:p>
    <w:p w14:paraId="4C54B96F">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8.材料与设备</w:t>
      </w:r>
    </w:p>
    <w:p w14:paraId="08C8EA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8.1 发包人供应材料与工程设备</w:t>
      </w:r>
    </w:p>
    <w:p w14:paraId="63C3083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发包人自行供应材料、工程设备的，应在签订合同时在专用合同条款的附件《发包人供应材料设备一览表》中明确材料、工程设备的品种、规格、型号、数量、单价、质量等级和送达地点。</w:t>
      </w:r>
    </w:p>
    <w:p w14:paraId="65233D4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承包人应提前 30 天通过监理人以书面形式通知发包人供应材料与工程设备进场。承包人按照第 7.2.2 项〔施工进度计划的修订〕约定修订施工进度计划时，需同时提交经修订后的发包人供应材料与工程设备的进场计划。</w:t>
      </w:r>
    </w:p>
    <w:p w14:paraId="397A364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8.2 承包人采购材料与工程设备</w:t>
      </w:r>
    </w:p>
    <w:p w14:paraId="5A4C8A4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6635B4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8.3 材料与工程设备的接收与拒收</w:t>
      </w:r>
    </w:p>
    <w:p w14:paraId="329BDA2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8.3.1 发包人应按《发包人供应材料设备一览表》约定的内容提供材料和工程设备，并向承包人提供产品合格证明及出厂证明，对其质量负责。发包人应提前 24 小时以书面形式通知承包人、监理人材料和工程设备到货时间，承包人负责材料和工程设备的清点、检验和接收。</w:t>
      </w:r>
    </w:p>
    <w:p w14:paraId="16E5066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发包人提供的材料和工程设备的规格、数量或质量不符合合同约定的，或因发包人原因导致交货日期延误或交货地点变更等情况的，按照第 16.1 款〔发包人违约〕约定办理。</w:t>
      </w:r>
    </w:p>
    <w:p w14:paraId="5BD9BB4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8.3.2 承包人采购的材料和工程设备，应保证产品质量合格，承包人应在材料和工程设备到货前 24 小时通知监理人检验。承包人进行永久设备、材料的制造和生产的，应符合相关质量标准，并向监理人提交材料的样本以及有关资料，并应在使用该材料或工程设备之前获得监理人同意。</w:t>
      </w:r>
    </w:p>
    <w:p w14:paraId="0BEE81E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4271531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8.4 材料与工程设备的保管与使用</w:t>
      </w:r>
    </w:p>
    <w:p w14:paraId="14D3FB6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8.4.1 发包人供应材料与工程设备的保管与使用</w:t>
      </w:r>
    </w:p>
    <w:p w14:paraId="5BB4B5B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27141E9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发包人供应的材料和工程设备使用前，由受委托的检测机构负责检验，检验费用由发包人承担，不合格的不得使用。</w:t>
      </w:r>
    </w:p>
    <w:p w14:paraId="5EA7FF4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8.4.2 承包人采购材料与工程设备的保管与使用</w:t>
      </w:r>
    </w:p>
    <w:p w14:paraId="77FBCC1E">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采购的材料和工程设备由承包人妥善保管，保管费用由承包人承担。法律规定材料和工程设备使用前必须进行检验或试验的，承包人应按监理人的要求配合受委托的检测机构进行检验或试验，检验或试验费用由发包人承担，不合格的不得使用。</w:t>
      </w:r>
    </w:p>
    <w:p w14:paraId="754F2EA2">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发包人或监理人发现承包人使用不符合设计或有关标准要求的材料和工程设备时，有权要求承包人进行修复、拆除或重新采购，由此增加的费用和（或）延误的工期，由承包人承担。</w:t>
      </w:r>
    </w:p>
    <w:p w14:paraId="25063D4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8.5 禁止使用不合格的材料和工程设备</w:t>
      </w:r>
    </w:p>
    <w:p w14:paraId="18BC131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8.5.1 监理人有权拒绝承包人提供的不合格材料或工程设备，并要求承包人立即进行更换。监理人应在更换后再次进行检查和检验，由此增加的费用和（或）延误的工期由承包人承担。</w:t>
      </w:r>
    </w:p>
    <w:p w14:paraId="5D93DA0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8.5.2 监理人发现承包人使用了不合格的材料和工程设备，承包人应按照监理人的指示立即改正，并禁止在工程中继续使用不合格的材料和工程设备。</w:t>
      </w:r>
    </w:p>
    <w:p w14:paraId="2F64B69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8.5.3 发包人提供的材料或工程设备不符合合同要求的，承包人有权拒绝，并可要求发包人更换，由此增加的费用和（或）延误的工期由发包人承担，并支付承包人合理的利润。</w:t>
      </w:r>
    </w:p>
    <w:p w14:paraId="7B37F79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8.6 样品</w:t>
      </w:r>
    </w:p>
    <w:p w14:paraId="73C8FA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8.6.1 样品的报送与封存</w:t>
      </w:r>
    </w:p>
    <w:p w14:paraId="55CC79C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需要承包人报送样品的材料或工程设备，样品的种类、名称、规格、数量等要求均应在专用合同条款中约定。样品的报送程序如下：</w:t>
      </w:r>
    </w:p>
    <w:p w14:paraId="02F09BC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（1）承包人应在计划采购前 28 天向监理人报送样品。承包人报送的样品均应来自供应材料的实际生产地，且提供的样品的规格、数量足以表明材料或工程设备的质量、型号、颜色、表面处理、质地、误差和其他要求的特征。</w:t>
      </w:r>
    </w:p>
    <w:p w14:paraId="71F50C9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（2）承包人每次报送样品时应随附申报单，申报单应载明报送样品的相关数据和资料，并标明每件样品对应的图纸号，预留监理人批复意见栏。监理人应在收到承包人报送的样品后 7 天向承包人回复经 发包人签认的样品审批意见。</w:t>
      </w:r>
    </w:p>
    <w:p w14:paraId="1EDDE7A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（3）经发包人和监理人审批确认的样品应按约定的方法封样，封存的样品作为检验工程相关部分的标准之一。承包人在施工过程中不得使用与样品不符的材料或工程设备。</w:t>
      </w:r>
    </w:p>
    <w:p w14:paraId="614A98D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3040BE5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8.6.2 样品的保管</w:t>
      </w:r>
    </w:p>
    <w:p w14:paraId="7CCD984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经批准的样品应由监理人负责封存于现场，承包人应在现场为保存样品提供适当和固定的场所并保持适当和良好的存储环境条件。</w:t>
      </w:r>
    </w:p>
    <w:p w14:paraId="794889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8.7 材料与工程设备的替代</w:t>
      </w:r>
    </w:p>
    <w:p w14:paraId="0FAC40C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8.7.1 出现下列情况需要使用替代材料和工程设备的，承包人应按照第 8.7.2 项约定的程序执行：</w:t>
      </w:r>
    </w:p>
    <w:p w14:paraId="1D855C2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（1）基准日期后生效的法律规定禁止使用的；</w:t>
      </w:r>
    </w:p>
    <w:p w14:paraId="28402A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（2）发包人要求使用替代品的；</w:t>
      </w:r>
    </w:p>
    <w:p w14:paraId="5B5AE3A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（3）因其他原因必须使用替代品的。</w:t>
      </w:r>
    </w:p>
    <w:p w14:paraId="08ACDA7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8.7.2  承包人应在使用替代材料和工程设备 28 天前书面通知监理人，并附下列文件：</w:t>
      </w:r>
    </w:p>
    <w:p w14:paraId="725372A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（1）被替代的材料和工程设备的名称、数量、规格、型号、品牌、性能、价格及其他相关资料；</w:t>
      </w:r>
    </w:p>
    <w:p w14:paraId="29D474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（2）替代品的名称、数量、规格、型号、品牌、性能、价格及其他相关资料；</w:t>
      </w:r>
    </w:p>
    <w:p w14:paraId="28D4CAF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（3）替代品与被替代产品之间的差异以及使用替代品可能对工程产生的影响；</w:t>
      </w:r>
    </w:p>
    <w:p w14:paraId="02F4FAC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（4）替代品与被替代产品的价格差异；</w:t>
      </w:r>
    </w:p>
    <w:p w14:paraId="2A574A1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（5）使用替代品的理由和原因说明；</w:t>
      </w:r>
    </w:p>
    <w:p w14:paraId="25602D4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（6）监理人要求的其他文件。</w:t>
      </w:r>
    </w:p>
    <w:p w14:paraId="3D2FB87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监理人应在收到通知后 14 天内向承包人发出经发包人签认的书面指示；监理人逾期发出书面指示的，视为发包人和监理人同意使用替代品。</w:t>
      </w:r>
    </w:p>
    <w:p w14:paraId="66B08F5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 4.4 款〔商定或确定〕确定价格。</w:t>
      </w:r>
    </w:p>
    <w:p w14:paraId="6A8D73E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8.8 施工设备和临时设施</w:t>
      </w:r>
    </w:p>
    <w:p w14:paraId="47FB770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8.8.1 承包人提供的施工设备和临时设施 </w:t>
      </w:r>
    </w:p>
    <w:p w14:paraId="2672E47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承包人应按合同进度计划的要求，及时配置施工设备和修建临时设施。进入施工场地的承包人设备需经监理人核查后才能投入使用。承包人更换合同约定的承包人设备的，应报监理人批准。</w:t>
      </w:r>
    </w:p>
    <w:p w14:paraId="1CCE8E2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除专用合同条款另有约定外，承包人应自行承担修建临时设施的费用，需要临时占地的，应由发包人办理申请手续并承担相应费用。</w:t>
      </w:r>
    </w:p>
    <w:p w14:paraId="661CD4B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8.8.2 发包人提供的施工设备和临时设施</w:t>
      </w:r>
    </w:p>
    <w:p w14:paraId="386B00E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发包人提供的施工设备或临时设施在专用合同条款中约定。</w:t>
      </w:r>
    </w:p>
    <w:p w14:paraId="2B24A01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8.8.3 要求承包人增加或更换施工设备</w:t>
      </w:r>
    </w:p>
    <w:p w14:paraId="3A5EAC2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承包人使用的施工设备不能满足合同进度计划和（或）质量要求时，监理人有权要求承包人增加或更换施工设备，承包人应及时增加或更换，由此增加的费用和（或）延误的工期由承包人承担。</w:t>
      </w:r>
    </w:p>
    <w:p w14:paraId="72CAD45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8.9 材料与设备专用要求</w:t>
      </w:r>
    </w:p>
    <w:p w14:paraId="7716739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承包人运入施工现场的材料、工程设备、施工设备以及在施工场地建设的临时设施 ，包括备品备件、安装工具与资料，必须专用于工程。未经发包人批准，承包人不得运出施工现场或挪作他用；经发包人批准，承包人可以根据施工进度计划撤走闲置的施工设备和其他物品。</w:t>
      </w:r>
    </w:p>
    <w:p w14:paraId="62CD90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w:t>
      </w:r>
      <w:r>
        <w:rPr>
          <w:rFonts w:hint="eastAsia" w:ascii="楷体" w:hAnsi="楷体" w:eastAsia="楷体" w:cs="楷体"/>
          <w:b/>
          <w:color w:val="auto"/>
          <w:spacing w:val="5"/>
          <w:w w:val="101"/>
          <w:szCs w:val="21"/>
        </w:rPr>
        <w:t xml:space="preserve"> 9.试验与检验</w:t>
      </w:r>
    </w:p>
    <w:p w14:paraId="5AD943E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9.1 试验和检验业务</w:t>
      </w:r>
    </w:p>
    <w:p w14:paraId="3F82D82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9.1.1 试验和检验是指工程检测机构接受发包人委托，依据国家有关法律法规和工程建设强制性标准，对涉及结构安全和使用功能项目的抽样检测和进入施工现场的建筑材料、构配件、工程设备和工程的取样检测。</w:t>
      </w:r>
    </w:p>
    <w:p w14:paraId="7C262DA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9.1.2 试验和检验除专用合同另有约定外，应由发包人委托具有相应资质的检测机构进行检测。发包人应与检测机构签订书面委托合同，并支付相应的检测费用。发包人签订委托合同后的7天内应将被委托的检测机构名称及委托事项告知监理人、承包人。监理人、承包人必须将试验和检验交由被委托的检测机构进行。检测机构完成试验和检验业务后，出具检测报告。检测经发包人、监理人确定后，由承包人归档。</w:t>
      </w:r>
    </w:p>
    <w:p w14:paraId="51F8468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9.2 取样</w:t>
      </w:r>
    </w:p>
    <w:p w14:paraId="14B33F9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检测的试样取样，应严格执行工程建设的标准和国家的有关规定，在监理人和（或）发包人的监督下现场取样。提供质量检测试样的单位和个人，对试样的真伪负责。</w:t>
      </w:r>
    </w:p>
    <w:p w14:paraId="7FA784E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9.3 材料、工程设备和工程的试验和检验</w:t>
      </w:r>
    </w:p>
    <w:p w14:paraId="1FDB350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9.3.1 承包人应按合同约定配合受委托的检测机构进行材料、工程设备和工程的试验和检验，并为监理人对上述材料、工程设备和工程的质量检查提供必要的试验资料和原始记录。按合同约定应由监理人 与承包人共同进行试验和检验的，由承包人负责提供必要的试验资料和原始记录。</w:t>
      </w:r>
    </w:p>
    <w:p w14:paraId="22E6848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9.3.2 合同约定试验属于承包人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3BB2042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9.3.3 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和质量标准的，由此增加的费用和（或）延误的工期由承包人承担；重新试验和检验结果证明该项材料、工程设备和工程符合合同要求的，由此增加的费用和（或）延误的工期由发包人承担。</w:t>
      </w:r>
    </w:p>
    <w:p w14:paraId="6925412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9.4 现场工艺试验</w:t>
      </w:r>
    </w:p>
    <w:p w14:paraId="6649B85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承包人应按合同约定或监理人指示进行现场工艺试验。对大型的现场工艺试验，监理人认为必要时，承包人应根据监理人提出的工艺 试验要求，编制工艺试验措施计划和试验经费，报送监理人审查。</w:t>
      </w:r>
    </w:p>
    <w:p w14:paraId="31209AF2">
      <w:pPr>
        <w:numPr>
          <w:ilvl w:val="0"/>
          <w:numId w:val="10"/>
        </w:numPr>
        <w:autoSpaceDE w:val="0"/>
        <w:autoSpaceDN w:val="0"/>
        <w:snapToGrid w:val="0"/>
        <w:spacing w:line="360" w:lineRule="exact"/>
        <w:ind w:firstLine="428" w:firstLineChars="200"/>
        <w:jc w:val="lef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变更</w:t>
      </w:r>
    </w:p>
    <w:p w14:paraId="3017CDE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10.1 变更的范围</w:t>
      </w:r>
    </w:p>
    <w:p w14:paraId="699FC66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除专用合同条款另有约定外，合同履行过程中发生以下情形的，应按照本条约定进行变更：</w:t>
      </w:r>
    </w:p>
    <w:p w14:paraId="788BAB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（1）增加或减少合同中任何工作，或追加额外的工作；</w:t>
      </w:r>
    </w:p>
    <w:p w14:paraId="015DE0E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（2）取消合同中任何工作，但转由他人实施的工作除外；</w:t>
      </w:r>
    </w:p>
    <w:p w14:paraId="2F46C72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（3）改变合同中任何工作的质量标准或其他特性；</w:t>
      </w:r>
    </w:p>
    <w:p w14:paraId="509D584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（4）改变工程的基线、标高、位置和尺寸；</w:t>
      </w:r>
    </w:p>
    <w:p w14:paraId="30144D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（5）改变工程的时间安排或实施顺序。</w:t>
      </w:r>
    </w:p>
    <w:p w14:paraId="0596AE2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10.2 变更权</w:t>
      </w:r>
    </w:p>
    <w:p w14:paraId="2E3F662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3FE2F23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涉及设计变更的，应由设计人提供变更后的图纸和说明。如变更超过原设计标准或批准的建设规模时，发包人应及时办理规划、设计变更等审批手续。</w:t>
      </w:r>
    </w:p>
    <w:p w14:paraId="18F7004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10.3 变更程序</w:t>
      </w:r>
    </w:p>
    <w:p w14:paraId="1BDA45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10.3.1 发包人提出变更</w:t>
      </w:r>
    </w:p>
    <w:p w14:paraId="3295FDF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发包人提出变更的，应通过监理人向承包人发出变更指示，变更指示应说明计划变更的工程范围和变更的内容。</w:t>
      </w:r>
    </w:p>
    <w:p w14:paraId="6DFD14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10.3.2 监理人提出变更建议</w:t>
      </w:r>
    </w:p>
    <w:p w14:paraId="449210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3AD5785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10.3.3 变更执行</w:t>
      </w:r>
    </w:p>
    <w:p w14:paraId="0DEFA0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承包人收到监理人下达的变更指示后，认为不能执行，应立即提出不能执行该变更指示的理由。承包人认为可以执行变更的，应当书面说明实施该变更指示对合同价格和工期的影响，且合同当事人应当按照第 10.4 款〔变更估价〕约定确定变更估价。</w:t>
      </w:r>
    </w:p>
    <w:p w14:paraId="7F5AF38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10.4 变更估价</w:t>
      </w:r>
    </w:p>
    <w:p w14:paraId="15EA12A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10.4.1 变更估价原则</w:t>
      </w:r>
    </w:p>
    <w:p w14:paraId="4D60D01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除专用合同条款另有约定外，变更估价按照本款约定处理：</w:t>
      </w:r>
    </w:p>
    <w:p w14:paraId="208987C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10.4.1.1 因工程变更引起已标价工程量清单项目或其他工程数量发生变化时，其相应的综合单价除专用合同条款另有约定外，按下列规定调整：</w:t>
      </w:r>
    </w:p>
    <w:p w14:paraId="793D25E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1.当分部分项工程量项目变更后调增量小于原工程量的 15%（含15%）时，其综合单价按原综合单价确定。</w:t>
      </w:r>
    </w:p>
    <w:p w14:paraId="77AD12B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2.当分部分项工程量项目变更后调增量大于原工程量的 15%以上部分，或由于设计变更引起新增项目时，其综合单价应按省建设行政主管部门颁发的建设工程消耗量标准，取费标准、计费程序、人工工资单价及工程造价管理机构发布的工程造价信息（工程造价信息没有发布的参照市场价）确定，但投标人投标报价时的优惠比例应予保持。</w:t>
      </w:r>
    </w:p>
    <w:p w14:paraId="00CD80F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3.当分部分项工程量变更后调减的工程量以及因设计变更被取消的项目，其综合单价按原综合单价确定。</w:t>
      </w:r>
    </w:p>
    <w:p w14:paraId="27D4C6C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10.4.1.2 因工程变更引起施工方案改变使措施项目发生变化时，承包人应提出调整措施项目费，并将拟实施的方案报送监理人审核、发包人确认，按下列约定调整措施项目费：</w:t>
      </w:r>
    </w:p>
    <w:p w14:paraId="1EEECD3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1.安全文明施工费应按调整后清单项目费和措施项目费计算。</w:t>
      </w:r>
    </w:p>
    <w:p w14:paraId="6AAC0FC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2.按系数计算的措施项目费，按调整后的清单项目费为基数调整。</w:t>
      </w:r>
    </w:p>
    <w:p w14:paraId="0FB012C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3.按总价计算的措施项目费，按实际发生的措施项目调整。</w:t>
      </w:r>
    </w:p>
    <w:p w14:paraId="01275D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4.按单价计算的措施项目费，按 10.4.1.1 的规定调整。</w:t>
      </w:r>
    </w:p>
    <w:p w14:paraId="42C3C9D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10.4.2 变更估价程序</w:t>
      </w:r>
    </w:p>
    <w:p w14:paraId="67B3390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08FF40C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因变更引起的价格调整应计入最近一期的进度款中支付。</w:t>
      </w:r>
    </w:p>
    <w:p w14:paraId="32D4492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10.5 承包人的合理化建议</w:t>
      </w:r>
    </w:p>
    <w:p w14:paraId="093670A6">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承包人提出合理化建议的，应向监理人提交合理化建议说明，说明建议的内容和理由，以及实施该建议对合同价格和工期的影响。</w:t>
      </w:r>
    </w:p>
    <w:p w14:paraId="04E02AC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除专用合同条款另有约定外，监理人应在收到承包人提交的合理化建议后 7 天内审查完毕并报送发包人，发现其中存在技术上的缺陷，应通知承包人修改。发包人应在收到监理人报送的合理化建议后 7 天内审批完毕。合理化建议经发包人批准的，监理人应及时发出变更指 示，由此引起的合同价格调整按照第 10.4 款〔变更估价〕约定执行。发包人不同意变更的，监理人应书面通知承包人。</w:t>
      </w:r>
    </w:p>
    <w:p w14:paraId="7103A3ED">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合理化建议降低了合同价格或者提高了工程经济效益的，发包人可对承包人给予奖励，奖励的方法和金额在专用合同条款中约定。</w:t>
      </w:r>
    </w:p>
    <w:p w14:paraId="07E57FA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10.6 变更引起的工期调整</w:t>
      </w:r>
    </w:p>
    <w:p w14:paraId="75BE8B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因变更引起工期变化的，合同当事人均可要求调整合同工期，由合同当事人按照第 4.4 款〔商定或确定〕并参考工程所在地的工期定额标准确定增减工期天数。</w:t>
      </w:r>
    </w:p>
    <w:p w14:paraId="1FE3C28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10.7 暂估价</w:t>
      </w:r>
    </w:p>
    <w:p w14:paraId="79E22EB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暂估价专业分包工程、服务、材料和工程设备的明细由合同当事人在专用合同条款中约定。</w:t>
      </w:r>
    </w:p>
    <w:p w14:paraId="5E6BBDA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10.7.1 依法必须招标的暂估价项目</w:t>
      </w:r>
    </w:p>
    <w:p w14:paraId="42C87AF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对于依法必须招标的暂估价项目，采取以下第 1 种方式确定。合同当事人也可以在专用合同条款中选择其他招标方式。</w:t>
      </w:r>
    </w:p>
    <w:p w14:paraId="32CE698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1 种方式：对于依法必须招标的暂估价项目，由承包人招标，对该暂估价项目的确认和批准按照以下约定执行：</w:t>
      </w:r>
    </w:p>
    <w:p w14:paraId="47096E6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0AFBF7E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应当根据施工进度计划，提前14天将磋商文件通过监理人报送发包人审批，发包人应当在收到承包人报送的相关文件后7天内完成审批或提出修改意见；发包人有权确定招标控制价并按照法律规定参加评标；</w:t>
      </w:r>
    </w:p>
    <w:p w14:paraId="3486FDC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（3）承包人与供应商、分包人在签订暂估价合同前，应当提前 7 天将确定的成交候选供应商或成交候选分包人的资料报送发包人，发包人应在收到资料后 3 天内与承包人共同确定成交人；承包人应当在签订合同后 7 天内，将暂估价合同副本报送发包人留存。</w:t>
      </w:r>
    </w:p>
    <w:p w14:paraId="07EF7AE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2 种方式：对于依法必须招标的暂估价项目，由发包人和承包人共同招标确定暂估价供应商或分包人的，承包人应按照施工进度计划，在招标工作启动前 14 天通知发包人，并提交暂估价招标方案和工作分工。发包人应在收到后 7 天内确认。确定成交人后，由发包人、承包人与成交人共同签订暂估价合同。</w:t>
      </w:r>
    </w:p>
    <w:p w14:paraId="4FCE40C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10.7.2 不属于依法必须招标的暂估价项目</w:t>
      </w:r>
    </w:p>
    <w:p w14:paraId="07A44F3E">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除专用合同条款另有约定外，对于不属于依法必须招标的暂估价项目，采取以下第 1 种方式确定：</w:t>
      </w:r>
    </w:p>
    <w:p w14:paraId="6A6B86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1 种方式：对于不属于依法必须招标的暂估价项目，按本项约定确认和批准：</w:t>
      </w:r>
    </w:p>
    <w:p w14:paraId="1CD7CDE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（1）承包人应根据施工进度计划，在签订暂估价项目的采购合同、分包合同前 28 天向监理人提出书面申请。监理人应当在收到申请后 3 天内报送发包人，发包人应当在收到申请后 14 天内给予批准或提出修改意见，发包人逾期未予批准或提出修改意见的，视为该书面申请已获得同意；</w:t>
      </w:r>
    </w:p>
    <w:p w14:paraId="6655541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（2）发包人认为承包人确定的供应商、分包人无法满足工程质量或合同要求的，发包人可以要求承包人重新确定暂估价项目的供应商、分包人；    </w:t>
      </w:r>
    </w:p>
    <w:p w14:paraId="20F8184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（3）承包人应当在签订暂估价合同后 7 天内，将暂估价合同副本报送发包人留存。</w:t>
      </w:r>
    </w:p>
    <w:p w14:paraId="3718FC0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2 种方式：承包人按照第 10.7.1 项〔依法必须招标的暂估价项目〕约定的第 1 种方式确定暂估价项目。</w:t>
      </w:r>
    </w:p>
    <w:p w14:paraId="67AC26D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第 3 种方式：承包人直接实施的暂估价项目</w:t>
      </w:r>
    </w:p>
    <w:p w14:paraId="3A19A98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承包人具备实施暂估价项目的资格和条件的，经发包人和承包人协商一致后，可由承包人自行实施暂估价项目，合同当事人可以在专用合同条款约定具体事项。</w:t>
      </w:r>
    </w:p>
    <w:p w14:paraId="7EBC4EA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767573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10.8 暂列金额</w:t>
      </w:r>
    </w:p>
    <w:p w14:paraId="18550EB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暂列金额应按照发包人的要求使用，发包人的要求应通过监理人发出。合同当事人可以在专用合同条款中协商确定有关事项。</w:t>
      </w:r>
    </w:p>
    <w:p w14:paraId="10192A5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10.9 计日工</w:t>
      </w:r>
    </w:p>
    <w:p w14:paraId="58ED074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 4.4 款〔商定或确定〕确定变更工作的单价。</w:t>
      </w:r>
    </w:p>
    <w:p w14:paraId="463ACC7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采用计日工计价的任何一项工作，承包人应在该项工作实施过程中，每天提交以下报表和有关凭证报送监理人审查：</w:t>
      </w:r>
    </w:p>
    <w:p w14:paraId="3FCC538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（1）工作名称、内容和数量；</w:t>
      </w:r>
    </w:p>
    <w:p w14:paraId="5FD7159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（2）投入该工作的所有人员的姓名、专业、工种、级别和耗用工时；</w:t>
      </w:r>
    </w:p>
    <w:p w14:paraId="1F0000B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（3）投入该工作的材料类别和数量；</w:t>
      </w:r>
    </w:p>
    <w:p w14:paraId="46BA511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（4）投入该工作的施工设备型号、台数和耗用台时；</w:t>
      </w:r>
    </w:p>
    <w:p w14:paraId="733969D0">
      <w:pPr>
        <w:numPr>
          <w:ilvl w:val="0"/>
          <w:numId w:val="11"/>
        </w:num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其他有关资料和凭证。 </w:t>
      </w:r>
    </w:p>
    <w:p w14:paraId="398395B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计日工由承包人汇总后，列入最近一期进度付款申请单，由监理人审查并经发包人批准后列入进度付款。</w:t>
      </w:r>
    </w:p>
    <w:p w14:paraId="5F9010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w:t>
      </w:r>
      <w:r>
        <w:rPr>
          <w:rFonts w:hint="eastAsia" w:ascii="楷体" w:hAnsi="楷体" w:eastAsia="楷体" w:cs="楷体"/>
          <w:b/>
          <w:color w:val="auto"/>
          <w:spacing w:val="5"/>
          <w:w w:val="101"/>
          <w:szCs w:val="21"/>
        </w:rPr>
        <w:t xml:space="preserve"> 11.价格调整</w:t>
      </w:r>
    </w:p>
    <w:p w14:paraId="73366A2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11.1 市场价格波动引起的调整</w:t>
      </w:r>
    </w:p>
    <w:p w14:paraId="10B8128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除专用合同条款另有约定外，市场价格波动超过合同当事人约定的范围，合同价格应当调整。合同当事人可以在专用合同条款中约定选择以下一种方式对合同价格进行调整：</w:t>
      </w:r>
    </w:p>
    <w:p w14:paraId="4468268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1 种方式：采用价格指数进行价格调整。</w:t>
      </w:r>
    </w:p>
    <w:p w14:paraId="1E3A080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（1）价格调整公式</w:t>
      </w:r>
    </w:p>
    <w:p w14:paraId="77FAAC6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因人工、材料和设备等价格波动影响合同价格时，根据专用合同条款中约定的数据，按以下公式计算差额并调整合同价格：</w:t>
      </w:r>
    </w:p>
    <w:p w14:paraId="17360F10">
      <w:pPr>
        <w:snapToGrid w:val="0"/>
        <w:spacing w:line="360" w:lineRule="exact"/>
        <w:ind w:firstLine="404" w:firstLineChars="200"/>
        <w:rPr>
          <w:rFonts w:ascii="楷体" w:hAnsi="楷体" w:eastAsia="楷体" w:cs="楷体"/>
          <w:b/>
          <w:color w:val="auto"/>
          <w:szCs w:val="21"/>
        </w:rPr>
      </w:pPr>
      <w:r>
        <w:rPr>
          <w:rFonts w:hint="eastAsia" w:ascii="楷体" w:hAnsi="楷体" w:eastAsia="楷体" w:cs="楷体"/>
          <w:b/>
          <w:color w:val="auto"/>
          <w:szCs w:val="21"/>
        </w:rPr>
        <w:t xml:space="preserve"> P=P</w:t>
      </w:r>
      <w:r>
        <w:rPr>
          <w:rFonts w:hint="eastAsia" w:ascii="楷体" w:hAnsi="楷体" w:eastAsia="楷体" w:cs="楷体"/>
          <w:b/>
          <w:color w:val="auto"/>
          <w:szCs w:val="21"/>
          <w:vertAlign w:val="subscript"/>
        </w:rPr>
        <w:t>0</w:t>
      </w:r>
      <w:r>
        <w:rPr>
          <w:rFonts w:hint="eastAsia" w:ascii="楷体" w:hAnsi="楷体" w:eastAsia="楷体" w:cs="楷体"/>
          <w:b/>
          <w:color w:val="auto"/>
          <w:szCs w:val="21"/>
        </w:rPr>
        <w:t>A+B</w:t>
      </w:r>
      <w:r>
        <w:rPr>
          <w:rFonts w:hint="eastAsia" w:ascii="楷体" w:hAnsi="楷体" w:eastAsia="楷体" w:cs="楷体"/>
          <w:b/>
          <w:color w:val="auto"/>
          <w:szCs w:val="21"/>
          <w:vertAlign w:val="subscript"/>
        </w:rPr>
        <w:t>1</w:t>
      </w:r>
      <w:r>
        <w:rPr>
          <w:rFonts w:hint="eastAsia" w:ascii="楷体" w:hAnsi="楷体" w:eastAsia="楷体" w:cs="楷体"/>
          <w:b/>
          <w:color w:val="auto"/>
          <w:szCs w:val="21"/>
        </w:rPr>
        <w:t>×</w:t>
      </w:r>
      <w:r>
        <w:rPr>
          <w:rFonts w:hint="eastAsia" w:ascii="楷体" w:hAnsi="楷体" w:eastAsia="楷体" w:cs="楷体"/>
          <w:b/>
          <w:color w:val="auto"/>
          <w:position w:val="-30"/>
          <w:szCs w:val="21"/>
        </w:rPr>
        <w:object>
          <v:shape id="_x0000_i1025" o:spt="75" type="#_x0000_t75" style="height:35.55pt;width:181.4pt;" o:ole="t" filled="f" o:preferrelative="t" stroked="f" coordsize="21600,21600">
            <v:path/>
            <v:fill on="f" focussize="0,0"/>
            <v:stroke on="f" joinstyle="miter"/>
            <v:imagedata r:id="rId13" o:title=""/>
            <o:lock v:ext="edit" aspectratio="t"/>
            <w10:wrap type="none"/>
            <w10:anchorlock/>
          </v:shape>
          <o:OLEObject Type="Embed" ProgID="Equation.3" ShapeID="_x0000_i1025" DrawAspect="Content" ObjectID="_1468075725" r:id="rId12">
            <o:LockedField>false</o:LockedField>
          </o:OLEObject>
        </w:object>
      </w:r>
      <w:r>
        <w:rPr>
          <w:rFonts w:hint="eastAsia" w:ascii="楷体" w:hAnsi="楷体" w:eastAsia="楷体" w:cs="楷体"/>
          <w:b/>
          <w:color w:val="auto"/>
          <w:szCs w:val="21"/>
        </w:rPr>
        <w:t>－1</w:t>
      </w:r>
    </w:p>
    <w:p w14:paraId="074E83E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公式中：ΔP——需调整的价格差额；</w:t>
      </w:r>
    </w:p>
    <w:p w14:paraId="2CF3C17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P0——约定的付款证书中承包人应得到的已完成工程量的金额。 此项金额应不包括价格调整、不计质量保证金的扣留和支付、预付款的支付和扣回。约定的变更及其他金额已按现行价格计价的，也不计在内；</w:t>
      </w:r>
    </w:p>
    <w:p w14:paraId="72DCB4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A——定值权重（即不调部分的权重）；</w:t>
      </w:r>
    </w:p>
    <w:p w14:paraId="0DBE9A4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B1；B2；B3……Bn——各可调因子的变值权重（即可调部分的权重），为各可调因子在签约合同价中所占的比例；</w:t>
      </w:r>
    </w:p>
    <w:p w14:paraId="6918B47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Ft1；Ft2；Ft3……Ftn——各可调因子的现行价格指数，指约定的付款证书相关周期最后一天的前 42 天的各可调因子的价格指数；</w:t>
      </w:r>
    </w:p>
    <w:p w14:paraId="424A908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F01；F02；F03……F0n——各可调因子的基本价格指数，指基准日期的各可调因子的价格指数。</w:t>
      </w:r>
    </w:p>
    <w:p w14:paraId="20B1BF1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09710AB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（2）暂时确定调整差额</w:t>
      </w:r>
    </w:p>
    <w:p w14:paraId="5A86D34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在计算调整差额时无现行价格指数的，合同当事人同意暂用前次价格指数计算。实际价格指数有调整的，合同当事人进行相应调整。</w:t>
      </w:r>
    </w:p>
    <w:p w14:paraId="41CF8F3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（3）权重的调整</w:t>
      </w:r>
    </w:p>
    <w:p w14:paraId="3D198A9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因变更导致合同约定的权重不合理时，按照第 4.4 款〔商定或确定〕执行。</w:t>
      </w:r>
    </w:p>
    <w:p w14:paraId="3EADF03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（4）因承包人原因工期延误后的价格调整 因承包人原因未按期竣工的，对合同约定的竣工日期后继续施工的工程，在使用价格调整公式时，应采用计划竣工日期与实际竣工日期的两个价格指数中较低的一个作为现行价格指数。</w:t>
      </w:r>
    </w:p>
    <w:p w14:paraId="65EF580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2 种方式：采用造价信息进行价格调整。</w:t>
      </w:r>
    </w:p>
    <w:p w14:paraId="779F0BA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履行期间，因人工、材料、工程设备和机械台班价格波动影响合同价格时，人工、机械使用费按照国家或省建设行政管理部门、行业建设管理部门或其授权的工程造价管理机构发布的人工、机械台班单价进行调整；需要进行价格调整的材料，其单价和采购数量应由发包人审批，发包人确认需调整的材料单价及数量，作为调整合同价格的依据。</w:t>
      </w:r>
    </w:p>
    <w:p w14:paraId="3521624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7B73E37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（2）材料、工程设备价格变化的价款调整按照发包人提供的基准价格，按以下风险范围规定执行：</w:t>
      </w:r>
    </w:p>
    <w:p w14:paraId="1EA696F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① 承包人在已标价工程量清单或预算书中载明的材料、工程设备单价，在合同履行期间涨、跌幅以基准价格为基础超过风险范围时，据实调整。</w:t>
      </w:r>
    </w:p>
    <w:p w14:paraId="685D9F4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② 承包人在投标报价中载明的材料、工程设备单价在合同履行期间涨、跌幅超过省及各市州建设行政主管部门各期间发布的预算价格的风险范围时，据实调整。</w:t>
      </w:r>
    </w:p>
    <w:p w14:paraId="290C7C0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（3）风险范围及幅度，专用合同条款有约定的按其约定，专用合同条款没有约定，按以下幅度为准：</w:t>
      </w:r>
    </w:p>
    <w:p w14:paraId="1BF096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① 建筑工程、市政工程与仿古建筑工程的风险幅度值为±3%。</w:t>
      </w:r>
    </w:p>
    <w:p w14:paraId="72EAB2B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② 装饰工程、安装工程与园林景观工程的风险幅度值为±5%。</w:t>
      </w:r>
    </w:p>
    <w:p w14:paraId="18BCAC9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（4）发生合同工期延误，应按下列约定，确定合同履行期的价格： 因非承包人原因导致工期延误，计划进度日期后续工程的材料、 工程设备价格，应采用计划进度日期与实际进度日期两者之间的较高者。</w:t>
      </w:r>
    </w:p>
    <w:p w14:paraId="578124E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因承包人原因导致工期延误，计划日期后续工程的材料、工程设备价格，应采用计划进度日期与实际进度日期两者之间的较低者。</w:t>
      </w:r>
    </w:p>
    <w:p w14:paraId="6350440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前述基准价格是指由发包人在磋商文件或专用合同条款中给定的材料、工程设备的价格，该价格原则上应当按照省级或行业建设主管部门或其授权的工程造价管理机构发布的信息价编制。</w:t>
      </w:r>
    </w:p>
    <w:p w14:paraId="19928F9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（5）施工机械台班单价的调整，根据机械台班中所包括的人工和燃料、动力数量按第 11.1 款中的第 2 种方法调整。</w:t>
      </w:r>
    </w:p>
    <w:p w14:paraId="3A5ECA7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第 3 种方式：专用合同条款约定的其他方式。</w:t>
      </w:r>
    </w:p>
    <w:p w14:paraId="0A58CA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11.2 法律变化引起的调整</w:t>
      </w:r>
    </w:p>
    <w:p w14:paraId="3197B59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基准日期后，法律变化导致承包人在合同履行过程中所需要的费用发生除第 11.1 款〔市场价格波动引起的调整〕约定以外的增加时， 由发包人承担由此增加的费用；减少时，应从合同价格中予以扣减。基准日期后，因法律变化造成工期延误时，工期应予以顺延。</w:t>
      </w:r>
    </w:p>
    <w:p w14:paraId="6E8B534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因法律变化引起的合同价格和工期调整，合同当事人无法达成一致的，由总监理工程师按第 4.4 款〔商定或确定〕的约定处理。</w:t>
      </w:r>
    </w:p>
    <w:p w14:paraId="6E2D356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因承包人原因造成工期延误，在工期延误期间出现法律变化的，由此增加的费用和（或）延误的工期由承包人承担。</w:t>
      </w:r>
    </w:p>
    <w:p w14:paraId="44085E9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w:t>
      </w:r>
      <w:r>
        <w:rPr>
          <w:rFonts w:hint="eastAsia" w:ascii="楷体" w:hAnsi="楷体" w:eastAsia="楷体" w:cs="楷体"/>
          <w:b/>
          <w:color w:val="auto"/>
          <w:spacing w:val="5"/>
          <w:w w:val="101"/>
          <w:szCs w:val="21"/>
        </w:rPr>
        <w:t>12.合同价格、计量与支付</w:t>
      </w:r>
    </w:p>
    <w:p w14:paraId="1EDE6E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12.1 合同价格形式</w:t>
      </w:r>
    </w:p>
    <w:p w14:paraId="2014DBF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发包人和承包人应在合同协议书中选择下列一种合同价格形式：</w:t>
      </w:r>
    </w:p>
    <w:p w14:paraId="092326D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1.单价合同</w:t>
      </w:r>
    </w:p>
    <w:p w14:paraId="58B55CB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 11.1 款〔市场价格波动引起的调整〕约定执行。</w:t>
      </w:r>
    </w:p>
    <w:p w14:paraId="3813A61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2.总价合同</w:t>
      </w:r>
    </w:p>
    <w:p w14:paraId="402933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总价合同是指合同当事人约定以施工图、已标价工程量清单或预算书及有关条件进行合同价格计算、调整和确认的建设工程施工合同， 在约定的范围内合同总价不作调整。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 11.2 款〔法律变化引起的调整〕约定执行。</w:t>
      </w:r>
    </w:p>
    <w:p w14:paraId="7845F6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3.其他价格形式</w:t>
      </w:r>
    </w:p>
    <w:p w14:paraId="7740A06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合同当事人可在专用合同条款中约定其他合同价格形式。</w:t>
      </w:r>
    </w:p>
    <w:p w14:paraId="147410B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12.2 预付款</w:t>
      </w:r>
    </w:p>
    <w:p w14:paraId="158C2F8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12.2.1 预付款的支付</w:t>
      </w:r>
    </w:p>
    <w:p w14:paraId="78F7771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预付款的支付按照专用合同条款约定执行，但最迟应在开工通知载明的开工日期 7 天前支付。预付款应当用于材料、工程设备、施工设备的采购及修建临时工程、组织施工队伍进场等。</w:t>
      </w:r>
    </w:p>
    <w:p w14:paraId="704098B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除专用合同条款另有约定外，预付款在进度付款中同比例扣回。在颁发工程接收证书前，提前解除合同的，尚未扣完的预付款应与合同价款一并结算。</w:t>
      </w:r>
    </w:p>
    <w:p w14:paraId="6FF4C25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发包人逾期支付预付款超过 7 天的，承包人有权向发包人发出要求预付的催告通知，发包人收到通知后 7 天内仍未支付的，承包人有权暂停施工，并按第 16.1.1 项〔发包人违约的情形〕执行。</w:t>
      </w:r>
    </w:p>
    <w:p w14:paraId="0F1CC084">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12.2.2 预付款担保 </w:t>
      </w:r>
    </w:p>
    <w:p w14:paraId="458BB2E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6A8867B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发包人在工程款中逐期扣回预付款后，预付款担保额度应相应减少，但剩余的预付款担保金额不得低于未被扣回的预付款金额。</w:t>
      </w:r>
    </w:p>
    <w:p w14:paraId="36F86B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 计量</w:t>
      </w:r>
    </w:p>
    <w:p w14:paraId="6FCC2EE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12.3.1 计量原则 </w:t>
      </w:r>
    </w:p>
    <w:p w14:paraId="6D68DD8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工程量计量按照合同约定的工程量计算规则、图纸及变更指示等进行计量。工程量计算规则应以相关的国家标准、行业标准等为依据，由合同当事人在专用合同条款中约定。</w:t>
      </w:r>
    </w:p>
    <w:p w14:paraId="0ADFF82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12.3.2 计量周期</w:t>
      </w:r>
    </w:p>
    <w:p w14:paraId="18785F7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除专用合同条款另有约定外，工程量的计量按月进行。</w:t>
      </w:r>
    </w:p>
    <w:p w14:paraId="75FD362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12.3.3 单价合同的计量</w:t>
      </w:r>
    </w:p>
    <w:p w14:paraId="564A33E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除专用合同条款另有约定外，单价合同的计量按照本项约定执行：</w:t>
      </w:r>
    </w:p>
    <w:p w14:paraId="5ABB034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（1）承包人应于每月25日向监理人报送上月20日至当月19日已完成的工程量报告，并附具进度付款申请单、已完成工程量报表和 有关资料。</w:t>
      </w:r>
    </w:p>
    <w:p w14:paraId="691E7F9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（2）监理人应在收到承包人提交的工程量报告后7天内完成对承包人提交的工程量报表的审核并报送发包人，以确定当月实际完成的工程量。监理人对工程量有异议的，有权要求承包人进行共同复核或 抽样复测。承包人应协助监理人进行复核或抽样复测，并按监理人要求提供补充计量资料。承包人未按监理人要求参加复核或抽样复测的，监理人复核或修正的工程量视为承包人实际完成的工程量。</w:t>
      </w:r>
    </w:p>
    <w:p w14:paraId="42B57D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（3）监理人未在收到承包人提交的工程量报表后的7天内完成审核的，承包人报送的工程量报告中的工程量视为承包人实际完成的工程量，据此计算工程价款。</w:t>
      </w:r>
    </w:p>
    <w:p w14:paraId="1381F0B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12.3.4 总价合同的计量</w:t>
      </w:r>
    </w:p>
    <w:p w14:paraId="4701AED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除专用合同条款另有约定外，按月计量支付的总价合同，按照本项约定执行：</w:t>
      </w:r>
    </w:p>
    <w:p w14:paraId="0AF684A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（1）承包人应于每月25日向监理人报送上月20日至当月19日已完成的工程量报告，并附具进度付款申请单、已完成工程量报表和有关资料。</w:t>
      </w:r>
    </w:p>
    <w:p w14:paraId="1D8BE5B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0E15CE3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（3）监理人未在收到承包人提交的工程量报表后的 7 天内完成复核的，承包人提交的工程量报告中的工程量视为承包人实际完成的工程量。</w:t>
      </w:r>
    </w:p>
    <w:p w14:paraId="2C646FA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12.3.5 总价合同采用支付分解表计量支付的，可以按照第 12.3.4项〔总价合同的计量〕约定进行计量，但合同价款按照支付分解表进行支付。</w:t>
      </w:r>
    </w:p>
    <w:p w14:paraId="7446CA6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12.3.6 其他价格形式合同的计量</w:t>
      </w:r>
    </w:p>
    <w:p w14:paraId="4FE9A3C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合同当事人可在专用合同条款中约定其他价格形式合同的计量方式和程序。</w:t>
      </w:r>
    </w:p>
    <w:p w14:paraId="0B5425D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 工程进度款支付</w:t>
      </w:r>
    </w:p>
    <w:p w14:paraId="4570D7F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12.4.1 付款周期</w:t>
      </w:r>
    </w:p>
    <w:p w14:paraId="4CB85FD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除专用合同条款另有约定外，付款周期应按照第 12.3.2 项〔计量周期〕的约定与计量周期保持一致。</w:t>
      </w:r>
    </w:p>
    <w:p w14:paraId="63CF559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12.4.2 进度付款申请单的编制</w:t>
      </w:r>
    </w:p>
    <w:p w14:paraId="72B4FF5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除专用合同条款另有约定外，进度付款申请单应包括下列内容：</w:t>
      </w:r>
    </w:p>
    <w:p w14:paraId="7C0894B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（1）截至本次付款周期已完成工作对应的金额；</w:t>
      </w:r>
    </w:p>
    <w:p w14:paraId="3FF4767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（2）根据第10条〔变更〕应增加和扣减的变更金额；</w:t>
      </w:r>
    </w:p>
    <w:p w14:paraId="09C0213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（3）根据第12.2款〔预付款〕约定应支付的预付款和扣减的返 还预付款；</w:t>
      </w:r>
    </w:p>
    <w:p w14:paraId="47D044B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（4）根据第 15.3 款〔质量保证金〕约定应扣减的质量保证金；</w:t>
      </w:r>
    </w:p>
    <w:p w14:paraId="082821E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（5）根据第19条〔索赔〕应增加和扣减的索赔金额；</w:t>
      </w:r>
    </w:p>
    <w:p w14:paraId="71E6EB9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（6）对已签发的进度款支付证书中出现错误的修正，应在本次进度付款中支付或扣除的金额；</w:t>
      </w:r>
    </w:p>
    <w:p w14:paraId="170A8A0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（7）根据合同约定应增加和扣减的其他金额。</w:t>
      </w:r>
    </w:p>
    <w:p w14:paraId="0CD00A7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12.4.3 进度付款申请单的提交</w:t>
      </w:r>
    </w:p>
    <w:p w14:paraId="56BDBD2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（1）单价合同进度付款申请单的提交</w:t>
      </w:r>
    </w:p>
    <w:p w14:paraId="77FE0F8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单价合同的进度付款申请单，按照第12.3.3项〔单价合同的计量〕约定的时间按月向监理人提交，并附上已完成工程量报表和有关资料。单价合同中的总价项目按月进行支付分解，并汇总列入当期进度付款申请单。</w:t>
      </w:r>
    </w:p>
    <w:p w14:paraId="36F191E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（2）总价合同进度付款申请单的提交</w:t>
      </w:r>
    </w:p>
    <w:p w14:paraId="6DDD948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总价合同按月计量支付的，承包人按照第12.3.4 项〔总价合同的计量〕约定的时间按月向监理人提交进度付款申请单，并附上已完成工程量报表和有关资料。</w:t>
      </w:r>
    </w:p>
    <w:p w14:paraId="224B145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总价合同按支付分解表支付的，承包人应按照第12.4.6项〔支付分解表〕及第12.4.2 项〔进度付款申请单的编制〕的约定向监理人提交进度付款申请单。</w:t>
      </w:r>
    </w:p>
    <w:p w14:paraId="723806F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（3）其他价格形式合同的进度付款申请单的提交合同当事人可在专用合同条款中约定其他价格形式合同的进度付款申请单的编制和提交程序。</w:t>
      </w:r>
    </w:p>
    <w:p w14:paraId="50FA8AF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12.4.4 进度款审核和支付</w:t>
      </w:r>
    </w:p>
    <w:p w14:paraId="36F1EB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（1）除专用合同条款另有约定外，监理人应在收到承包人进度付款申请单以及相关资料后7天内完成审查并报送发包人，发包人应在收到后7天内完成审批并签发进度款支付证书。发包人逾期未完成审 批且未提出异议的，视为已签发进度款支付证书。</w:t>
      </w:r>
    </w:p>
    <w:p w14:paraId="09E5A31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发包人和监理人对承包人的进度付款申请单有异议的，有权要求承包人修正和提供补充资料，承包人应提交修正后的进度付款申请单。监理人应在收到承包人修正后的进度付款申请单及相关资料后 7 天内 完成审查并报送发包人，发包人应在收到监理人报送的进度付款申请单及相关资料后 7 天内，向承包人签发无异议部分的临时进度款支付证书。存在争议的部分，按照第20条〔争议解决〕的约定处理。</w:t>
      </w:r>
    </w:p>
    <w:p w14:paraId="487EBA3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（2）除专用合同条款另有约定外，发包人应在进度款支付证书或临时进度款支付证书签发后 14 天内完成支付，发包人逾期支付进度款的，应按照中国人民银行发布的同期同类贷款基准利率支付违约金。</w:t>
      </w:r>
    </w:p>
    <w:p w14:paraId="6A36A28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（3）发包人签发进度款支付证书或临时进度款支付证书，不表明发包人已同意、批准或接受了承包人完成的相应部分的工作。</w:t>
      </w:r>
    </w:p>
    <w:p w14:paraId="2FED06F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12.4.5 进度付款的修正在对已签发的进度款支付证书进行阶段汇总和复核中发现错误、遗漏或重复的，发包人和承包人均有权提出修正申请。经发包人和承包人同意的修正，应在下期进度付款中支付或扣除。</w:t>
      </w:r>
    </w:p>
    <w:p w14:paraId="4B50EA4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12.4.6 支付分解表</w:t>
      </w:r>
    </w:p>
    <w:p w14:paraId="73F54A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1、支付分解表的编制要求</w:t>
      </w:r>
    </w:p>
    <w:p w14:paraId="0DD0DE9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（1）支付分解表中所列的每期付款金额，应为第12.4.2项〔进度付款申请单的编制〕第（1）目的估算金额；</w:t>
      </w:r>
    </w:p>
    <w:p w14:paraId="4073E8A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（2）实际进度与施工进度计划不一致的，合同当事人可按照第4.4 款〔商定或确定〕修改支付分解表；</w:t>
      </w:r>
    </w:p>
    <w:p w14:paraId="752D47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（3）不采用支付分解表的，承包人应向发包人和监理人提交按季度编制的支付估算分解表，用于支付参考。</w:t>
      </w:r>
    </w:p>
    <w:p w14:paraId="798DFDB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2、总价合同支付分解表的编制与审批</w:t>
      </w:r>
    </w:p>
    <w:p w14:paraId="0013A73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（1）除专用合同条款另有约定外，承包人应根据第7.2款〔施工进度计划〕约定的施工进度计划、签约合同价和工程量等因素对总价 合同按月进行分解，编制支付分解表。承包人应当在收到监理人和发包人批准的施工进度计划后7天内，将支付分解表及编制支付分解表的支持性资料报送监理人。</w:t>
      </w:r>
    </w:p>
    <w:p w14:paraId="6D1AD63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（2）监理人应在收到支付分解表后7天内完成审核并报送发包人。发包人应在收到经监理人审核的支付分解表后7天内完成审批，经发包人批准的支付分解表为有约束力的支付分解表。</w:t>
      </w:r>
    </w:p>
    <w:p w14:paraId="5DCCA04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（3）发包人逾期未完成支付分解表审批的，也未及时要求承包人进行修正和提供补充资料的，则承包人提交的支付分解表视为已经获得发包人批准。</w:t>
      </w:r>
    </w:p>
    <w:p w14:paraId="3A6267E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3、单价合同的总价项目支付分解表的编制与审批</w:t>
      </w:r>
    </w:p>
    <w:p w14:paraId="6B8F47D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6EEBF33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12.5 支付账户</w:t>
      </w:r>
    </w:p>
    <w:p w14:paraId="062F64A3">
      <w:pPr>
        <w:autoSpaceDE w:val="0"/>
        <w:autoSpaceDN w:val="0"/>
        <w:snapToGrid w:val="0"/>
        <w:spacing w:line="360" w:lineRule="exact"/>
        <w:ind w:firstLine="428" w:firstLineChars="200"/>
        <w:rPr>
          <w:rFonts w:ascii="楷体" w:hAnsi="楷体" w:eastAsia="楷体" w:cs="楷体"/>
          <w:b/>
          <w:color w:val="auto"/>
          <w:spacing w:val="5"/>
          <w:w w:val="101"/>
          <w:szCs w:val="21"/>
        </w:rPr>
      </w:pPr>
      <w:r>
        <w:rPr>
          <w:rFonts w:hint="eastAsia" w:ascii="楷体" w:hAnsi="楷体" w:eastAsia="楷体" w:cs="楷体"/>
          <w:color w:val="auto"/>
          <w:spacing w:val="5"/>
          <w:w w:val="101"/>
          <w:szCs w:val="21"/>
        </w:rPr>
        <w:t>发包人应将合同价款支付至合同协议书中约定的承包人账户。</w:t>
      </w:r>
    </w:p>
    <w:p w14:paraId="055FF402">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13.验收和工程试车</w:t>
      </w:r>
    </w:p>
    <w:p w14:paraId="5C73DFC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13.1 分部分项工程验收</w:t>
      </w:r>
    </w:p>
    <w:p w14:paraId="6395A4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13.1.1  分部分项工程质量应符合国家有关工程施工验收规范、标准及合同约定，承包人应按照施工图设计文件和施工组织设计的要求完成分部分项工程施工。</w:t>
      </w:r>
    </w:p>
    <w:p w14:paraId="5D15593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w:t>
      </w:r>
    </w:p>
    <w:p w14:paraId="1377802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分部分项工程的验收资料应当作为竣工资料的组成部分。</w:t>
      </w:r>
    </w:p>
    <w:p w14:paraId="3122847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 竣工验收</w:t>
      </w:r>
    </w:p>
    <w:p w14:paraId="50EE75B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13.2.1 竣工验收条件</w:t>
      </w:r>
    </w:p>
    <w:p w14:paraId="04DEB37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工程具备以下条件的，承包人可以申请竣工验收：</w:t>
      </w:r>
    </w:p>
    <w:p w14:paraId="0545F71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（1）除发包人同意的甩项工作和缺陷修补工作外，合同范围内的全部工程以及有关工作，包括合同要求的试验、试运行以及检验均已完成，并符合合同要求；</w:t>
      </w:r>
    </w:p>
    <w:p w14:paraId="61A0F7E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（2）已按合同约定编制了甩项工作和缺陷修补工作清单以及相应的施工计划；</w:t>
      </w:r>
    </w:p>
    <w:p w14:paraId="09BE67F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（3）已按合同约定的内容和份数备齐竣工资料。</w:t>
      </w:r>
    </w:p>
    <w:p w14:paraId="38ED3DD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13.2.2 竣工验收程序</w:t>
      </w:r>
    </w:p>
    <w:p w14:paraId="3044A3C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除专用合同条款另有约定外，承包人申请竣工验收的，应当按照以下程序进行：</w:t>
      </w:r>
    </w:p>
    <w:p w14:paraId="2AC42AA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（1）承包人向监理人报送竣工验收申请报告，监理人应在收到竣工验收申请报告后 14 天内完成审查并报送发包人。监理人审查后认为尚不具备验收条件的，应通知承包人在竣工验收前承包人还需完成的 工作内容，承包人应在完成监理人通知的全部工作内容后，再次提交竣工验收申请报告。</w:t>
      </w:r>
    </w:p>
    <w:p w14:paraId="5C6BDA5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监理人审查后认为已具备竣工验收条件的，应将竣工验收申请报告提交发包人，发包人应在收到经监理人审核的竣工验收申请报告后28天内审批完毕，并在建设主管部门质量监督机构监督下组织监理人、承包人、设计人等相关单位完成竣工验收。</w:t>
      </w:r>
    </w:p>
    <w:p w14:paraId="57D5E0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（3）竣工验收合格的，发包人应在验收合格后 14天内向承包人签发工程接收证书。发包人无正当理由逾期不颁发工程接收证书的，自验收合格后第 15 天起视为已颁发工程接收证书。</w:t>
      </w:r>
    </w:p>
    <w:p w14:paraId="08739C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5010C816">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4A999F52">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除专用合同条款另有约定外，发包人不按照本项约定组织竣工验收、颁发工程接收证书的，每逾期一天，应以签约合同价为基数，按照中国人民银行发布的同期同类贷款基准利率支付违约金。</w:t>
      </w:r>
    </w:p>
    <w:p w14:paraId="2F5C190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13.2.3 竣工日期</w:t>
      </w:r>
    </w:p>
    <w:p w14:paraId="035E5F5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经竣工验收合格的，以竣工验收合格之日为实际竣工日期，并在工程接收证书中载明；因发包人原因，未在监理人收到承包人提交的竣工验收申请报告42天内完成竣工验收，或完成竣工验收不予签发工程接收证书的，以提交竣工验收申请报告的日期为实际竣工日期；工程未经竣工验收，发包人擅自使用的，以转移占有工程之日为实际竣工日期。</w:t>
      </w:r>
    </w:p>
    <w:p w14:paraId="29F91D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13.2.4 拒绝接收全部或部分工程</w:t>
      </w:r>
    </w:p>
    <w:p w14:paraId="409ADAD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0DE3FF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13.2.5 移交、接收全部与部分工程</w:t>
      </w:r>
    </w:p>
    <w:p w14:paraId="62C38CE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除专用合同条款另有约定外，合同当事人应当在颁发工程接收证书后7天内完成工程的移交。</w:t>
      </w:r>
    </w:p>
    <w:p w14:paraId="1C21ED6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发包人无正当理由不接收工程的，发包人自应当接收工程之日起，承担工程照管、成品保护、保管等与工程有关的各项费用，合同当事人可以在专用合同条款中另行约定发包人逾期接收工程的违约责任。</w:t>
      </w:r>
    </w:p>
    <w:p w14:paraId="6F4734C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承包人无正当理由不移交工程的，承包人应承担工程照管、成品 保护、保管等与工程有关的各项费用，合同当事人可以在专用合同条款中另行约定承包人无正当理由不移交工程的违约责任。</w:t>
      </w:r>
    </w:p>
    <w:p w14:paraId="0E57F19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13.3 工程试车</w:t>
      </w:r>
    </w:p>
    <w:p w14:paraId="18B8AE5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13.3.1 试车程序</w:t>
      </w:r>
    </w:p>
    <w:p w14:paraId="17A0C3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工程需要试车的，除专用合同条款另有约定外，试车内容应与承包人承包范围相一致，试车费用由承包人承担。工程试车应按如下程序进行：</w:t>
      </w:r>
    </w:p>
    <w:p w14:paraId="1152899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 24 小时后视为监理人已经认可试车记录，承包人可继续施工或办理竣工验收手续。</w:t>
      </w:r>
    </w:p>
    <w:p w14:paraId="65AD518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监理人不能按时参加试车，应在试车前24小时以书面形式向承包人提出延期要求，但延期不能超过 48 小时，由此导致工期延误的，工期应予以顺延。监理人未能在前述期限内提出延期要求，又不参加试车的，视为认可试车记录。</w:t>
      </w:r>
    </w:p>
    <w:p w14:paraId="55E4DDA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058247C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13.3.2 试车中的责任</w:t>
      </w:r>
    </w:p>
    <w:p w14:paraId="7661D0D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因设计原因导致试车达不到验收要求，发包人应要求设计人修改设计，承包人按修改后的设计重新安装。发包人承担修改设计、拆除 及重新安装的全部费用，工期相应顺延。因承包人原因导致试车达不到验收要求，承包人按监理人要求重新安装和试车，并承担重新安装和试车的费用，工期不予顺延。</w:t>
      </w:r>
    </w:p>
    <w:p w14:paraId="408BABC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1D520E3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13.3.3 投料试车</w:t>
      </w:r>
    </w:p>
    <w:p w14:paraId="333F88E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如需进行投料试车的，发包人应在工程竣工验收后组织投料试车。发包人要求在工程竣工验收前进行或需要承包人配合时，应征得承包人同意，并在专用合同条款中约定有关事项。</w:t>
      </w:r>
    </w:p>
    <w:p w14:paraId="79F0AFB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1983F04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13.4 提前交付单位工程的验收</w:t>
      </w:r>
    </w:p>
    <w:p w14:paraId="55069447">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13.4.1 发包人需要在工程竣工前使用单位工程的，或承包人提出提前交付已经竣工的单位工程且经发包人同意的，可进行单位工程验收，验收的程序按照第 13.2 款〔竣工验收〕的约定进行。</w:t>
      </w:r>
    </w:p>
    <w:p w14:paraId="43CD7F0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验收合格后，由监理人向承包人出具经发包人签认的单位工程接收证书。已签发单位工程接收证书的单位工程由发包人负责照管。单位工程的验收成果和结论作为整体工程竣工验收申请报告的附件。</w:t>
      </w:r>
    </w:p>
    <w:p w14:paraId="76A5530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13.4.2 发包人要求在工程竣工前交付单位工程，由此导致承包人费用增加和（或）工期延误的，由发包人承担由此增加的费用和（或）延误的工期，并支付承包人合理的利润。</w:t>
      </w:r>
    </w:p>
    <w:p w14:paraId="4301AD1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13.5 施工期运行</w:t>
      </w:r>
    </w:p>
    <w:p w14:paraId="00A2490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13.5.1  施工期运行是指合同工程尚未全部竣工，其中某项或某几项单位工程或工程设备安装已竣工，根据专用合同条款约定，需要投入施工期运行的，经发包人按第 13.4 款〔提前交付单位工程的验收〕的约定验收合格，证明能确保安全后，才能在施工期投入运行。</w:t>
      </w:r>
    </w:p>
    <w:p w14:paraId="5B47987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13.5.2  在施工期运行中发现工程或工程设备损坏或存在缺陷的，由承包人按第 15.2 款〔缺陷责任期〕约定进行修复。</w:t>
      </w:r>
    </w:p>
    <w:p w14:paraId="5F20635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13.6 竣工退场</w:t>
      </w:r>
    </w:p>
    <w:p w14:paraId="32AFD07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13.6.1 竣工退场</w:t>
      </w:r>
    </w:p>
    <w:p w14:paraId="55A1D42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颁发工程接收证书后，承包人应按以下要求对施工现场进行清理：</w:t>
      </w:r>
    </w:p>
    <w:p w14:paraId="0C0D09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（1）施工现场内残留的垃圾已全部清除出场；</w:t>
      </w:r>
    </w:p>
    <w:p w14:paraId="6B7F35D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（2）临时工程已拆除，场地已进行清理、平整或复原；</w:t>
      </w:r>
    </w:p>
    <w:p w14:paraId="410F3B6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（3）按合同约定应撤离的人员、承包人施工设备和剩余的材料，包括废弃的施工设备和材料，已按计划撤离施工现场；</w:t>
      </w:r>
    </w:p>
    <w:p w14:paraId="56430B6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（4）施工现场周边及其附近道路、河道的施工堆积物，已全部清理；</w:t>
      </w:r>
    </w:p>
    <w:p w14:paraId="614B117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施工现场其他场地清理工作已全部完成。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50716E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13.6.2 地表还原</w:t>
      </w:r>
    </w:p>
    <w:p w14:paraId="5160C443">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承包人应按发包人要求恢复临时占地及清理场地，承包人未按发包人的要求恢复临时占地，或者场地清理未达到合同约定要求的，发包人有权委托其他人恢复或清理，所发生的费用由承包人承担。</w:t>
      </w:r>
    </w:p>
    <w:p w14:paraId="3F67C9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w:t>
      </w:r>
      <w:r>
        <w:rPr>
          <w:rFonts w:hint="eastAsia" w:ascii="楷体" w:hAnsi="楷体" w:eastAsia="楷体" w:cs="楷体"/>
          <w:b/>
          <w:color w:val="auto"/>
          <w:spacing w:val="5"/>
          <w:w w:val="101"/>
          <w:szCs w:val="21"/>
        </w:rPr>
        <w:t xml:space="preserve">  14.竣工结算</w:t>
      </w:r>
    </w:p>
    <w:p w14:paraId="60F4CCF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14.1 竣工结算申请</w:t>
      </w:r>
    </w:p>
    <w:p w14:paraId="7A418538">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除专用合同条款另有约定外，承包人应在工程竣工验收合格后 28 天内向发包人和监理人提交竣工结算申请单，并提交完整的结算资料，有关竣工结算申请单的资料清单和份数等要求由合同当事人在专用合同条款中约定。</w:t>
      </w:r>
    </w:p>
    <w:p w14:paraId="01B19EB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除专用合同条款另有约定外，竣工结算申请单应包括以下内容：</w:t>
      </w:r>
    </w:p>
    <w:p w14:paraId="37CF5D7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（1）竣工结算合同价格；</w:t>
      </w:r>
    </w:p>
    <w:p w14:paraId="43B9223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（2）发包人已支付承包人的款项；</w:t>
      </w:r>
    </w:p>
    <w:p w14:paraId="77DCFF0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（3）应扣留的质量保证金；</w:t>
      </w:r>
    </w:p>
    <w:p w14:paraId="7D1E0EE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（4）发包人应支付承包人的合同价款。</w:t>
      </w:r>
    </w:p>
    <w:p w14:paraId="17D14F0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14.2 竣工结算审核</w:t>
      </w:r>
    </w:p>
    <w:p w14:paraId="46C6B25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（1）除专用合同条款另有约定外，监理人应在收到竣工结算申请单后 14 天内完成核查并报送发包人。发包人应在收到监理人提交的经审核的竣工结算申请单后 14 天内完成审批，并由监理人向承包人签发经发包人签认的竣工付款证书。监理人或发包人对竣工结算申请单有异议的，有权要求承包人进行修正和提供补充资料，承包人应提交修正后的竣工结算申请单。</w:t>
      </w:r>
    </w:p>
    <w:p w14:paraId="60981D9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发包人在收到承包人提交竣工结算申请书后 28 天内未完成审批且未提出异议的，视为发包人认可承包人提交的竣工结算申请单，并自发包人收到承包人提交的竣工结算申请单后第29天起视为已签发竣工付款证书。</w:t>
      </w:r>
    </w:p>
    <w:p w14:paraId="2287A2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（2）除专用合同条款另有约定外，发包人应在签发竣工付款证书后的 14 天内，完成对承包人的竣工付款。发包人逾期支付的，按照中国人民银行发布的同期同类贷款基准利率支付违约金；逾期支付超过56 天的，按照中国人民银行发布的同期同类贷款基准利率的两倍支付违约金。</w:t>
      </w:r>
    </w:p>
    <w:p w14:paraId="34F2A6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（3）承包人对发包人签认的竣工付款证书有异议的，对于有异议部分应在收到发包人签认的竣工付款证书后 7 天内提出异议，并由合同当事人按照专用合同条款约定的方式和程序进行复核，或按照第 20条〔争议解决〕约定处理。对于无异议部分，发包人应签发临时竣工付款证书，并按本款第（2）项完成付款。承包人逾期未提出异议的，视为认可发包人的审批结果。</w:t>
      </w:r>
    </w:p>
    <w:p w14:paraId="7FE904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14.3 甩项竣工协议</w:t>
      </w:r>
    </w:p>
    <w:p w14:paraId="17E15A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要求甩项竣工的，合同当事人应签订甩项竣工协议。在甩项竣工协议中应明确，合同当事人按照第14.1款〔竣工结算申请〕及14.2款〔竣工结算审核〕的约定，对已完合格工程进行结算，并支付相应合同价款。</w:t>
      </w:r>
    </w:p>
    <w:p w14:paraId="043ADF9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14.4 最终结清</w:t>
      </w:r>
    </w:p>
    <w:p w14:paraId="238006B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14.4.1 最终结清申请单</w:t>
      </w:r>
    </w:p>
    <w:p w14:paraId="33E50D4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（1）除专用合同条款另有约定外，承包人应在缺陷责任期终止证书颁发后 7 天内，按专用合同条款约定的份数向发包人提交最终结清申请单，并提供相关证明材料。</w:t>
      </w:r>
    </w:p>
    <w:p w14:paraId="68E25C6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除专用合同条款另有约定外，最终结清申请单应列明质量保证金、 应扣除的质量保证金、缺陷责任期内发生的增减费用。</w:t>
      </w:r>
    </w:p>
    <w:p w14:paraId="176CC5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（2）发包人对最终结清申请单内容有异议的，有权要求承包人进行修正和提供补充资料，承包人应向发包人提交修正后的最终结清申请单。</w:t>
      </w:r>
    </w:p>
    <w:p w14:paraId="1E3FC9E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14.4.2 最终结清证书和支付</w:t>
      </w:r>
    </w:p>
    <w:p w14:paraId="66CCAA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（1）除专用合同条款另有约定外，发包人应在收到承包人提交的</w:t>
      </w:r>
    </w:p>
    <w:p w14:paraId="2B60550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最终结清申请单后 14 天内完成审批并向承包人颁发最终结清证书。发包人逾期未完成审批，又未提出修改意见的，视为发包人同意承包人提交的最终结清申请单，且自发包人收到承包人提交的最终结清申请单后 15 天起视为已颁发最终结清证书。</w:t>
      </w:r>
    </w:p>
    <w:p w14:paraId="25B229A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6EA0E80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（3）承包人对发包人颁发的最终结清证书有异议的，按第20条〔争议解决〕的约定办理。</w:t>
      </w:r>
    </w:p>
    <w:p w14:paraId="55A70D78">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15.缺陷责任与保修</w:t>
      </w:r>
    </w:p>
    <w:p w14:paraId="5BF54F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15.1 工程保修的原则</w:t>
      </w:r>
    </w:p>
    <w:p w14:paraId="114D3B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在工程移交发包人后，因承包人原因产生的质量缺陷，承包人应承担质量缺陷责任和保修义务。缺陷责任期届满，承包人仍应按合同约定的工程各部位保修年限承担保修义务。</w:t>
      </w:r>
    </w:p>
    <w:p w14:paraId="5277906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15.2 缺陷责任期</w:t>
      </w:r>
    </w:p>
    <w:p w14:paraId="0E2BFCF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15.2.1 缺陷责任期自实际竣工日期起计算，合同当事人应在专用合同条款约定缺陷责任期的具体期限，但该期限最长不超过24个月。 </w:t>
      </w:r>
    </w:p>
    <w:p w14:paraId="58F3605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单位工程先于全部工程进行验收，经验收合格并交付使用的，该单位工程缺陷责任期自单位工程验收合格之日起算。因发包人原因导致工程无法按合同约定期限进行竣工验收的，缺陷责任期自承包人提交竣工验收申请报告之日起开始计算；发包人未经竣工验收擅自使用工程的，缺陷责任期自工程转移占有之日起开始计算。</w:t>
      </w:r>
    </w:p>
    <w:p w14:paraId="376F953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15.2.2 工程竣工验收合格后，因承包人原因导致的缺陷或损坏致使工程、单位工程或某项主要设备不能按原定目的使用的，则发包人有权要求承包人延长缺陷责任期，并应在原缺陷责任期届满前发出延长通知，但缺陷责任期最长不能超过 24 个月。</w:t>
      </w:r>
    </w:p>
    <w:p w14:paraId="5E8E95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15.2.3 任何一项缺陷或损坏修复后，经检查证明其影响了工程或工程设备的使用性能，承包人应重新进行合同约定的试验和试运行，试验和试运行的全部费用应由责任方承担。</w:t>
      </w:r>
    </w:p>
    <w:p w14:paraId="48EAA8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 14 天内，向承包人颁发缺陷责任期终止证书。</w:t>
      </w:r>
    </w:p>
    <w:p w14:paraId="04063ED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15.3 质量保证金</w:t>
      </w:r>
    </w:p>
    <w:p w14:paraId="738D5E7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经合同当事人协商一致扣留质量保证金的，应在专用合同条款中予以明确。</w:t>
      </w:r>
    </w:p>
    <w:p w14:paraId="14596EC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15.3.1 承包人提供质量保证金的方式</w:t>
      </w:r>
    </w:p>
    <w:p w14:paraId="65DA9DB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承包人提供质量保证金有以下三种方式：</w:t>
      </w:r>
    </w:p>
    <w:p w14:paraId="499AB86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（1）质量保证金保函；</w:t>
      </w:r>
    </w:p>
    <w:p w14:paraId="4C8AC3E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（2）相应比例的工程款；</w:t>
      </w:r>
    </w:p>
    <w:p w14:paraId="49BAD60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（3）双方约定的其他方式。</w:t>
      </w:r>
    </w:p>
    <w:p w14:paraId="052084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除专用合同条款另有约定外，质量保证金原则上采用上述第（1）种方式。</w:t>
      </w:r>
    </w:p>
    <w:p w14:paraId="0561363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15.3.2 质量保证金的扣留质量保证金的扣留有以下三种方式：</w:t>
      </w:r>
    </w:p>
    <w:p w14:paraId="23688CF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（1）在支付工程进度款时逐次扣留，在此情形下，质量保证金的计算基数不包括预付款的支付、扣回以及价格调整的金额；</w:t>
      </w:r>
    </w:p>
    <w:p w14:paraId="0A4F18F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（2）工程竣工结算时一次性扣留质量保证金；</w:t>
      </w:r>
    </w:p>
    <w:p w14:paraId="2DCAF79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（3）双方约定的其他扣留方式。</w:t>
      </w:r>
    </w:p>
    <w:p w14:paraId="4122307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除专用合同条款另有约定外，质量保证金的扣留原则上采用上述第（1）种方式。</w:t>
      </w:r>
    </w:p>
    <w:p w14:paraId="1F2146B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发包人累计扣留的质量保证金不得超过结算合同价格的 5%，如承包人在发包人签发竣工付款证书后 28 天内提交质量保证金保函，发包人应同时退还扣留的作为质量保证金的工程价款。</w:t>
      </w:r>
    </w:p>
    <w:p w14:paraId="2508BD4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15.3.3 质量保证金的退还</w:t>
      </w:r>
    </w:p>
    <w:p w14:paraId="49F1393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发包人应按 14.4 款〔最终结清〕的约定退还质量保证金。</w:t>
      </w:r>
    </w:p>
    <w:p w14:paraId="164ACF1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 保修</w:t>
      </w:r>
    </w:p>
    <w:p w14:paraId="001D435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15.4.1 保修责任</w:t>
      </w:r>
    </w:p>
    <w:p w14:paraId="1AD284C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工程保修期从工程竣工验收合格之日起算，具体分部分项工程的保修期由合同当事人在专用合同条款中约定，但不得低于法定最低保修年限。在工程保修期内，承包人应当根据有关法律规定以及合同约定承担保修责任。发包人未经竣工验收擅自使用工程的，保修期自转移占有之日起算。</w:t>
      </w:r>
    </w:p>
    <w:p w14:paraId="7076464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15.4.2 修复费用</w:t>
      </w:r>
    </w:p>
    <w:p w14:paraId="06CD6DE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保修期内，修复的费用按照以下约定处理：</w:t>
      </w:r>
    </w:p>
    <w:p w14:paraId="6CACC29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（1）保修期内，因承包人原因造成工程的缺陷、损坏，承包人应 负责修复，并承担修复的费用以及因工程的缺陷、损坏造成的人身伤害和财产损失；</w:t>
      </w:r>
    </w:p>
    <w:p w14:paraId="7D25D56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（2）保修期内，因发包人使用不当造成工程的缺陷、损坏，可以委托承包人修复，但发包人应承担修复的费用，并支付承包人合理利润；</w:t>
      </w:r>
    </w:p>
    <w:p w14:paraId="69A8DB5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（3）因其他原因造成工程的缺陷、损坏，可以委托承包人修复，发包人应承担修复的费用，并支付承包人合理的利润，因工程的缺陷、损坏造成的人身伤害和财产损失由责任方承担。</w:t>
      </w:r>
    </w:p>
    <w:p w14:paraId="521E5CB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15.4.3 修复通知</w:t>
      </w:r>
    </w:p>
    <w:p w14:paraId="41D301D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在保修期内，发包人在使用过程中，发现已接收的工程存在缺陷或损坏的，应书面通知承包人予以修复，但情况紧急必须立即修复缺陷或损坏的，发包人可以口头通知承包人并在口头通知后 48 小时内书面确认，承包人应在专用合同条款约定的合理期限内到达工程现场并修复缺陷或损坏。</w:t>
      </w:r>
    </w:p>
    <w:p w14:paraId="7C6091A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15.4.4 未能修复</w:t>
      </w:r>
    </w:p>
    <w:p w14:paraId="57509E6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314F7A2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15.4.5 承包人出入权</w:t>
      </w:r>
    </w:p>
    <w:p w14:paraId="65D1A56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60E30AC2">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16.违约</w:t>
      </w:r>
    </w:p>
    <w:p w14:paraId="317B840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 发包人违约</w:t>
      </w:r>
    </w:p>
    <w:p w14:paraId="7EEC3D4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16.1.1 发包人违约的情形在合同履行过程中发生的下列情形，属于发包人违约：</w:t>
      </w:r>
    </w:p>
    <w:p w14:paraId="7D1614E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（1）因发包人原因未能在计划开工日期前7天内下达开工通知的；</w:t>
      </w:r>
    </w:p>
    <w:p w14:paraId="6B7097F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（2）因发包人原因未能按合同约定支付合同价款的；</w:t>
      </w:r>
    </w:p>
    <w:p w14:paraId="47EE90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（3）发包人违反第10.1 款〔变更的范围〕第（2）项约定，自行实施被取消的工作或转由他人实施的；</w:t>
      </w:r>
    </w:p>
    <w:p w14:paraId="01D0A1C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（4）发包人提供的材料、工程设备的规格、数量或质量不符合合同约定，或因发包人原因导致交货日期延误或交货地点变更等情况的；</w:t>
      </w:r>
    </w:p>
    <w:p w14:paraId="63CBCB8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（5）因发包人违反合同约定造成暂停施工的；</w:t>
      </w:r>
    </w:p>
    <w:p w14:paraId="6F6E87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（6）发包人无正当理由没有在约定期限内发出复工指示，导致承包人无法复工的；</w:t>
      </w:r>
    </w:p>
    <w:p w14:paraId="7901928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（7）发包人明确表示或者以其行为表明不履行合同主要义务的；</w:t>
      </w:r>
    </w:p>
    <w:p w14:paraId="16BEB1D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（8）发包人未能按照合同约定履行其他义务的。</w:t>
      </w:r>
    </w:p>
    <w:p w14:paraId="475DBFA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71E8690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16.1.2 发包人违约的责任</w:t>
      </w:r>
    </w:p>
    <w:p w14:paraId="650CED0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发包人应承担因其违约给承包人增加的费用和（或）延误的工期，并支付承包人合理的利润。此外，合同当事人可在专用合同条款中另 行约定发包人违约责任的承担方式和计算方法。</w:t>
      </w:r>
    </w:p>
    <w:p w14:paraId="3B6EE07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16.1.3 因发包人违约解除合同</w:t>
      </w:r>
    </w:p>
    <w:p w14:paraId="459ADD9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除专用合同条款另有约定外，承包人按第 16.1.1 项〔发包人违约 的情形〕约定暂停施工满 28 天后，发包人仍不纠正其违约行为并致使合同目的不能实现的，或出现第 16.1.1 项〔发包人违约的情形〕第（7）目约定的违约情况，承包人有权解除合同，发包人应承担由此增加的费用，并支付承包人合理的利润。</w:t>
      </w:r>
    </w:p>
    <w:p w14:paraId="3F3CFE6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16.1.4 因发包人违约解除合同后的付款</w:t>
      </w:r>
    </w:p>
    <w:p w14:paraId="7140A74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承包人按照本款约定解除合同的，发包人应在解除合同后 28 天内支付下列款项，并解除履约担保：</w:t>
      </w:r>
    </w:p>
    <w:p w14:paraId="75FCB67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（1）合同解除前所完成工作的价款；</w:t>
      </w:r>
    </w:p>
    <w:p w14:paraId="0B30CC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（2）承包人为工程施工订购并已付款的材料、工程设备和其他物品的价款；</w:t>
      </w:r>
    </w:p>
    <w:p w14:paraId="55A80D5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（3）承包人撤离施工现场以及遣散承包人人员的款项；</w:t>
      </w:r>
    </w:p>
    <w:p w14:paraId="598666D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（4）按照合同约定在合同解除前应支付的违约金；</w:t>
      </w:r>
    </w:p>
    <w:p w14:paraId="251779F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（5）按照合同约定应当支付给承包人的其他款项；</w:t>
      </w:r>
    </w:p>
    <w:p w14:paraId="3A037C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（6）按照合同约定应退还的质量保证金；</w:t>
      </w:r>
    </w:p>
    <w:p w14:paraId="371C4BA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（7）因解除合同给承包人造成的损失。 </w:t>
      </w:r>
    </w:p>
    <w:p w14:paraId="7378982A">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合同当事人未能就解除合同后的结清达成一致的，按照第 20 条〔争议解决〕的约定处理。</w:t>
      </w:r>
    </w:p>
    <w:p w14:paraId="79C311E0">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承包人应妥善做好已完工程和与工程有关的已购材料、工程设备的保护和移交工作，并将施工设备和人员撤出施工现场，发包人应为承包人撤出提供必要条件。</w:t>
      </w:r>
    </w:p>
    <w:p w14:paraId="7358157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 承包人违约</w:t>
      </w:r>
    </w:p>
    <w:p w14:paraId="39B6A44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16.2.1 承包人违约的情形 在合同履行过程中发生的下列情形，属于承包人违约：</w:t>
      </w:r>
    </w:p>
    <w:p w14:paraId="39501B0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（1）承包人违反合同约定进行转包或违法分包的；</w:t>
      </w:r>
    </w:p>
    <w:p w14:paraId="530DC04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（2）承包人违反合同约定采购和使用不合格的材料和工程设备的；</w:t>
      </w:r>
    </w:p>
    <w:p w14:paraId="49C7679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（3）因承包人原因导致工程质量不符合合同要求的；</w:t>
      </w:r>
    </w:p>
    <w:p w14:paraId="685FA09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（4）承包人违反第 8.9 款〔材料与设备专用要求〕的约定，未经批准，私自将已按照合同约定进入施工现场的材料或设备撤离施工现场的；</w:t>
      </w:r>
    </w:p>
    <w:p w14:paraId="054C5CD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（5）承包人未能按施工进度计划及时完成合同约定的工作，造成工期延误的；</w:t>
      </w:r>
    </w:p>
    <w:p w14:paraId="00A1504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（6）承包人在缺陷责任期及保修期内，未能在合理期限对工程缺陷进行修复，或拒绝按发包人要求进行修复的；</w:t>
      </w:r>
    </w:p>
    <w:p w14:paraId="68FBC6B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（7）承包人明确表示或者以其行为表明不履行合同主要义务的；</w:t>
      </w:r>
    </w:p>
    <w:p w14:paraId="780C03D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（8）承包人未能按照合同约定履行其他义务的。</w:t>
      </w:r>
    </w:p>
    <w:p w14:paraId="3B2EEFA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承包人发生除本项第（7）目约定以外的其他违约情况时，监理人可向承包人发出整改通知，要求其在指定的期限内改正。</w:t>
      </w:r>
    </w:p>
    <w:p w14:paraId="420531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16.2.2 承包人违约的责任</w:t>
      </w:r>
    </w:p>
    <w:p w14:paraId="58163C0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承包人应承担因其违约行为而增加的费用和（或）延误的工期。 此外，合同当事人可在专用合同条款中另行约定承包人违约责任的承担方式和计算方法。</w:t>
      </w:r>
    </w:p>
    <w:p w14:paraId="6EC9FDD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16.2.3 因承包人违约解除合同</w:t>
      </w:r>
    </w:p>
    <w:p w14:paraId="5905DDA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除专用合同条款另有约定外，出现第 16.2.1 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77F5260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16.2.4 因承包人违约解除合同后的处理因承包人原因导致合同解除的，则合同当事人应在合同解除后 28天内完成估价、付款和清算，并按以下约定执行：</w:t>
      </w:r>
    </w:p>
    <w:p w14:paraId="62D96F3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（1）合同解除后，按第 4.4 款〔商定或确定〕商定或确定承包人实际完成工作对应的合同价款，以及承包人已提供的材料、工程设备、施工设备和临时工程等的价值；</w:t>
      </w:r>
    </w:p>
    <w:p w14:paraId="1CCF6E6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（2）合同解除后，承包人应支付的违约金；</w:t>
      </w:r>
    </w:p>
    <w:p w14:paraId="7338286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（3）合同解除后，因解除合同给发包人造成的损失；</w:t>
      </w:r>
    </w:p>
    <w:p w14:paraId="4642AE8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（4）合同解除后，承包人应按照发包人要求和监理人的指示完成现场的清理和撤离；</w:t>
      </w:r>
    </w:p>
    <w:p w14:paraId="6CB67C5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（5）发包人和承包人应在合同解除后进行清算，出具最终结清付款证书，结清全部款项。</w:t>
      </w:r>
    </w:p>
    <w:p w14:paraId="48F173B9">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因承包人违约解除合同的，发包人有权暂停对承包人的付款，查清各项付款和已扣款项。</w:t>
      </w:r>
    </w:p>
    <w:p w14:paraId="586E2E1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发包人和承包人未能就合同解除后的清算和款项支付达成一致的，按照第 20 条〔争议解决〕的约定处理。</w:t>
      </w:r>
    </w:p>
    <w:p w14:paraId="13FBBB5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16.2.5 采购合同权益转让</w:t>
      </w:r>
    </w:p>
    <w:p w14:paraId="126ED1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因承包人违约解除合同的，发包人有权要求承包人将其为实施合同而签订的材料和设备的采购合同的权益转让给发包人，承包人应在收到解除合同通知后 14 天内，协助发包人与采购合同的供应商达成相关的转让协议。</w:t>
      </w:r>
    </w:p>
    <w:p w14:paraId="6B1EB2CF">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16.3 第三人造成的违约</w:t>
      </w:r>
    </w:p>
    <w:p w14:paraId="1956B895">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在履行合同过程中，一方当事人因第三人的原因造成违约的，应当向对方当事人承担违约责任。一方当事人和第三人之间的纠纷，依照法律规定或者按照约定解决。</w:t>
      </w:r>
    </w:p>
    <w:p w14:paraId="3D700DD3">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17.不可抗力</w:t>
      </w:r>
    </w:p>
    <w:p w14:paraId="70013F1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17.1 不可抗力的确认</w:t>
      </w:r>
    </w:p>
    <w:p w14:paraId="503CC45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不可抗力是指合同当事人在签订合同时不可预见，在合同履行过程中不可避免且不能克服的自然灾害和社会性突发事件，如地震、海啸、瘟疫、骚乱、戒严、暴动、战争和专用合同条款中约定的其他情形。</w:t>
      </w:r>
    </w:p>
    <w:p w14:paraId="11718B9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不可抗力发生后，发包人和承包人应收集证明不可抗力发生及不可抗力造成损失的证据，并及时认真统计所造成的损失。合同当事人对是否属于不可抗力或其损失的意见不一致的，由监理人按第 4.4 款〔商定或确定〕的约定处理。发生争议时，按第 20 条〔争议解决〕的约定处理。</w:t>
      </w:r>
    </w:p>
    <w:p w14:paraId="3E4540F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17.2 不可抗力的通知</w:t>
      </w:r>
    </w:p>
    <w:p w14:paraId="50E6D6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合同一方当事人遇到不可抗力事件，使其履行合同义务受到阻碍时，应立即通知合同另一方当事人和监理人，书面说明不可抗力和受阻碍的详细情况，并提供必要的证明。</w:t>
      </w:r>
    </w:p>
    <w:p w14:paraId="30BA907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不可抗力持续发生的，合同一方当事人应及时向合同另一方当事人和监理人提交中间报告，说明不可抗力和履行合同受阻的情况，并于不可抗力事件结束后 28 天内提交最终报告及有关资料。</w:t>
      </w:r>
    </w:p>
    <w:p w14:paraId="3A66CE3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17.3 不可抗力后果的承担</w:t>
      </w:r>
    </w:p>
    <w:p w14:paraId="6F48217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17.3.1 不可抗力引起的后果及造成的损失由合同当事人按照法律规定及合同约定各自承担。不可抗力发生前已完成的工程应当按照合同约定进行计量支付。</w:t>
      </w:r>
    </w:p>
    <w:p w14:paraId="7A360ED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17.3.2 不可抗力导致的人员伤亡、财产损失、费用增加和（或）工期延误等后果，由合同当事人按以下原则承担：</w:t>
      </w:r>
    </w:p>
    <w:p w14:paraId="111CAEA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（1）永久工程、已运至施工现场的材料和工程设备的损坏，以及因工程损坏造成的第三人人员伤亡和财产损失由发包人承担；</w:t>
      </w:r>
    </w:p>
    <w:p w14:paraId="1CD38B2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（2）承包人施工设备的损坏由承包人承担；</w:t>
      </w:r>
    </w:p>
    <w:p w14:paraId="5C927CE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（3）发包人和承包人承担各自人员伤亡和财产的损失；</w:t>
      </w:r>
    </w:p>
    <w:p w14:paraId="6A66853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（4）因不可抗力影响承包人履行合同约定的义务，已经引起或将引起工期延误的，应当顺延工期，由此导致承包人停工的费用损失由发 包人和承包人合理分担，停工期间必须支付的工人工资由发包人承担；</w:t>
      </w:r>
    </w:p>
    <w:p w14:paraId="243166A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（5）因不可抗力引起或将引起工期延误，发包人要求赶工的，由此增加的赶工费用由发包人承担；</w:t>
      </w:r>
    </w:p>
    <w:p w14:paraId="1ED55CB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（6）承包人在停工期间按照发包人要求照管、清理和修复工程的费用由发包人承担。</w:t>
      </w:r>
    </w:p>
    <w:p w14:paraId="6AC050BC">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不可抗力发生后，合同当事人均应采取措施尽量避免和减少损失的扩大，任何一方当事人没有采取有效措施导致损失扩大的，应对扩大的损失承担责任。</w:t>
      </w:r>
    </w:p>
    <w:p w14:paraId="7CF0A982">
      <w:pPr>
        <w:autoSpaceDE w:val="0"/>
        <w:autoSpaceDN w:val="0"/>
        <w:snapToGrid w:val="0"/>
        <w:spacing w:line="360" w:lineRule="exact"/>
        <w:ind w:firstLine="428" w:firstLineChars="200"/>
        <w:rPr>
          <w:rFonts w:ascii="楷体" w:hAnsi="楷体" w:eastAsia="楷体" w:cs="楷体"/>
          <w:color w:val="auto"/>
          <w:spacing w:val="5"/>
          <w:w w:val="101"/>
          <w:szCs w:val="21"/>
        </w:rPr>
      </w:pPr>
      <w:r>
        <w:rPr>
          <w:rFonts w:hint="eastAsia" w:ascii="楷体" w:hAnsi="楷体" w:eastAsia="楷体" w:cs="楷体"/>
          <w:color w:val="auto"/>
          <w:spacing w:val="5"/>
          <w:w w:val="101"/>
          <w:szCs w:val="21"/>
        </w:rPr>
        <w:t>因合同一方迟延履行合同义务，在迟延履行期间遭遇不可抗力的，不免除其违约责任。</w:t>
      </w:r>
    </w:p>
    <w:p w14:paraId="5F9987E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17.4 因不可抗力解除合同</w:t>
      </w:r>
    </w:p>
    <w:p w14:paraId="3B0BC16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因不可抗力导致合同无法履行连续超过 84 天或累计超过 140 天的，发包人和承包人均有权解除合同。合同解除后，由双方当事人按照第  4.4  款〔商定或确定〕商定或确定发包人应支付的款项，该款项包括：</w:t>
      </w:r>
    </w:p>
    <w:p w14:paraId="338B012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（1）合同解除前承包人已完成工作的价款；</w:t>
      </w:r>
    </w:p>
    <w:p w14:paraId="58A5C5B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（2）承包人为工程订购的并已交付给承包人，或承包人有责任接受交付的材料、工程设备和其他物品的价款；</w:t>
      </w:r>
    </w:p>
    <w:p w14:paraId="2DA6CE0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（3）发包人要求承包人退货或解除订货合同而产生的费用，或因不能退货或解除合同而产生的损失；</w:t>
      </w:r>
    </w:p>
    <w:p w14:paraId="0ED516F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（4）承包人撤离施工现场以及遣散承包人人员的费用；</w:t>
      </w:r>
    </w:p>
    <w:p w14:paraId="773500D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（5）按照合同约定在合同解除前应支付给承包人的其他款项；</w:t>
      </w:r>
    </w:p>
    <w:p w14:paraId="482B1C3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（6）扣减承包人按照合同约定应向发包人支付的款项；</w:t>
      </w:r>
    </w:p>
    <w:p w14:paraId="1AC8774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（7）双方商定或确定的其他款项。</w:t>
      </w:r>
    </w:p>
    <w:p w14:paraId="37F2C8D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除专用合同条款另有约定外，合同解除后，发包人应在商定或确定上述款项后 28 天内完成上述款项的支付。</w:t>
      </w:r>
    </w:p>
    <w:p w14:paraId="6BA948E4">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18.保险</w:t>
      </w:r>
    </w:p>
    <w:p w14:paraId="5F55517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18.1 工程保险</w:t>
      </w:r>
    </w:p>
    <w:p w14:paraId="6850311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除专用合同条款另有约定外，发包人应投保建筑工程一切险或安装工程一切险；发包人委托承包人投保的，因投保产生的保险费和其他相关费用由发包人承担。</w:t>
      </w:r>
    </w:p>
    <w:p w14:paraId="24D0B3D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18.2 工伤保险</w:t>
      </w:r>
    </w:p>
    <w:p w14:paraId="00E1D42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18.2.1 发包人应依照法律规定参加工伤保险，并为在施工现场的全部员工办理工伤保险，缴纳工伤保险费，并要求监理人及由发包人为履行合同聘请的第三方依法参加工伤保险。</w:t>
      </w:r>
    </w:p>
    <w:p w14:paraId="4E73FC1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18.2.2 承包人应依照法律规定参加工伤保险，并为其履行合同的全部员工办理工伤保险，缴纳工伤保险费，并要求分包人及由承包人为履行合同聘请的第三方依法参加工伤保险。</w:t>
      </w:r>
    </w:p>
    <w:p w14:paraId="0AC2F76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18.3 安全生产责任保险</w:t>
      </w:r>
    </w:p>
    <w:p w14:paraId="1E3720F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承包人应依照法律规定为本企业施工项目缴纳安全生产责任保险。除专用合同条款另有约定外，安全生产责任保险由项目总承包人及与发包人直接签订工程承包合同的专业承包人分别缴纳。</w:t>
      </w:r>
    </w:p>
    <w:p w14:paraId="2D96471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18.4 持续保险</w:t>
      </w:r>
    </w:p>
    <w:p w14:paraId="01DDA8D4">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合同当事人应与保险人保持联系，使保险人能够随时了解工程实施中的变动，并确保按保险合同条款要求持续保险。</w:t>
      </w:r>
    </w:p>
    <w:p w14:paraId="59B69E26">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18.5 保险凭证</w:t>
      </w:r>
    </w:p>
    <w:p w14:paraId="4ED3835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合同当事人应及时向另一方当事人提交其已投保的各项保险的凭证和保险单复印件。</w:t>
      </w:r>
    </w:p>
    <w:p w14:paraId="77BF7BD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18.6 未按约定投保的补救</w:t>
      </w:r>
    </w:p>
    <w:p w14:paraId="4DFC7B1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18.6.1 发包人未按合同约定办理保险，或未能使保险持续有效的，则承包人可代为办理，所需费用由发包人承担。发包人未按合同约定办理保险，导致未能得到足额赔偿的，由发包人负责补足。</w:t>
      </w:r>
    </w:p>
    <w:p w14:paraId="4873040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18.6.2 承包人未按合同约定办理保险，或未能使保险持续有效的，则发包人可代为办理，所需费用由承包人承担。承包人未按合同约定办理保险，导致未能得到足额赔偿的，由承包人负责补足。</w:t>
      </w:r>
    </w:p>
    <w:p w14:paraId="3BDA4C1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18.7 通知义务</w:t>
      </w:r>
    </w:p>
    <w:p w14:paraId="168A7420">
      <w:pPr>
        <w:autoSpaceDE w:val="0"/>
        <w:autoSpaceDN w:val="0"/>
        <w:snapToGrid w:val="0"/>
        <w:spacing w:line="360" w:lineRule="exact"/>
        <w:rPr>
          <w:rFonts w:ascii="楷体" w:hAnsi="楷体" w:eastAsia="楷体" w:cs="楷体"/>
          <w:color w:val="auto"/>
          <w:szCs w:val="21"/>
        </w:rPr>
      </w:pPr>
      <w:r>
        <w:rPr>
          <w:rFonts w:hint="eastAsia" w:ascii="楷体" w:hAnsi="楷体" w:eastAsia="楷体" w:cs="楷体"/>
          <w:color w:val="auto"/>
          <w:spacing w:val="5"/>
          <w:w w:val="101"/>
          <w:szCs w:val="21"/>
        </w:rPr>
        <w:t xml:space="preserve">    除专用合同条款另有约定外，发包人变更除工伤保险与安全生产责任保险之外的保险合同时，应事先征得承包人同意，并通知监理人；承包人变更除工伤保险与安全生产责任保险之外的保险合同时，应事先征得发包人同意，并通知监理人。</w:t>
      </w:r>
    </w:p>
    <w:p w14:paraId="3361E44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保险事故发生时，投保人应按照保险合同规定的条件和期限及时向保险人报告。发包人和承包人应当在知道保险事故发生后及时通知对方。  </w:t>
      </w:r>
    </w:p>
    <w:p w14:paraId="5729EE71">
      <w:pPr>
        <w:autoSpaceDE w:val="0"/>
        <w:autoSpaceDN w:val="0"/>
        <w:snapToGrid w:val="0"/>
        <w:spacing w:line="360" w:lineRule="exact"/>
        <w:rPr>
          <w:rFonts w:ascii="楷体" w:hAnsi="楷体" w:eastAsia="楷体" w:cs="楷体"/>
          <w:b/>
          <w:color w:val="auto"/>
          <w:spacing w:val="5"/>
          <w:w w:val="101"/>
          <w:szCs w:val="21"/>
        </w:rPr>
      </w:pPr>
      <w:r>
        <w:rPr>
          <w:rFonts w:hint="eastAsia" w:ascii="楷体" w:hAnsi="楷体" w:eastAsia="楷体" w:cs="楷体"/>
          <w:b/>
          <w:color w:val="auto"/>
          <w:spacing w:val="5"/>
          <w:w w:val="101"/>
          <w:szCs w:val="21"/>
        </w:rPr>
        <w:t xml:space="preserve">    19.索赔</w:t>
      </w:r>
    </w:p>
    <w:p w14:paraId="1E11E0A1">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19.1 承包人的索赔</w:t>
      </w:r>
    </w:p>
    <w:p w14:paraId="0890A3E3">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根据合同约定，承包人认为有权得到追加付款和（或）延长工期的，应按以下程序向发包人提出索赔：</w:t>
      </w:r>
    </w:p>
    <w:p w14:paraId="76097A5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（1）承包人应在知道或应当知道索赔事件发生后28天内，向监理人递交索赔意向通知书，并说明发生索赔事件的事由；承包人未在前述28天内发出索赔意向通知书的，丧失要求追加付款和（或）延长工期的权利；</w:t>
      </w:r>
    </w:p>
    <w:p w14:paraId="7BB853D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（2）承包人应在发出索赔意向通知书后28天内，向监理人正式递交索赔报告；索赔报告应详细说明索赔理由以及要求追加的付款金额和（或）延长的工期，并附必要的记录和证明材料；</w:t>
      </w:r>
    </w:p>
    <w:p w14:paraId="77447790">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（3）索赔事件具有持续影响的，承包人应按合理时间间隔继续递交延续索赔通知，说明持续影响的实际情况和记录，列出累计的追加付款金额和（或）工期延长天数；</w:t>
      </w:r>
    </w:p>
    <w:p w14:paraId="29C2620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（4）在索赔事件影响结束后 28天内，承包人应向监理人递交最终索赔报告，说明最终要求索赔的追加付款金额和（或）延长的工期，并附必要的记录和证明材料。</w:t>
      </w:r>
    </w:p>
    <w:p w14:paraId="02768DB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19.2 对承包人索赔的处理对承包人索赔的处理如下：</w:t>
      </w:r>
    </w:p>
    <w:p w14:paraId="5D7D5B05">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（1）监理人应在收到索赔报告后 14 天内完成审查并报送发包人。监理人对索赔报告存在异议的，有权要求承包人提交全部原始记录副本；</w:t>
      </w:r>
    </w:p>
    <w:p w14:paraId="664DFFD9">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（2）发包人应在监理人收到索赔报告或有关索赔的进一步证明材料后的 28 天内，由监理人向承包人出具经发包人签认的索赔处理结果。发包人逾期答复的，则视为认可承包人的索赔要求；</w:t>
      </w:r>
    </w:p>
    <w:p w14:paraId="3D81412A">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（3）承包人接受索赔处理结果的，索赔款项在当期进度款中进行支付；承包人不接受索赔处理结果的，按照第 20 条〔争议解决〕约定处理。</w:t>
      </w:r>
    </w:p>
    <w:p w14:paraId="3DE382CC">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19.3 发包人的索赔</w:t>
      </w:r>
    </w:p>
    <w:p w14:paraId="1A70E6A8">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根据合同约定，发包人认为有权得到赔付金额和（或）延长缺陷责任期的，监理人应向承包人发出通知并附有详细的证明。</w:t>
      </w:r>
    </w:p>
    <w:p w14:paraId="683955F7">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发包人应在知道或应当知道索赔事件发生后 28 天内通过监理人向承包人提出索赔意向通知书，发包人未在前述 28 天内发出索赔意向 通知书的，丧失要求赔付金额和（或）延长缺陷责任期的权利。发包人应在发出索赔意向通知书后 28 天内，通过监理人向承包人正式递交 索赔报告。</w:t>
      </w:r>
    </w:p>
    <w:p w14:paraId="36CF079F">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19.4 对发包人索赔的处理</w:t>
      </w:r>
    </w:p>
    <w:p w14:paraId="17AAA60D">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对发包人索赔的处理如下：</w:t>
      </w:r>
    </w:p>
    <w:p w14:paraId="5FECD97E">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（1）承包人收到发包人提交的索赔报告后，应及时审查索赔报告的内容、查验发包人证明材料；</w:t>
      </w:r>
    </w:p>
    <w:p w14:paraId="22F5A382">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（2）承包人应在收到索赔报告或有关索赔的进一步证明材料后28 天内，将索赔处理结果答复发包人。如果承包人未在上述期限内作出答复的，则视为对发包人索赔要求的认可；</w:t>
      </w:r>
    </w:p>
    <w:p w14:paraId="1D09CFDB">
      <w:pPr>
        <w:autoSpaceDE w:val="0"/>
        <w:autoSpaceDN w:val="0"/>
        <w:snapToGrid w:val="0"/>
        <w:spacing w:line="36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（3）承包人接受索赔处理结果的，发包人可从应支付给承包人的 合同价款中扣除赔付的金额或延长缺陷责任期；发包人不接受索赔处理结果的，按第 20 条〔争议解决〕约定处理。</w:t>
      </w:r>
    </w:p>
    <w:p w14:paraId="170E5AFC">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19.5 提出索赔的期限</w:t>
      </w:r>
    </w:p>
    <w:p w14:paraId="69F2B96C">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（1）承包人按第 14.2 款〔竣工结算审核〕约定接收竣工付款证书后，应被视为已无权再提出在工程接收证书颁发前所发生的任何索赔。</w:t>
      </w:r>
    </w:p>
    <w:p w14:paraId="1ED75220">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（2）承包人按第 14.4 款〔最终结清〕提交的最终结清申请单中，只限于提出工程接收证书颁发后发生的索赔。提出索赔的期限自接受 最终结清证书时终止。</w:t>
      </w:r>
    </w:p>
    <w:p w14:paraId="33036809">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20.争议解决</w:t>
      </w:r>
    </w:p>
    <w:p w14:paraId="5E1FCCDD">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20.1 和解</w:t>
      </w:r>
    </w:p>
    <w:p w14:paraId="4E85B795">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合同当事人可以就争议自行和解，自行和解达成协议的经双方签字并盖章后作为合同补充文件，双方均应遵照执行。</w:t>
      </w:r>
    </w:p>
    <w:p w14:paraId="30C3A4E1">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20.2 调解</w:t>
      </w:r>
    </w:p>
    <w:p w14:paraId="293549CB">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合同当事人可以就争议请求建设行政主管部门、行业协会或其他第三方进行调解，调解达成协议的，经双方签字并盖章后作为合同补充文件，双方均应遵照执行。</w:t>
      </w:r>
    </w:p>
    <w:p w14:paraId="223B658E">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20.3 争议评审</w:t>
      </w:r>
    </w:p>
    <w:p w14:paraId="2E168399">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合同当事人在专用合同条款中约定采取争议评审方式解决争议以及评审规则，并按下列约定执行：</w:t>
      </w:r>
    </w:p>
    <w:p w14:paraId="5C99DBA1">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20.3.1 争议评审小组的确定合同当事人可以共同选择一名或三名争议评审员，组成争议评审小组。除专用合同条款另有约定外，合同当事人应当自合同签订后 28天内，或者争议发生后 14 天内，选定争议评审员。</w:t>
      </w:r>
    </w:p>
    <w:p w14:paraId="7E6818DC">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除专用合同条款另有约定外，评审员报酬由发包人和承包人各承担一半。</w:t>
      </w:r>
    </w:p>
    <w:p w14:paraId="163B0360">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20.3.2 争议评审小组的决定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 14 天内作出书面决定，并说明理由。合同当事人可以在专用合同条款中对本事项另行约定。</w:t>
      </w:r>
    </w:p>
    <w:p w14:paraId="7853C374">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20.3.3 争议评审小组决定的效力</w:t>
      </w:r>
    </w:p>
    <w:p w14:paraId="5AA3D08F">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争议评审小组作出的书面决定经合同当事人签字确认后，对双方具有约束力，双方应遵照执行。任何一方当事人不接受争议评审小组决定或不履行争议评审小组决定的，双方可选择采用其他争议解决方式。</w:t>
      </w:r>
    </w:p>
    <w:p w14:paraId="25B2E9A4">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20.4 仲裁或诉讼</w:t>
      </w:r>
    </w:p>
    <w:p w14:paraId="2DB02E95">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因合同及合同有关事项产生的争议，合同当事人可以在专用合同条款中约定以下一种方式解决争议：</w:t>
      </w:r>
    </w:p>
    <w:p w14:paraId="35658511">
      <w:pPr>
        <w:autoSpaceDE w:val="0"/>
        <w:autoSpaceDN w:val="0"/>
        <w:snapToGrid w:val="0"/>
        <w:spacing w:line="350" w:lineRule="exact"/>
        <w:rPr>
          <w:rFonts w:ascii="楷体" w:hAnsi="楷体" w:eastAsia="楷体" w:cs="楷体"/>
          <w:color w:val="auto"/>
          <w:spacing w:val="5"/>
          <w:w w:val="101"/>
          <w:szCs w:val="21"/>
        </w:rPr>
      </w:pPr>
      <w:r>
        <w:rPr>
          <w:rFonts w:hint="eastAsia" w:ascii="楷体" w:hAnsi="楷体" w:eastAsia="楷体" w:cs="楷体"/>
          <w:color w:val="auto"/>
          <w:spacing w:val="5"/>
          <w:w w:val="101"/>
          <w:szCs w:val="21"/>
        </w:rPr>
        <w:t xml:space="preserve">    （1）向约定的仲裁委员会申请仲裁；</w:t>
      </w:r>
    </w:p>
    <w:p w14:paraId="74FB9104">
      <w:pPr>
        <w:autoSpaceDE w:val="0"/>
        <w:autoSpaceDN w:val="0"/>
        <w:snapToGrid w:val="0"/>
        <w:spacing w:line="350" w:lineRule="exact"/>
        <w:rPr>
          <w:rFonts w:ascii="楷体" w:hAnsi="楷体" w:eastAsia="楷体" w:cs="楷体"/>
          <w:color w:val="auto"/>
          <w:kern w:val="2"/>
          <w:szCs w:val="21"/>
        </w:rPr>
      </w:pPr>
      <w:r>
        <w:rPr>
          <w:rFonts w:hint="eastAsia" w:ascii="楷体" w:hAnsi="楷体" w:eastAsia="楷体" w:cs="楷体"/>
          <w:color w:val="auto"/>
          <w:kern w:val="2"/>
          <w:szCs w:val="21"/>
        </w:rPr>
        <w:t xml:space="preserve">    （2）向有管辖权的人民法院起诉。</w:t>
      </w:r>
    </w:p>
    <w:p w14:paraId="10F67975">
      <w:pPr>
        <w:autoSpaceDE w:val="0"/>
        <w:autoSpaceDN w:val="0"/>
        <w:snapToGrid w:val="0"/>
        <w:spacing w:line="350" w:lineRule="exact"/>
        <w:rPr>
          <w:rFonts w:ascii="楷体" w:hAnsi="楷体" w:eastAsia="楷体" w:cs="楷体"/>
          <w:color w:val="auto"/>
          <w:kern w:val="2"/>
          <w:szCs w:val="21"/>
        </w:rPr>
      </w:pPr>
      <w:r>
        <w:rPr>
          <w:rFonts w:hint="eastAsia" w:ascii="楷体" w:hAnsi="楷体" w:eastAsia="楷体" w:cs="楷体"/>
          <w:color w:val="auto"/>
          <w:kern w:val="2"/>
          <w:szCs w:val="21"/>
        </w:rPr>
        <w:t xml:space="preserve">    20.5 争议解决条款效力</w:t>
      </w:r>
    </w:p>
    <w:p w14:paraId="74E9B4F9">
      <w:pPr>
        <w:autoSpaceDE w:val="0"/>
        <w:autoSpaceDN w:val="0"/>
        <w:snapToGrid w:val="0"/>
        <w:spacing w:line="350" w:lineRule="exact"/>
        <w:rPr>
          <w:rFonts w:ascii="楷体" w:hAnsi="楷体" w:eastAsia="楷体" w:cs="楷体"/>
          <w:color w:val="auto"/>
          <w:kern w:val="2"/>
          <w:szCs w:val="21"/>
        </w:rPr>
      </w:pPr>
      <w:r>
        <w:rPr>
          <w:rFonts w:hint="eastAsia" w:ascii="楷体" w:hAnsi="楷体" w:eastAsia="楷体" w:cs="楷体"/>
          <w:color w:val="auto"/>
          <w:kern w:val="2"/>
          <w:szCs w:val="21"/>
        </w:rPr>
        <w:t xml:space="preserve">    合同有关争议解决的条款独立存在，合同的变更、解除、终止、无效或者被撤销均不影响其效力。</w:t>
      </w:r>
    </w:p>
    <w:p w14:paraId="1461A8A5">
      <w:pPr>
        <w:spacing w:line="360" w:lineRule="exact"/>
        <w:jc w:val="center"/>
        <w:outlineLvl w:val="1"/>
        <w:rPr>
          <w:rFonts w:ascii="楷体" w:hAnsi="楷体" w:eastAsia="楷体" w:cs="楷体"/>
          <w:b/>
          <w:bCs/>
          <w:color w:val="auto"/>
          <w:sz w:val="32"/>
          <w:szCs w:val="32"/>
        </w:rPr>
      </w:pPr>
      <w:r>
        <w:rPr>
          <w:rFonts w:hint="eastAsia" w:ascii="楷体" w:hAnsi="楷体" w:eastAsia="楷体" w:cs="楷体"/>
          <w:color w:val="auto"/>
        </w:rPr>
        <w:br w:type="page"/>
      </w:r>
      <w:bookmarkStart w:id="16" w:name="_Toc22522"/>
      <w:r>
        <w:rPr>
          <w:rFonts w:hint="eastAsia" w:ascii="楷体" w:hAnsi="楷体" w:eastAsia="楷体" w:cs="楷体"/>
          <w:b/>
          <w:bCs/>
          <w:color w:val="auto"/>
          <w:sz w:val="32"/>
          <w:szCs w:val="32"/>
        </w:rPr>
        <w:t>第三部分   专用合同条款</w:t>
      </w:r>
      <w:bookmarkEnd w:id="16"/>
    </w:p>
    <w:p w14:paraId="45BD18CD">
      <w:pPr>
        <w:spacing w:line="360" w:lineRule="exact"/>
        <w:rPr>
          <w:rFonts w:ascii="楷体" w:hAnsi="楷体" w:eastAsia="楷体" w:cs="楷体"/>
          <w:b/>
          <w:color w:val="auto"/>
          <w:sz w:val="12"/>
        </w:rPr>
      </w:pPr>
    </w:p>
    <w:p w14:paraId="2B4385C4">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kern w:val="2"/>
          <w:szCs w:val="21"/>
        </w:rPr>
      </w:pPr>
      <w:bookmarkStart w:id="17" w:name="_Toc23827"/>
      <w:r>
        <w:rPr>
          <w:rFonts w:hint="eastAsia" w:ascii="楷体" w:hAnsi="楷体" w:eastAsia="楷体" w:cs="楷体"/>
          <w:b/>
          <w:color w:val="auto"/>
          <w:kern w:val="2"/>
          <w:szCs w:val="21"/>
        </w:rPr>
        <w:t>1.一般约定</w:t>
      </w:r>
      <w:bookmarkEnd w:id="17"/>
    </w:p>
    <w:p w14:paraId="32205707">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1.1词语定义</w:t>
      </w:r>
    </w:p>
    <w:p w14:paraId="3E916D19">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1.1.1合同</w:t>
      </w:r>
    </w:p>
    <w:p w14:paraId="675A453F">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1.1.1.1其他合同文件包括：</w:t>
      </w:r>
      <w:r>
        <w:rPr>
          <w:rFonts w:hint="eastAsia" w:ascii="楷体" w:hAnsi="楷体" w:eastAsia="楷体" w:cs="楷体"/>
          <w:color w:val="auto"/>
          <w:szCs w:val="21"/>
          <w:u w:val="single"/>
        </w:rPr>
        <w:t>含双方签订的补充合同、设计单位签发和发包人认可的变更图纸、实际工作量变更的现场签证（必须附有金额和发包人签证）、技术交底、图纸会审纪要和相关会议文件、经发包人审定后的施工组织设计及相关的技术资料、行业标准和现行施工验收规范、安全协议、廉政合同、保修协议、发包人制定的施工现场管理规定及其他双方签署的与本项目相关的书面协议或文件视为本合同的组成部分。</w:t>
      </w:r>
    </w:p>
    <w:p w14:paraId="6A53D775">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1.1.2合同当事人及其他相关方</w:t>
      </w:r>
    </w:p>
    <w:p w14:paraId="6D48CA82">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1.1.2.4监理人：</w:t>
      </w:r>
    </w:p>
    <w:p w14:paraId="2965CEA4">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名称：</w:t>
      </w:r>
      <w:r>
        <w:rPr>
          <w:rFonts w:hint="eastAsia" w:ascii="楷体" w:hAnsi="楷体" w:eastAsia="楷体" w:cs="楷体"/>
          <w:color w:val="auto"/>
          <w:kern w:val="2"/>
          <w:szCs w:val="21"/>
          <w:u w:val="single"/>
        </w:rPr>
        <w:t xml:space="preserve"> \ </w:t>
      </w:r>
    </w:p>
    <w:p w14:paraId="0BE949D9">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资质类别和等级：</w:t>
      </w:r>
      <w:r>
        <w:rPr>
          <w:rFonts w:hint="eastAsia" w:ascii="楷体" w:hAnsi="楷体" w:eastAsia="楷体" w:cs="楷体"/>
          <w:color w:val="auto"/>
          <w:kern w:val="2"/>
          <w:szCs w:val="21"/>
          <w:u w:val="single"/>
        </w:rPr>
        <w:t xml:space="preserve"> \ </w:t>
      </w:r>
    </w:p>
    <w:p w14:paraId="62099CAA">
      <w:pPr>
        <w:tabs>
          <w:tab w:val="left" w:pos="1752"/>
        </w:tabs>
        <w:snapToGrid w:val="0"/>
        <w:spacing w:line="360" w:lineRule="exact"/>
        <w:ind w:firstLine="404" w:firstLineChars="200"/>
        <w:rPr>
          <w:rFonts w:ascii="楷体" w:hAnsi="楷体" w:eastAsia="楷体" w:cs="楷体"/>
          <w:color w:val="auto"/>
          <w:kern w:val="2"/>
          <w:szCs w:val="21"/>
          <w:u w:val="single"/>
        </w:rPr>
      </w:pPr>
      <w:r>
        <w:rPr>
          <w:rFonts w:hint="eastAsia" w:ascii="楷体" w:hAnsi="楷体" w:eastAsia="楷体" w:cs="楷体"/>
          <w:color w:val="auto"/>
          <w:kern w:val="2"/>
          <w:szCs w:val="21"/>
        </w:rPr>
        <w:t>联系电话：</w:t>
      </w:r>
      <w:r>
        <w:rPr>
          <w:rFonts w:hint="eastAsia" w:ascii="楷体" w:hAnsi="楷体" w:eastAsia="楷体" w:cs="楷体"/>
          <w:color w:val="auto"/>
          <w:kern w:val="2"/>
          <w:szCs w:val="21"/>
          <w:u w:val="single"/>
        </w:rPr>
        <w:t xml:space="preserve"> \ </w:t>
      </w:r>
    </w:p>
    <w:p w14:paraId="5EBC1F1E">
      <w:pPr>
        <w:tabs>
          <w:tab w:val="left" w:pos="1752"/>
        </w:tabs>
        <w:snapToGrid w:val="0"/>
        <w:spacing w:line="360" w:lineRule="exact"/>
        <w:ind w:firstLine="404" w:firstLineChars="200"/>
        <w:rPr>
          <w:rFonts w:ascii="楷体" w:hAnsi="楷体" w:eastAsia="楷体" w:cs="楷体"/>
          <w:color w:val="auto"/>
          <w:kern w:val="2"/>
          <w:szCs w:val="21"/>
          <w:u w:val="single"/>
        </w:rPr>
      </w:pPr>
      <w:r>
        <w:rPr>
          <w:rFonts w:hint="eastAsia" w:ascii="楷体" w:hAnsi="楷体" w:eastAsia="楷体" w:cs="楷体"/>
          <w:color w:val="auto"/>
          <w:kern w:val="2"/>
          <w:szCs w:val="21"/>
        </w:rPr>
        <w:t>电子信箱：</w:t>
      </w:r>
      <w:r>
        <w:rPr>
          <w:rFonts w:hint="eastAsia" w:ascii="楷体" w:hAnsi="楷体" w:eastAsia="楷体" w:cs="楷体"/>
          <w:color w:val="auto"/>
          <w:kern w:val="2"/>
          <w:szCs w:val="21"/>
          <w:u w:val="single"/>
        </w:rPr>
        <w:t xml:space="preserve"> \ </w:t>
      </w:r>
    </w:p>
    <w:p w14:paraId="1719E7BF">
      <w:pPr>
        <w:tabs>
          <w:tab w:val="left" w:pos="1752"/>
        </w:tabs>
        <w:snapToGrid w:val="0"/>
        <w:spacing w:line="360" w:lineRule="exact"/>
        <w:ind w:firstLine="404" w:firstLineChars="200"/>
        <w:rPr>
          <w:rFonts w:ascii="楷体" w:hAnsi="楷体" w:eastAsia="楷体" w:cs="楷体"/>
          <w:color w:val="auto"/>
          <w:kern w:val="2"/>
          <w:szCs w:val="21"/>
          <w:u w:val="single"/>
        </w:rPr>
      </w:pPr>
      <w:r>
        <w:rPr>
          <w:rFonts w:hint="eastAsia" w:ascii="楷体" w:hAnsi="楷体" w:eastAsia="楷体" w:cs="楷体"/>
          <w:color w:val="auto"/>
          <w:kern w:val="2"/>
          <w:szCs w:val="21"/>
        </w:rPr>
        <w:t>通信地址：</w:t>
      </w:r>
      <w:r>
        <w:rPr>
          <w:rFonts w:hint="eastAsia" w:ascii="楷体" w:hAnsi="楷体" w:eastAsia="楷体" w:cs="楷体"/>
          <w:color w:val="auto"/>
          <w:kern w:val="2"/>
          <w:szCs w:val="21"/>
          <w:u w:val="single"/>
        </w:rPr>
        <w:t xml:space="preserve"> \ </w:t>
      </w:r>
    </w:p>
    <w:p w14:paraId="010E9E1B">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1.1.2.5设计人：</w:t>
      </w:r>
    </w:p>
    <w:p w14:paraId="48A1AB41">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名称：</w:t>
      </w:r>
      <w:r>
        <w:rPr>
          <w:rFonts w:hint="eastAsia" w:ascii="楷体" w:hAnsi="楷体" w:eastAsia="楷体" w:cs="楷体"/>
          <w:color w:val="auto"/>
          <w:kern w:val="2"/>
          <w:szCs w:val="21"/>
          <w:u w:val="single"/>
        </w:rPr>
        <w:t>详见本工程设计合同；</w:t>
      </w:r>
    </w:p>
    <w:p w14:paraId="28E091B3">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资质类别和等级：</w:t>
      </w:r>
      <w:r>
        <w:rPr>
          <w:rFonts w:hint="eastAsia" w:ascii="楷体" w:hAnsi="楷体" w:eastAsia="楷体" w:cs="楷体"/>
          <w:color w:val="auto"/>
          <w:kern w:val="2"/>
          <w:szCs w:val="21"/>
          <w:u w:val="single"/>
        </w:rPr>
        <w:t>详见本工程设计合同；</w:t>
      </w:r>
    </w:p>
    <w:p w14:paraId="44AA22E7">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联系电话：</w:t>
      </w:r>
      <w:r>
        <w:rPr>
          <w:rFonts w:hint="eastAsia" w:ascii="楷体" w:hAnsi="楷体" w:eastAsia="楷体" w:cs="楷体"/>
          <w:color w:val="auto"/>
          <w:kern w:val="2"/>
          <w:szCs w:val="21"/>
          <w:u w:val="single"/>
        </w:rPr>
        <w:t>详见本工程设计合同；</w:t>
      </w:r>
    </w:p>
    <w:p w14:paraId="663EAF67">
      <w:pPr>
        <w:tabs>
          <w:tab w:val="left" w:pos="1752"/>
        </w:tabs>
        <w:snapToGrid w:val="0"/>
        <w:spacing w:line="360" w:lineRule="exact"/>
        <w:ind w:firstLine="404" w:firstLineChars="200"/>
        <w:rPr>
          <w:rFonts w:ascii="楷体" w:hAnsi="楷体" w:eastAsia="楷体" w:cs="楷体"/>
          <w:color w:val="auto"/>
          <w:kern w:val="2"/>
          <w:szCs w:val="21"/>
          <w:u w:val="single"/>
        </w:rPr>
      </w:pPr>
      <w:r>
        <w:rPr>
          <w:rFonts w:hint="eastAsia" w:ascii="楷体" w:hAnsi="楷体" w:eastAsia="楷体" w:cs="楷体"/>
          <w:color w:val="auto"/>
          <w:kern w:val="2"/>
          <w:szCs w:val="21"/>
        </w:rPr>
        <w:t>电子信箱：</w:t>
      </w:r>
      <w:r>
        <w:rPr>
          <w:rFonts w:hint="eastAsia" w:ascii="楷体" w:hAnsi="楷体" w:eastAsia="楷体" w:cs="楷体"/>
          <w:color w:val="auto"/>
          <w:kern w:val="2"/>
          <w:szCs w:val="21"/>
          <w:u w:val="single"/>
        </w:rPr>
        <w:t>详见本工程设计合同；</w:t>
      </w:r>
    </w:p>
    <w:p w14:paraId="44C4E92D">
      <w:pPr>
        <w:tabs>
          <w:tab w:val="left" w:pos="1752"/>
        </w:tabs>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通信地址：</w:t>
      </w:r>
      <w:r>
        <w:rPr>
          <w:rFonts w:hint="eastAsia" w:ascii="楷体" w:hAnsi="楷体" w:eastAsia="楷体" w:cs="楷体"/>
          <w:color w:val="auto"/>
          <w:kern w:val="2"/>
          <w:szCs w:val="21"/>
          <w:u w:val="single"/>
        </w:rPr>
        <w:t>详见本工程设计合同。</w:t>
      </w:r>
    </w:p>
    <w:p w14:paraId="657DEDBB">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1.1.3工程和设备</w:t>
      </w:r>
    </w:p>
    <w:p w14:paraId="0FB124AA">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1.1.3.1作为施工现场组成部分的其他场所包括：</w:t>
      </w:r>
      <w:r>
        <w:rPr>
          <w:rFonts w:hint="eastAsia" w:ascii="楷体" w:hAnsi="楷体" w:eastAsia="楷体" w:cs="楷体"/>
          <w:color w:val="auto"/>
          <w:kern w:val="2"/>
          <w:szCs w:val="21"/>
          <w:u w:val="single"/>
        </w:rPr>
        <w:t>符合通用条款规定的发包人提供的施工场地</w:t>
      </w:r>
      <w:r>
        <w:rPr>
          <w:rFonts w:hint="eastAsia" w:ascii="楷体" w:hAnsi="楷体" w:eastAsia="楷体" w:cs="楷体"/>
          <w:color w:val="auto"/>
          <w:kern w:val="2"/>
          <w:szCs w:val="21"/>
        </w:rPr>
        <w:t>。</w:t>
      </w:r>
    </w:p>
    <w:p w14:paraId="77B46EEA">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1.1.3.2永久占地包括：</w:t>
      </w:r>
      <w:r>
        <w:rPr>
          <w:rFonts w:hint="eastAsia" w:ascii="楷体" w:hAnsi="楷体" w:eastAsia="楷体" w:cs="楷体"/>
          <w:color w:val="auto"/>
          <w:kern w:val="2"/>
          <w:szCs w:val="21"/>
          <w:u w:val="single"/>
        </w:rPr>
        <w:t>发包人按红线图提供</w:t>
      </w:r>
      <w:r>
        <w:rPr>
          <w:rFonts w:hint="eastAsia" w:ascii="楷体" w:hAnsi="楷体" w:eastAsia="楷体" w:cs="楷体"/>
          <w:color w:val="auto"/>
          <w:kern w:val="2"/>
          <w:szCs w:val="21"/>
        </w:rPr>
        <w:t xml:space="preserve"> 。</w:t>
      </w:r>
    </w:p>
    <w:p w14:paraId="0D1CF59E">
      <w:pPr>
        <w:tabs>
          <w:tab w:val="left" w:pos="175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1.1.3.3临时占地包括：</w:t>
      </w:r>
      <w:r>
        <w:rPr>
          <w:rFonts w:hint="eastAsia" w:ascii="楷体" w:hAnsi="楷体" w:eastAsia="楷体" w:cs="楷体"/>
          <w:color w:val="auto"/>
          <w:kern w:val="2"/>
          <w:szCs w:val="21"/>
          <w:u w:val="single"/>
        </w:rPr>
        <w:t>发包人不提供临时占地，临时设施用地的手续办理由承包人负责，相关费用由承包人自行承担</w:t>
      </w:r>
      <w:r>
        <w:rPr>
          <w:rFonts w:hint="eastAsia" w:ascii="楷体" w:hAnsi="楷体" w:eastAsia="楷体" w:cs="楷体"/>
          <w:color w:val="auto"/>
          <w:kern w:val="2"/>
          <w:szCs w:val="21"/>
        </w:rPr>
        <w:t>。</w:t>
      </w:r>
    </w:p>
    <w:p w14:paraId="1755B423">
      <w:pPr>
        <w:tabs>
          <w:tab w:val="left" w:pos="1752"/>
        </w:tabs>
        <w:autoSpaceDE w:val="0"/>
        <w:autoSpaceDN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1.1.3.7作为施工现场组成部分的其他场所包括：</w:t>
      </w:r>
      <w:r>
        <w:rPr>
          <w:rFonts w:hint="eastAsia" w:ascii="楷体" w:hAnsi="楷体" w:eastAsia="楷体" w:cs="楷体"/>
          <w:color w:val="auto"/>
          <w:kern w:val="2"/>
          <w:szCs w:val="21"/>
          <w:u w:val="single"/>
        </w:rPr>
        <w:t>无。</w:t>
      </w:r>
    </w:p>
    <w:p w14:paraId="4D2FCBD2">
      <w:pPr>
        <w:tabs>
          <w:tab w:val="left" w:pos="1349"/>
        </w:tabs>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1.3法律</w:t>
      </w:r>
    </w:p>
    <w:p w14:paraId="5BB26408">
      <w:pPr>
        <w:autoSpaceDE w:val="0"/>
        <w:autoSpaceDN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适用于合同的其他规范性文件：</w:t>
      </w:r>
      <w:r>
        <w:rPr>
          <w:rFonts w:hint="eastAsia" w:ascii="楷体" w:hAnsi="楷体" w:eastAsia="楷体" w:cs="楷体"/>
          <w:color w:val="auto"/>
          <w:szCs w:val="21"/>
          <w:u w:val="single"/>
        </w:rPr>
        <w:t>《中华人民共和国建筑法》《中华人民共和国民法典》《建设工程安全生产管理条例》《湖南省建筑市场管理条例》以及长沙经济技术开发区管理委员会下发（包括后续发布）的有关工程建设的规范性文件。</w:t>
      </w:r>
    </w:p>
    <w:p w14:paraId="71FEED75">
      <w:pPr>
        <w:tabs>
          <w:tab w:val="left" w:pos="1349"/>
        </w:tabs>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1.4标准和规范</w:t>
      </w:r>
    </w:p>
    <w:p w14:paraId="23F68D1A">
      <w:pPr>
        <w:tabs>
          <w:tab w:val="left" w:pos="1550"/>
        </w:tabs>
        <w:autoSpaceDE w:val="0"/>
        <w:autoSpaceDN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1.4.1适用于工程的标准规范包括：</w:t>
      </w:r>
      <w:r>
        <w:rPr>
          <w:rFonts w:hint="eastAsia" w:ascii="楷体" w:hAnsi="楷体" w:eastAsia="楷体" w:cs="楷体"/>
          <w:color w:val="auto"/>
          <w:kern w:val="2"/>
          <w:szCs w:val="21"/>
          <w:u w:val="single"/>
        </w:rPr>
        <w:t>《建筑工程施工质量验收统一标准》《建设工程监理规范》《建设工程质量检验评定标准》、现行的国家行业标准规范以及长沙经济技术开发区管理委员会下发（包括后续发布）的有关工程建设的标准规范</w:t>
      </w:r>
      <w:r>
        <w:rPr>
          <w:rFonts w:hint="eastAsia" w:ascii="楷体" w:hAnsi="楷体" w:eastAsia="楷体" w:cs="楷体"/>
          <w:color w:val="auto"/>
          <w:kern w:val="2"/>
          <w:szCs w:val="21"/>
        </w:rPr>
        <w:t>。</w:t>
      </w:r>
    </w:p>
    <w:p w14:paraId="15569790">
      <w:pPr>
        <w:tabs>
          <w:tab w:val="left" w:pos="1550"/>
          <w:tab w:val="left" w:pos="5179"/>
          <w:tab w:val="left" w:pos="5784"/>
        </w:tabs>
        <w:autoSpaceDE w:val="0"/>
        <w:autoSpaceDN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1.4.2发包人提供国外标准、规范的名称：</w:t>
      </w:r>
      <w:r>
        <w:rPr>
          <w:rFonts w:hint="eastAsia" w:ascii="楷体" w:hAnsi="楷体" w:eastAsia="楷体" w:cs="楷体"/>
          <w:color w:val="auto"/>
          <w:kern w:val="2"/>
          <w:szCs w:val="21"/>
          <w:u w:val="single"/>
        </w:rPr>
        <w:t>无</w:t>
      </w:r>
      <w:r>
        <w:rPr>
          <w:rFonts w:hint="eastAsia" w:ascii="楷体" w:hAnsi="楷体" w:eastAsia="楷体" w:cs="楷体"/>
          <w:color w:val="auto"/>
          <w:kern w:val="2"/>
          <w:szCs w:val="21"/>
        </w:rPr>
        <w:t>；</w:t>
      </w:r>
    </w:p>
    <w:p w14:paraId="174C18DE">
      <w:pPr>
        <w:tabs>
          <w:tab w:val="left" w:pos="4728"/>
          <w:tab w:val="left" w:pos="5434"/>
        </w:tabs>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发包人提供国外标准、规范的份数：</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2FDC573D">
      <w:pPr>
        <w:tabs>
          <w:tab w:val="left" w:pos="4728"/>
          <w:tab w:val="left" w:pos="5434"/>
        </w:tabs>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发包人提供国外标准、规范的名称：</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1BE40F23">
      <w:pPr>
        <w:tabs>
          <w:tab w:val="left" w:pos="1550"/>
        </w:tabs>
        <w:autoSpaceDE w:val="0"/>
        <w:autoSpaceDN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1.4.3发包人对工程的技术标准和功能要求的特殊要求：</w:t>
      </w:r>
      <w:r>
        <w:rPr>
          <w:rFonts w:hint="eastAsia" w:ascii="楷体" w:hAnsi="楷体" w:eastAsia="楷体" w:cs="楷体"/>
          <w:color w:val="auto"/>
          <w:kern w:val="2"/>
          <w:szCs w:val="21"/>
          <w:u w:val="single"/>
        </w:rPr>
        <w:t>达到发包人合理合法要求</w:t>
      </w:r>
      <w:r>
        <w:rPr>
          <w:rFonts w:hint="eastAsia" w:ascii="楷体" w:hAnsi="楷体" w:eastAsia="楷体" w:cs="楷体"/>
          <w:color w:val="auto"/>
          <w:kern w:val="2"/>
          <w:szCs w:val="21"/>
        </w:rPr>
        <w:t xml:space="preserve"> 。</w:t>
      </w:r>
    </w:p>
    <w:p w14:paraId="674F1912">
      <w:pPr>
        <w:tabs>
          <w:tab w:val="left" w:pos="1349"/>
        </w:tabs>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1.5合同文件的优先顺序</w:t>
      </w:r>
    </w:p>
    <w:p w14:paraId="2D29DD5A">
      <w:pPr>
        <w:autoSpaceDE w:val="0"/>
        <w:autoSpaceDN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合同文件组成及优先顺序为：</w:t>
      </w:r>
    </w:p>
    <w:p w14:paraId="78ADC7D6">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（1）本协议书；</w:t>
      </w:r>
    </w:p>
    <w:p w14:paraId="22C81D15">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（2）成交通知书；</w:t>
      </w:r>
    </w:p>
    <w:p w14:paraId="29742A4D">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（3）专用合同条件及附件；</w:t>
      </w:r>
    </w:p>
    <w:p w14:paraId="4F4D9C3B">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（4）投标函及投标函附录；</w:t>
      </w:r>
    </w:p>
    <w:p w14:paraId="4BE0C62A">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（5）磋商文件及其附件；</w:t>
      </w:r>
    </w:p>
    <w:p w14:paraId="7CDA58E9">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（6）通用合同条件；</w:t>
      </w:r>
    </w:p>
    <w:p w14:paraId="7F64F785">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（7）技术标准、规范和要求；</w:t>
      </w:r>
    </w:p>
    <w:p w14:paraId="16A510B8">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（8）图纸；</w:t>
      </w:r>
    </w:p>
    <w:p w14:paraId="1AA07481">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 xml:space="preserve">（9）已标价工程量清单（指已执行成交优惠率后的工程量清单，下同）或预算书； </w:t>
      </w:r>
    </w:p>
    <w:p w14:paraId="5C5CD37B">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（10）双方约定的其他合同文件。</w:t>
      </w:r>
    </w:p>
    <w:p w14:paraId="45D76E4D">
      <w:pPr>
        <w:autoSpaceDE w:val="0"/>
        <w:autoSpaceDN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（11）项目部人员任命函及证件</w:t>
      </w:r>
    </w:p>
    <w:p w14:paraId="37D2794B">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1.6图纸和承包人文件</w:t>
      </w:r>
    </w:p>
    <w:p w14:paraId="71C46347">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1.6.1图纸的提供</w:t>
      </w:r>
    </w:p>
    <w:p w14:paraId="638D69D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发包人向承包人提供图纸的期限：</w:t>
      </w:r>
      <w:r>
        <w:rPr>
          <w:rFonts w:hint="eastAsia" w:ascii="楷体" w:hAnsi="楷体" w:eastAsia="楷体" w:cs="楷体"/>
          <w:color w:val="auto"/>
          <w:szCs w:val="21"/>
          <w:u w:val="single"/>
        </w:rPr>
        <w:t>开工前七天</w:t>
      </w:r>
      <w:r>
        <w:rPr>
          <w:rFonts w:hint="eastAsia" w:ascii="楷体" w:hAnsi="楷体" w:eastAsia="楷体" w:cs="楷体"/>
          <w:color w:val="auto"/>
          <w:szCs w:val="21"/>
        </w:rPr>
        <w:t xml:space="preserve"> ；</w:t>
      </w:r>
    </w:p>
    <w:p w14:paraId="33E4CD4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发包人向承包人提供图纸的数量：</w:t>
      </w:r>
      <w:r>
        <w:rPr>
          <w:rFonts w:hint="eastAsia" w:ascii="楷体" w:hAnsi="楷体" w:eastAsia="楷体" w:cs="楷体"/>
          <w:color w:val="auto"/>
          <w:szCs w:val="21"/>
          <w:u w:val="single"/>
        </w:rPr>
        <w:t>贰份，任何施工图纸必须经发包人书面确认，未经发包人书面确认的施工图纸无效</w:t>
      </w:r>
      <w:r>
        <w:rPr>
          <w:rFonts w:hint="eastAsia" w:ascii="楷体" w:hAnsi="楷体" w:eastAsia="楷体" w:cs="楷体"/>
          <w:color w:val="auto"/>
          <w:szCs w:val="21"/>
        </w:rPr>
        <w:t>；</w:t>
      </w:r>
    </w:p>
    <w:p w14:paraId="1F4BD44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发包人对图纸的保密要求：承包人对发包人提供的图纸、规范和其他文件承担保密责任，未经发包人书面同意，严禁外传，并不得用于本项目无关的方面。</w:t>
      </w:r>
    </w:p>
    <w:p w14:paraId="56D83C1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发包人向承包人提供图纸的内容：</w:t>
      </w:r>
      <w:r>
        <w:rPr>
          <w:rFonts w:hint="eastAsia" w:ascii="楷体" w:hAnsi="楷体" w:eastAsia="楷体" w:cs="楷体"/>
          <w:color w:val="auto"/>
          <w:szCs w:val="21"/>
          <w:u w:val="single"/>
        </w:rPr>
        <w:t>满足本工程施工及验收需要的所有施工图图纸及技术要求</w:t>
      </w:r>
      <w:r>
        <w:rPr>
          <w:rFonts w:hint="eastAsia" w:ascii="楷体" w:hAnsi="楷体" w:eastAsia="楷体" w:cs="楷体"/>
          <w:color w:val="auto"/>
          <w:szCs w:val="21"/>
        </w:rPr>
        <w:t>。</w:t>
      </w:r>
    </w:p>
    <w:p w14:paraId="26DEABF0">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图纸会审和技术交底期限：</w:t>
      </w:r>
      <w:r>
        <w:rPr>
          <w:rFonts w:hint="eastAsia" w:ascii="楷体" w:hAnsi="楷体" w:eastAsia="楷体" w:cs="楷体"/>
          <w:color w:val="auto"/>
          <w:szCs w:val="21"/>
          <w:u w:val="single"/>
        </w:rPr>
        <w:t>发包人下发任务函后7天内。</w:t>
      </w:r>
    </w:p>
    <w:p w14:paraId="51802C22">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1.6.4承包人文件</w:t>
      </w:r>
    </w:p>
    <w:p w14:paraId="68004674">
      <w:pPr>
        <w:snapToGrid w:val="0"/>
        <w:spacing w:line="360" w:lineRule="exact"/>
        <w:ind w:firstLine="482"/>
        <w:jc w:val="left"/>
        <w:rPr>
          <w:rFonts w:ascii="楷体" w:hAnsi="楷体" w:eastAsia="楷体" w:cs="楷体"/>
          <w:color w:val="auto"/>
          <w:w w:val="101"/>
          <w:szCs w:val="21"/>
          <w:u w:val="single"/>
        </w:rPr>
      </w:pPr>
      <w:r>
        <w:rPr>
          <w:rFonts w:hint="eastAsia" w:ascii="楷体" w:hAnsi="楷体" w:eastAsia="楷体" w:cs="楷体"/>
          <w:color w:val="auto"/>
          <w:w w:val="101"/>
          <w:szCs w:val="21"/>
        </w:rPr>
        <w:t>需要由承包人提供的文件，包括但不限于：</w:t>
      </w:r>
      <w:r>
        <w:rPr>
          <w:rFonts w:hint="eastAsia" w:ascii="楷体" w:hAnsi="楷体" w:eastAsia="楷体" w:cs="楷体"/>
          <w:color w:val="auto"/>
          <w:w w:val="101"/>
          <w:szCs w:val="21"/>
          <w:u w:val="single"/>
        </w:rPr>
        <w:t>施工方案类（施工组织设计；专项安全施工方案；分部分项工程施工方案等）、计划报表类（工程进度计划；工程进展情况；人员、设备、材料安排及到位情况等）、申请报告类（洽商变更申请；材料品牌报批；隐蔽工程验收申请；分部、分项工程验收申请；竣工验收申请；工程款支付申请、中间计量调整等）。</w:t>
      </w:r>
    </w:p>
    <w:p w14:paraId="789772ED">
      <w:pPr>
        <w:snapToGrid w:val="0"/>
        <w:spacing w:line="360" w:lineRule="exact"/>
        <w:ind w:firstLine="482"/>
        <w:jc w:val="left"/>
        <w:rPr>
          <w:rFonts w:ascii="楷体" w:hAnsi="楷体" w:eastAsia="楷体" w:cs="楷体"/>
          <w:color w:val="auto"/>
          <w:w w:val="101"/>
          <w:szCs w:val="21"/>
        </w:rPr>
      </w:pPr>
      <w:r>
        <w:rPr>
          <w:rFonts w:hint="eastAsia" w:ascii="楷体" w:hAnsi="楷体" w:eastAsia="楷体" w:cs="楷体"/>
          <w:color w:val="auto"/>
          <w:w w:val="101"/>
          <w:szCs w:val="21"/>
        </w:rPr>
        <w:t>另外，承包人配合发包人办理许可批准手续，按下表要求提供资料：</w:t>
      </w:r>
    </w:p>
    <w:tbl>
      <w:tblPr>
        <w:tblStyle w:val="19"/>
        <w:tblW w:w="9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926"/>
        <w:gridCol w:w="7149"/>
      </w:tblGrid>
      <w:tr w14:paraId="3A1D9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1120" w:type="dxa"/>
            <w:tcBorders>
              <w:top w:val="single" w:color="auto" w:sz="4" w:space="0"/>
              <w:left w:val="single" w:color="auto" w:sz="4" w:space="0"/>
              <w:bottom w:val="single" w:color="auto" w:sz="4" w:space="0"/>
              <w:right w:val="single" w:color="auto" w:sz="4" w:space="0"/>
            </w:tcBorders>
            <w:vAlign w:val="center"/>
          </w:tcPr>
          <w:p w14:paraId="4716545A">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时间阶段</w:t>
            </w:r>
          </w:p>
        </w:tc>
        <w:tc>
          <w:tcPr>
            <w:tcW w:w="926" w:type="dxa"/>
            <w:tcBorders>
              <w:top w:val="single" w:color="auto" w:sz="4" w:space="0"/>
              <w:left w:val="single" w:color="auto" w:sz="4" w:space="0"/>
              <w:bottom w:val="single" w:color="auto" w:sz="4" w:space="0"/>
              <w:right w:val="single" w:color="auto" w:sz="4" w:space="0"/>
            </w:tcBorders>
            <w:vAlign w:val="center"/>
          </w:tcPr>
          <w:p w14:paraId="1553B363">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序号</w:t>
            </w:r>
          </w:p>
        </w:tc>
        <w:tc>
          <w:tcPr>
            <w:tcW w:w="7149" w:type="dxa"/>
            <w:tcBorders>
              <w:top w:val="single" w:color="auto" w:sz="4" w:space="0"/>
              <w:left w:val="single" w:color="auto" w:sz="4" w:space="0"/>
              <w:bottom w:val="single" w:color="auto" w:sz="4" w:space="0"/>
              <w:right w:val="single" w:color="auto" w:sz="4" w:space="0"/>
            </w:tcBorders>
            <w:vAlign w:val="center"/>
          </w:tcPr>
          <w:p w14:paraId="46825ABF">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资料名称</w:t>
            </w:r>
          </w:p>
        </w:tc>
      </w:tr>
      <w:tr w14:paraId="361DD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1120" w:type="dxa"/>
            <w:vMerge w:val="restart"/>
            <w:tcBorders>
              <w:top w:val="single" w:color="auto" w:sz="4" w:space="0"/>
              <w:left w:val="single" w:color="auto" w:sz="4" w:space="0"/>
              <w:bottom w:val="single" w:color="auto" w:sz="4" w:space="0"/>
              <w:right w:val="single" w:color="auto" w:sz="4" w:space="0"/>
            </w:tcBorders>
            <w:vAlign w:val="center"/>
          </w:tcPr>
          <w:p w14:paraId="3A6EC2CC">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成交公示</w:t>
            </w:r>
          </w:p>
          <w:p w14:paraId="0E8C0183">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期满15日内</w:t>
            </w:r>
          </w:p>
        </w:tc>
        <w:tc>
          <w:tcPr>
            <w:tcW w:w="926" w:type="dxa"/>
            <w:tcBorders>
              <w:top w:val="single" w:color="auto" w:sz="4" w:space="0"/>
              <w:left w:val="single" w:color="auto" w:sz="4" w:space="0"/>
              <w:bottom w:val="single" w:color="auto" w:sz="4" w:space="0"/>
              <w:right w:val="single" w:color="auto" w:sz="4" w:space="0"/>
            </w:tcBorders>
            <w:vAlign w:val="center"/>
          </w:tcPr>
          <w:p w14:paraId="5E946C23">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1</w:t>
            </w:r>
          </w:p>
        </w:tc>
        <w:tc>
          <w:tcPr>
            <w:tcW w:w="7149" w:type="dxa"/>
            <w:tcBorders>
              <w:top w:val="single" w:color="auto" w:sz="4" w:space="0"/>
              <w:left w:val="single" w:color="auto" w:sz="4" w:space="0"/>
              <w:bottom w:val="single" w:color="auto" w:sz="4" w:space="0"/>
              <w:right w:val="single" w:color="auto" w:sz="4" w:space="0"/>
            </w:tcBorders>
            <w:vAlign w:val="center"/>
          </w:tcPr>
          <w:p w14:paraId="2EB05456">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项目经理及项目相关负责人证复印件（盖公章核对原件）</w:t>
            </w:r>
          </w:p>
        </w:tc>
      </w:tr>
      <w:tr w14:paraId="2B27F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0462BCD7">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4575D10C">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2</w:t>
            </w:r>
          </w:p>
        </w:tc>
        <w:tc>
          <w:tcPr>
            <w:tcW w:w="7149" w:type="dxa"/>
            <w:tcBorders>
              <w:top w:val="single" w:color="auto" w:sz="4" w:space="0"/>
              <w:left w:val="single" w:color="auto" w:sz="4" w:space="0"/>
              <w:bottom w:val="single" w:color="auto" w:sz="4" w:space="0"/>
              <w:right w:val="single" w:color="auto" w:sz="4" w:space="0"/>
            </w:tcBorders>
            <w:vAlign w:val="center"/>
          </w:tcPr>
          <w:p w14:paraId="7606F9F7">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施工单位营业执照、资质证书（提供外来企业备案表）、安全生产许可证（1份复印件，盖公章）</w:t>
            </w:r>
          </w:p>
        </w:tc>
      </w:tr>
      <w:tr w14:paraId="5D6D3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113571EB">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4EF35267">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3</w:t>
            </w:r>
          </w:p>
        </w:tc>
        <w:tc>
          <w:tcPr>
            <w:tcW w:w="7149" w:type="dxa"/>
            <w:tcBorders>
              <w:top w:val="single" w:color="auto" w:sz="4" w:space="0"/>
              <w:left w:val="single" w:color="auto" w:sz="4" w:space="0"/>
              <w:bottom w:val="single" w:color="auto" w:sz="4" w:space="0"/>
              <w:right w:val="single" w:color="auto" w:sz="4" w:space="0"/>
            </w:tcBorders>
            <w:vAlign w:val="center"/>
          </w:tcPr>
          <w:p w14:paraId="4C80088C">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施工单位资质等级证书、安全生产许可证，项目经理、工程技术负责人、</w:t>
            </w:r>
          </w:p>
          <w:p w14:paraId="1FBD5673">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安全员、施工员、质检员、资料员资格证书，三类人员安全生产考核合格</w:t>
            </w:r>
          </w:p>
          <w:p w14:paraId="45AFC8DB">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证、特种工上岗证（复印件，盖公章），项目人员委派通知书（红头文、</w:t>
            </w:r>
          </w:p>
          <w:p w14:paraId="0F7860BB">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原件），以上资料复印件3份，均盖公章</w:t>
            </w:r>
          </w:p>
        </w:tc>
      </w:tr>
      <w:tr w14:paraId="44ED1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64CA4425">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2A7EBAFA">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4</w:t>
            </w:r>
          </w:p>
        </w:tc>
        <w:tc>
          <w:tcPr>
            <w:tcW w:w="7149" w:type="dxa"/>
            <w:tcBorders>
              <w:top w:val="single" w:color="auto" w:sz="4" w:space="0"/>
              <w:left w:val="single" w:color="auto" w:sz="4" w:space="0"/>
              <w:bottom w:val="single" w:color="auto" w:sz="4" w:space="0"/>
              <w:right w:val="single" w:color="auto" w:sz="4" w:space="0"/>
            </w:tcBorders>
            <w:vAlign w:val="center"/>
          </w:tcPr>
          <w:p w14:paraId="71374FCF">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签订施工合同</w:t>
            </w:r>
          </w:p>
        </w:tc>
      </w:tr>
      <w:tr w14:paraId="0AE1B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03ABCFDA">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0611497B">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5</w:t>
            </w:r>
          </w:p>
        </w:tc>
        <w:tc>
          <w:tcPr>
            <w:tcW w:w="7149" w:type="dxa"/>
            <w:tcBorders>
              <w:top w:val="single" w:color="auto" w:sz="4" w:space="0"/>
              <w:left w:val="single" w:color="auto" w:sz="4" w:space="0"/>
              <w:bottom w:val="single" w:color="auto" w:sz="4" w:space="0"/>
              <w:right w:val="single" w:color="auto" w:sz="4" w:space="0"/>
            </w:tcBorders>
            <w:vAlign w:val="center"/>
          </w:tcPr>
          <w:p w14:paraId="2FB422B9">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网上确认施工合同</w:t>
            </w:r>
          </w:p>
        </w:tc>
      </w:tr>
      <w:tr w14:paraId="5804C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20" w:type="dxa"/>
            <w:tcBorders>
              <w:top w:val="single" w:color="auto" w:sz="4" w:space="0"/>
              <w:left w:val="single" w:color="auto" w:sz="4" w:space="0"/>
              <w:bottom w:val="single" w:color="auto" w:sz="4" w:space="0"/>
              <w:right w:val="single" w:color="auto" w:sz="4" w:space="0"/>
            </w:tcBorders>
            <w:vAlign w:val="center"/>
          </w:tcPr>
          <w:p w14:paraId="221736F8">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签订合同</w:t>
            </w:r>
          </w:p>
          <w:p w14:paraId="4E0C952E">
            <w:pPr>
              <w:widowControl/>
              <w:spacing w:line="360" w:lineRule="exact"/>
              <w:jc w:val="left"/>
              <w:rPr>
                <w:rFonts w:ascii="楷体" w:hAnsi="楷体" w:eastAsia="楷体" w:cs="楷体"/>
                <w:color w:val="auto"/>
                <w:w w:val="101"/>
                <w:szCs w:val="21"/>
              </w:rPr>
            </w:pPr>
            <w:r>
              <w:rPr>
                <w:rFonts w:hint="eastAsia" w:ascii="楷体" w:hAnsi="楷体" w:eastAsia="楷体" w:cs="楷体"/>
                <w:color w:val="auto"/>
                <w:w w:val="101"/>
                <w:szCs w:val="21"/>
              </w:rPr>
              <w:t>当日</w:t>
            </w:r>
          </w:p>
        </w:tc>
        <w:tc>
          <w:tcPr>
            <w:tcW w:w="926" w:type="dxa"/>
            <w:tcBorders>
              <w:top w:val="single" w:color="auto" w:sz="4" w:space="0"/>
              <w:left w:val="single" w:color="auto" w:sz="4" w:space="0"/>
              <w:bottom w:val="single" w:color="auto" w:sz="4" w:space="0"/>
              <w:right w:val="single" w:color="auto" w:sz="4" w:space="0"/>
            </w:tcBorders>
            <w:vAlign w:val="center"/>
          </w:tcPr>
          <w:p w14:paraId="459F266B">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6</w:t>
            </w:r>
          </w:p>
        </w:tc>
        <w:tc>
          <w:tcPr>
            <w:tcW w:w="7149" w:type="dxa"/>
            <w:tcBorders>
              <w:top w:val="single" w:color="auto" w:sz="4" w:space="0"/>
              <w:left w:val="single" w:color="auto" w:sz="4" w:space="0"/>
              <w:bottom w:val="single" w:color="auto" w:sz="4" w:space="0"/>
              <w:right w:val="single" w:color="auto" w:sz="4" w:space="0"/>
            </w:tcBorders>
            <w:vAlign w:val="center"/>
          </w:tcPr>
          <w:p w14:paraId="20207557">
            <w:pPr>
              <w:tabs>
                <w:tab w:val="left" w:pos="8520"/>
              </w:tabs>
              <w:autoSpaceDE w:val="0"/>
              <w:autoSpaceDN w:val="0"/>
              <w:snapToGrid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成交通知书（原件1份）</w:t>
            </w:r>
          </w:p>
        </w:tc>
      </w:tr>
      <w:tr w14:paraId="3FC07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120" w:type="dxa"/>
            <w:vMerge w:val="restart"/>
            <w:tcBorders>
              <w:top w:val="single" w:color="auto" w:sz="4" w:space="0"/>
              <w:left w:val="single" w:color="auto" w:sz="4" w:space="0"/>
              <w:bottom w:val="single" w:color="auto" w:sz="4" w:space="0"/>
              <w:right w:val="single" w:color="auto" w:sz="4" w:space="0"/>
            </w:tcBorders>
            <w:vAlign w:val="center"/>
          </w:tcPr>
          <w:p w14:paraId="228E93C5">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合同签订</w:t>
            </w:r>
          </w:p>
          <w:p w14:paraId="232613CC">
            <w:pPr>
              <w:tabs>
                <w:tab w:val="left" w:pos="8520"/>
              </w:tabs>
              <w:autoSpaceDE w:val="0"/>
              <w:autoSpaceDN w:val="0"/>
              <w:spacing w:line="360" w:lineRule="exact"/>
              <w:rPr>
                <w:rFonts w:ascii="楷体" w:hAnsi="楷体" w:eastAsia="楷体" w:cs="楷体"/>
                <w:color w:val="auto"/>
                <w:w w:val="101"/>
                <w:szCs w:val="21"/>
              </w:rPr>
            </w:pPr>
            <w:r>
              <w:rPr>
                <w:rFonts w:hint="eastAsia" w:ascii="楷体" w:hAnsi="楷体" w:eastAsia="楷体" w:cs="楷体"/>
                <w:color w:val="auto"/>
                <w:w w:val="101"/>
                <w:szCs w:val="21"/>
              </w:rPr>
              <w:t>后15日内</w:t>
            </w:r>
          </w:p>
        </w:tc>
        <w:tc>
          <w:tcPr>
            <w:tcW w:w="926" w:type="dxa"/>
            <w:tcBorders>
              <w:top w:val="single" w:color="auto" w:sz="4" w:space="0"/>
              <w:left w:val="single" w:color="auto" w:sz="4" w:space="0"/>
              <w:bottom w:val="single" w:color="auto" w:sz="4" w:space="0"/>
              <w:right w:val="single" w:color="auto" w:sz="4" w:space="0"/>
            </w:tcBorders>
            <w:vAlign w:val="center"/>
          </w:tcPr>
          <w:p w14:paraId="276058C3">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7</w:t>
            </w:r>
          </w:p>
        </w:tc>
        <w:tc>
          <w:tcPr>
            <w:tcW w:w="7149" w:type="dxa"/>
            <w:tcBorders>
              <w:top w:val="single" w:color="auto" w:sz="4" w:space="0"/>
              <w:left w:val="single" w:color="auto" w:sz="4" w:space="0"/>
              <w:bottom w:val="single" w:color="auto" w:sz="4" w:space="0"/>
              <w:right w:val="single" w:color="auto" w:sz="4" w:space="0"/>
            </w:tcBorders>
            <w:vAlign w:val="center"/>
          </w:tcPr>
          <w:p w14:paraId="1A355D59">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湖南省建筑工程开工安全生产条件审查表</w:t>
            </w:r>
          </w:p>
        </w:tc>
      </w:tr>
      <w:tr w14:paraId="65277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0BA3BDF6">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32C0E781">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8</w:t>
            </w:r>
          </w:p>
        </w:tc>
        <w:tc>
          <w:tcPr>
            <w:tcW w:w="7149" w:type="dxa"/>
            <w:tcBorders>
              <w:top w:val="single" w:color="auto" w:sz="4" w:space="0"/>
              <w:left w:val="single" w:color="auto" w:sz="4" w:space="0"/>
              <w:bottom w:val="single" w:color="auto" w:sz="4" w:space="0"/>
              <w:right w:val="single" w:color="auto" w:sz="4" w:space="0"/>
            </w:tcBorders>
            <w:vAlign w:val="center"/>
          </w:tcPr>
          <w:p w14:paraId="01CBC46F">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设计交底及图纸会审纪要；通过编审的监理规划及监理实施细则（如有）；</w:t>
            </w:r>
            <w:r>
              <w:rPr>
                <w:rFonts w:hint="eastAsia" w:ascii="楷体" w:hAnsi="楷体" w:eastAsia="楷体" w:cs="楷体"/>
                <w:color w:val="auto"/>
                <w:w w:val="101"/>
                <w:szCs w:val="21"/>
              </w:rPr>
              <w:t>切实可行的施工组织设计（终稿）</w:t>
            </w:r>
          </w:p>
        </w:tc>
      </w:tr>
      <w:tr w14:paraId="5626D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48E80618">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2BA2E0B7">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9</w:t>
            </w:r>
          </w:p>
        </w:tc>
        <w:tc>
          <w:tcPr>
            <w:tcW w:w="7149" w:type="dxa"/>
            <w:tcBorders>
              <w:top w:val="single" w:color="auto" w:sz="4" w:space="0"/>
              <w:left w:val="single" w:color="auto" w:sz="4" w:space="0"/>
              <w:bottom w:val="single" w:color="auto" w:sz="4" w:space="0"/>
              <w:right w:val="single" w:color="auto" w:sz="4" w:space="0"/>
            </w:tcBorders>
            <w:vAlign w:val="center"/>
          </w:tcPr>
          <w:p w14:paraId="5032FF27">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施工企业《安全生产许可证》（未过期）</w:t>
            </w:r>
          </w:p>
        </w:tc>
      </w:tr>
      <w:tr w14:paraId="1AB2F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160F576F">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1D92BA75">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10</w:t>
            </w:r>
          </w:p>
        </w:tc>
        <w:tc>
          <w:tcPr>
            <w:tcW w:w="7149" w:type="dxa"/>
            <w:tcBorders>
              <w:top w:val="single" w:color="auto" w:sz="4" w:space="0"/>
              <w:left w:val="single" w:color="auto" w:sz="4" w:space="0"/>
              <w:bottom w:val="single" w:color="auto" w:sz="4" w:space="0"/>
              <w:right w:val="single" w:color="auto" w:sz="4" w:space="0"/>
            </w:tcBorders>
            <w:vAlign w:val="center"/>
          </w:tcPr>
          <w:p w14:paraId="2A12BEFE">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施工项目部项目负责人、项目技术负责人、施工员、专职安全生产管理人员、质量员的任命文件及相应资格证书</w:t>
            </w:r>
          </w:p>
        </w:tc>
      </w:tr>
      <w:tr w14:paraId="72B69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6DB27221">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066803EC">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11</w:t>
            </w:r>
          </w:p>
        </w:tc>
        <w:tc>
          <w:tcPr>
            <w:tcW w:w="7149" w:type="dxa"/>
            <w:tcBorders>
              <w:top w:val="single" w:color="auto" w:sz="4" w:space="0"/>
              <w:left w:val="single" w:color="auto" w:sz="4" w:space="0"/>
              <w:bottom w:val="single" w:color="auto" w:sz="4" w:space="0"/>
              <w:right w:val="single" w:color="auto" w:sz="4" w:space="0"/>
            </w:tcBorders>
            <w:vAlign w:val="center"/>
          </w:tcPr>
          <w:p w14:paraId="21759EC4">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危险性较大分部分项工程清单</w:t>
            </w:r>
          </w:p>
        </w:tc>
      </w:tr>
      <w:tr w14:paraId="7DA0E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5C1D9468">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40BA1946">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12</w:t>
            </w:r>
          </w:p>
        </w:tc>
        <w:tc>
          <w:tcPr>
            <w:tcW w:w="7149" w:type="dxa"/>
            <w:tcBorders>
              <w:top w:val="single" w:color="auto" w:sz="4" w:space="0"/>
              <w:left w:val="single" w:color="auto" w:sz="4" w:space="0"/>
              <w:bottom w:val="single" w:color="auto" w:sz="4" w:space="0"/>
              <w:right w:val="single" w:color="auto" w:sz="4" w:space="0"/>
            </w:tcBorders>
            <w:vAlign w:val="center"/>
          </w:tcPr>
          <w:p w14:paraId="4FAFF6F0">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按规定购买湖南省建筑施工行业安全生产责任保险的凭证和其他法律法规规定的保险。包括</w:t>
            </w:r>
            <w:r>
              <w:rPr>
                <w:rFonts w:hint="eastAsia" w:ascii="楷体" w:hAnsi="楷体" w:eastAsia="楷体" w:cs="楷体"/>
                <w:b/>
                <w:bCs/>
                <w:color w:val="auto"/>
                <w:szCs w:val="21"/>
                <w:shd w:val="clear" w:color="auto" w:fill="FFFFFF"/>
              </w:rPr>
              <w:t>按《工伤保险条例》《关于进一步做好建筑施工企业务工人员参加工伤保险工作的通知》（长人社发〔2010〕10号）要求，购买工伤保险。</w:t>
            </w:r>
          </w:p>
        </w:tc>
      </w:tr>
      <w:tr w14:paraId="4432E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20" w:type="dxa"/>
            <w:vMerge w:val="continue"/>
            <w:tcBorders>
              <w:top w:val="single" w:color="auto" w:sz="4" w:space="0"/>
              <w:left w:val="single" w:color="auto" w:sz="4" w:space="0"/>
              <w:bottom w:val="single" w:color="auto" w:sz="4" w:space="0"/>
              <w:right w:val="single" w:color="auto" w:sz="4" w:space="0"/>
            </w:tcBorders>
            <w:vAlign w:val="center"/>
          </w:tcPr>
          <w:p w14:paraId="188145BF">
            <w:pPr>
              <w:widowControl/>
              <w:spacing w:line="360" w:lineRule="exact"/>
              <w:jc w:val="left"/>
              <w:rPr>
                <w:rFonts w:ascii="楷体" w:hAnsi="楷体" w:eastAsia="楷体" w:cs="楷体"/>
                <w:color w:val="auto"/>
                <w:w w:val="101"/>
                <w:szCs w:val="21"/>
              </w:rPr>
            </w:pPr>
          </w:p>
        </w:tc>
        <w:tc>
          <w:tcPr>
            <w:tcW w:w="926" w:type="dxa"/>
            <w:tcBorders>
              <w:top w:val="single" w:color="auto" w:sz="4" w:space="0"/>
              <w:left w:val="single" w:color="auto" w:sz="4" w:space="0"/>
              <w:bottom w:val="single" w:color="auto" w:sz="4" w:space="0"/>
              <w:right w:val="single" w:color="auto" w:sz="4" w:space="0"/>
            </w:tcBorders>
            <w:vAlign w:val="center"/>
          </w:tcPr>
          <w:p w14:paraId="4DD6F0C5">
            <w:pPr>
              <w:tabs>
                <w:tab w:val="left" w:pos="8520"/>
              </w:tabs>
              <w:autoSpaceDE w:val="0"/>
              <w:autoSpaceDN w:val="0"/>
              <w:spacing w:line="360" w:lineRule="exact"/>
              <w:jc w:val="center"/>
              <w:rPr>
                <w:rFonts w:ascii="楷体" w:hAnsi="楷体" w:eastAsia="楷体" w:cs="楷体"/>
                <w:color w:val="auto"/>
                <w:w w:val="101"/>
                <w:szCs w:val="21"/>
              </w:rPr>
            </w:pPr>
            <w:r>
              <w:rPr>
                <w:rFonts w:hint="eastAsia" w:ascii="楷体" w:hAnsi="楷体" w:eastAsia="楷体" w:cs="楷体"/>
                <w:color w:val="auto"/>
                <w:w w:val="101"/>
                <w:szCs w:val="21"/>
              </w:rPr>
              <w:t>13</w:t>
            </w:r>
          </w:p>
        </w:tc>
        <w:tc>
          <w:tcPr>
            <w:tcW w:w="7149" w:type="dxa"/>
            <w:tcBorders>
              <w:top w:val="single" w:color="auto" w:sz="4" w:space="0"/>
              <w:left w:val="single" w:color="auto" w:sz="4" w:space="0"/>
              <w:bottom w:val="single" w:color="auto" w:sz="4" w:space="0"/>
              <w:right w:val="single" w:color="auto" w:sz="4" w:space="0"/>
            </w:tcBorders>
            <w:vAlign w:val="center"/>
          </w:tcPr>
          <w:p w14:paraId="58E2BE0C">
            <w:pPr>
              <w:widowControl/>
              <w:snapToGrid w:val="0"/>
              <w:spacing w:line="360" w:lineRule="exact"/>
              <w:jc w:val="left"/>
              <w:textAlignment w:val="center"/>
              <w:rPr>
                <w:rFonts w:ascii="楷体" w:hAnsi="楷体" w:eastAsia="楷体" w:cs="楷体"/>
                <w:color w:val="auto"/>
                <w:w w:val="101"/>
                <w:szCs w:val="21"/>
              </w:rPr>
            </w:pPr>
            <w:r>
              <w:rPr>
                <w:rFonts w:hint="eastAsia" w:ascii="楷体" w:hAnsi="楷体" w:eastAsia="楷体" w:cs="楷体"/>
                <w:color w:val="auto"/>
                <w:szCs w:val="21"/>
                <w:shd w:val="clear" w:color="auto" w:fill="FFFFFF"/>
              </w:rPr>
              <w:t>工程项目制定的安全生产责任制度、安全生产专项资金使用计划、安全教育培训计划、临时消防方案、职业危害防治措施、生产安全事故应急救援预案</w:t>
            </w:r>
          </w:p>
        </w:tc>
      </w:tr>
    </w:tbl>
    <w:p w14:paraId="398EC4C5">
      <w:pPr>
        <w:spacing w:line="360" w:lineRule="exact"/>
        <w:rPr>
          <w:rFonts w:ascii="楷体" w:hAnsi="楷体" w:eastAsia="楷体" w:cs="楷体"/>
          <w:color w:val="auto"/>
          <w:szCs w:val="21"/>
        </w:rPr>
      </w:pPr>
    </w:p>
    <w:p w14:paraId="244B5DD9">
      <w:pPr>
        <w:tabs>
          <w:tab w:val="left" w:pos="8520"/>
        </w:tabs>
        <w:autoSpaceDE w:val="0"/>
        <w:autoSpaceDN w:val="0"/>
        <w:snapToGrid w:val="0"/>
        <w:spacing w:line="360" w:lineRule="exact"/>
        <w:ind w:firstLine="406" w:firstLineChars="199"/>
        <w:rPr>
          <w:rFonts w:ascii="楷体" w:hAnsi="楷体" w:eastAsia="楷体" w:cs="楷体"/>
          <w:color w:val="auto"/>
          <w:w w:val="101"/>
          <w:szCs w:val="21"/>
          <w:u w:val="single"/>
        </w:rPr>
      </w:pPr>
      <w:r>
        <w:rPr>
          <w:rFonts w:hint="eastAsia" w:ascii="楷体" w:hAnsi="楷体" w:eastAsia="楷体" w:cs="楷体"/>
          <w:color w:val="auto"/>
          <w:w w:val="101"/>
          <w:szCs w:val="21"/>
        </w:rPr>
        <w:t>承包人未按表中时间节点要求及时提供所需资料的违约责任：</w:t>
      </w:r>
      <w:r>
        <w:rPr>
          <w:rFonts w:hint="eastAsia" w:ascii="楷体" w:hAnsi="楷体" w:eastAsia="楷体" w:cs="楷体"/>
          <w:color w:val="auto"/>
          <w:w w:val="101"/>
          <w:szCs w:val="21"/>
          <w:u w:val="single"/>
        </w:rPr>
        <w:t>每延期一天，承包人支付发包人1000元/天的违约金，延期超过30天的，承包人支付发包人合同价5%的违约金，且发包人有权延期3个月支付工程进度款和工程结算款</w:t>
      </w:r>
      <w:r>
        <w:rPr>
          <w:rFonts w:hint="eastAsia" w:ascii="楷体" w:hAnsi="楷体" w:eastAsia="楷体" w:cs="楷体"/>
          <w:color w:val="auto"/>
          <w:w w:val="101"/>
          <w:szCs w:val="21"/>
        </w:rPr>
        <w:t>。</w:t>
      </w:r>
    </w:p>
    <w:p w14:paraId="0B3639F3">
      <w:pPr>
        <w:tabs>
          <w:tab w:val="left" w:pos="8320"/>
          <w:tab w:val="left" w:pos="8520"/>
        </w:tabs>
        <w:autoSpaceDE w:val="0"/>
        <w:autoSpaceDN w:val="0"/>
        <w:snapToGrid w:val="0"/>
        <w:spacing w:line="360" w:lineRule="exact"/>
        <w:ind w:firstLine="428" w:firstLineChars="200"/>
        <w:rPr>
          <w:rFonts w:ascii="楷体" w:hAnsi="楷体" w:eastAsia="楷体" w:cs="楷体"/>
          <w:color w:val="auto"/>
          <w:szCs w:val="21"/>
        </w:rPr>
      </w:pPr>
      <w:r>
        <w:rPr>
          <w:rFonts w:hint="eastAsia" w:ascii="楷体" w:hAnsi="楷体" w:eastAsia="楷体" w:cs="楷体"/>
          <w:color w:val="auto"/>
          <w:spacing w:val="5"/>
          <w:w w:val="101"/>
          <w:szCs w:val="21"/>
        </w:rPr>
        <w:t>承</w:t>
      </w:r>
      <w:r>
        <w:rPr>
          <w:rFonts w:hint="eastAsia" w:ascii="楷体" w:hAnsi="楷体" w:eastAsia="楷体" w:cs="楷体"/>
          <w:color w:val="auto"/>
          <w:spacing w:val="-5"/>
          <w:w w:val="101"/>
          <w:szCs w:val="21"/>
        </w:rPr>
        <w:t>包</w:t>
      </w:r>
      <w:r>
        <w:rPr>
          <w:rFonts w:hint="eastAsia" w:ascii="楷体" w:hAnsi="楷体" w:eastAsia="楷体" w:cs="楷体"/>
          <w:color w:val="auto"/>
          <w:w w:val="101"/>
          <w:szCs w:val="21"/>
        </w:rPr>
        <w:t>人</w:t>
      </w:r>
      <w:r>
        <w:rPr>
          <w:rFonts w:hint="eastAsia" w:ascii="楷体" w:hAnsi="楷体" w:eastAsia="楷体" w:cs="楷体"/>
          <w:color w:val="auto"/>
          <w:spacing w:val="-5"/>
          <w:w w:val="101"/>
          <w:szCs w:val="21"/>
        </w:rPr>
        <w:t>提</w:t>
      </w:r>
      <w:r>
        <w:rPr>
          <w:rFonts w:hint="eastAsia" w:ascii="楷体" w:hAnsi="楷体" w:eastAsia="楷体" w:cs="楷体"/>
          <w:color w:val="auto"/>
          <w:spacing w:val="5"/>
          <w:w w:val="101"/>
          <w:szCs w:val="21"/>
        </w:rPr>
        <w:t>供</w:t>
      </w:r>
      <w:r>
        <w:rPr>
          <w:rFonts w:hint="eastAsia" w:ascii="楷体" w:hAnsi="楷体" w:eastAsia="楷体" w:cs="楷体"/>
          <w:color w:val="auto"/>
          <w:spacing w:val="-5"/>
          <w:w w:val="101"/>
          <w:szCs w:val="21"/>
        </w:rPr>
        <w:t>的</w:t>
      </w:r>
      <w:r>
        <w:rPr>
          <w:rFonts w:hint="eastAsia" w:ascii="楷体" w:hAnsi="楷体" w:eastAsia="楷体" w:cs="楷体"/>
          <w:color w:val="auto"/>
          <w:w w:val="101"/>
          <w:szCs w:val="21"/>
        </w:rPr>
        <w:t>文</w:t>
      </w:r>
      <w:r>
        <w:rPr>
          <w:rFonts w:hint="eastAsia" w:ascii="楷体" w:hAnsi="楷体" w:eastAsia="楷体" w:cs="楷体"/>
          <w:color w:val="auto"/>
          <w:spacing w:val="-5"/>
          <w:w w:val="101"/>
          <w:szCs w:val="21"/>
        </w:rPr>
        <w:t>件</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期</w:t>
      </w:r>
      <w:r>
        <w:rPr>
          <w:rFonts w:hint="eastAsia" w:ascii="楷体" w:hAnsi="楷体" w:eastAsia="楷体" w:cs="楷体"/>
          <w:color w:val="auto"/>
          <w:w w:val="101"/>
          <w:szCs w:val="21"/>
        </w:rPr>
        <w:t>限</w:t>
      </w:r>
      <w:r>
        <w:rPr>
          <w:rFonts w:hint="eastAsia" w:ascii="楷体" w:hAnsi="楷体" w:eastAsia="楷体" w:cs="楷体"/>
          <w:color w:val="auto"/>
          <w:szCs w:val="21"/>
        </w:rPr>
        <w:t>为：</w:t>
      </w:r>
      <w:r>
        <w:rPr>
          <w:rFonts w:hint="eastAsia" w:ascii="楷体" w:hAnsi="楷体" w:eastAsia="楷体" w:cs="楷体"/>
          <w:color w:val="auto"/>
          <w:szCs w:val="21"/>
          <w:u w:val="single"/>
        </w:rPr>
        <w:t>按发包人、监理人要求；</w:t>
      </w:r>
    </w:p>
    <w:p w14:paraId="6E57D1F2">
      <w:pPr>
        <w:tabs>
          <w:tab w:val="left" w:pos="8320"/>
          <w:tab w:val="left" w:pos="8520"/>
        </w:tabs>
        <w:autoSpaceDE w:val="0"/>
        <w:autoSpaceDN w:val="0"/>
        <w:snapToGrid w:val="0"/>
        <w:spacing w:line="360" w:lineRule="exact"/>
        <w:ind w:firstLine="428" w:firstLineChars="200"/>
        <w:rPr>
          <w:rFonts w:ascii="楷体" w:hAnsi="楷体" w:eastAsia="楷体" w:cs="楷体"/>
          <w:color w:val="auto"/>
          <w:spacing w:val="17"/>
          <w:szCs w:val="21"/>
        </w:rPr>
      </w:pPr>
      <w:r>
        <w:rPr>
          <w:rFonts w:hint="eastAsia" w:ascii="楷体" w:hAnsi="楷体" w:eastAsia="楷体" w:cs="楷体"/>
          <w:color w:val="auto"/>
          <w:spacing w:val="5"/>
          <w:w w:val="101"/>
          <w:szCs w:val="21"/>
        </w:rPr>
        <w:t>承</w:t>
      </w:r>
      <w:r>
        <w:rPr>
          <w:rFonts w:hint="eastAsia" w:ascii="楷体" w:hAnsi="楷体" w:eastAsia="楷体" w:cs="楷体"/>
          <w:color w:val="auto"/>
          <w:spacing w:val="-5"/>
          <w:w w:val="101"/>
          <w:szCs w:val="21"/>
        </w:rPr>
        <w:t>包</w:t>
      </w:r>
      <w:r>
        <w:rPr>
          <w:rFonts w:hint="eastAsia" w:ascii="楷体" w:hAnsi="楷体" w:eastAsia="楷体" w:cs="楷体"/>
          <w:color w:val="auto"/>
          <w:w w:val="101"/>
          <w:szCs w:val="21"/>
        </w:rPr>
        <w:t>人</w:t>
      </w:r>
      <w:r>
        <w:rPr>
          <w:rFonts w:hint="eastAsia" w:ascii="楷体" w:hAnsi="楷体" w:eastAsia="楷体" w:cs="楷体"/>
          <w:color w:val="auto"/>
          <w:spacing w:val="-5"/>
          <w:w w:val="101"/>
          <w:szCs w:val="21"/>
        </w:rPr>
        <w:t>提</w:t>
      </w:r>
      <w:r>
        <w:rPr>
          <w:rFonts w:hint="eastAsia" w:ascii="楷体" w:hAnsi="楷体" w:eastAsia="楷体" w:cs="楷体"/>
          <w:color w:val="auto"/>
          <w:spacing w:val="5"/>
          <w:w w:val="101"/>
          <w:szCs w:val="21"/>
        </w:rPr>
        <w:t>供</w:t>
      </w:r>
      <w:r>
        <w:rPr>
          <w:rFonts w:hint="eastAsia" w:ascii="楷体" w:hAnsi="楷体" w:eastAsia="楷体" w:cs="楷体"/>
          <w:color w:val="auto"/>
          <w:spacing w:val="-5"/>
          <w:w w:val="101"/>
          <w:szCs w:val="21"/>
        </w:rPr>
        <w:t>的</w:t>
      </w:r>
      <w:r>
        <w:rPr>
          <w:rFonts w:hint="eastAsia" w:ascii="楷体" w:hAnsi="楷体" w:eastAsia="楷体" w:cs="楷体"/>
          <w:color w:val="auto"/>
          <w:w w:val="101"/>
          <w:szCs w:val="21"/>
        </w:rPr>
        <w:t>文</w:t>
      </w:r>
      <w:r>
        <w:rPr>
          <w:rFonts w:hint="eastAsia" w:ascii="楷体" w:hAnsi="楷体" w:eastAsia="楷体" w:cs="楷体"/>
          <w:color w:val="auto"/>
          <w:spacing w:val="-5"/>
          <w:w w:val="101"/>
          <w:szCs w:val="21"/>
        </w:rPr>
        <w:t>件</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数</w:t>
      </w:r>
      <w:r>
        <w:rPr>
          <w:rFonts w:hint="eastAsia" w:ascii="楷体" w:hAnsi="楷体" w:eastAsia="楷体" w:cs="楷体"/>
          <w:color w:val="auto"/>
          <w:w w:val="101"/>
          <w:szCs w:val="21"/>
        </w:rPr>
        <w:t>量</w:t>
      </w:r>
      <w:r>
        <w:rPr>
          <w:rFonts w:hint="eastAsia" w:ascii="楷体" w:hAnsi="楷体" w:eastAsia="楷体" w:cs="楷体"/>
          <w:color w:val="auto"/>
          <w:szCs w:val="21"/>
        </w:rPr>
        <w:t>为：</w:t>
      </w:r>
      <w:r>
        <w:rPr>
          <w:rFonts w:hint="eastAsia" w:ascii="楷体" w:hAnsi="楷体" w:eastAsia="楷体" w:cs="楷体"/>
          <w:color w:val="auto"/>
          <w:szCs w:val="21"/>
          <w:u w:val="single"/>
        </w:rPr>
        <w:t>按发包人、监理人要求；</w:t>
      </w:r>
      <w:r>
        <w:rPr>
          <w:rFonts w:hint="eastAsia" w:ascii="楷体" w:hAnsi="楷体" w:eastAsia="楷体" w:cs="楷体"/>
          <w:color w:val="auto"/>
          <w:spacing w:val="17"/>
          <w:szCs w:val="21"/>
        </w:rPr>
        <w:t xml:space="preserve"> </w:t>
      </w:r>
    </w:p>
    <w:p w14:paraId="08C26565">
      <w:pPr>
        <w:tabs>
          <w:tab w:val="left" w:pos="8320"/>
          <w:tab w:val="left" w:pos="8520"/>
        </w:tabs>
        <w:autoSpaceDE w:val="0"/>
        <w:autoSpaceDN w:val="0"/>
        <w:snapToGrid w:val="0"/>
        <w:spacing w:line="360" w:lineRule="exact"/>
        <w:ind w:firstLine="428" w:firstLineChars="200"/>
        <w:rPr>
          <w:rFonts w:ascii="楷体" w:hAnsi="楷体" w:eastAsia="楷体" w:cs="楷体"/>
          <w:color w:val="auto"/>
          <w:spacing w:val="17"/>
          <w:szCs w:val="21"/>
        </w:rPr>
      </w:pPr>
      <w:r>
        <w:rPr>
          <w:rFonts w:hint="eastAsia" w:ascii="楷体" w:hAnsi="楷体" w:eastAsia="楷体" w:cs="楷体"/>
          <w:color w:val="auto"/>
          <w:spacing w:val="5"/>
          <w:w w:val="101"/>
          <w:szCs w:val="21"/>
        </w:rPr>
        <w:t>承</w:t>
      </w:r>
      <w:r>
        <w:rPr>
          <w:rFonts w:hint="eastAsia" w:ascii="楷体" w:hAnsi="楷体" w:eastAsia="楷体" w:cs="楷体"/>
          <w:color w:val="auto"/>
          <w:spacing w:val="-5"/>
          <w:w w:val="101"/>
          <w:szCs w:val="21"/>
        </w:rPr>
        <w:t>包</w:t>
      </w:r>
      <w:r>
        <w:rPr>
          <w:rFonts w:hint="eastAsia" w:ascii="楷体" w:hAnsi="楷体" w:eastAsia="楷体" w:cs="楷体"/>
          <w:color w:val="auto"/>
          <w:w w:val="101"/>
          <w:szCs w:val="21"/>
        </w:rPr>
        <w:t>人</w:t>
      </w:r>
      <w:r>
        <w:rPr>
          <w:rFonts w:hint="eastAsia" w:ascii="楷体" w:hAnsi="楷体" w:eastAsia="楷体" w:cs="楷体"/>
          <w:color w:val="auto"/>
          <w:spacing w:val="-5"/>
          <w:w w:val="101"/>
          <w:szCs w:val="21"/>
        </w:rPr>
        <w:t>提</w:t>
      </w:r>
      <w:r>
        <w:rPr>
          <w:rFonts w:hint="eastAsia" w:ascii="楷体" w:hAnsi="楷体" w:eastAsia="楷体" w:cs="楷体"/>
          <w:color w:val="auto"/>
          <w:spacing w:val="5"/>
          <w:w w:val="101"/>
          <w:szCs w:val="21"/>
        </w:rPr>
        <w:t>供</w:t>
      </w:r>
      <w:r>
        <w:rPr>
          <w:rFonts w:hint="eastAsia" w:ascii="楷体" w:hAnsi="楷体" w:eastAsia="楷体" w:cs="楷体"/>
          <w:color w:val="auto"/>
          <w:spacing w:val="-5"/>
          <w:w w:val="101"/>
          <w:szCs w:val="21"/>
        </w:rPr>
        <w:t>的</w:t>
      </w:r>
      <w:r>
        <w:rPr>
          <w:rFonts w:hint="eastAsia" w:ascii="楷体" w:hAnsi="楷体" w:eastAsia="楷体" w:cs="楷体"/>
          <w:color w:val="auto"/>
          <w:w w:val="101"/>
          <w:szCs w:val="21"/>
        </w:rPr>
        <w:t>文</w:t>
      </w:r>
      <w:r>
        <w:rPr>
          <w:rFonts w:hint="eastAsia" w:ascii="楷体" w:hAnsi="楷体" w:eastAsia="楷体" w:cs="楷体"/>
          <w:color w:val="auto"/>
          <w:spacing w:val="-5"/>
          <w:w w:val="101"/>
          <w:szCs w:val="21"/>
        </w:rPr>
        <w:t>件</w:t>
      </w:r>
      <w:r>
        <w:rPr>
          <w:rFonts w:hint="eastAsia" w:ascii="楷体" w:hAnsi="楷体" w:eastAsia="楷体" w:cs="楷体"/>
          <w:color w:val="auto"/>
          <w:spacing w:val="5"/>
          <w:w w:val="101"/>
          <w:szCs w:val="21"/>
        </w:rPr>
        <w:t>的</w:t>
      </w:r>
      <w:r>
        <w:rPr>
          <w:rFonts w:hint="eastAsia" w:ascii="楷体" w:hAnsi="楷体" w:eastAsia="楷体" w:cs="楷体"/>
          <w:color w:val="auto"/>
          <w:spacing w:val="-5"/>
          <w:w w:val="101"/>
          <w:szCs w:val="21"/>
        </w:rPr>
        <w:t>形</w:t>
      </w:r>
      <w:r>
        <w:rPr>
          <w:rFonts w:hint="eastAsia" w:ascii="楷体" w:hAnsi="楷体" w:eastAsia="楷体" w:cs="楷体"/>
          <w:color w:val="auto"/>
          <w:w w:val="101"/>
          <w:szCs w:val="21"/>
        </w:rPr>
        <w:t>式</w:t>
      </w:r>
      <w:r>
        <w:rPr>
          <w:rFonts w:hint="eastAsia" w:ascii="楷体" w:hAnsi="楷体" w:eastAsia="楷体" w:cs="楷体"/>
          <w:color w:val="auto"/>
          <w:szCs w:val="21"/>
        </w:rPr>
        <w:t>为：</w:t>
      </w:r>
      <w:r>
        <w:rPr>
          <w:rFonts w:hint="eastAsia" w:ascii="楷体" w:hAnsi="楷体" w:eastAsia="楷体" w:cs="楷体"/>
          <w:color w:val="auto"/>
          <w:szCs w:val="21"/>
          <w:u w:val="single"/>
        </w:rPr>
        <w:t>书面形式提交发包人代表或监理人，实行签收记录；</w:t>
      </w:r>
      <w:r>
        <w:rPr>
          <w:rFonts w:hint="eastAsia" w:ascii="楷体" w:hAnsi="楷体" w:eastAsia="楷体" w:cs="楷体"/>
          <w:color w:val="auto"/>
          <w:szCs w:val="21"/>
        </w:rPr>
        <w:t xml:space="preserve"> </w:t>
      </w:r>
      <w:r>
        <w:rPr>
          <w:rFonts w:hint="eastAsia" w:ascii="楷体" w:hAnsi="楷体" w:eastAsia="楷体" w:cs="楷体"/>
          <w:color w:val="auto"/>
          <w:spacing w:val="17"/>
          <w:szCs w:val="21"/>
        </w:rPr>
        <w:t xml:space="preserve"> </w:t>
      </w:r>
    </w:p>
    <w:p w14:paraId="59178442">
      <w:pPr>
        <w:tabs>
          <w:tab w:val="left" w:pos="8320"/>
          <w:tab w:val="left" w:pos="8520"/>
        </w:tabs>
        <w:autoSpaceDE w:val="0"/>
        <w:autoSpaceDN w:val="0"/>
        <w:snapToGrid w:val="0"/>
        <w:spacing w:line="360" w:lineRule="exact"/>
        <w:ind w:firstLine="428" w:firstLineChars="200"/>
        <w:rPr>
          <w:rFonts w:ascii="楷体" w:hAnsi="楷体" w:eastAsia="楷体" w:cs="楷体"/>
          <w:color w:val="auto"/>
          <w:szCs w:val="21"/>
        </w:rPr>
      </w:pPr>
      <w:r>
        <w:rPr>
          <w:rFonts w:hint="eastAsia" w:ascii="楷体" w:hAnsi="楷体" w:eastAsia="楷体" w:cs="楷体"/>
          <w:color w:val="auto"/>
          <w:spacing w:val="5"/>
          <w:w w:val="101"/>
          <w:szCs w:val="21"/>
        </w:rPr>
        <w:t>发</w:t>
      </w:r>
      <w:r>
        <w:rPr>
          <w:rFonts w:hint="eastAsia" w:ascii="楷体" w:hAnsi="楷体" w:eastAsia="楷体" w:cs="楷体"/>
          <w:color w:val="auto"/>
          <w:spacing w:val="-5"/>
          <w:w w:val="101"/>
          <w:szCs w:val="21"/>
        </w:rPr>
        <w:t>包</w:t>
      </w:r>
      <w:r>
        <w:rPr>
          <w:rFonts w:hint="eastAsia" w:ascii="楷体" w:hAnsi="楷体" w:eastAsia="楷体" w:cs="楷体"/>
          <w:color w:val="auto"/>
          <w:w w:val="101"/>
          <w:szCs w:val="21"/>
        </w:rPr>
        <w:t>人</w:t>
      </w:r>
      <w:r>
        <w:rPr>
          <w:rFonts w:hint="eastAsia" w:ascii="楷体" w:hAnsi="楷体" w:eastAsia="楷体" w:cs="楷体"/>
          <w:color w:val="auto"/>
          <w:spacing w:val="-5"/>
          <w:w w:val="101"/>
          <w:szCs w:val="21"/>
        </w:rPr>
        <w:t>审</w:t>
      </w:r>
      <w:r>
        <w:rPr>
          <w:rFonts w:hint="eastAsia" w:ascii="楷体" w:hAnsi="楷体" w:eastAsia="楷体" w:cs="楷体"/>
          <w:color w:val="auto"/>
          <w:spacing w:val="5"/>
          <w:w w:val="101"/>
          <w:szCs w:val="21"/>
        </w:rPr>
        <w:t>批</w:t>
      </w:r>
      <w:r>
        <w:rPr>
          <w:rFonts w:hint="eastAsia" w:ascii="楷体" w:hAnsi="楷体" w:eastAsia="楷体" w:cs="楷体"/>
          <w:color w:val="auto"/>
          <w:spacing w:val="-5"/>
          <w:w w:val="101"/>
          <w:szCs w:val="21"/>
        </w:rPr>
        <w:t>承</w:t>
      </w:r>
      <w:r>
        <w:rPr>
          <w:rFonts w:hint="eastAsia" w:ascii="楷体" w:hAnsi="楷体" w:eastAsia="楷体" w:cs="楷体"/>
          <w:color w:val="auto"/>
          <w:w w:val="101"/>
          <w:szCs w:val="21"/>
        </w:rPr>
        <w:t>包</w:t>
      </w:r>
      <w:r>
        <w:rPr>
          <w:rFonts w:hint="eastAsia" w:ascii="楷体" w:hAnsi="楷体" w:eastAsia="楷体" w:cs="楷体"/>
          <w:color w:val="auto"/>
          <w:spacing w:val="-5"/>
          <w:w w:val="101"/>
          <w:szCs w:val="21"/>
        </w:rPr>
        <w:t>人</w:t>
      </w:r>
      <w:r>
        <w:rPr>
          <w:rFonts w:hint="eastAsia" w:ascii="楷体" w:hAnsi="楷体" w:eastAsia="楷体" w:cs="楷体"/>
          <w:color w:val="auto"/>
          <w:spacing w:val="5"/>
          <w:w w:val="101"/>
          <w:szCs w:val="21"/>
        </w:rPr>
        <w:t>文</w:t>
      </w:r>
      <w:r>
        <w:rPr>
          <w:rFonts w:hint="eastAsia" w:ascii="楷体" w:hAnsi="楷体" w:eastAsia="楷体" w:cs="楷体"/>
          <w:color w:val="auto"/>
          <w:spacing w:val="-5"/>
          <w:w w:val="101"/>
          <w:szCs w:val="21"/>
        </w:rPr>
        <w:t>件</w:t>
      </w:r>
      <w:r>
        <w:rPr>
          <w:rFonts w:hint="eastAsia" w:ascii="楷体" w:hAnsi="楷体" w:eastAsia="楷体" w:cs="楷体"/>
          <w:color w:val="auto"/>
          <w:w w:val="101"/>
          <w:szCs w:val="21"/>
        </w:rPr>
        <w:t>的</w:t>
      </w:r>
      <w:r>
        <w:rPr>
          <w:rFonts w:hint="eastAsia" w:ascii="楷体" w:hAnsi="楷体" w:eastAsia="楷体" w:cs="楷体"/>
          <w:color w:val="auto"/>
          <w:szCs w:val="21"/>
        </w:rPr>
        <w:t>期限：</w:t>
      </w:r>
      <w:r>
        <w:rPr>
          <w:rFonts w:hint="eastAsia" w:ascii="楷体" w:hAnsi="楷体" w:eastAsia="楷体" w:cs="楷体"/>
          <w:color w:val="auto"/>
          <w:szCs w:val="21"/>
          <w:u w:val="single"/>
        </w:rPr>
        <w:t>按发包人规定。</w:t>
      </w:r>
      <w:r>
        <w:rPr>
          <w:rFonts w:hint="eastAsia" w:ascii="楷体" w:hAnsi="楷体" w:eastAsia="楷体" w:cs="楷体"/>
          <w:color w:val="auto"/>
          <w:spacing w:val="17"/>
          <w:szCs w:val="21"/>
        </w:rPr>
        <w:t xml:space="preserve"> </w:t>
      </w:r>
    </w:p>
    <w:p w14:paraId="0BFD50BA">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1.6.3现场图纸准备</w:t>
      </w:r>
    </w:p>
    <w:p w14:paraId="08DFFED1">
      <w:pPr>
        <w:tabs>
          <w:tab w:val="left" w:pos="3816"/>
          <w:tab w:val="left" w:pos="5837"/>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关于现场图纸准备的约定：</w:t>
      </w:r>
      <w:r>
        <w:rPr>
          <w:rFonts w:hint="eastAsia" w:ascii="楷体" w:hAnsi="楷体" w:eastAsia="楷体" w:cs="楷体"/>
          <w:color w:val="auto"/>
          <w:szCs w:val="21"/>
          <w:u w:val="single"/>
        </w:rPr>
        <w:t>执行通用合同条款</w:t>
      </w:r>
      <w:r>
        <w:rPr>
          <w:rFonts w:hint="eastAsia" w:ascii="楷体" w:hAnsi="楷体" w:eastAsia="楷体" w:cs="楷体"/>
          <w:color w:val="auto"/>
          <w:szCs w:val="21"/>
        </w:rPr>
        <w:t>。</w:t>
      </w:r>
    </w:p>
    <w:p w14:paraId="1A1ADC42">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1.7联络</w:t>
      </w:r>
    </w:p>
    <w:p w14:paraId="414A951E">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1.7.1发包人和承包人应当在 7 天内将与合同有关的通知、批准、证明、证书、指示、指令、要求、请求、同意、意见、确定和决定等书面函件送达对方当事人。</w:t>
      </w:r>
    </w:p>
    <w:p w14:paraId="7FB1B7E1">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1.7.2发包人接收文件的地点：</w:t>
      </w:r>
      <w:r>
        <w:rPr>
          <w:rFonts w:hint="eastAsia" w:ascii="楷体" w:hAnsi="楷体" w:eastAsia="楷体" w:cs="楷体"/>
          <w:color w:val="auto"/>
          <w:kern w:val="2"/>
          <w:szCs w:val="21"/>
          <w:u w:val="single"/>
        </w:rPr>
        <w:t xml:space="preserve">          ；</w:t>
      </w:r>
    </w:p>
    <w:p w14:paraId="3464BCE9">
      <w:pPr>
        <w:tabs>
          <w:tab w:val="left" w:pos="6241"/>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发包人指定的接收人为：</w:t>
      </w:r>
      <w:r>
        <w:rPr>
          <w:rFonts w:hint="eastAsia" w:ascii="楷体" w:hAnsi="楷体" w:eastAsia="楷体" w:cs="楷体"/>
          <w:color w:val="auto"/>
          <w:szCs w:val="21"/>
          <w:u w:val="single"/>
        </w:rPr>
        <w:t xml:space="preserve">     </w:t>
      </w:r>
    </w:p>
    <w:p w14:paraId="0BFB7F0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承包人接收文件的地点：</w:t>
      </w:r>
      <w:r>
        <w:rPr>
          <w:rFonts w:hint="eastAsia" w:ascii="楷体" w:hAnsi="楷体" w:eastAsia="楷体" w:cs="楷体"/>
          <w:color w:val="auto"/>
          <w:szCs w:val="21"/>
          <w:u w:val="single"/>
        </w:rPr>
        <w:t xml:space="preserve">                    </w:t>
      </w:r>
    </w:p>
    <w:p w14:paraId="11AEFD89">
      <w:pPr>
        <w:tabs>
          <w:tab w:val="left" w:pos="5131"/>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承包人指定的接收人为：</w:t>
      </w:r>
      <w:r>
        <w:rPr>
          <w:rFonts w:hint="eastAsia" w:ascii="楷体" w:hAnsi="楷体" w:eastAsia="楷体" w:cs="楷体"/>
          <w:color w:val="auto"/>
          <w:szCs w:val="21"/>
          <w:u w:val="single"/>
        </w:rPr>
        <w:t xml:space="preserve">                   </w:t>
      </w:r>
    </w:p>
    <w:p w14:paraId="40E48B0F">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监理人接收文件的地点：</w:t>
      </w:r>
      <w:r>
        <w:rPr>
          <w:rFonts w:hint="eastAsia" w:ascii="楷体" w:hAnsi="楷体" w:eastAsia="楷体" w:cs="楷体"/>
          <w:color w:val="auto"/>
          <w:szCs w:val="21"/>
          <w:u w:val="single"/>
        </w:rPr>
        <w:t xml:space="preserve"> \ </w:t>
      </w:r>
    </w:p>
    <w:p w14:paraId="3408F2E6">
      <w:pPr>
        <w:tabs>
          <w:tab w:val="left" w:pos="5131"/>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监理人指定的接收人为：</w:t>
      </w:r>
      <w:r>
        <w:rPr>
          <w:rFonts w:hint="eastAsia" w:ascii="楷体" w:hAnsi="楷体" w:eastAsia="楷体" w:cs="楷体"/>
          <w:color w:val="auto"/>
          <w:szCs w:val="21"/>
          <w:u w:val="single"/>
        </w:rPr>
        <w:t xml:space="preserve"> \ </w:t>
      </w:r>
    </w:p>
    <w:p w14:paraId="3BB9B355">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1.10交通运输</w:t>
      </w:r>
    </w:p>
    <w:p w14:paraId="6D87860B">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1.10.1出入现场的权利</w:t>
      </w:r>
    </w:p>
    <w:p w14:paraId="574FF87E">
      <w:pPr>
        <w:tabs>
          <w:tab w:val="left" w:pos="4123"/>
          <w:tab w:val="left" w:pos="482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关于出入现场的权利的约定：</w:t>
      </w:r>
      <w:r>
        <w:rPr>
          <w:rFonts w:hint="eastAsia" w:ascii="楷体" w:hAnsi="楷体" w:eastAsia="楷体" w:cs="楷体"/>
          <w:color w:val="auto"/>
          <w:szCs w:val="21"/>
          <w:u w:val="single"/>
        </w:rPr>
        <w:t>由承包人负责取得出入施工现场所需的批准手续和全部权利，并承担相关手续费用和建设费用。发包人协助承包人办理上述手续</w:t>
      </w:r>
      <w:r>
        <w:rPr>
          <w:rFonts w:hint="eastAsia" w:ascii="楷体" w:hAnsi="楷体" w:eastAsia="楷体" w:cs="楷体"/>
          <w:color w:val="auto"/>
          <w:szCs w:val="21"/>
        </w:rPr>
        <w:t>。</w:t>
      </w:r>
    </w:p>
    <w:p w14:paraId="6806882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1.10.3场内交通</w:t>
      </w:r>
    </w:p>
    <w:p w14:paraId="73D74A5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关于场外交通和场内交通的边界的约定：</w:t>
      </w:r>
      <w:r>
        <w:rPr>
          <w:rFonts w:hint="eastAsia" w:ascii="楷体" w:hAnsi="楷体" w:eastAsia="楷体" w:cs="楷体"/>
          <w:color w:val="auto"/>
          <w:szCs w:val="21"/>
          <w:u w:val="single"/>
        </w:rPr>
        <w:t>以用地红线为准。</w:t>
      </w:r>
    </w:p>
    <w:p w14:paraId="02E94F07">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关于发包人向承包人免费提供满足工程施工需要的场内道路和交通设施的约定：</w:t>
      </w:r>
      <w:r>
        <w:rPr>
          <w:rFonts w:hint="eastAsia" w:ascii="楷体" w:hAnsi="楷体" w:eastAsia="楷体" w:cs="楷体"/>
          <w:color w:val="auto"/>
          <w:szCs w:val="21"/>
          <w:u w:val="single"/>
        </w:rPr>
        <w:t xml:space="preserve"> / 。</w:t>
      </w:r>
    </w:p>
    <w:p w14:paraId="297C4727">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1.8.3超大件和超重件的运输</w:t>
      </w:r>
    </w:p>
    <w:p w14:paraId="3109EF1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场外运输超大件或超重件所需的道路和桥梁临时加固改造费用和其他有关费用由承包人承担。</w:t>
      </w:r>
    </w:p>
    <w:p w14:paraId="2BA1F753">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1.9知识产权</w:t>
      </w:r>
    </w:p>
    <w:p w14:paraId="41265A9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1.9.1关于发包人提供给承包人的图纸、发包人为实施工程自行编制或委托编制的技术规范以及反映发包人关于合同要求或其他类似性质的文件的著作权的归属：</w:t>
      </w:r>
      <w:r>
        <w:rPr>
          <w:rFonts w:hint="eastAsia" w:ascii="楷体" w:hAnsi="楷体" w:eastAsia="楷体" w:cs="楷体"/>
          <w:color w:val="auto"/>
          <w:kern w:val="2"/>
          <w:szCs w:val="21"/>
          <w:u w:val="single"/>
        </w:rPr>
        <w:t>归发包人所有</w:t>
      </w:r>
      <w:r>
        <w:rPr>
          <w:rFonts w:hint="eastAsia" w:ascii="楷体" w:hAnsi="楷体" w:eastAsia="楷体" w:cs="楷体"/>
          <w:color w:val="auto"/>
          <w:kern w:val="2"/>
          <w:szCs w:val="21"/>
        </w:rPr>
        <w:t>。</w:t>
      </w:r>
    </w:p>
    <w:p w14:paraId="4499579B">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关于发包人提供的上述文件的使用限制的要求：</w:t>
      </w:r>
      <w:r>
        <w:rPr>
          <w:rFonts w:hint="eastAsia" w:ascii="楷体" w:hAnsi="楷体" w:eastAsia="楷体" w:cs="楷体"/>
          <w:color w:val="auto"/>
          <w:szCs w:val="21"/>
          <w:u w:val="single"/>
        </w:rPr>
        <w:t>仅限于本工程建设使用</w:t>
      </w:r>
      <w:r>
        <w:rPr>
          <w:rFonts w:hint="eastAsia" w:ascii="楷体" w:hAnsi="楷体" w:eastAsia="楷体" w:cs="楷体"/>
          <w:color w:val="auto"/>
          <w:szCs w:val="21"/>
        </w:rPr>
        <w:t xml:space="preserve"> 。</w:t>
      </w:r>
    </w:p>
    <w:p w14:paraId="6142D21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1.9.2关于承包人为实施工程所编制文件的著作权的归属：</w:t>
      </w:r>
      <w:r>
        <w:rPr>
          <w:rFonts w:hint="eastAsia" w:ascii="楷体" w:hAnsi="楷体" w:eastAsia="楷体" w:cs="楷体"/>
          <w:color w:val="auto"/>
          <w:kern w:val="2"/>
          <w:szCs w:val="21"/>
          <w:u w:val="single"/>
        </w:rPr>
        <w:t>归发包人所有</w:t>
      </w:r>
      <w:r>
        <w:rPr>
          <w:rFonts w:hint="eastAsia" w:ascii="楷体" w:hAnsi="楷体" w:eastAsia="楷体" w:cs="楷体"/>
          <w:color w:val="auto"/>
          <w:kern w:val="2"/>
          <w:szCs w:val="21"/>
        </w:rPr>
        <w:t>。</w:t>
      </w:r>
    </w:p>
    <w:p w14:paraId="1F83FFAB">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关于承包人提供的上述文件的使用限制的要求：</w:t>
      </w:r>
    </w:p>
    <w:p w14:paraId="70EB88F3">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仅限于本工程建设使用</w:t>
      </w:r>
      <w:r>
        <w:rPr>
          <w:rFonts w:hint="eastAsia" w:ascii="楷体" w:hAnsi="楷体" w:eastAsia="楷体" w:cs="楷体"/>
          <w:color w:val="auto"/>
          <w:szCs w:val="21"/>
        </w:rPr>
        <w:t xml:space="preserve"> 。</w:t>
      </w:r>
    </w:p>
    <w:p w14:paraId="1656343A">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1.9.3承包人在施工过程中所采用的专利、专有技术、技术秘密的使用费的承担方式：</w:t>
      </w:r>
      <w:r>
        <w:rPr>
          <w:rFonts w:hint="eastAsia" w:ascii="楷体" w:hAnsi="楷体" w:eastAsia="楷体" w:cs="楷体"/>
          <w:color w:val="auto"/>
          <w:kern w:val="2"/>
          <w:szCs w:val="21"/>
          <w:u w:val="single"/>
        </w:rPr>
        <w:t xml:space="preserve"> 由承包人承担 </w:t>
      </w:r>
      <w:r>
        <w:rPr>
          <w:rFonts w:hint="eastAsia" w:ascii="楷体" w:hAnsi="楷体" w:eastAsia="楷体" w:cs="楷体"/>
          <w:color w:val="auto"/>
          <w:kern w:val="2"/>
          <w:szCs w:val="21"/>
        </w:rPr>
        <w:t>。</w:t>
      </w:r>
    </w:p>
    <w:p w14:paraId="75BD66FB">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1.13工程量清单和施工图错误的修正</w:t>
      </w:r>
    </w:p>
    <w:p w14:paraId="4E3AA35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出现工程量清单错误时，是否调整合同价格：</w:t>
      </w:r>
      <w:r>
        <w:rPr>
          <w:rFonts w:hint="eastAsia" w:ascii="楷体" w:hAnsi="楷体" w:eastAsia="楷体" w:cs="楷体"/>
          <w:color w:val="auto"/>
          <w:szCs w:val="21"/>
          <w:u w:val="single"/>
        </w:rPr>
        <w:t>工程量偏差不调整综合单价</w:t>
      </w:r>
      <w:r>
        <w:rPr>
          <w:rFonts w:hint="eastAsia" w:ascii="楷体" w:hAnsi="楷体" w:eastAsia="楷体" w:cs="楷体"/>
          <w:color w:val="auto"/>
          <w:szCs w:val="21"/>
        </w:rPr>
        <w:t>。</w:t>
      </w:r>
    </w:p>
    <w:p w14:paraId="62D4E85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允许调整合同价格的工程量偏差范围：</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7ACD42CC">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18" w:name="_Toc13304"/>
      <w:r>
        <w:rPr>
          <w:rFonts w:hint="eastAsia" w:ascii="楷体" w:hAnsi="楷体" w:eastAsia="楷体" w:cs="楷体"/>
          <w:b/>
          <w:color w:val="auto"/>
          <w:szCs w:val="21"/>
        </w:rPr>
        <w:t>2.发包人</w:t>
      </w:r>
      <w:bookmarkEnd w:id="18"/>
    </w:p>
    <w:p w14:paraId="0E49D1DB">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2.2 发包人代表</w:t>
      </w:r>
    </w:p>
    <w:p w14:paraId="2DC77F97">
      <w:pPr>
        <w:tabs>
          <w:tab w:val="left" w:pos="4978"/>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姓名：</w:t>
      </w:r>
      <w:r>
        <w:rPr>
          <w:rFonts w:hint="eastAsia" w:ascii="楷体" w:hAnsi="楷体" w:eastAsia="楷体" w:cs="楷体"/>
          <w:color w:val="auto"/>
          <w:szCs w:val="21"/>
          <w:u w:val="single"/>
        </w:rPr>
        <w:t xml:space="preserve">         ;</w:t>
      </w:r>
    </w:p>
    <w:p w14:paraId="3D075A4D">
      <w:pPr>
        <w:tabs>
          <w:tab w:val="left" w:pos="4978"/>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身份证号：</w:t>
      </w:r>
      <w:r>
        <w:rPr>
          <w:rFonts w:hint="eastAsia" w:ascii="楷体" w:hAnsi="楷体" w:eastAsia="楷体" w:cs="楷体"/>
          <w:color w:val="auto"/>
          <w:szCs w:val="21"/>
          <w:u w:val="single"/>
        </w:rPr>
        <w:t xml:space="preserve">                 ;</w:t>
      </w:r>
    </w:p>
    <w:p w14:paraId="31690A73">
      <w:pPr>
        <w:tabs>
          <w:tab w:val="left" w:pos="4978"/>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职务：</w:t>
      </w:r>
      <w:r>
        <w:rPr>
          <w:rFonts w:hint="eastAsia" w:ascii="楷体" w:hAnsi="楷体" w:eastAsia="楷体" w:cs="楷体"/>
          <w:color w:val="auto"/>
          <w:szCs w:val="21"/>
          <w:u w:val="single"/>
        </w:rPr>
        <w:t>甲方现场代表；</w:t>
      </w:r>
    </w:p>
    <w:p w14:paraId="13CEFB62">
      <w:pPr>
        <w:tabs>
          <w:tab w:val="left" w:pos="4978"/>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联系电话：</w:t>
      </w:r>
      <w:r>
        <w:rPr>
          <w:rFonts w:hint="eastAsia" w:ascii="楷体" w:hAnsi="楷体" w:eastAsia="楷体" w:cs="楷体"/>
          <w:color w:val="auto"/>
          <w:szCs w:val="21"/>
          <w:u w:val="single"/>
        </w:rPr>
        <w:t xml:space="preserve">                 ;</w:t>
      </w:r>
    </w:p>
    <w:p w14:paraId="54796919">
      <w:pPr>
        <w:tabs>
          <w:tab w:val="left" w:pos="4978"/>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电子信箱：</w:t>
      </w:r>
      <w:r>
        <w:rPr>
          <w:rFonts w:hint="eastAsia" w:ascii="楷体" w:hAnsi="楷体" w:eastAsia="楷体" w:cs="楷体"/>
          <w:color w:val="auto"/>
          <w:szCs w:val="21"/>
          <w:u w:val="single"/>
        </w:rPr>
        <w:t xml:space="preserve">                  </w:t>
      </w:r>
    </w:p>
    <w:p w14:paraId="0264A39D">
      <w:pPr>
        <w:tabs>
          <w:tab w:val="left" w:pos="2303"/>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通信地址：</w:t>
      </w:r>
      <w:r>
        <w:rPr>
          <w:rFonts w:hint="eastAsia" w:ascii="楷体" w:hAnsi="楷体" w:eastAsia="楷体" w:cs="楷体"/>
          <w:color w:val="auto"/>
          <w:szCs w:val="21"/>
          <w:u w:val="single"/>
        </w:rPr>
        <w:t xml:space="preserve">                 。</w:t>
      </w:r>
    </w:p>
    <w:p w14:paraId="5BD2AE1E">
      <w:pPr>
        <w:tabs>
          <w:tab w:val="left" w:pos="2303"/>
        </w:tabs>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发包人对发包人代表的授权范围如下：</w:t>
      </w:r>
      <w:r>
        <w:rPr>
          <w:rFonts w:hint="eastAsia" w:ascii="楷体" w:hAnsi="楷体" w:eastAsia="楷体" w:cs="楷体"/>
          <w:color w:val="auto"/>
          <w:szCs w:val="21"/>
          <w:u w:val="single"/>
        </w:rPr>
        <w:t>发包人授权并委托发包人代表监督检查工程施工进度、质量、安全文明施工，并作为发包人工程现场质量和安全的第一责任人。发包人代表在履行职责过程中，涉及与本工程相关的文件、资料须由发包人盖章确认后方可生效，对于因重大设计变更、方案调整及不可预见因素等原因所引起的调整，发包人代表必须按照有关程序，经批准后方可实施。发包人调整现场代表的，应通知承包人。</w:t>
      </w:r>
    </w:p>
    <w:p w14:paraId="00CB8B5D">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2.4施工现场、施工条件和基础资料的提供</w:t>
      </w:r>
    </w:p>
    <w:p w14:paraId="4538F3AE">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2.4.1提供施工现场</w:t>
      </w:r>
    </w:p>
    <w:p w14:paraId="347C1A1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关于发包人移交施工现场的期限要求：</w:t>
      </w:r>
      <w:r>
        <w:rPr>
          <w:rFonts w:hint="eastAsia" w:ascii="楷体" w:hAnsi="楷体" w:eastAsia="楷体" w:cs="楷体"/>
          <w:color w:val="auto"/>
          <w:szCs w:val="21"/>
          <w:u w:val="single"/>
        </w:rPr>
        <w:t>工程开工前。</w:t>
      </w:r>
    </w:p>
    <w:p w14:paraId="0879AE4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2.4.2提供施工条件</w:t>
      </w:r>
    </w:p>
    <w:p w14:paraId="3CCE27F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关于发包人应负责提供施工所需要的条件，包括：</w:t>
      </w:r>
      <w:r>
        <w:rPr>
          <w:rFonts w:hint="eastAsia" w:ascii="楷体" w:hAnsi="楷体" w:eastAsia="楷体" w:cs="楷体"/>
          <w:color w:val="auto"/>
          <w:szCs w:val="21"/>
          <w:u w:val="single"/>
        </w:rPr>
        <w:t>三通一平</w:t>
      </w:r>
      <w:r>
        <w:rPr>
          <w:rFonts w:hint="eastAsia" w:ascii="楷体" w:hAnsi="楷体" w:eastAsia="楷体" w:cs="楷体"/>
          <w:color w:val="auto"/>
          <w:szCs w:val="21"/>
        </w:rPr>
        <w:t>。</w:t>
      </w:r>
    </w:p>
    <w:p w14:paraId="42E3934F">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2.5资金来源证明及支付担保</w:t>
      </w:r>
    </w:p>
    <w:p w14:paraId="452E5681">
      <w:pPr>
        <w:tabs>
          <w:tab w:val="left" w:pos="4829"/>
          <w:tab w:val="left" w:pos="603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发包人提供资金来源证明的期限要求：</w:t>
      </w:r>
      <w:r>
        <w:rPr>
          <w:rFonts w:hint="eastAsia" w:ascii="楷体" w:hAnsi="楷体" w:eastAsia="楷体" w:cs="楷体"/>
          <w:color w:val="auto"/>
          <w:szCs w:val="21"/>
          <w:u w:val="single"/>
        </w:rPr>
        <w:t>不提供</w:t>
      </w:r>
      <w:r>
        <w:rPr>
          <w:rFonts w:hint="eastAsia" w:ascii="楷体" w:hAnsi="楷体" w:eastAsia="楷体" w:cs="楷体"/>
          <w:color w:val="auto"/>
          <w:szCs w:val="21"/>
        </w:rPr>
        <w:t>。</w:t>
      </w:r>
    </w:p>
    <w:p w14:paraId="64182100">
      <w:pPr>
        <w:tabs>
          <w:tab w:val="left" w:pos="4224"/>
          <w:tab w:val="left" w:pos="603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发包人是否提供支付担保：</w:t>
      </w:r>
      <w:r>
        <w:rPr>
          <w:rFonts w:hint="eastAsia" w:ascii="楷体" w:hAnsi="楷体" w:eastAsia="楷体" w:cs="楷体"/>
          <w:color w:val="auto"/>
          <w:szCs w:val="21"/>
          <w:u w:val="single"/>
        </w:rPr>
        <w:t>否</w:t>
      </w:r>
      <w:r>
        <w:rPr>
          <w:rFonts w:hint="eastAsia" w:ascii="楷体" w:hAnsi="楷体" w:eastAsia="楷体" w:cs="楷体"/>
          <w:color w:val="auto"/>
          <w:szCs w:val="21"/>
        </w:rPr>
        <w:t>。</w:t>
      </w:r>
    </w:p>
    <w:p w14:paraId="06B92122">
      <w:pPr>
        <w:tabs>
          <w:tab w:val="left" w:pos="4224"/>
          <w:tab w:val="left" w:pos="603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发包人提供支付担保的形式：</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6C4D1B22">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19" w:name="_Toc14888"/>
      <w:r>
        <w:rPr>
          <w:rFonts w:hint="eastAsia" w:ascii="楷体" w:hAnsi="楷体" w:eastAsia="楷体" w:cs="楷体"/>
          <w:b/>
          <w:color w:val="auto"/>
          <w:szCs w:val="21"/>
        </w:rPr>
        <w:t>3.承包人</w:t>
      </w:r>
      <w:bookmarkEnd w:id="19"/>
    </w:p>
    <w:p w14:paraId="7DF0396E">
      <w:pPr>
        <w:tabs>
          <w:tab w:val="left" w:pos="1349"/>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3.1承包人的一般义务</w:t>
      </w:r>
    </w:p>
    <w:p w14:paraId="2F2DAA49">
      <w:pPr>
        <w:tabs>
          <w:tab w:val="left" w:pos="15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（1）至（8）按通用条款执行。</w:t>
      </w:r>
    </w:p>
    <w:p w14:paraId="17F37C58">
      <w:pPr>
        <w:tabs>
          <w:tab w:val="left" w:pos="15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（9）按照法律规定和合同约定编制竣工资料，完成竣工资料立卷及归档，并按下列要求移交发包人。</w:t>
      </w:r>
    </w:p>
    <w:p w14:paraId="4C9675D5">
      <w:pPr>
        <w:tabs>
          <w:tab w:val="left" w:pos="15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承包人提交的竣工资料的内容：</w:t>
      </w:r>
      <w:r>
        <w:rPr>
          <w:rFonts w:hint="eastAsia" w:ascii="楷体" w:hAnsi="楷体" w:eastAsia="楷体" w:cs="楷体"/>
          <w:color w:val="auto"/>
          <w:kern w:val="2"/>
          <w:szCs w:val="21"/>
          <w:u w:val="single"/>
        </w:rPr>
        <w:t xml:space="preserve">参照长沙市城建档案馆及长沙经开区管委会、长沙县、发包人相关制度执行。 </w:t>
      </w:r>
    </w:p>
    <w:p w14:paraId="1D65879D">
      <w:pPr>
        <w:tabs>
          <w:tab w:val="left" w:pos="4627"/>
          <w:tab w:val="left" w:pos="628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承包人需要提交的竣工资料套数：</w:t>
      </w:r>
      <w:r>
        <w:rPr>
          <w:rFonts w:hint="eastAsia" w:ascii="楷体" w:hAnsi="楷体" w:eastAsia="楷体" w:cs="楷体"/>
          <w:color w:val="auto"/>
          <w:szCs w:val="21"/>
          <w:u w:val="single"/>
        </w:rPr>
        <w:t>2 套</w:t>
      </w:r>
      <w:r>
        <w:rPr>
          <w:rFonts w:hint="eastAsia" w:ascii="楷体" w:hAnsi="楷体" w:eastAsia="楷体" w:cs="楷体"/>
          <w:color w:val="auto"/>
          <w:szCs w:val="21"/>
        </w:rPr>
        <w:t>。</w:t>
      </w:r>
    </w:p>
    <w:p w14:paraId="510A323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承包人提交的竣工资料的费用承担：</w:t>
      </w:r>
      <w:r>
        <w:rPr>
          <w:rFonts w:hint="eastAsia" w:ascii="楷体" w:hAnsi="楷体" w:eastAsia="楷体" w:cs="楷体"/>
          <w:color w:val="auto"/>
          <w:szCs w:val="21"/>
          <w:u w:val="single"/>
        </w:rPr>
        <w:t>移交档案馆存档的竣工资料的责任和费用由承包人自行承担。</w:t>
      </w:r>
    </w:p>
    <w:p w14:paraId="5B287F4C">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承包人提交的竣工资料移交时间：</w:t>
      </w:r>
      <w:r>
        <w:rPr>
          <w:rFonts w:hint="eastAsia" w:ascii="楷体" w:hAnsi="楷体" w:eastAsia="楷体" w:cs="楷体"/>
          <w:color w:val="auto"/>
          <w:szCs w:val="21"/>
          <w:u w:val="single"/>
        </w:rPr>
        <w:t>竣工档案资料初步验收与工程实体竣工验收同步进行，竣工后三个月内向档案馆提交完整的竣工档案资料。</w:t>
      </w:r>
    </w:p>
    <w:p w14:paraId="489678E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承包人提交的竣工资料形式要求：承包人提交的竣工资料形式要求：</w:t>
      </w:r>
      <w:r>
        <w:rPr>
          <w:rFonts w:hint="eastAsia" w:ascii="楷体" w:hAnsi="楷体" w:eastAsia="楷体" w:cs="楷体"/>
          <w:color w:val="auto"/>
          <w:szCs w:val="21"/>
          <w:u w:val="single"/>
        </w:rPr>
        <w:t>书面形式现场交验给发包人代表，发包人代表书面签收。</w:t>
      </w:r>
    </w:p>
    <w:p w14:paraId="583FC301">
      <w:pPr>
        <w:tabs>
          <w:tab w:val="left" w:pos="1513"/>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（10）承包人应履行的其他义务：</w:t>
      </w:r>
      <w:r>
        <w:rPr>
          <w:rFonts w:hint="eastAsia" w:ascii="楷体" w:hAnsi="楷体" w:eastAsia="楷体" w:cs="楷体"/>
          <w:color w:val="auto"/>
          <w:kern w:val="2"/>
          <w:szCs w:val="21"/>
          <w:u w:val="single"/>
        </w:rPr>
        <w:t>承包人除完成合同通用条款规定的任务和履行合同约定的义务外，还应完成的工作和履行的其他义务：</w:t>
      </w:r>
    </w:p>
    <w:p w14:paraId="4493791C">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1、开工前对施工图纸认真核查，积极配合发包人组织的施工图纸交底及会审工作，指出图纸上任何不符施工常规、惯例或规范之处，以及设计图纸中错、漏问题，并做好各系统管线的综合平衡工作。</w:t>
      </w:r>
    </w:p>
    <w:p w14:paraId="230BABF3">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2、协助发包人办理开工证件（含施工许可证）及施工临时占用道路等合法手续。</w:t>
      </w:r>
    </w:p>
    <w:p w14:paraId="56458AD1">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3、开工前提供有关人员上岗证、有关设备合格证年审证等证件。</w:t>
      </w:r>
    </w:p>
    <w:p w14:paraId="0375FDE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4、承包人在签订合同之前已查看了施工现场及周围的环境，掌握了所有与工程施工有关或对施工有影响的情况，如地质土壤情况、水源、当地气候情况、道路、交通流量、劳动力的提供范围和周围居民等。发包人将施工场地移交给承包人后，承包人应对施工场地的管理负责（包括施工安全、环境污染、扰民和民扰），若发生非不可抗力或非发包人及监理人指令原因而影响施工导致工期拖延及财产损失的，由承包人承担相应责任。</w:t>
      </w:r>
    </w:p>
    <w:p w14:paraId="32C3392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5、负责施工场地临时设施、管线的施工和保养，负责从甲方提供的水电接驳点接驳施工用水用电。采取措施避免工程施工对红线周围地下管线及市政设施造成破坏，如果在现场挖掘土方工作的过程中，发现电线、水管管道，或者其他公共设施，承包人应立即停止挖掘工作，并及时报告监理人或专门机构，承包人根据发包人，或监理人，或政府部门的指示，负责修理那些被破坏的公共设施，并恢复原状，费用由承包人承担。</w:t>
      </w:r>
    </w:p>
    <w:p w14:paraId="2A3946E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6、保护好施工场地周围的地下管线、邻近建筑物、构筑物（含文物保护建筑）和古树名木等，费用由承包人承担。</w:t>
      </w:r>
    </w:p>
    <w:p w14:paraId="7CCE9C95">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7、在施工场地内，按工程和安全需要提供施工使用的照明、看守、围栏和警卫。承包人未履行上述义务造成工程、财产和人身伤害，由承包人承担责任及所发生的费用。</w:t>
      </w:r>
    </w:p>
    <w:p w14:paraId="4E782DF1">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8、施工过程所需证件（包括夜间施工证）由承包人及时办理。如发生扰民和民扰，承包人应妥善处理。施工过程应配备洒水车，确保清洁文明施工。</w:t>
      </w:r>
    </w:p>
    <w:p w14:paraId="0A7D342D">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9、遵守地方政府和有关部门对施工场地交通、渣土运输、施工噪音以及环境保护和安全生产等管理规定，按规定办理有关手续（含渣土运输证），由此发生的费用由承包人承担。并以书面形式知会发包人、监理人。</w:t>
      </w:r>
    </w:p>
    <w:p w14:paraId="59977B2D">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10、严格遵守有关环境保护法律法规，加强施工现场的环境管理，在施工过程中严格落实粉尘、废水等污染防治措施及生态保护、水土保持措施。由此发生的，罚款由承包人负责。</w:t>
      </w:r>
    </w:p>
    <w:p w14:paraId="3DF51883">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11、施工过程中，承包人应严格按照《安全文明施工条例》和《长沙市建设工程现场文明施工管理办法及检查评定标准》执行，搞好文明施工，树立企业形象。如达不到文明工地标准，监理人有权勒令承包人停工整改，并相应给予违约经济处罚。</w:t>
      </w:r>
    </w:p>
    <w:p w14:paraId="771749D4">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12、施工过程中，承包人须做好施工记录，隐蔽工程记录，同步做好工程质量评定资料、质量保证资料、施工管理和验收资料，汇集施工技术资料（包括摄影、录像资料等）。负责做好施工现场安全保卫和施工现场的组织管理工作，创建文明施工工地及标准化管理。</w:t>
      </w:r>
    </w:p>
    <w:p w14:paraId="34B160A0">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13、施工过程中，承包人不得对原工程设计擅自进行变更。因承包人擅自变更设计发生的费用和由此导致发包人的损失，由承包人承担，延误的工期不予顺延。</w:t>
      </w:r>
    </w:p>
    <w:p w14:paraId="616A50EC">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14、自行解决本工程所需所有资源，包括施工所需足够量的设备、材料，并自行进行妥善看管，丢失、损坏由承包人自理。</w:t>
      </w:r>
    </w:p>
    <w:p w14:paraId="04719C7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15、参加各类施工协调、配合会，由于施工场地交叉施工引起的问题，有义务进行配合解决，服从发包人及监理人现场总协调作出的决定。与本工程有关的通信、自来水、强弱电、天然气、线缆等综合管线部门进场施工时，承包人有义务予以配合。</w:t>
      </w:r>
    </w:p>
    <w:p w14:paraId="3D133921">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16、合同规定由承包人完成的工作（包括合同、会议纪要约定内容以及设计变更等），如承包人拒绝完成或不能按合同要求完成，发包人有权安排第三方完成，按实际发生费用的 1.5 倍从承包人当期工程款中扣回，影响工期的责任由承包人负责。</w:t>
      </w:r>
    </w:p>
    <w:p w14:paraId="41EA8F3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17、承包人投标报价时已考虑了材料设备二次搬运、施工场地不足、施工人员在场外食宿、成品保护等各种可能因素影响施工所需增加的费用和工期，承包人承诺在前述可能影响工期和费用的因素出现时不要求发包人增加费用和顺延工期。</w:t>
      </w:r>
    </w:p>
    <w:p w14:paraId="1EDFE8C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18、在施工过程中，承包人必须遵守发包人和监理人制定的管理制度，及时执行发包人或监理人发出的指令并予以及时书面回复。</w:t>
      </w:r>
    </w:p>
    <w:p w14:paraId="00398E47">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19、已竣工工程未交付发包人验收使用之前，负责成品保护，保护期间发生损坏、损失的风险和责任由承包人承担，承包人自费予以修复。</w:t>
      </w:r>
    </w:p>
    <w:p w14:paraId="7DE0D9D0">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20、按照《长沙市涂料中发挥性有机物（VOCs）减排工作方案》（长沙蓝天办[2019]22 号）文件精神，本项目施工所用涂料必须全部采用低挥发性有机物涂料，对未全部采用低挥发性有机物涂料、不能稳定达标排放、不满足措施性控制要求的，依法依规严格处罚。建筑室内空气环境质量应满足现行国家、省、市规范、标准要求，如不满足要求，由承包人整改合格为止，由此造成的一切损失由承包人承担。</w:t>
      </w:r>
    </w:p>
    <w:p w14:paraId="44CF11B9">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21、严格落实长沙市住房和城乡建设局《关于在建设工地推广使用纯电动智慧渣土车参与渣土运输处置试点工作的通知》（长住建发〔2021〕51 号）文件精神。</w:t>
      </w:r>
    </w:p>
    <w:p w14:paraId="6452F7C1">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22、严格落实《长沙市建筑垃圾资源化利用管理办法实施细则》（长住建发〔2018〕134 号）和《关于进一步加强建筑垃圾资源化利用产品应用工作的通知》（试行）（长住建发〔2021〕91 号）和《长沙经济技术开发区管委会关于建筑垃圾资源化利用有关事项的通知》（长经开管发〔2022〕28号）文件精神。</w:t>
      </w:r>
    </w:p>
    <w:p w14:paraId="140638E7">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 xml:space="preserve">23、《关于进一步加强房屋建筑和市政基础设施建设领域农民工工资实名制管理的通知》 （长住建发[2018]36 号）、《关于落实建设领域全面实施农民工工资实名制发放工作的通知》（长人社发[2017]108 号）和《湖南省实施〈工程建设领域农民工工资专用账户管理暂行办法〉办法》（湘人社规﹝2022﹞3号）文件，承包人应参照执行并作出承诺。 </w:t>
      </w:r>
    </w:p>
    <w:p w14:paraId="42F19FDA">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24、承包人承诺不拖欠工人工资，并保证工程款优先保障工人工资，按时足额支付本项目涉及的工人工资。</w:t>
      </w:r>
    </w:p>
    <w:p w14:paraId="20DCE910">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25、除合同约定的付款方式及付款比例外，承包人不得以完成竣工验收或支付民工工资等不正当理由要求发包人多支付工程款或提前支付工程款，否则须承担 2 万元/次的违约金。</w:t>
      </w:r>
    </w:p>
    <w:p w14:paraId="50C7D01A">
      <w:pPr>
        <w:autoSpaceDE w:val="0"/>
        <w:autoSpaceDN w:val="0"/>
        <w:adjustRightInd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26、若发生因拖欠工人工资导致的集体上访（3 人以上）、停工、媒体曝光等不良事件，发包人有权将核实的拖欠的工人工资直接从承包人应得工程款中扣除直接发放给承包人欠薪主体，后续工程款延期半年支付，且承包人还须向发包人支付违约金（至发包人上访的支付1万元/次的违约金；至区县上访的支付 2 万元/次的违约金；至市政府或市级行政机关上访的支付 4 万元/次的违约金；至省政府或省级行政机关上访的支付 6 万元/次的违约金）。除上述责任外，发包人还有权视情节严重程度解除本合同，并将其列入黑名单，三年内不得参加长沙经开区范围内所有项目的招标或采购活动。</w:t>
      </w:r>
    </w:p>
    <w:p w14:paraId="5999ECBB">
      <w:pPr>
        <w:autoSpaceDE w:val="0"/>
        <w:autoSpaceDN w:val="0"/>
        <w:adjustRightInd w:val="0"/>
        <w:snapToGrid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27、合同专用条款中承包人应履行的其他义务增加：对需要使用建筑垃圾再生产品而采取联合招标或总承包+专业分包招标方式的建设工程项目，承诺在工程施工过程中按设计要求使用再生产品，不再就再生产品应用比例进行设计变更，否则放弃成交。</w:t>
      </w:r>
    </w:p>
    <w:p w14:paraId="27F4CDD4">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 xml:space="preserve">28、合同约定的其他义务。 </w:t>
      </w:r>
    </w:p>
    <w:p w14:paraId="0C36924C">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3.2项目经理</w:t>
      </w:r>
    </w:p>
    <w:p w14:paraId="5925B0E7">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3.2.1项目经理：</w:t>
      </w:r>
    </w:p>
    <w:p w14:paraId="43D5B7CC">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姓名：</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522EE14F">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身份证号：</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3CA1587C">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建造师执业资格等级：</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60B9733E">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建造师注册证书号：</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7E8173F4">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建造师执业印章号：</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40B06B8B">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安全生产考核合格证书号：</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7C7324CC">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联系电话：</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14D97568">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电子信箱：</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2CD70A8D">
      <w:pPr>
        <w:tabs>
          <w:tab w:val="left" w:pos="493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通信地址：</w:t>
      </w:r>
      <w:r>
        <w:rPr>
          <w:rFonts w:hint="eastAsia" w:ascii="楷体" w:hAnsi="楷体" w:eastAsia="楷体" w:cs="楷体"/>
          <w:color w:val="auto"/>
          <w:szCs w:val="21"/>
          <w:u w:val="single"/>
        </w:rPr>
        <w:t xml:space="preserve">                                ；</w:t>
      </w:r>
    </w:p>
    <w:p w14:paraId="3B3C9C38">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承包人对项目经理的授权范围如下：</w:t>
      </w:r>
      <w:r>
        <w:rPr>
          <w:rFonts w:hint="eastAsia" w:ascii="楷体" w:hAnsi="楷体" w:eastAsia="楷体" w:cs="楷体"/>
          <w:color w:val="auto"/>
          <w:szCs w:val="21"/>
          <w:u w:val="single"/>
        </w:rPr>
        <w:t>全权代表承包人履行合同，并常驻现场，直接负责本工程施工过程中的各项职责。</w:t>
      </w:r>
    </w:p>
    <w:p w14:paraId="42D273D7">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关于项目经理以及施工现场关键岗位人员施工状态下</w:t>
      </w:r>
      <w:r>
        <w:rPr>
          <w:rFonts w:hint="eastAsia" w:ascii="楷体" w:hAnsi="楷体" w:eastAsia="楷体" w:cs="楷体"/>
          <w:color w:val="auto"/>
          <w:szCs w:val="21"/>
          <w:u w:val="single"/>
        </w:rPr>
        <w:t xml:space="preserve">，必须在岗。否则，视为承包人违约，承包人向发包人支付 （项目经理2000 元/天/人，主要施工管理人员1000 元/天/人）的违约金，从待付工程款中直接扣除。 </w:t>
      </w:r>
    </w:p>
    <w:p w14:paraId="347104B3">
      <w:pPr>
        <w:adjustRightInd w:val="0"/>
        <w:snapToGrid w:val="0"/>
        <w:spacing w:line="360" w:lineRule="exact"/>
        <w:ind w:firstLine="404" w:firstLineChars="200"/>
        <w:rPr>
          <w:rFonts w:ascii="楷体" w:hAnsi="楷体" w:eastAsia="楷体" w:cs="楷体"/>
          <w:color w:val="auto"/>
          <w:w w:val="101"/>
          <w:szCs w:val="21"/>
          <w:u w:val="single"/>
        </w:rPr>
      </w:pPr>
      <w:r>
        <w:rPr>
          <w:rFonts w:hint="eastAsia" w:ascii="楷体" w:hAnsi="楷体" w:eastAsia="楷体" w:cs="楷体"/>
          <w:color w:val="auto"/>
          <w:szCs w:val="21"/>
        </w:rPr>
        <w:t>承包人未提交劳动合同，以及没有为项目经理缴纳社会保险证明的违约责任：</w:t>
      </w:r>
      <w:r>
        <w:rPr>
          <w:rFonts w:hint="eastAsia" w:ascii="楷体" w:hAnsi="楷体" w:eastAsia="楷体" w:cs="楷体"/>
          <w:color w:val="auto"/>
          <w:w w:val="101"/>
          <w:szCs w:val="21"/>
          <w:u w:val="single"/>
        </w:rPr>
        <w:t>及时按发包人的要求更换项目经理，负责办理相关更换手续及承担费用，并</w:t>
      </w:r>
      <w:r>
        <w:rPr>
          <w:rFonts w:hint="eastAsia" w:ascii="楷体" w:hAnsi="楷体" w:eastAsia="楷体" w:cs="楷体"/>
          <w:color w:val="auto"/>
          <w:spacing w:val="5"/>
          <w:w w:val="101"/>
          <w:szCs w:val="21"/>
          <w:u w:val="single"/>
        </w:rPr>
        <w:t>支付50000元/次的违约金</w:t>
      </w:r>
      <w:r>
        <w:rPr>
          <w:rFonts w:hint="eastAsia" w:ascii="楷体" w:hAnsi="楷体" w:eastAsia="楷体" w:cs="楷体"/>
          <w:color w:val="auto"/>
          <w:w w:val="101"/>
          <w:szCs w:val="21"/>
          <w:u w:val="single"/>
        </w:rPr>
        <w:t>。</w:t>
      </w:r>
    </w:p>
    <w:p w14:paraId="0BFB6E03">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项目经理未经批准，擅自离开施工现场的违约责任：</w:t>
      </w:r>
      <w:r>
        <w:rPr>
          <w:rFonts w:hint="eastAsia" w:ascii="楷体" w:hAnsi="楷体" w:eastAsia="楷体" w:cs="楷体"/>
          <w:color w:val="auto"/>
          <w:szCs w:val="21"/>
          <w:u w:val="single"/>
        </w:rPr>
        <w:t>每擅自离开一次，承包人向发包人支付2000元/次的违约金。</w:t>
      </w:r>
    </w:p>
    <w:p w14:paraId="4D23EBE9">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3.2.2承包人擅自更换项目经理的违约责任：</w:t>
      </w:r>
      <w:r>
        <w:rPr>
          <w:rFonts w:hint="eastAsia" w:ascii="楷体" w:hAnsi="楷体" w:eastAsia="楷体" w:cs="楷体"/>
          <w:color w:val="auto"/>
          <w:kern w:val="2"/>
          <w:szCs w:val="21"/>
          <w:u w:val="single"/>
        </w:rPr>
        <w:t>每擅自变更一次，则承包人向发包人支付50000元/次的违约金，且承包人须负责办理更换手续及承担费用。</w:t>
      </w:r>
    </w:p>
    <w:p w14:paraId="1306393A">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3.2.3承包人无正当理由拒绝更换项目经理的违约责任：</w:t>
      </w:r>
      <w:r>
        <w:rPr>
          <w:rFonts w:hint="eastAsia" w:ascii="楷体" w:hAnsi="楷体" w:eastAsia="楷体" w:cs="楷体"/>
          <w:color w:val="auto"/>
          <w:kern w:val="2"/>
          <w:szCs w:val="21"/>
          <w:u w:val="single"/>
        </w:rPr>
        <w:t>承包人向发包人支付5000元/天的违约金。</w:t>
      </w:r>
    </w:p>
    <w:p w14:paraId="15B23FC8">
      <w:pPr>
        <w:tabs>
          <w:tab w:val="left" w:pos="1349"/>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3.3承包人人员</w:t>
      </w:r>
    </w:p>
    <w:p w14:paraId="50901B7E">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3.3.1承包人提交项目管理机构及施工现场管理人员安排报告的期限：</w:t>
      </w:r>
      <w:r>
        <w:rPr>
          <w:rFonts w:hint="eastAsia" w:ascii="楷体" w:hAnsi="楷体" w:eastAsia="楷体" w:cs="楷体"/>
          <w:color w:val="auto"/>
          <w:kern w:val="2"/>
          <w:szCs w:val="21"/>
          <w:u w:val="single"/>
        </w:rPr>
        <w:t>工程开工前3天</w:t>
      </w:r>
      <w:r>
        <w:rPr>
          <w:rFonts w:hint="eastAsia" w:ascii="楷体" w:hAnsi="楷体" w:eastAsia="楷体" w:cs="楷体"/>
          <w:color w:val="auto"/>
          <w:kern w:val="2"/>
          <w:szCs w:val="21"/>
        </w:rPr>
        <w:t>。</w:t>
      </w:r>
    </w:p>
    <w:p w14:paraId="28120C49">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3.3.2承包人无正当理由拒绝撤换主要施工管理人员的违约责任：</w:t>
      </w:r>
      <w:r>
        <w:rPr>
          <w:rFonts w:hint="eastAsia" w:ascii="楷体" w:hAnsi="楷体" w:eastAsia="楷体" w:cs="楷体"/>
          <w:color w:val="auto"/>
          <w:kern w:val="2"/>
          <w:szCs w:val="21"/>
          <w:u w:val="single"/>
        </w:rPr>
        <w:t>承包人向发包人支付1000元/天/人的违约金。</w:t>
      </w:r>
    </w:p>
    <w:p w14:paraId="036CF81E">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3.3.3承包人主要施工管理人员离开施工现场的批准要求：</w:t>
      </w:r>
      <w:r>
        <w:rPr>
          <w:rFonts w:hint="eastAsia" w:ascii="楷体" w:hAnsi="楷体" w:eastAsia="楷体" w:cs="楷体"/>
          <w:color w:val="auto"/>
          <w:kern w:val="2"/>
          <w:szCs w:val="21"/>
          <w:u w:val="single"/>
        </w:rPr>
        <w:t>请假须经发包人及监理人书面批准</w:t>
      </w:r>
      <w:r>
        <w:rPr>
          <w:rFonts w:hint="eastAsia" w:ascii="楷体" w:hAnsi="楷体" w:eastAsia="楷体" w:cs="楷体"/>
          <w:color w:val="auto"/>
          <w:kern w:val="2"/>
          <w:szCs w:val="21"/>
        </w:rPr>
        <w:t>。</w:t>
      </w:r>
    </w:p>
    <w:p w14:paraId="6CEFEBB0">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3.3.4承包人擅自更换主要施工管理人员的违约责任：</w:t>
      </w:r>
      <w:r>
        <w:rPr>
          <w:rFonts w:hint="eastAsia" w:ascii="楷体" w:hAnsi="楷体" w:eastAsia="楷体" w:cs="楷体"/>
          <w:color w:val="auto"/>
          <w:kern w:val="2"/>
          <w:szCs w:val="21"/>
          <w:u w:val="single"/>
        </w:rPr>
        <w:t>承包人向发包人支付20000元/次/人的违约金，负责办理相关更换手续及承担费用。</w:t>
      </w:r>
    </w:p>
    <w:p w14:paraId="56A191ED">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承包人主要施工管理人员擅自离开施工现场的违约责任：</w:t>
      </w:r>
      <w:r>
        <w:rPr>
          <w:rFonts w:hint="eastAsia" w:ascii="楷体" w:hAnsi="楷体" w:eastAsia="楷体" w:cs="楷体"/>
          <w:color w:val="auto"/>
          <w:szCs w:val="21"/>
          <w:u w:val="single"/>
        </w:rPr>
        <w:t>每擅自离开一次，承包人向发包人支付 1000 元/天/人的违约金。</w:t>
      </w:r>
    </w:p>
    <w:p w14:paraId="686EEA6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承包人现场管理关键人员包括但不限于</w:t>
      </w:r>
      <w:r>
        <w:rPr>
          <w:rFonts w:hint="eastAsia" w:ascii="楷体" w:hAnsi="楷体" w:eastAsia="楷体" w:cs="楷体"/>
          <w:color w:val="auto"/>
          <w:szCs w:val="21"/>
        </w:rPr>
        <w:t>技术负责人、</w:t>
      </w:r>
      <w:r>
        <w:rPr>
          <w:rFonts w:hint="eastAsia" w:ascii="楷体" w:hAnsi="楷体" w:eastAsia="楷体" w:cs="楷体"/>
          <w:color w:val="auto"/>
          <w:szCs w:val="21"/>
          <w:u w:val="single"/>
        </w:rPr>
        <w:t>施工员、</w:t>
      </w:r>
      <w:r>
        <w:rPr>
          <w:rFonts w:hint="eastAsia" w:ascii="楷体" w:hAnsi="楷体" w:eastAsia="楷体" w:cs="楷体"/>
          <w:color w:val="auto"/>
          <w:szCs w:val="21"/>
        </w:rPr>
        <w:t>质量员、</w:t>
      </w:r>
      <w:r>
        <w:rPr>
          <w:rFonts w:hint="eastAsia" w:ascii="楷体" w:hAnsi="楷体" w:eastAsia="楷体" w:cs="楷体"/>
          <w:color w:val="auto"/>
          <w:szCs w:val="21"/>
          <w:u w:val="single"/>
        </w:rPr>
        <w:t>安全员、资料员、造价员等的配备，必须按照响应文件及湘建﹝2020﹞208号文件的要求并经发包人现场代表的认可，且为本单位在职人员，对专业水平达不到岗位要求、工作责任心不强的施工管理人员，或不能积极配合发包人正常工作者，发包人有权要求承包人更换，直至满足要求。</w:t>
      </w:r>
    </w:p>
    <w:p w14:paraId="21553643">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3.5分包</w:t>
      </w:r>
    </w:p>
    <w:p w14:paraId="459BCB5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3.5.1分包的一般约定</w:t>
      </w:r>
    </w:p>
    <w:p w14:paraId="467D395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承包人不得将其承包的全部工程转包给第三人，或将其承包的全部工程肢解后以分包的名义转包给第三人。禁止分包的工程包括：主体结构、关键性工程等法律</w:t>
      </w:r>
      <w:r>
        <w:rPr>
          <w:rFonts w:hint="eastAsia" w:ascii="楷体" w:hAnsi="楷体" w:eastAsia="楷体" w:cs="楷体"/>
          <w:color w:val="auto"/>
          <w:szCs w:val="21"/>
          <w:u w:val="single"/>
        </w:rPr>
        <w:t>法规禁止分包的工程</w:t>
      </w:r>
      <w:r>
        <w:rPr>
          <w:rFonts w:hint="eastAsia" w:ascii="楷体" w:hAnsi="楷体" w:eastAsia="楷体" w:cs="楷体"/>
          <w:color w:val="auto"/>
          <w:szCs w:val="21"/>
        </w:rPr>
        <w:t>。</w:t>
      </w:r>
    </w:p>
    <w:p w14:paraId="6B2609A0">
      <w:pPr>
        <w:tabs>
          <w:tab w:val="left" w:pos="4325"/>
          <w:tab w:val="left" w:pos="5635"/>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主体结构、关键性工作的范围：</w:t>
      </w:r>
      <w:r>
        <w:rPr>
          <w:rFonts w:hint="eastAsia" w:ascii="楷体" w:hAnsi="楷体" w:eastAsia="楷体" w:cs="楷体"/>
          <w:color w:val="auto"/>
          <w:szCs w:val="21"/>
          <w:u w:val="single"/>
        </w:rPr>
        <w:t>全部工程</w:t>
      </w:r>
      <w:r>
        <w:rPr>
          <w:rFonts w:hint="eastAsia" w:ascii="楷体" w:hAnsi="楷体" w:eastAsia="楷体" w:cs="楷体"/>
          <w:color w:val="auto"/>
          <w:szCs w:val="21"/>
        </w:rPr>
        <w:t>。</w:t>
      </w:r>
    </w:p>
    <w:p w14:paraId="622029E6">
      <w:pPr>
        <w:tabs>
          <w:tab w:val="left" w:pos="4325"/>
          <w:tab w:val="left" w:pos="5635"/>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承包人不得以劳务分包的名义转包或违法分包工程。</w:t>
      </w:r>
    </w:p>
    <w:p w14:paraId="1F3F49A3">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3.6工程照管与成品、半成品保护</w:t>
      </w:r>
    </w:p>
    <w:p w14:paraId="33FA41E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承包人负责照管工程及工程相关的材料、工程设备的起始时间：</w:t>
      </w:r>
      <w:r>
        <w:rPr>
          <w:rFonts w:hint="eastAsia" w:ascii="楷体" w:hAnsi="楷体" w:eastAsia="楷体" w:cs="楷体"/>
          <w:color w:val="auto"/>
          <w:szCs w:val="21"/>
          <w:u w:val="single"/>
        </w:rPr>
        <w:t>设备、人员进场至竣工验收交付使用前由承包人负责，无其他特殊要求的，费用由承包人承担</w:t>
      </w:r>
      <w:r>
        <w:rPr>
          <w:rFonts w:hint="eastAsia" w:ascii="楷体" w:hAnsi="楷体" w:eastAsia="楷体" w:cs="楷体"/>
          <w:color w:val="auto"/>
          <w:szCs w:val="21"/>
        </w:rPr>
        <w:t>。</w:t>
      </w:r>
    </w:p>
    <w:p w14:paraId="4ABB45AD">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3.7履约担保</w:t>
      </w:r>
    </w:p>
    <w:p w14:paraId="74C8E4C0">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4.2履约担保</w:t>
      </w:r>
    </w:p>
    <w:p w14:paraId="5C72B102">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承包人是否提供履约担保：</w:t>
      </w:r>
      <w:r>
        <w:rPr>
          <w:rFonts w:hint="eastAsia" w:ascii="楷体" w:hAnsi="楷体" w:eastAsia="楷体" w:cs="楷体"/>
          <w:color w:val="auto"/>
          <w:szCs w:val="21"/>
          <w:u w:val="single"/>
        </w:rPr>
        <w:t>否</w:t>
      </w:r>
      <w:r>
        <w:rPr>
          <w:rFonts w:hint="eastAsia" w:ascii="楷体" w:hAnsi="楷体" w:eastAsia="楷体" w:cs="楷体"/>
          <w:color w:val="auto"/>
          <w:szCs w:val="21"/>
        </w:rPr>
        <w:t xml:space="preserve">。 </w:t>
      </w:r>
    </w:p>
    <w:p w14:paraId="4AE665DE">
      <w:pPr>
        <w:autoSpaceDE w:val="0"/>
        <w:autoSpaceDN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rPr>
        <w:t xml:space="preserve">履约担保的方式、金额及期限： </w:t>
      </w:r>
      <w:r>
        <w:rPr>
          <w:rFonts w:hint="eastAsia" w:ascii="楷体" w:hAnsi="楷体" w:eastAsia="楷体" w:cs="楷体"/>
          <w:color w:val="auto"/>
          <w:szCs w:val="21"/>
          <w:u w:val="single"/>
        </w:rPr>
        <w:t>/</w:t>
      </w:r>
    </w:p>
    <w:p w14:paraId="325424DA">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0" w:name="_Toc3759"/>
      <w:r>
        <w:rPr>
          <w:rFonts w:hint="eastAsia" w:ascii="楷体" w:hAnsi="楷体" w:eastAsia="楷体" w:cs="楷体"/>
          <w:b/>
          <w:color w:val="auto"/>
          <w:szCs w:val="21"/>
        </w:rPr>
        <w:t>4.监理人</w:t>
      </w:r>
      <w:bookmarkEnd w:id="20"/>
    </w:p>
    <w:p w14:paraId="434B6155">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 xml:space="preserve">4.1监理人的一般规定：/ </w:t>
      </w:r>
    </w:p>
    <w:p w14:paraId="0B0A11A5">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1" w:name="_Toc1225"/>
      <w:r>
        <w:rPr>
          <w:rFonts w:hint="eastAsia" w:ascii="楷体" w:hAnsi="楷体" w:eastAsia="楷体" w:cs="楷体"/>
          <w:b/>
          <w:color w:val="auto"/>
          <w:szCs w:val="21"/>
        </w:rPr>
        <w:t>5.工程质量</w:t>
      </w:r>
      <w:bookmarkEnd w:id="21"/>
    </w:p>
    <w:p w14:paraId="58981853">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5.1质量要求</w:t>
      </w:r>
    </w:p>
    <w:p w14:paraId="39CCA574">
      <w:pPr>
        <w:tabs>
          <w:tab w:val="left" w:pos="1550"/>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color w:val="auto"/>
          <w:kern w:val="2"/>
          <w:szCs w:val="21"/>
        </w:rPr>
        <w:t>5.1.1特殊质量标准和要求：</w:t>
      </w:r>
      <w:r>
        <w:rPr>
          <w:rFonts w:hint="eastAsia" w:ascii="楷体" w:hAnsi="楷体" w:eastAsia="楷体" w:cs="楷体"/>
          <w:color w:val="auto"/>
          <w:kern w:val="2"/>
          <w:szCs w:val="21"/>
          <w:u w:val="single"/>
        </w:rPr>
        <w:t>工程质量标准：一次验收合格，按照《建筑法》《建设工程质量管理条例》、国家及省、市有关质量管理的法规和标准及本项目相关的质量管理办法，并严格按照设计图纸、国家有关规范、强制性标准、地方和行业标准进行施工。</w:t>
      </w:r>
    </w:p>
    <w:p w14:paraId="22C0A8C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如发现承包人已完工程存在质量问题，发包人有权要求承包人履行返修义务。返修 2 次仍不合格的，发包人有权委托第三人完成工程，并由承包人承担返工、修复费用和工期延误损失。如第三人也无法完成工程修复或修复费用明显高于已完工程成本的，视为工程质量最终不合格，承包人无权主张不合格的工程款，同时对承包人处以不合格工程造价的 2 倍罚金。</w:t>
      </w:r>
    </w:p>
    <w:p w14:paraId="2DED376F">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5.1.2关于工程奖项的约定：</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1844DDC5">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5.3隐蔽工程检查</w:t>
      </w:r>
    </w:p>
    <w:p w14:paraId="62919A32">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5.3.1承包人提前通知监理人隐蔽工程检查的期限的约定：</w:t>
      </w:r>
      <w:r>
        <w:rPr>
          <w:rFonts w:hint="eastAsia" w:ascii="楷体" w:hAnsi="楷体" w:eastAsia="楷体" w:cs="楷体"/>
          <w:color w:val="auto"/>
          <w:kern w:val="2"/>
          <w:szCs w:val="21"/>
          <w:u w:val="single"/>
        </w:rPr>
        <w:t xml:space="preserve">48小时前 </w:t>
      </w:r>
      <w:r>
        <w:rPr>
          <w:rFonts w:hint="eastAsia" w:ascii="楷体" w:hAnsi="楷体" w:eastAsia="楷体" w:cs="楷体"/>
          <w:color w:val="auto"/>
          <w:kern w:val="2"/>
          <w:szCs w:val="21"/>
        </w:rPr>
        <w:t>。</w:t>
      </w:r>
    </w:p>
    <w:p w14:paraId="2EA29EF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监理人不能按时进行检查时，应提前</w:t>
      </w:r>
      <w:r>
        <w:rPr>
          <w:rFonts w:hint="eastAsia" w:ascii="楷体" w:hAnsi="楷体" w:eastAsia="楷体" w:cs="楷体"/>
          <w:color w:val="auto"/>
          <w:szCs w:val="21"/>
          <w:u w:val="single"/>
        </w:rPr>
        <w:t xml:space="preserve"> 24</w:t>
      </w:r>
      <w:r>
        <w:rPr>
          <w:rFonts w:hint="eastAsia" w:ascii="楷体" w:hAnsi="楷体" w:eastAsia="楷体" w:cs="楷体"/>
          <w:color w:val="auto"/>
          <w:szCs w:val="21"/>
        </w:rPr>
        <w:t xml:space="preserve"> 小时提交书面延期要求。</w:t>
      </w:r>
    </w:p>
    <w:p w14:paraId="71131A74">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关于延期最长不得超过：</w:t>
      </w:r>
      <w:r>
        <w:rPr>
          <w:rFonts w:hint="eastAsia" w:ascii="楷体" w:hAnsi="楷体" w:eastAsia="楷体" w:cs="楷体"/>
          <w:color w:val="auto"/>
          <w:szCs w:val="21"/>
          <w:u w:val="single"/>
        </w:rPr>
        <w:t>48</w:t>
      </w:r>
      <w:r>
        <w:rPr>
          <w:rFonts w:hint="eastAsia" w:ascii="楷体" w:hAnsi="楷体" w:eastAsia="楷体" w:cs="楷体"/>
          <w:color w:val="auto"/>
          <w:szCs w:val="21"/>
        </w:rPr>
        <w:t xml:space="preserve"> 小时。</w:t>
      </w:r>
    </w:p>
    <w:p w14:paraId="77FE486E">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2" w:name="_Toc3228"/>
      <w:r>
        <w:rPr>
          <w:rFonts w:hint="eastAsia" w:ascii="楷体" w:hAnsi="楷体" w:eastAsia="楷体" w:cs="楷体"/>
          <w:b/>
          <w:color w:val="auto"/>
          <w:szCs w:val="21"/>
        </w:rPr>
        <w:t>6.安全文明施工与环境保护</w:t>
      </w:r>
      <w:bookmarkEnd w:id="22"/>
    </w:p>
    <w:p w14:paraId="7776A5F4">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6.1安全文明施工</w:t>
      </w:r>
    </w:p>
    <w:p w14:paraId="791C3C49">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6.1.1项目安全生产的达标目标及相应事项的约定：</w:t>
      </w:r>
      <w:r>
        <w:rPr>
          <w:rFonts w:hint="eastAsia" w:ascii="楷体" w:hAnsi="楷体" w:eastAsia="楷体" w:cs="楷体"/>
          <w:color w:val="auto"/>
          <w:kern w:val="2"/>
          <w:szCs w:val="21"/>
          <w:u w:val="single"/>
        </w:rPr>
        <w:t>零事故率</w:t>
      </w:r>
      <w:r>
        <w:rPr>
          <w:rFonts w:hint="eastAsia" w:ascii="楷体" w:hAnsi="楷体" w:eastAsia="楷体" w:cs="楷体"/>
          <w:color w:val="auto"/>
          <w:kern w:val="2"/>
          <w:szCs w:val="21"/>
        </w:rPr>
        <w:t xml:space="preserve"> 。</w:t>
      </w:r>
    </w:p>
    <w:p w14:paraId="3363961E">
      <w:pPr>
        <w:tabs>
          <w:tab w:val="left" w:pos="1550"/>
          <w:tab w:val="left" w:pos="4272"/>
          <w:tab w:val="left" w:pos="5986"/>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6.1.2关于治安保卫的特别约定：</w:t>
      </w:r>
      <w:r>
        <w:rPr>
          <w:rFonts w:hint="eastAsia" w:ascii="楷体" w:hAnsi="楷体" w:eastAsia="楷体" w:cs="楷体"/>
          <w:color w:val="auto"/>
          <w:kern w:val="2"/>
          <w:szCs w:val="21"/>
          <w:u w:val="single"/>
        </w:rPr>
        <w:t>按通用条款执行</w:t>
      </w:r>
      <w:r>
        <w:rPr>
          <w:rFonts w:hint="eastAsia" w:ascii="楷体" w:hAnsi="楷体" w:eastAsia="楷体" w:cs="楷体"/>
          <w:color w:val="auto"/>
          <w:kern w:val="2"/>
          <w:szCs w:val="21"/>
        </w:rPr>
        <w:t>。</w:t>
      </w:r>
    </w:p>
    <w:p w14:paraId="0D771A9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关于编制施工场地治安管理计划的约定：</w:t>
      </w:r>
      <w:r>
        <w:rPr>
          <w:rFonts w:hint="eastAsia" w:ascii="楷体" w:hAnsi="楷体" w:eastAsia="楷体" w:cs="楷体"/>
          <w:color w:val="auto"/>
          <w:szCs w:val="21"/>
          <w:u w:val="single"/>
        </w:rPr>
        <w:t>开工前提供施工场地治安管理计划</w:t>
      </w:r>
      <w:r>
        <w:rPr>
          <w:rFonts w:hint="eastAsia" w:ascii="楷体" w:hAnsi="楷体" w:eastAsia="楷体" w:cs="楷体"/>
          <w:color w:val="auto"/>
          <w:szCs w:val="21"/>
        </w:rPr>
        <w:t>。</w:t>
      </w:r>
    </w:p>
    <w:p w14:paraId="4FAE431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6.1.5文明施工</w:t>
      </w:r>
    </w:p>
    <w:p w14:paraId="1715E000">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合同当事人对文明施工的要求：</w:t>
      </w:r>
      <w:r>
        <w:rPr>
          <w:rFonts w:hint="eastAsia" w:ascii="楷体" w:hAnsi="楷体" w:eastAsia="楷体" w:cs="楷体"/>
          <w:color w:val="auto"/>
          <w:szCs w:val="21"/>
          <w:u w:val="single"/>
        </w:rPr>
        <w:t>达到《建筑施工现场环境与安全标准》（JGJ146-2013）、《建筑施工安全检查标准》（JGJ59—2011）、《湖南省建筑施工安全质量标准化图集》等规范要求，争创标准化工地。该项目靠近市政道路，车辆进出均应按要求进行清理，不得污染市政道路。同时上级或主管部门对本项目进行相关检查前，承包人需按发包人要求完善现场安全文明施工，做好迎检准备</w:t>
      </w:r>
      <w:r>
        <w:rPr>
          <w:rFonts w:hint="eastAsia" w:ascii="楷体" w:hAnsi="楷体" w:eastAsia="楷体" w:cs="楷体"/>
          <w:color w:val="auto"/>
          <w:szCs w:val="21"/>
        </w:rPr>
        <w:t>。</w:t>
      </w:r>
    </w:p>
    <w:p w14:paraId="460BF59D">
      <w:pPr>
        <w:tabs>
          <w:tab w:val="left" w:pos="16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u w:val="single"/>
        </w:rPr>
        <w:t>6.1.6因承包人安全文明施工管理不善导致发包人在城市综合考核中受到的处分由承包人承担。</w:t>
      </w:r>
    </w:p>
    <w:p w14:paraId="75A0AD65">
      <w:pPr>
        <w:tabs>
          <w:tab w:val="left" w:pos="159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u w:val="single"/>
        </w:rPr>
        <w:t>6.1.7承包人应严格落实各级政府及部门蓝天保卫战及建筑工地扬尘防治 8 个 100%的要求。即：1、施工工地现场围挡和外架防护 100%全封闭，围挡保持整洁美观，外架安全网无破损。2、施工现场出入口及车行道路 100%硬底化。3、施工现场出入口 100%设置车辆冲洗设施，保证车辆清洁上路。4、易起扬尘作业面 100%湿法施工。5、裸露黄土及易起尘物料 100%覆盖，超过 48 小时的易起尘裸露黄土要使用防尘网（布）进行覆盖，超过 3 个月不施工的裸露黄土应当进行绿化、铺装或者覆盖。6、渣土实施 100%密封运输。7、建筑垃圾 100%规范管理，必须集中堆放、及时清运，严禁高空抛撒和焚烧。8、非道路移动工程机械尾气排放 100%达标，严禁使用劣质油品，严禁冒烟作业。</w:t>
      </w:r>
    </w:p>
    <w:p w14:paraId="6356AD9F">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3" w:name="_Toc10030"/>
      <w:r>
        <w:rPr>
          <w:rFonts w:hint="eastAsia" w:ascii="楷体" w:hAnsi="楷体" w:eastAsia="楷体" w:cs="楷体"/>
          <w:b/>
          <w:color w:val="auto"/>
          <w:szCs w:val="21"/>
        </w:rPr>
        <w:t>7.工期和进度</w:t>
      </w:r>
      <w:bookmarkEnd w:id="23"/>
    </w:p>
    <w:p w14:paraId="2B43EA8E">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7.1施工组织设计</w:t>
      </w:r>
    </w:p>
    <w:p w14:paraId="12FC372D">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7.1.1合同当事人约定的施工组织设计应包括的其他内容：</w:t>
      </w:r>
      <w:r>
        <w:rPr>
          <w:rFonts w:hint="eastAsia" w:ascii="楷体" w:hAnsi="楷体" w:eastAsia="楷体" w:cs="楷体"/>
          <w:color w:val="auto"/>
          <w:kern w:val="2"/>
          <w:szCs w:val="21"/>
          <w:u w:val="single"/>
        </w:rPr>
        <w:t>按磋商文件约定，磋商文件无约定的按通用条款执行</w:t>
      </w:r>
      <w:r>
        <w:rPr>
          <w:rFonts w:hint="eastAsia" w:ascii="楷体" w:hAnsi="楷体" w:eastAsia="楷体" w:cs="楷体"/>
          <w:color w:val="auto"/>
          <w:kern w:val="2"/>
          <w:szCs w:val="21"/>
        </w:rPr>
        <w:t>。</w:t>
      </w:r>
    </w:p>
    <w:p w14:paraId="5AE5092A">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7.1.2施工组织设计的提交和修改</w:t>
      </w:r>
    </w:p>
    <w:p w14:paraId="2D18B969">
      <w:pPr>
        <w:tabs>
          <w:tab w:val="left" w:pos="6745"/>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承包人提交详细施工组织设计的期限的约定：</w:t>
      </w:r>
      <w:r>
        <w:rPr>
          <w:rFonts w:hint="eastAsia" w:ascii="楷体" w:hAnsi="楷体" w:eastAsia="楷体" w:cs="楷体"/>
          <w:color w:val="auto"/>
          <w:szCs w:val="21"/>
          <w:u w:val="single"/>
        </w:rPr>
        <w:t>开工前 5 天</w:t>
      </w:r>
      <w:r>
        <w:rPr>
          <w:rFonts w:hint="eastAsia" w:ascii="楷体" w:hAnsi="楷体" w:eastAsia="楷体" w:cs="楷体"/>
          <w:color w:val="auto"/>
          <w:szCs w:val="21"/>
        </w:rPr>
        <w:t>。</w:t>
      </w:r>
    </w:p>
    <w:p w14:paraId="5795BC4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发包人和监理人在收到详细的施工组织设计后确认或提出修改意见的期限：</w:t>
      </w:r>
      <w:r>
        <w:rPr>
          <w:rFonts w:hint="eastAsia" w:ascii="楷体" w:hAnsi="楷体" w:eastAsia="楷体" w:cs="楷体"/>
          <w:color w:val="auto"/>
          <w:szCs w:val="21"/>
          <w:u w:val="single"/>
        </w:rPr>
        <w:t xml:space="preserve">收到承包人提交的施工组织设计后 3 天内 </w:t>
      </w:r>
      <w:r>
        <w:rPr>
          <w:rFonts w:hint="eastAsia" w:ascii="楷体" w:hAnsi="楷体" w:eastAsia="楷体" w:cs="楷体"/>
          <w:color w:val="auto"/>
          <w:szCs w:val="21"/>
        </w:rPr>
        <w:t>。</w:t>
      </w:r>
    </w:p>
    <w:p w14:paraId="7B1164B2">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7.2施工进度计划</w:t>
      </w:r>
    </w:p>
    <w:p w14:paraId="020DC531">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7.2.1施工进度计划的修订</w:t>
      </w:r>
    </w:p>
    <w:p w14:paraId="18DAEDFF">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发包人和监理人在收到修订的施工进度计划后确认或提出修改意见的期限：</w:t>
      </w:r>
      <w:r>
        <w:rPr>
          <w:rFonts w:hint="eastAsia" w:ascii="楷体" w:hAnsi="楷体" w:eastAsia="楷体" w:cs="楷体"/>
          <w:color w:val="auto"/>
          <w:szCs w:val="21"/>
          <w:u w:val="single"/>
        </w:rPr>
        <w:t xml:space="preserve"> 收到修订的施工进度计划次日 </w:t>
      </w:r>
      <w:r>
        <w:rPr>
          <w:rFonts w:hint="eastAsia" w:ascii="楷体" w:hAnsi="楷体" w:eastAsia="楷体" w:cs="楷体"/>
          <w:color w:val="auto"/>
          <w:szCs w:val="21"/>
        </w:rPr>
        <w:t>。</w:t>
      </w:r>
    </w:p>
    <w:p w14:paraId="553D5D25">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7.3开工</w:t>
      </w:r>
    </w:p>
    <w:p w14:paraId="3EAEADBE">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7.3.1开工准备</w:t>
      </w:r>
    </w:p>
    <w:p w14:paraId="377FE83D">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关于承包人提交工程开工报审表的期限：</w:t>
      </w:r>
      <w:r>
        <w:rPr>
          <w:rFonts w:hint="eastAsia" w:ascii="楷体" w:hAnsi="楷体" w:eastAsia="楷体" w:cs="楷体"/>
          <w:color w:val="auto"/>
          <w:szCs w:val="21"/>
          <w:u w:val="single"/>
        </w:rPr>
        <w:t>正式开工前 3 天</w:t>
      </w:r>
      <w:r>
        <w:rPr>
          <w:rFonts w:hint="eastAsia" w:ascii="楷体" w:hAnsi="楷体" w:eastAsia="楷体" w:cs="楷体"/>
          <w:color w:val="auto"/>
          <w:szCs w:val="21"/>
        </w:rPr>
        <w:t>。</w:t>
      </w:r>
    </w:p>
    <w:p w14:paraId="63C2DA9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关于发包人应完成的其他开工准备工作及期限：</w:t>
      </w:r>
      <w:r>
        <w:rPr>
          <w:rFonts w:hint="eastAsia" w:ascii="楷体" w:hAnsi="楷体" w:eastAsia="楷体" w:cs="楷体"/>
          <w:color w:val="auto"/>
          <w:szCs w:val="21"/>
          <w:u w:val="single"/>
        </w:rPr>
        <w:t>开工前 1 天</w:t>
      </w:r>
      <w:r>
        <w:rPr>
          <w:rFonts w:hint="eastAsia" w:ascii="楷体" w:hAnsi="楷体" w:eastAsia="楷体" w:cs="楷体"/>
          <w:color w:val="auto"/>
          <w:szCs w:val="21"/>
        </w:rPr>
        <w:t xml:space="preserve"> 。</w:t>
      </w:r>
    </w:p>
    <w:p w14:paraId="6AC7D580">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关于承包人应完成的其他开工准备工作及期限：</w:t>
      </w:r>
      <w:r>
        <w:rPr>
          <w:rFonts w:hint="eastAsia" w:ascii="楷体" w:hAnsi="楷体" w:eastAsia="楷体" w:cs="楷体"/>
          <w:color w:val="auto"/>
          <w:szCs w:val="21"/>
          <w:u w:val="single"/>
        </w:rPr>
        <w:t>开工前 1 天</w:t>
      </w:r>
      <w:r>
        <w:rPr>
          <w:rFonts w:hint="eastAsia" w:ascii="楷体" w:hAnsi="楷体" w:eastAsia="楷体" w:cs="楷体"/>
          <w:color w:val="auto"/>
          <w:szCs w:val="21"/>
        </w:rPr>
        <w:t>。</w:t>
      </w:r>
    </w:p>
    <w:p w14:paraId="45F6E86F">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7.3.2开工通知</w:t>
      </w:r>
    </w:p>
    <w:p w14:paraId="0A4C05BC">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因发包人原因造成监理人（如有）未能在计划开工日期之日起天 60 内发出开工通知的，承包人有权解除合同。</w:t>
      </w:r>
    </w:p>
    <w:p w14:paraId="2601FEB9">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7.4测量放线</w:t>
      </w:r>
    </w:p>
    <w:p w14:paraId="5E053F7A">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7.4.1发包人通过监理人（如有）向承包人提供测量基准点、基准线和水准点及其书面资料的期限：</w:t>
      </w:r>
      <w:r>
        <w:rPr>
          <w:rFonts w:hint="eastAsia" w:ascii="楷体" w:hAnsi="楷体" w:eastAsia="楷体" w:cs="楷体"/>
          <w:color w:val="auto"/>
          <w:kern w:val="2"/>
          <w:szCs w:val="21"/>
          <w:u w:val="single"/>
        </w:rPr>
        <w:t>开工后 3 天内。</w:t>
      </w:r>
    </w:p>
    <w:p w14:paraId="201A77CB">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7.5工期延误</w:t>
      </w:r>
    </w:p>
    <w:p w14:paraId="470AA034">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7.5.1因发包人原因导致工期延误</w:t>
      </w:r>
    </w:p>
    <w:p w14:paraId="4F8799B9">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因发包人原因导致工期延误的其他情形：</w:t>
      </w:r>
      <w:r>
        <w:rPr>
          <w:rFonts w:hint="eastAsia" w:ascii="楷体" w:hAnsi="楷体" w:eastAsia="楷体" w:cs="楷体"/>
          <w:color w:val="auto"/>
          <w:szCs w:val="21"/>
          <w:u w:val="single"/>
        </w:rPr>
        <w:t>（1）发包人未按合同规定支付工程款并确实影响施工进度；（2）重大设计变更而影响施工进度；（3）政策处理问题影响施工进度；（4）不可抗力因素影响施工进度。</w:t>
      </w:r>
    </w:p>
    <w:p w14:paraId="71C6A9C8">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7.5.2因承包人原因导致工期延误</w:t>
      </w:r>
    </w:p>
    <w:p w14:paraId="3F4FCA83">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因承包人原因造成工期延误，逾期违约金的计算方法为：</w:t>
      </w:r>
    </w:p>
    <w:p w14:paraId="35A5258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b/>
          <w:bCs/>
          <w:color w:val="auto"/>
          <w:szCs w:val="21"/>
        </w:rPr>
        <w:t>非发包人原因导致的工期延误均视为承包人工期延误。承包人工期延误按以下方法处理：</w:t>
      </w:r>
    </w:p>
    <w:p w14:paraId="09C4B32F">
      <w:pPr>
        <w:snapToGrid w:val="0"/>
        <w:spacing w:line="360" w:lineRule="exact"/>
        <w:ind w:firstLine="404" w:firstLineChars="200"/>
        <w:rPr>
          <w:rFonts w:ascii="楷体" w:hAnsi="楷体" w:eastAsia="楷体" w:cs="楷体"/>
          <w:color w:val="auto"/>
          <w:spacing w:val="5"/>
          <w:w w:val="101"/>
          <w:szCs w:val="21"/>
          <w:u w:val="single"/>
        </w:rPr>
      </w:pPr>
      <w:r>
        <w:rPr>
          <w:rFonts w:hint="eastAsia" w:ascii="楷体" w:hAnsi="楷体" w:eastAsia="楷体" w:cs="楷体"/>
          <w:color w:val="auto"/>
          <w:szCs w:val="21"/>
        </w:rPr>
        <w:t>（1）</w:t>
      </w:r>
      <w:r>
        <w:rPr>
          <w:rFonts w:hint="eastAsia" w:ascii="楷体" w:hAnsi="楷体" w:eastAsia="楷体" w:cs="楷体"/>
          <w:color w:val="auto"/>
          <w:szCs w:val="21"/>
          <w:u w:val="single"/>
        </w:rPr>
        <w:t>承包人未按合同约定开工日期开工，每延期开工1天，承包人向发包人支付2000元/天违约金，</w:t>
      </w:r>
      <w:r>
        <w:rPr>
          <w:rFonts w:hint="eastAsia" w:ascii="楷体" w:hAnsi="楷体" w:eastAsia="楷体" w:cs="楷体"/>
          <w:color w:val="auto"/>
          <w:spacing w:val="5"/>
          <w:w w:val="101"/>
          <w:szCs w:val="21"/>
          <w:u w:val="single"/>
        </w:rPr>
        <w:t>延期开工超过10天，除承担前述违约责任外，发包人将延期1个月支付第一期工程进度款；延期开工超过20天，除承担前述违约责任外，发包人将延期3个月支付第一期工程进度款；延期开工超过30天，发包人有权单方面解除合同，承包人向发包人支付本合同总金额20%的违约金，并赔偿发包人的所有经济损失。</w:t>
      </w:r>
    </w:p>
    <w:p w14:paraId="651FCE8E">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（2）</w:t>
      </w:r>
      <w:r>
        <w:rPr>
          <w:rFonts w:hint="eastAsia" w:ascii="楷体" w:hAnsi="楷体" w:eastAsia="楷体" w:cs="楷体"/>
          <w:color w:val="auto"/>
          <w:szCs w:val="21"/>
          <w:u w:val="single"/>
        </w:rPr>
        <w:t>若承包人中途退场，发包人有权单方面解除合同，已完成的合格工程量按50%予以结算，同时，承包人向发包人支付本合同总金额20%的违约金，并赔偿发包人的所有经济损失。</w:t>
      </w:r>
    </w:p>
    <w:p w14:paraId="76970CD3">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（3）</w:t>
      </w:r>
      <w:r>
        <w:rPr>
          <w:rFonts w:hint="eastAsia" w:ascii="楷体" w:hAnsi="楷体" w:eastAsia="楷体" w:cs="楷体"/>
          <w:color w:val="auto"/>
          <w:szCs w:val="21"/>
          <w:u w:val="single"/>
        </w:rPr>
        <w:t>承包人必须严格按照本合同约定的总工期完成所有工程量，并在总工期控制节点日期前向发包人书面提出验收申请及相关验收资料。逾期竣工的，视为承包人违约，每逾期1天，承包人向发包人支付5000元违约金。逾期竣工超过30天，发包人有权单方面解除合同，更换施工单位，已完成的工程量按80%予以结算，同时，承包人向发包人支付本合同总金额20%的违约金，并赔偿发包人的所有经济损失。</w:t>
      </w:r>
    </w:p>
    <w:p w14:paraId="2B2C728E">
      <w:pPr>
        <w:snapToGrid w:val="0"/>
        <w:spacing w:line="360" w:lineRule="exact"/>
        <w:ind w:firstLine="404" w:firstLineChars="200"/>
        <w:rPr>
          <w:rFonts w:ascii="楷体" w:hAnsi="楷体" w:eastAsia="楷体" w:cs="楷体"/>
          <w:bCs/>
          <w:color w:val="auto"/>
          <w:szCs w:val="21"/>
        </w:rPr>
      </w:pPr>
      <w:r>
        <w:rPr>
          <w:rFonts w:hint="eastAsia" w:ascii="楷体" w:hAnsi="楷体" w:eastAsia="楷体" w:cs="楷体"/>
          <w:bCs/>
          <w:color w:val="auto"/>
          <w:szCs w:val="21"/>
        </w:rPr>
        <w:t>（4）承包人必须充分考虑季节性因素对施工的影响，不得因为季节性雨雪等天气影响节点工期，异常恶劣的天气除外。</w:t>
      </w:r>
    </w:p>
    <w:p w14:paraId="6B6E9503">
      <w:pPr>
        <w:snapToGrid w:val="0"/>
        <w:spacing w:line="360" w:lineRule="exact"/>
        <w:ind w:firstLine="404" w:firstLineChars="200"/>
        <w:rPr>
          <w:rFonts w:ascii="楷体" w:hAnsi="楷体" w:eastAsia="楷体" w:cs="楷体"/>
          <w:b/>
          <w:bCs/>
          <w:color w:val="auto"/>
          <w:szCs w:val="21"/>
          <w:u w:val="single"/>
        </w:rPr>
      </w:pPr>
      <w:r>
        <w:rPr>
          <w:rFonts w:hint="eastAsia" w:ascii="楷体" w:hAnsi="楷体" w:eastAsia="楷体" w:cs="楷体"/>
          <w:b/>
          <w:bCs/>
          <w:color w:val="auto"/>
          <w:szCs w:val="21"/>
          <w:u w:val="single"/>
        </w:rPr>
        <w:t>因承包人原因造成工期延误，逾期竣工违约金的上限：无。</w:t>
      </w:r>
    </w:p>
    <w:p w14:paraId="7B2F8DDF">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7.6不利物质条件</w:t>
      </w:r>
    </w:p>
    <w:p w14:paraId="6A14E444">
      <w:pPr>
        <w:tabs>
          <w:tab w:val="left" w:pos="4930"/>
          <w:tab w:val="left" w:pos="5736"/>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不利物质条件的其他情形和有关约定：</w:t>
      </w:r>
      <w:r>
        <w:rPr>
          <w:rFonts w:hint="eastAsia" w:ascii="楷体" w:hAnsi="楷体" w:eastAsia="楷体" w:cs="楷体"/>
          <w:color w:val="auto"/>
          <w:szCs w:val="21"/>
          <w:u w:val="single"/>
        </w:rPr>
        <w:t xml:space="preserve"> 无</w:t>
      </w:r>
      <w:r>
        <w:rPr>
          <w:rFonts w:hint="eastAsia" w:ascii="楷体" w:hAnsi="楷体" w:eastAsia="楷体" w:cs="楷体"/>
          <w:color w:val="auto"/>
          <w:szCs w:val="21"/>
        </w:rPr>
        <w:t>。</w:t>
      </w:r>
    </w:p>
    <w:p w14:paraId="70A05988">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7.7异常恶劣的气候条件</w:t>
      </w:r>
    </w:p>
    <w:p w14:paraId="6A9E3B3F">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发包人和承包人同意以下情形视为异常恶劣的气候条件：</w:t>
      </w:r>
    </w:p>
    <w:p w14:paraId="5AE115A4">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w:t>
      </w:r>
      <w:r>
        <w:rPr>
          <w:rFonts w:hint="eastAsia" w:ascii="楷体" w:hAnsi="楷体" w:eastAsia="楷体" w:cs="楷体"/>
          <w:color w:val="auto"/>
          <w:szCs w:val="21"/>
          <w:u w:val="single"/>
        </w:rPr>
        <w:t>50 年以上一遇的气候灾害，以国家气象部门公开发布的信息为准；</w:t>
      </w:r>
    </w:p>
    <w:p w14:paraId="04B0987E">
      <w:pPr>
        <w:tabs>
          <w:tab w:val="left" w:pos="2711"/>
          <w:tab w:val="left" w:pos="5232"/>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w:t>
      </w:r>
      <w:r>
        <w:rPr>
          <w:rFonts w:hint="eastAsia" w:ascii="楷体" w:hAnsi="楷体" w:eastAsia="楷体" w:cs="楷体"/>
          <w:color w:val="auto"/>
          <w:szCs w:val="21"/>
          <w:u w:val="single"/>
        </w:rPr>
        <w:t xml:space="preserve"> </w:t>
      </w:r>
      <w:r>
        <w:rPr>
          <w:rFonts w:hint="eastAsia" w:ascii="楷体" w:hAnsi="楷体" w:eastAsia="楷体" w:cs="楷体"/>
          <w:color w:val="auto"/>
          <w:szCs w:val="21"/>
          <w:u w:val="single"/>
        </w:rPr>
        <w:tab/>
      </w:r>
      <w:r>
        <w:rPr>
          <w:rFonts w:hint="eastAsia" w:ascii="楷体" w:hAnsi="楷体" w:eastAsia="楷体" w:cs="楷体"/>
          <w:color w:val="auto"/>
          <w:szCs w:val="21"/>
          <w:u w:val="single"/>
        </w:rPr>
        <w:t>/</w:t>
      </w:r>
      <w:r>
        <w:rPr>
          <w:rFonts w:hint="eastAsia" w:ascii="楷体" w:hAnsi="楷体" w:eastAsia="楷体" w:cs="楷体"/>
          <w:color w:val="auto"/>
          <w:szCs w:val="21"/>
          <w:u w:val="single"/>
        </w:rPr>
        <w:tab/>
      </w:r>
      <w:r>
        <w:rPr>
          <w:rFonts w:hint="eastAsia" w:ascii="楷体" w:hAnsi="楷体" w:eastAsia="楷体" w:cs="楷体"/>
          <w:color w:val="auto"/>
          <w:szCs w:val="21"/>
        </w:rPr>
        <w:t>；</w:t>
      </w:r>
    </w:p>
    <w:p w14:paraId="1BFF1415">
      <w:pPr>
        <w:tabs>
          <w:tab w:val="left" w:pos="2812"/>
          <w:tab w:val="left" w:pos="5333"/>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w:t>
      </w:r>
      <w:r>
        <w:rPr>
          <w:rFonts w:hint="eastAsia" w:ascii="楷体" w:hAnsi="楷体" w:eastAsia="楷体" w:cs="楷体"/>
          <w:color w:val="auto"/>
          <w:szCs w:val="21"/>
          <w:u w:val="single"/>
        </w:rPr>
        <w:t xml:space="preserve"> </w:t>
      </w:r>
      <w:r>
        <w:rPr>
          <w:rFonts w:hint="eastAsia" w:ascii="楷体" w:hAnsi="楷体" w:eastAsia="楷体" w:cs="楷体"/>
          <w:color w:val="auto"/>
          <w:szCs w:val="21"/>
          <w:u w:val="single"/>
        </w:rPr>
        <w:tab/>
      </w:r>
      <w:r>
        <w:rPr>
          <w:rFonts w:hint="eastAsia" w:ascii="楷体" w:hAnsi="楷体" w:eastAsia="楷体" w:cs="楷体"/>
          <w:color w:val="auto"/>
          <w:szCs w:val="21"/>
          <w:u w:val="single"/>
        </w:rPr>
        <w:t>/</w:t>
      </w:r>
      <w:r>
        <w:rPr>
          <w:rFonts w:hint="eastAsia" w:ascii="楷体" w:hAnsi="楷体" w:eastAsia="楷体" w:cs="楷体"/>
          <w:color w:val="auto"/>
          <w:szCs w:val="21"/>
          <w:u w:val="single"/>
        </w:rPr>
        <w:tab/>
      </w:r>
      <w:r>
        <w:rPr>
          <w:rFonts w:hint="eastAsia" w:ascii="楷体" w:hAnsi="楷体" w:eastAsia="楷体" w:cs="楷体"/>
          <w:color w:val="auto"/>
          <w:szCs w:val="21"/>
        </w:rPr>
        <w:t>；</w:t>
      </w:r>
    </w:p>
    <w:p w14:paraId="2CFEC19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7.9 提前竣工的奖励</w:t>
      </w:r>
    </w:p>
    <w:p w14:paraId="0BFF2C7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7.9.2提前竣工的奖励：</w:t>
      </w:r>
      <w:r>
        <w:rPr>
          <w:rFonts w:hint="eastAsia" w:ascii="楷体" w:hAnsi="楷体" w:eastAsia="楷体" w:cs="楷体"/>
          <w:color w:val="auto"/>
          <w:szCs w:val="21"/>
          <w:u w:val="single"/>
        </w:rPr>
        <w:t>不奖励</w:t>
      </w:r>
      <w:r>
        <w:rPr>
          <w:rFonts w:hint="eastAsia" w:ascii="楷体" w:hAnsi="楷体" w:eastAsia="楷体" w:cs="楷体"/>
          <w:color w:val="auto"/>
          <w:szCs w:val="21"/>
        </w:rPr>
        <w:t>。</w:t>
      </w:r>
    </w:p>
    <w:p w14:paraId="03B05D41">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4" w:name="_Toc12293"/>
      <w:r>
        <w:rPr>
          <w:rFonts w:hint="eastAsia" w:ascii="楷体" w:hAnsi="楷体" w:eastAsia="楷体" w:cs="楷体"/>
          <w:b/>
          <w:color w:val="auto"/>
          <w:szCs w:val="21"/>
        </w:rPr>
        <w:t>8.材料与设备</w:t>
      </w:r>
      <w:bookmarkEnd w:id="24"/>
    </w:p>
    <w:p w14:paraId="412FE38F">
      <w:pPr>
        <w:tabs>
          <w:tab w:val="left" w:pos="13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8.1材料与工程设备的保管与使用</w:t>
      </w:r>
    </w:p>
    <w:p w14:paraId="0805FC0F">
      <w:pPr>
        <w:tabs>
          <w:tab w:val="left" w:pos="1550"/>
          <w:tab w:val="left" w:pos="5683"/>
          <w:tab w:val="left" w:pos="669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8.1.1发包人供应的材料设备的保管费用的承担：</w:t>
      </w:r>
      <w:r>
        <w:rPr>
          <w:rFonts w:hint="eastAsia" w:ascii="楷体" w:hAnsi="楷体" w:eastAsia="楷体" w:cs="楷体"/>
          <w:color w:val="auto"/>
          <w:kern w:val="2"/>
          <w:szCs w:val="21"/>
          <w:u w:val="single"/>
        </w:rPr>
        <w:t>承包人</w:t>
      </w:r>
      <w:r>
        <w:rPr>
          <w:rFonts w:hint="eastAsia" w:ascii="楷体" w:hAnsi="楷体" w:eastAsia="楷体" w:cs="楷体"/>
          <w:color w:val="auto"/>
          <w:kern w:val="2"/>
          <w:szCs w:val="21"/>
        </w:rPr>
        <w:t>。</w:t>
      </w:r>
    </w:p>
    <w:p w14:paraId="03A700B5">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8.2样品</w:t>
      </w:r>
    </w:p>
    <w:p w14:paraId="3F9A5C95">
      <w:pPr>
        <w:tabs>
          <w:tab w:val="left" w:pos="159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8.2.1样品的报送与封存</w:t>
      </w:r>
    </w:p>
    <w:p w14:paraId="0FDB1B1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需要承包人报送样品的材料或工程设备，样品的种类、名称、规格、数量要求：</w:t>
      </w:r>
      <w:r>
        <w:rPr>
          <w:rFonts w:hint="eastAsia" w:ascii="楷体" w:hAnsi="楷体" w:eastAsia="楷体" w:cs="楷体"/>
          <w:color w:val="auto"/>
          <w:szCs w:val="21"/>
          <w:u w:val="single"/>
        </w:rPr>
        <w:t xml:space="preserve"> 按建设工程相关规范、工程管理制度及监理人的要求实行 </w:t>
      </w:r>
      <w:r>
        <w:rPr>
          <w:rFonts w:hint="eastAsia" w:ascii="楷体" w:hAnsi="楷体" w:eastAsia="楷体" w:cs="楷体"/>
          <w:color w:val="auto"/>
          <w:szCs w:val="21"/>
        </w:rPr>
        <w:t>。</w:t>
      </w:r>
    </w:p>
    <w:p w14:paraId="240CB54A">
      <w:pPr>
        <w:tabs>
          <w:tab w:val="left" w:pos="13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8.3施工设备和临时设施</w:t>
      </w:r>
    </w:p>
    <w:p w14:paraId="5F638129">
      <w:pPr>
        <w:tabs>
          <w:tab w:val="left" w:pos="1550"/>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8.3.1承包人提供的施工设备和临时设施</w:t>
      </w:r>
    </w:p>
    <w:p w14:paraId="27AF1FA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关于修建临时设施费用承担的约定：</w:t>
      </w:r>
      <w:r>
        <w:rPr>
          <w:rFonts w:hint="eastAsia" w:ascii="楷体" w:hAnsi="楷体" w:eastAsia="楷体" w:cs="楷体"/>
          <w:color w:val="auto"/>
          <w:szCs w:val="21"/>
          <w:u w:val="single"/>
        </w:rPr>
        <w:t xml:space="preserve"> 按湘建价〔2020〕56号文</w:t>
      </w:r>
      <w:r>
        <w:rPr>
          <w:rFonts w:hint="eastAsia" w:ascii="楷体" w:hAnsi="楷体" w:eastAsia="楷体" w:cs="楷体"/>
          <w:color w:val="auto"/>
          <w:szCs w:val="21"/>
        </w:rPr>
        <w:t xml:space="preserve"> 。</w:t>
      </w:r>
    </w:p>
    <w:p w14:paraId="3653291F">
      <w:pPr>
        <w:tabs>
          <w:tab w:val="left" w:pos="1201"/>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5" w:name="_Toc32716"/>
      <w:r>
        <w:rPr>
          <w:rFonts w:hint="eastAsia" w:ascii="楷体" w:hAnsi="楷体" w:eastAsia="楷体" w:cs="楷体"/>
          <w:b/>
          <w:color w:val="auto"/>
          <w:szCs w:val="21"/>
        </w:rPr>
        <w:t>9.试验与检验</w:t>
      </w:r>
      <w:bookmarkEnd w:id="25"/>
    </w:p>
    <w:p w14:paraId="40529614">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试验与检验费用的约定：</w:t>
      </w:r>
      <w:r>
        <w:rPr>
          <w:rFonts w:hint="eastAsia" w:ascii="楷体" w:hAnsi="楷体" w:eastAsia="楷体" w:cs="楷体"/>
          <w:color w:val="auto"/>
          <w:szCs w:val="21"/>
          <w:u w:val="single"/>
        </w:rPr>
        <w:t>承包人自行设立的现场试验人员，试验设备器材以及其他必要的实验条件，或委托有相应资质的检测机构所需费用由承包人承担；发包人直接委托检测项目工程质量检测费由发包人支付，承包人应无条件配合相关工作；检测不合格的重新检测或因检测不合格增加检测内容的由承包人承担相应费用。</w:t>
      </w:r>
    </w:p>
    <w:p w14:paraId="6F70A07A">
      <w:pPr>
        <w:tabs>
          <w:tab w:val="left" w:pos="1306"/>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6" w:name="_Toc13764"/>
      <w:r>
        <w:rPr>
          <w:rFonts w:hint="eastAsia" w:ascii="楷体" w:hAnsi="楷体" w:eastAsia="楷体" w:cs="楷体"/>
          <w:b/>
          <w:color w:val="auto"/>
          <w:szCs w:val="21"/>
        </w:rPr>
        <w:t>10.变更</w:t>
      </w:r>
      <w:bookmarkEnd w:id="26"/>
    </w:p>
    <w:p w14:paraId="5D8AB8D3">
      <w:pPr>
        <w:tabs>
          <w:tab w:val="left" w:pos="14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10.1变更的范围</w:t>
      </w:r>
    </w:p>
    <w:p w14:paraId="4915CEEF">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关于变更范围的约定：</w:t>
      </w:r>
      <w:r>
        <w:rPr>
          <w:rFonts w:hint="eastAsia" w:ascii="楷体" w:hAnsi="楷体" w:eastAsia="楷体" w:cs="楷体"/>
          <w:color w:val="auto"/>
          <w:szCs w:val="21"/>
          <w:u w:val="single"/>
        </w:rPr>
        <w:t>工程量清单中的漏项及发包人要求</w:t>
      </w:r>
      <w:r>
        <w:rPr>
          <w:rFonts w:hint="eastAsia" w:ascii="楷体" w:hAnsi="楷体" w:eastAsia="楷体" w:cs="楷体"/>
          <w:color w:val="auto"/>
          <w:szCs w:val="21"/>
        </w:rPr>
        <w:t>。</w:t>
      </w:r>
    </w:p>
    <w:p w14:paraId="5263DBCD">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10.2变更程序</w:t>
      </w:r>
    </w:p>
    <w:p w14:paraId="1D3B327C">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一般变更程序，由发包人组织设计、监理公司及承包人共同论证认可，填写《建设工程洽商单》，</w:t>
      </w:r>
      <w:r>
        <w:rPr>
          <w:rFonts w:hint="eastAsia" w:ascii="楷体" w:hAnsi="楷体" w:eastAsia="楷体" w:cs="楷体"/>
          <w:color w:val="auto"/>
          <w:szCs w:val="21"/>
          <w:u w:val="single"/>
        </w:rPr>
        <w:t>建设单位批准后实施。</w:t>
      </w:r>
    </w:p>
    <w:p w14:paraId="29EF3565">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10.3变更估价</w:t>
      </w:r>
    </w:p>
    <w:p w14:paraId="6612FE30">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10.3.1变更估价原则</w:t>
      </w:r>
    </w:p>
    <w:p w14:paraId="7FD6DB50">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关于变更估价的约定：</w:t>
      </w:r>
    </w:p>
    <w:p w14:paraId="7D20077F">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10.3.1.1 已标价工程量清单中有适应变更的子目，按子目的单价执行。</w:t>
      </w:r>
    </w:p>
    <w:p w14:paraId="472FAFF3">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10.3.1.2已标价工程量清单中无适应变更的子目，但有类似子目，可参考类似子目的单价采用平推法（如路面结构层厚度变化等）或内插法确定。</w:t>
      </w:r>
    </w:p>
    <w:p w14:paraId="34D3E48F">
      <w:pPr>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10.3.1.3当上述方式都不适用时按以下原则计算：按《建设工程工程量清单计价规范》GB50500-2013，《房屋建筑与装饰工程工程量清单计价规范》GB50854-2013，《安装工程工程量计算规范》GB50856-2013，《市政工程工程量计算规范》GB50857-2013，《园林绿化工程工程量清单计算规范》GB50858-2013，2020年版《湖南省安装工程消耗量标准》及相关补充解释说明，2020《湖南省市政工程消耗量标准》、2020《湖南省建筑装饰装修工程消耗量标准》、2021年《湖南房屋改造加固及维修消耗量标准》及配套的取费文件及配套的取费文件，长建价[2020]5号文《关于长沙建设造价材料预算价按不含进项税价发布的通知》，湘建价[2020]46号《关于机械费调整及有关问题的通知》，湘建价[2020]56号关于印发2020《湖南省建设工程计价办法》及《湖南省建设工程消耗量标准》的通知，2020年《湖南省建设工程计价办法及消耗量标准》及其附录，长住建发[2020]103号文《关于调整新型环保智能渣土车运输和建设工程扬尘防治计价规定的通知》，[2022]146号《湖南省建设工程计价依据动态调整汇编（2022年度第一期）》的通知；材料价格以施工同期《长沙建设造价》为基期价，绿化苗木价格以施工同期《长沙建设造价》发布的市场价格优惠20%为基期价，同时执行成交优惠率；《长沙建设造价》没有的，以《长沙县财政投资评审中心、长沙经济技术开发区投资评审中心2024年第一期常用材料价格手册》计取价格，并执行成交优惠率；《长沙县财政投资评审中心、长沙经济技术开发区投资评审中心2024年第一期常用材料价格手册》没有的，以《长沙市财政评审中心2024年第一期材料价格手册》计取价格，并执行成交优惠率；以上文件没有的以发包人、承包人共同询价为准，同时执行成交优惠率。（如单个项目在编制预算时经开区执行了新的文件，以最新文件为准）</w:t>
      </w:r>
    </w:p>
    <w:p w14:paraId="3E1AF742">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10.3.1.4承包人一经成交，即必须响应磋商文件的实质性内容，根据审核权限认可发包人区投资评审中心（或发包人委托的造价事务所）审核确认的预算文件。承包人成交后采购高于预算价的材料、设备、构配件，高出部分由承包人自行承担，耽误的工期不顺延，其他一切后果均由承包人承担；</w:t>
      </w:r>
    </w:p>
    <w:p w14:paraId="44172E2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10.3.1.5承包人必须充分熟悉图纸。除非不可预见地质原因或图纸错误或发包人、设计人共同发出书面文件，承包人不得以任何理由要求改变设计或不按设计施工。</w:t>
      </w:r>
    </w:p>
    <w:p w14:paraId="2FF18FC7">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10.4 承包人的合理化建议</w:t>
      </w:r>
    </w:p>
    <w:p w14:paraId="66F018A4">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监理人审查承包人合理化建议的期限：</w:t>
      </w:r>
      <w:r>
        <w:rPr>
          <w:rFonts w:hint="eastAsia" w:ascii="楷体" w:hAnsi="楷体" w:eastAsia="楷体" w:cs="楷体"/>
          <w:color w:val="auto"/>
          <w:szCs w:val="21"/>
          <w:u w:val="single"/>
        </w:rPr>
        <w:t>收到承包人书面报告后 2 日内</w:t>
      </w:r>
      <w:r>
        <w:rPr>
          <w:rFonts w:hint="eastAsia" w:ascii="楷体" w:hAnsi="楷体" w:eastAsia="楷体" w:cs="楷体"/>
          <w:color w:val="auto"/>
          <w:szCs w:val="21"/>
        </w:rPr>
        <w:t xml:space="preserve"> 。</w:t>
      </w:r>
    </w:p>
    <w:p w14:paraId="7C4ABF5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发包人审批承包人合理化建议的期限：</w:t>
      </w:r>
      <w:r>
        <w:rPr>
          <w:rFonts w:hint="eastAsia" w:ascii="楷体" w:hAnsi="楷体" w:eastAsia="楷体" w:cs="楷体"/>
          <w:color w:val="auto"/>
          <w:szCs w:val="21"/>
          <w:u w:val="single"/>
        </w:rPr>
        <w:t>收到承包人书面报告后 3 日内</w:t>
      </w:r>
      <w:r>
        <w:rPr>
          <w:rFonts w:hint="eastAsia" w:ascii="楷体" w:hAnsi="楷体" w:eastAsia="楷体" w:cs="楷体"/>
          <w:color w:val="auto"/>
          <w:szCs w:val="21"/>
        </w:rPr>
        <w:t>。</w:t>
      </w:r>
    </w:p>
    <w:p w14:paraId="79BBC6B8">
      <w:pPr>
        <w:tabs>
          <w:tab w:val="left" w:pos="1194"/>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承包人提出的合理化建议降低了合同价格或者提高了工程经济效益的奖励的方法和金额为： </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03D51F33">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10.5暂估价</w:t>
      </w:r>
    </w:p>
    <w:p w14:paraId="735F7670">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暂估价材料和工程设备的明细详见《暂估价一览表》。</w:t>
      </w:r>
    </w:p>
    <w:p w14:paraId="1C29A10F">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10.5.1依法必须招标的暂估价项目</w:t>
      </w:r>
    </w:p>
    <w:p w14:paraId="3C562AB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对于依法必须招标的暂估价项目的确认和批准：按照望城区招标、财评、采购等相关文件要求确定。</w:t>
      </w:r>
    </w:p>
    <w:p w14:paraId="4A0F3D5A">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10.5.2不属于依法必须招标的暂估价项目</w:t>
      </w:r>
    </w:p>
    <w:p w14:paraId="34D7FD22">
      <w:pPr>
        <w:tabs>
          <w:tab w:val="left" w:pos="5237"/>
          <w:tab w:val="left" w:pos="614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对于不属于依法必须招标的暂估价项目的确认和批准：报经发包人审定后确定。承包人直接实施的暂估价项目的约定：</w:t>
      </w:r>
      <w:r>
        <w:rPr>
          <w:rFonts w:hint="eastAsia" w:ascii="楷体" w:hAnsi="楷体" w:eastAsia="楷体" w:cs="楷体"/>
          <w:color w:val="auto"/>
          <w:szCs w:val="21"/>
          <w:u w:val="single"/>
        </w:rPr>
        <w:t>/</w:t>
      </w:r>
      <w:r>
        <w:rPr>
          <w:rFonts w:hint="eastAsia" w:ascii="楷体" w:hAnsi="楷体" w:eastAsia="楷体" w:cs="楷体"/>
          <w:color w:val="auto"/>
          <w:szCs w:val="21"/>
        </w:rPr>
        <w:t>。</w:t>
      </w:r>
    </w:p>
    <w:p w14:paraId="51DD385E">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10.6暂列金额</w:t>
      </w:r>
    </w:p>
    <w:p w14:paraId="4D27807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合同当事人关于暂列金额使用的约定： </w:t>
      </w:r>
      <w:r>
        <w:rPr>
          <w:rFonts w:hint="eastAsia" w:ascii="楷体" w:hAnsi="楷体" w:eastAsia="楷体" w:cs="楷体"/>
          <w:color w:val="auto"/>
          <w:szCs w:val="21"/>
          <w:u w:val="single"/>
        </w:rPr>
        <w:t>暂列金额是招标人在工程量清单中暂定并包括在合同价款中的一笔款项，用于支付尚未确定或不可预见的所需材料、工程设备、服务的采购，施工中可能发生的工程变更、合同约定调整因素出现时的合同价款调整以及发生的索赔、现场签证等确认的费用。</w:t>
      </w:r>
    </w:p>
    <w:p w14:paraId="07BA331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u w:val="single"/>
        </w:rPr>
        <w:t>暂列金是发包人的备用金，其所有权属于发包人，承包人无权使用此笔费用。此费用按实际发生经发包人签证后确定全部使用、部分使用或不使用。暂列金不计入工程款付款的基数 。</w:t>
      </w:r>
    </w:p>
    <w:p w14:paraId="0AF4542F">
      <w:pPr>
        <w:tabs>
          <w:tab w:val="left" w:pos="1306"/>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7" w:name="_Toc14178"/>
      <w:r>
        <w:rPr>
          <w:rFonts w:hint="eastAsia" w:ascii="楷体" w:hAnsi="楷体" w:eastAsia="楷体" w:cs="楷体"/>
          <w:b/>
          <w:color w:val="auto"/>
          <w:szCs w:val="21"/>
        </w:rPr>
        <w:t>11.价格调整</w:t>
      </w:r>
      <w:bookmarkEnd w:id="27"/>
    </w:p>
    <w:p w14:paraId="28467EDB">
      <w:pPr>
        <w:tabs>
          <w:tab w:val="left" w:pos="14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11.1市场价格波动引起的调整</w:t>
      </w:r>
    </w:p>
    <w:p w14:paraId="1A64E936">
      <w:pPr>
        <w:autoSpaceDE w:val="0"/>
        <w:autoSpaceDN w:val="0"/>
        <w:adjustRightInd w:val="0"/>
        <w:snapToGrid w:val="0"/>
        <w:spacing w:line="360" w:lineRule="exact"/>
        <w:ind w:firstLine="404" w:firstLineChars="200"/>
        <w:rPr>
          <w:rFonts w:ascii="楷体" w:hAnsi="楷体" w:eastAsia="楷体" w:cs="楷体"/>
          <w:color w:val="auto"/>
          <w:kern w:val="2"/>
          <w:szCs w:val="21"/>
          <w:u w:val="single"/>
        </w:rPr>
      </w:pPr>
      <w:r>
        <w:rPr>
          <w:rFonts w:hint="eastAsia" w:ascii="楷体" w:hAnsi="楷体" w:eastAsia="楷体" w:cs="楷体"/>
          <w:color w:val="auto"/>
          <w:kern w:val="2"/>
          <w:szCs w:val="21"/>
        </w:rPr>
        <w:t>市场价格波动是否调整合同价格的约定：</w:t>
      </w:r>
      <w:r>
        <w:rPr>
          <w:rFonts w:hint="eastAsia" w:ascii="楷体" w:hAnsi="楷体" w:eastAsia="楷体" w:cs="楷体"/>
          <w:color w:val="auto"/>
          <w:kern w:val="2"/>
          <w:szCs w:val="21"/>
          <w:u w:val="single"/>
        </w:rPr>
        <w:t>在合同实施期间主要材料设备的价格涨跌的调整原则：按长沙经济技术开发区管委会和长沙县人民政府《关于调整财政性投资基本建设工程主要材料预算价格的通知》（长县政发[2007]113 号）文件和长县造价纪[2012]05 号文件执行（沥青砼、商品水稳料、预拌砂浆纳入调差范围）。原长沙县人民政府《关于调整财政性投资基本建设工程主要材料预算价格的通知》（长县政发【2007】113 号）文件的“一、主要材料预算价格的调整办法  （四）调整方法  第 3 款” 修改为 “按招标时材料预算价格（优惠前材料价）与合同工期（包括经批准的顺延工期）的平均材料预算价格进行调差，按不含税价调差，只计价差，另计税费，不优惠。”</w:t>
      </w:r>
    </w:p>
    <w:p w14:paraId="2A51E6BC">
      <w:pPr>
        <w:tabs>
          <w:tab w:val="left" w:pos="1306"/>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8" w:name="_Toc19879"/>
      <w:r>
        <w:rPr>
          <w:rFonts w:hint="eastAsia" w:ascii="楷体" w:hAnsi="楷体" w:eastAsia="楷体" w:cs="楷体"/>
          <w:b/>
          <w:color w:val="auto"/>
          <w:szCs w:val="21"/>
        </w:rPr>
        <w:t>12.合同价格、计量与支付</w:t>
      </w:r>
      <w:bookmarkEnd w:id="28"/>
    </w:p>
    <w:p w14:paraId="5F31CBFC">
      <w:pPr>
        <w:tabs>
          <w:tab w:val="left" w:pos="14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12.1合同价格形式</w:t>
      </w:r>
    </w:p>
    <w:p w14:paraId="5784A998">
      <w:pPr>
        <w:tabs>
          <w:tab w:val="left" w:pos="1449"/>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1.单价合同。</w:t>
      </w:r>
    </w:p>
    <w:p w14:paraId="089CD6A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综合单价包含的风险范围：</w:t>
      </w:r>
      <w:r>
        <w:rPr>
          <w:rFonts w:hint="eastAsia" w:ascii="楷体" w:hAnsi="楷体" w:eastAsia="楷体" w:cs="楷体"/>
          <w:color w:val="auto"/>
          <w:szCs w:val="21"/>
          <w:u w:val="single"/>
        </w:rPr>
        <w:t>除化石文物、工程设计错误、工程所需地上物及地下管线管网的拆迁、拆除以外的一切风险。</w:t>
      </w:r>
    </w:p>
    <w:p w14:paraId="7C67BB60">
      <w:pPr>
        <w:tabs>
          <w:tab w:val="left" w:pos="3518"/>
          <w:tab w:val="left" w:pos="4224"/>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风险费用的计算方法：</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6E659AC5">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12.1.1</w:t>
      </w:r>
      <w:r>
        <w:rPr>
          <w:rFonts w:hint="eastAsia" w:ascii="楷体" w:hAnsi="楷体" w:eastAsia="楷体" w:cs="楷体"/>
          <w:color w:val="auto"/>
          <w:szCs w:val="21"/>
          <w:u w:val="single"/>
        </w:rPr>
        <w:t>本合同采用综合单价包干。合同内承包范围对应的经标价的工程量清单中所列额所有工作子目的综合单价固定包干，除合同另有约定外，任何情况下，综合单价不得调整。发包人不接受承包人基于任何工作子目综合单价在其投标时的组价不当（包括但不限于工作子目对应的工作内容理解的偏差、工料耗量水平的确定、生产要素市场价格的判断、取费等）或任何其他差错而主张的任何损失或索赔；</w:t>
      </w:r>
    </w:p>
    <w:p w14:paraId="6DF0B9B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12.1.2本合同签订以后，针对专业分包工程、专项供应项目、独立工程和独立供应项目的总承包服务费均已包含在合同价格中。</w:t>
      </w:r>
    </w:p>
    <w:p w14:paraId="723FDF5E">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12.1.3合同价格中的各项取费，包括但不限于企业管理费、利润（风险费）、规费、税金等。</w:t>
      </w:r>
    </w:p>
    <w:p w14:paraId="58BEBE36">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12.2预付款</w:t>
      </w:r>
    </w:p>
    <w:p w14:paraId="535208AC">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本工程无预付款。</w:t>
      </w:r>
    </w:p>
    <w:p w14:paraId="481F11CD">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12.3计量</w:t>
      </w:r>
    </w:p>
    <w:p w14:paraId="4FC3ECA0">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12.3.1计量原则</w:t>
      </w:r>
    </w:p>
    <w:p w14:paraId="075DCB97">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工程量计算规则：</w:t>
      </w:r>
      <w:r>
        <w:rPr>
          <w:rFonts w:hint="eastAsia" w:ascii="楷体" w:hAnsi="楷体" w:eastAsia="楷体" w:cs="楷体"/>
          <w:color w:val="auto"/>
          <w:szCs w:val="21"/>
          <w:u w:val="single"/>
        </w:rPr>
        <w:t>建设工程工程量清单计价规范</w:t>
      </w:r>
      <w:r>
        <w:rPr>
          <w:rFonts w:hint="eastAsia" w:ascii="楷体" w:hAnsi="楷体" w:eastAsia="楷体" w:cs="楷体"/>
          <w:color w:val="auto"/>
          <w:szCs w:val="21"/>
        </w:rPr>
        <w:t>。</w:t>
      </w:r>
    </w:p>
    <w:p w14:paraId="59CCB58C">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12.3.2计量周期</w:t>
      </w:r>
    </w:p>
    <w:p w14:paraId="0CC6752A">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关于计量周期的约定：</w:t>
      </w:r>
      <w:r>
        <w:rPr>
          <w:rFonts w:hint="eastAsia" w:ascii="楷体" w:hAnsi="楷体" w:eastAsia="楷体" w:cs="楷体"/>
          <w:color w:val="auto"/>
          <w:szCs w:val="21"/>
          <w:u w:val="single"/>
        </w:rPr>
        <w:t>按月计量</w:t>
      </w:r>
      <w:r>
        <w:rPr>
          <w:rFonts w:hint="eastAsia" w:ascii="楷体" w:hAnsi="楷体" w:eastAsia="楷体" w:cs="楷体"/>
          <w:color w:val="auto"/>
          <w:szCs w:val="21"/>
        </w:rPr>
        <w:t>。</w:t>
      </w:r>
    </w:p>
    <w:p w14:paraId="1278ED9F">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12.3.3单价合同的计量</w:t>
      </w:r>
    </w:p>
    <w:p w14:paraId="60C37308">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关于单价合同计量的约定：</w:t>
      </w:r>
      <w:r>
        <w:rPr>
          <w:rFonts w:hint="eastAsia" w:ascii="楷体" w:hAnsi="楷体" w:eastAsia="楷体" w:cs="楷体"/>
          <w:color w:val="auto"/>
          <w:szCs w:val="21"/>
          <w:u w:val="single"/>
        </w:rPr>
        <w:t>/</w:t>
      </w:r>
    </w:p>
    <w:p w14:paraId="1D9A8AF2">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12.4工程进度款支付</w:t>
      </w:r>
    </w:p>
    <w:p w14:paraId="24F135E8">
      <w:pPr>
        <w:wordWrap w:val="0"/>
        <w:autoSpaceDE w:val="0"/>
        <w:autoSpaceDN w:val="0"/>
        <w:adjustRightInd w:val="0"/>
        <w:snapToGrid w:val="0"/>
        <w:spacing w:after="120" w:line="480" w:lineRule="exact"/>
        <w:ind w:firstLine="404" w:firstLineChars="200"/>
        <w:jc w:val="left"/>
        <w:rPr>
          <w:rFonts w:ascii="楷体" w:hAnsi="楷体" w:eastAsia="楷体" w:cs="楷体"/>
          <w:color w:val="auto"/>
          <w:kern w:val="2"/>
          <w:szCs w:val="21"/>
          <w:lang w:bidi="ar"/>
        </w:rPr>
      </w:pPr>
      <w:r>
        <w:rPr>
          <w:rFonts w:hint="eastAsia" w:ascii="楷体" w:hAnsi="楷体" w:eastAsia="楷体" w:cs="楷体"/>
          <w:color w:val="auto"/>
          <w:szCs w:val="21"/>
        </w:rPr>
        <w:t>付款方式：</w:t>
      </w:r>
      <w:r>
        <w:rPr>
          <w:rFonts w:hint="eastAsia" w:ascii="楷体" w:hAnsi="楷体" w:eastAsia="楷体" w:cs="楷体"/>
          <w:color w:val="auto"/>
          <w:kern w:val="2"/>
          <w:szCs w:val="21"/>
          <w:lang w:bidi="ar"/>
        </w:rPr>
        <w:t>合同无定金或预付款，本工程进度款由建设单位按月支付，每月支付当月已完成合格工程量造价的 70%，区投资评审中心完成竣工结算审核，竣工资料合格并完成归档后，支付至工程结算款的 97%，余款(工程结算款的3%，含质保金及风险保证金，两者合并设置)待缺陷责任期(2年)满且结算抽查(如有)完成后，依据结算抽查结果一次付清。质保金与风险保证金合并设置，以后到期的限额比例为支付条件。以上付款均不计息。</w:t>
      </w:r>
    </w:p>
    <w:p w14:paraId="4115C2DA">
      <w:pPr>
        <w:snapToGrid w:val="0"/>
        <w:spacing w:line="360" w:lineRule="exact"/>
        <w:ind w:firstLine="404" w:firstLineChars="200"/>
        <w:rPr>
          <w:rFonts w:ascii="楷体" w:hAnsi="楷体" w:eastAsia="楷体" w:cs="楷体"/>
          <w:color w:val="auto"/>
          <w:kern w:val="2"/>
          <w:szCs w:val="21"/>
          <w:lang w:bidi="ar"/>
        </w:rPr>
      </w:pPr>
      <w:r>
        <w:rPr>
          <w:rFonts w:hint="eastAsia" w:ascii="楷体" w:hAnsi="楷体" w:eastAsia="楷体" w:cs="楷体"/>
          <w:color w:val="auto"/>
          <w:kern w:val="2"/>
          <w:szCs w:val="21"/>
          <w:lang w:bidi="ar"/>
        </w:rPr>
        <w:t xml:space="preserve">注：发包人每次进行计量款支付时须将本付款周期内承包人须向发包人交付的违约金及其他费用予以扣除。              </w:t>
      </w:r>
    </w:p>
    <w:p w14:paraId="488AAE0C">
      <w:pPr>
        <w:snapToGrid w:val="0"/>
        <w:spacing w:line="360" w:lineRule="exact"/>
        <w:ind w:firstLine="404" w:firstLineChars="200"/>
        <w:rPr>
          <w:rFonts w:ascii="楷体" w:hAnsi="楷体" w:eastAsia="楷体" w:cs="楷体"/>
          <w:color w:val="auto"/>
          <w:kern w:val="2"/>
          <w:szCs w:val="21"/>
          <w:lang w:bidi="ar"/>
        </w:rPr>
      </w:pPr>
      <w:r>
        <w:rPr>
          <w:rFonts w:hint="eastAsia" w:ascii="楷体" w:hAnsi="楷体" w:eastAsia="楷体" w:cs="楷体"/>
          <w:color w:val="auto"/>
          <w:kern w:val="2"/>
          <w:szCs w:val="21"/>
          <w:lang w:bidi="ar"/>
        </w:rPr>
        <w:t>（1）承包人应在每次付款前向发包人提供足额有效的增值税专用发票并附其他证明资料，否则发包人有权要求延迟或不予付款且不承担任何责任。发包人有权选择转账、承兑汇票或其他方式付款。具体付款时间为发包人完成付款审批后10个工作日内。</w:t>
      </w:r>
    </w:p>
    <w:p w14:paraId="5DB3E023">
      <w:pPr>
        <w:snapToGrid w:val="0"/>
        <w:spacing w:line="360" w:lineRule="exact"/>
        <w:ind w:firstLine="404" w:firstLineChars="200"/>
        <w:rPr>
          <w:rFonts w:ascii="楷体" w:hAnsi="楷体" w:eastAsia="楷体" w:cs="楷体"/>
          <w:color w:val="auto"/>
          <w:kern w:val="2"/>
          <w:szCs w:val="21"/>
          <w:lang w:bidi="ar"/>
        </w:rPr>
      </w:pPr>
      <w:r>
        <w:rPr>
          <w:rFonts w:hint="eastAsia" w:ascii="楷体" w:hAnsi="楷体" w:eastAsia="楷体" w:cs="楷体"/>
          <w:color w:val="auto"/>
          <w:kern w:val="2"/>
          <w:szCs w:val="21"/>
          <w:lang w:bidi="ar"/>
        </w:rPr>
        <w:t>（2）承包人在接到工程施工任务后，应当根据任务要求和现场情况编制施工方案（同时列明为完成施工任务所需的设备、材料以及人工、管理、财务等所有费用）并报备发包人，经审核确定方可展开施工，如承包人遗漏任务所列工程量清单内容，均由承包人自行负责，发包人不再支付任何费用。</w:t>
      </w:r>
    </w:p>
    <w:p w14:paraId="24871FE9">
      <w:pPr>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lang w:bidi="ar"/>
        </w:rPr>
        <w:t>（3）承包人负责至相关主管部门办理开口审批、管道开挖、占道、占绿、路灯迁移、停电、接电等手续，并承担相关费用（依规依法应缴纳相关行政性费用由发包人承担）。</w:t>
      </w:r>
    </w:p>
    <w:p w14:paraId="09EA9445">
      <w:pPr>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lang w:bidi="ar"/>
        </w:rPr>
        <w:t>（4）本项目按项目进行结算，在项目工程验收合格后结算办理完毕，承包人提供正规建安工程税务发票后，发包人再进行支付。</w:t>
      </w:r>
    </w:p>
    <w:p w14:paraId="3D83ABD8">
      <w:pPr>
        <w:autoSpaceDE w:val="0"/>
        <w:autoSpaceDN w:val="0"/>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本项目接受区纪检监察审计室依法依规进行工程建设项目审计监督，并以监督结果为准。</w:t>
      </w:r>
    </w:p>
    <w:p w14:paraId="54830D9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承包人每次申请付款时还须满足以下条件：</w:t>
      </w:r>
    </w:p>
    <w:p w14:paraId="4543CE7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（1）已完工程质量合格、工程资料齐全并符合要求，因承包人进度付款申请资料的缺失，而造成进度付款延迟，发包人不承担相应责任。</w:t>
      </w:r>
    </w:p>
    <w:p w14:paraId="4F98521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（2）遵守合同约定，服从监理人、发包人等相关单位的管理；</w:t>
      </w:r>
    </w:p>
    <w:p w14:paraId="27BE356F">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（3）安全文明措施到位，安全文明施工符合要求；</w:t>
      </w:r>
    </w:p>
    <w:p w14:paraId="25BC284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（4）开具正式的付款申请书、开具符合发包人要求的增值税专用发票；</w:t>
      </w:r>
    </w:p>
    <w:p w14:paraId="2916733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（5）向发包人财务部交纳违约金（从上次付款申请日期至本次付款申请日期的所有应付发包人违约金、罚款）</w:t>
      </w:r>
    </w:p>
    <w:p w14:paraId="75557A1B">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（6）按时支付了民工工资，按时结清了材料费用。 </w:t>
      </w:r>
    </w:p>
    <w:p w14:paraId="5311385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 施工过程中，经发包人、监理人检查，若本工程存在如下情况，在未按发包人、监理人和有关单位意见整改处理之前，发包人暂停支付一切工程款项，影响工程进度由承包人负责：</w:t>
      </w:r>
    </w:p>
    <w:p w14:paraId="057DCE2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（1）存在施工质量问题或质量隐患；</w:t>
      </w:r>
    </w:p>
    <w:p w14:paraId="284A2ED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（2）发生安全事故或存在隐患；</w:t>
      </w:r>
    </w:p>
    <w:p w14:paraId="756A489F">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（3）文明施工不符合要求，受到相关单位处罚。</w:t>
      </w:r>
    </w:p>
    <w:p w14:paraId="65EA76CE">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竣工验收合格后，若承包人未按发包人要求进行质量维保服务，在未按发包人和有关单位意见整改处理之前，发包人可暂停工程款支付。</w:t>
      </w:r>
    </w:p>
    <w:p w14:paraId="7CF2C3B4">
      <w:pPr>
        <w:tabs>
          <w:tab w:val="left" w:pos="1651"/>
        </w:tabs>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12.4.4进度款审核和支付</w:t>
      </w:r>
    </w:p>
    <w:p w14:paraId="1A0477D0">
      <w:pPr>
        <w:tabs>
          <w:tab w:val="left" w:pos="1508"/>
          <w:tab w:val="left" w:pos="5434"/>
          <w:tab w:val="left" w:pos="6442"/>
        </w:tabs>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（1）发包人完成审批并签发进度款支付证书的期限：发包人应在收到齐全资料后10个工作日内负责办理完毕审批并签发进度款支付证书的手续。</w:t>
      </w:r>
    </w:p>
    <w:p w14:paraId="5A124961">
      <w:pPr>
        <w:tabs>
          <w:tab w:val="left" w:pos="1508"/>
          <w:tab w:val="left" w:pos="5434"/>
          <w:tab w:val="left" w:pos="6442"/>
        </w:tabs>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（2）发包人支付进度款的期限：</w:t>
      </w:r>
      <w:r>
        <w:rPr>
          <w:rFonts w:hint="eastAsia" w:ascii="楷体" w:hAnsi="楷体" w:eastAsia="楷体" w:cs="楷体"/>
          <w:color w:val="auto"/>
          <w:kern w:val="2"/>
          <w:szCs w:val="21"/>
          <w:u w:val="single"/>
        </w:rPr>
        <w:t>具体付款时间为发包人完成付款审批后14日内</w:t>
      </w:r>
      <w:r>
        <w:rPr>
          <w:rFonts w:hint="eastAsia" w:ascii="楷体" w:hAnsi="楷体" w:eastAsia="楷体" w:cs="楷体"/>
          <w:color w:val="auto"/>
          <w:kern w:val="2"/>
          <w:szCs w:val="21"/>
        </w:rPr>
        <w:t>。</w:t>
      </w:r>
    </w:p>
    <w:p w14:paraId="08461004">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（3）发包人逾期支付进度款的，无违约责任，不计算违约金。</w:t>
      </w:r>
    </w:p>
    <w:p w14:paraId="71B8B987">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（4）进度款与质量挂钩，所报送工程进度报表需经监理工程师及发包人签字确认后，若所报工程质量达不到验收规范要求且没有在规定时间内按发包人要求整改，发包人暂缓支付该部分工程款。</w:t>
      </w:r>
    </w:p>
    <w:p w14:paraId="2FEF7C99">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承包人应保证发包人支付的工程进度款专款专用。发包人如对承包人进度款使用持有异议的，有权要求承包人提供进度款用途及去向说明并提供相应的付款凭证予以证明，承包人须按照发包人的要求提供，承包人拒绝提供或者不能证明用途正当或承包人将工程款挪作他用，发包人有权延期6个月支付当期进度款的30%，同时要求承包人支付合同总金额5%的违约金。</w:t>
      </w:r>
    </w:p>
    <w:p w14:paraId="1C19539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（6）承包人在发包人按约定及时支付工程款的情况下不得以任何理由（包括发包人问题）和事项为借口拖欠民工工资。</w:t>
      </w:r>
    </w:p>
    <w:p w14:paraId="06BD0C77">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12.4.5支付分解表的编制</w:t>
      </w:r>
    </w:p>
    <w:p w14:paraId="1996AB8C">
      <w:pPr>
        <w:tabs>
          <w:tab w:val="left" w:pos="1508"/>
          <w:tab w:val="left" w:pos="5136"/>
          <w:tab w:val="left" w:pos="5535"/>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（1）总价合同支付分解表的编制与审批：</w:t>
      </w:r>
      <w:r>
        <w:rPr>
          <w:rFonts w:hint="eastAsia" w:ascii="楷体" w:hAnsi="楷体" w:eastAsia="楷体" w:cs="楷体"/>
          <w:color w:val="auto"/>
          <w:kern w:val="2"/>
          <w:szCs w:val="21"/>
          <w:u w:val="single"/>
        </w:rPr>
        <w:t>/</w:t>
      </w:r>
      <w:r>
        <w:rPr>
          <w:rFonts w:hint="eastAsia" w:ascii="楷体" w:hAnsi="楷体" w:eastAsia="楷体" w:cs="楷体"/>
          <w:color w:val="auto"/>
          <w:kern w:val="2"/>
          <w:szCs w:val="21"/>
        </w:rPr>
        <w:t>。</w:t>
      </w:r>
    </w:p>
    <w:p w14:paraId="768AB4C8">
      <w:pPr>
        <w:tabs>
          <w:tab w:val="left" w:pos="1508"/>
          <w:tab w:val="left" w:pos="6442"/>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（2）单价合同的总价项目支付分解表的编制与审批：</w:t>
      </w:r>
      <w:r>
        <w:rPr>
          <w:rFonts w:hint="eastAsia" w:ascii="楷体" w:hAnsi="楷体" w:eastAsia="楷体" w:cs="楷体"/>
          <w:color w:val="auto"/>
          <w:kern w:val="2"/>
          <w:szCs w:val="21"/>
          <w:u w:val="single"/>
        </w:rPr>
        <w:t>/</w:t>
      </w:r>
      <w:r>
        <w:rPr>
          <w:rFonts w:hint="eastAsia" w:ascii="楷体" w:hAnsi="楷体" w:eastAsia="楷体" w:cs="楷体"/>
          <w:color w:val="auto"/>
          <w:kern w:val="2"/>
          <w:szCs w:val="21"/>
        </w:rPr>
        <w:t>。</w:t>
      </w:r>
    </w:p>
    <w:p w14:paraId="2C22F80D">
      <w:pPr>
        <w:tabs>
          <w:tab w:val="left" w:pos="1306"/>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29" w:name="_Toc26730"/>
      <w:r>
        <w:rPr>
          <w:rFonts w:hint="eastAsia" w:ascii="楷体" w:hAnsi="楷体" w:eastAsia="楷体" w:cs="楷体"/>
          <w:b/>
          <w:color w:val="auto"/>
          <w:szCs w:val="21"/>
        </w:rPr>
        <w:t>13.验收和工程试车</w:t>
      </w:r>
      <w:bookmarkEnd w:id="29"/>
    </w:p>
    <w:p w14:paraId="7CFBE5EE">
      <w:pPr>
        <w:tabs>
          <w:tab w:val="left" w:pos="14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13.1分部分项工程验收</w:t>
      </w:r>
    </w:p>
    <w:p w14:paraId="32CFA545">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13.1.2 关于延期最长不得超过：</w:t>
      </w:r>
      <w:r>
        <w:rPr>
          <w:rFonts w:hint="eastAsia" w:ascii="楷体" w:hAnsi="楷体" w:eastAsia="楷体" w:cs="楷体"/>
          <w:color w:val="auto"/>
          <w:szCs w:val="21"/>
          <w:u w:val="single"/>
        </w:rPr>
        <w:t>48</w:t>
      </w:r>
      <w:r>
        <w:rPr>
          <w:rFonts w:hint="eastAsia" w:ascii="楷体" w:hAnsi="楷体" w:eastAsia="楷体" w:cs="楷体"/>
          <w:color w:val="auto"/>
          <w:szCs w:val="21"/>
        </w:rPr>
        <w:t>小时。</w:t>
      </w:r>
    </w:p>
    <w:p w14:paraId="22040C52">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13.2竣工验收</w:t>
      </w:r>
    </w:p>
    <w:p w14:paraId="662C9B7C">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13.2.1竣工验收程序</w:t>
      </w:r>
    </w:p>
    <w:p w14:paraId="2C15F24F">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关于竣工验收程序的约定：</w:t>
      </w:r>
      <w:r>
        <w:rPr>
          <w:rFonts w:hint="eastAsia" w:ascii="楷体" w:hAnsi="楷体" w:eastAsia="楷体" w:cs="楷体"/>
          <w:color w:val="auto"/>
          <w:szCs w:val="21"/>
          <w:u w:val="single"/>
        </w:rPr>
        <w:t>按通用合同条款执行</w:t>
      </w:r>
      <w:r>
        <w:rPr>
          <w:rFonts w:hint="eastAsia" w:ascii="楷体" w:hAnsi="楷体" w:eastAsia="楷体" w:cs="楷体"/>
          <w:color w:val="auto"/>
          <w:szCs w:val="21"/>
        </w:rPr>
        <w:t>。</w:t>
      </w:r>
    </w:p>
    <w:p w14:paraId="27D6F746">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发包人不按照本项约定组织竣工验收、颁发工程接收证书的违约金的计算方法：</w:t>
      </w:r>
      <w:r>
        <w:rPr>
          <w:rFonts w:hint="eastAsia" w:ascii="楷体" w:hAnsi="楷体" w:eastAsia="楷体" w:cs="楷体"/>
          <w:color w:val="auto"/>
          <w:szCs w:val="21"/>
          <w:u w:val="single"/>
        </w:rPr>
        <w:t xml:space="preserve">按通用合同条款执行 </w:t>
      </w:r>
      <w:r>
        <w:rPr>
          <w:rFonts w:hint="eastAsia" w:ascii="楷体" w:hAnsi="楷体" w:eastAsia="楷体" w:cs="楷体"/>
          <w:color w:val="auto"/>
          <w:szCs w:val="21"/>
        </w:rPr>
        <w:t>。</w:t>
      </w:r>
    </w:p>
    <w:p w14:paraId="2EC8384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项目按月考核验收，考核不合格，由承包人根据合同约定和发包人要求整改，因此给发包人造成的损失等费用由承包人承担。合同期内连续两次或累计三次项目验收不合格的，发包人可终止合同，另行按规定选择其他供应商采购，由此带来的一切损失由承包人承担。</w:t>
      </w:r>
    </w:p>
    <w:p w14:paraId="4A27A6DA">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13.2.2移交、接收全部与部分工程</w:t>
      </w:r>
    </w:p>
    <w:p w14:paraId="665A36A8">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承包人向发包人移交工程的期限：</w:t>
      </w:r>
      <w:r>
        <w:rPr>
          <w:rFonts w:hint="eastAsia" w:ascii="楷体" w:hAnsi="楷体" w:eastAsia="楷体" w:cs="楷体"/>
          <w:color w:val="auto"/>
          <w:szCs w:val="21"/>
          <w:u w:val="single"/>
        </w:rPr>
        <w:t>颁发工程接收证书7天内（如相关职能部门有要求的，按其要求执行）</w:t>
      </w:r>
      <w:r>
        <w:rPr>
          <w:rFonts w:hint="eastAsia" w:ascii="楷体" w:hAnsi="楷体" w:eastAsia="楷体" w:cs="楷体"/>
          <w:color w:val="auto"/>
          <w:szCs w:val="21"/>
        </w:rPr>
        <w:t xml:space="preserve"> 。</w:t>
      </w:r>
    </w:p>
    <w:p w14:paraId="71688B20">
      <w:pPr>
        <w:tabs>
          <w:tab w:val="left" w:pos="7220"/>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发包人未按本合同约定接收全部或部分工程的，违约金的计算方法为：</w:t>
      </w:r>
      <w:r>
        <w:rPr>
          <w:rFonts w:hint="eastAsia" w:ascii="楷体" w:hAnsi="楷体" w:eastAsia="楷体" w:cs="楷体"/>
          <w:color w:val="auto"/>
          <w:szCs w:val="21"/>
          <w:u w:val="single"/>
        </w:rPr>
        <w:t xml:space="preserve"> /</w:t>
      </w:r>
      <w:r>
        <w:rPr>
          <w:rFonts w:hint="eastAsia" w:ascii="楷体" w:hAnsi="楷体" w:eastAsia="楷体" w:cs="楷体"/>
          <w:color w:val="auto"/>
          <w:szCs w:val="21"/>
          <w:u w:val="single"/>
        </w:rPr>
        <w:tab/>
      </w:r>
      <w:r>
        <w:rPr>
          <w:rFonts w:hint="eastAsia" w:ascii="楷体" w:hAnsi="楷体" w:eastAsia="楷体" w:cs="楷体"/>
          <w:color w:val="auto"/>
          <w:szCs w:val="21"/>
        </w:rPr>
        <w:t>。</w:t>
      </w:r>
    </w:p>
    <w:p w14:paraId="716D7201">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承包人未按时移交工程的，违约金的计算方法为：</w:t>
      </w:r>
      <w:r>
        <w:rPr>
          <w:rFonts w:hint="eastAsia" w:ascii="楷体" w:hAnsi="楷体" w:eastAsia="楷体" w:cs="楷体"/>
          <w:color w:val="auto"/>
          <w:w w:val="101"/>
          <w:szCs w:val="21"/>
          <w:u w:val="single"/>
        </w:rPr>
        <w:t>工程竣工验收合格（且整改完毕）10天内，承包人未按时移交工程的，违约金的计算方法为：5000元/天，逾期超过60天的，发包人有权单方面解除本合同，按照承包人已完成工程量的50%结算，承包人无条件退场并按照发包人要求移交所有工程资料。</w:t>
      </w:r>
    </w:p>
    <w:p w14:paraId="613F8C81">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13.3工程试车</w:t>
      </w:r>
    </w:p>
    <w:p w14:paraId="6B9E11DF">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13.3.1试车程序</w:t>
      </w:r>
    </w:p>
    <w:p w14:paraId="5A0E86AD">
      <w:pPr>
        <w:tabs>
          <w:tab w:val="left" w:pos="2180"/>
          <w:tab w:val="left" w:pos="3311"/>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工程试车内容：</w:t>
      </w:r>
      <w:r>
        <w:rPr>
          <w:rFonts w:hint="eastAsia" w:ascii="楷体" w:hAnsi="楷体" w:eastAsia="楷体" w:cs="楷体"/>
          <w:color w:val="auto"/>
          <w:szCs w:val="21"/>
          <w:u w:val="single"/>
        </w:rPr>
        <w:t xml:space="preserve"> /</w:t>
      </w:r>
      <w:r>
        <w:rPr>
          <w:rFonts w:hint="eastAsia" w:ascii="楷体" w:hAnsi="楷体" w:eastAsia="楷体" w:cs="楷体"/>
          <w:color w:val="auto"/>
          <w:szCs w:val="21"/>
          <w:u w:val="single"/>
        </w:rPr>
        <w:tab/>
      </w:r>
      <w:r>
        <w:rPr>
          <w:rFonts w:hint="eastAsia" w:ascii="楷体" w:hAnsi="楷体" w:eastAsia="楷体" w:cs="楷体"/>
          <w:color w:val="auto"/>
          <w:szCs w:val="21"/>
        </w:rPr>
        <w:t>。</w:t>
      </w:r>
    </w:p>
    <w:p w14:paraId="2B2516B9">
      <w:pPr>
        <w:tabs>
          <w:tab w:val="left" w:pos="15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（1）单机无负荷试车费用由</w:t>
      </w:r>
      <w:r>
        <w:rPr>
          <w:rFonts w:hint="eastAsia" w:ascii="楷体" w:hAnsi="楷体" w:eastAsia="楷体" w:cs="楷体"/>
          <w:color w:val="auto"/>
          <w:kern w:val="2"/>
          <w:szCs w:val="21"/>
          <w:u w:val="single"/>
        </w:rPr>
        <w:t>承包人</w:t>
      </w:r>
      <w:r>
        <w:rPr>
          <w:rFonts w:hint="eastAsia" w:ascii="楷体" w:hAnsi="楷体" w:eastAsia="楷体" w:cs="楷体"/>
          <w:color w:val="auto"/>
          <w:kern w:val="2"/>
          <w:szCs w:val="21"/>
        </w:rPr>
        <w:t xml:space="preserve"> 承担；</w:t>
      </w:r>
    </w:p>
    <w:p w14:paraId="69956FB1">
      <w:pPr>
        <w:tabs>
          <w:tab w:val="left" w:pos="1508"/>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（2）无负荷联动试车费用由</w:t>
      </w:r>
      <w:r>
        <w:rPr>
          <w:rFonts w:hint="eastAsia" w:ascii="楷体" w:hAnsi="楷体" w:eastAsia="楷体" w:cs="楷体"/>
          <w:color w:val="auto"/>
          <w:kern w:val="2"/>
          <w:szCs w:val="21"/>
          <w:u w:val="single"/>
        </w:rPr>
        <w:t>承包人</w:t>
      </w:r>
      <w:r>
        <w:rPr>
          <w:rFonts w:hint="eastAsia" w:ascii="楷体" w:hAnsi="楷体" w:eastAsia="楷体" w:cs="楷体"/>
          <w:color w:val="auto"/>
          <w:kern w:val="2"/>
          <w:szCs w:val="21"/>
        </w:rPr>
        <w:t xml:space="preserve"> 承担。</w:t>
      </w:r>
    </w:p>
    <w:p w14:paraId="22E5CD43">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13.3.2投料试车</w:t>
      </w:r>
    </w:p>
    <w:p w14:paraId="7F57F653">
      <w:pPr>
        <w:tabs>
          <w:tab w:val="left" w:pos="4526"/>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关于投料试车相关事项的约定：</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w:t>
      </w:r>
    </w:p>
    <w:p w14:paraId="2FDB89A3">
      <w:pPr>
        <w:tabs>
          <w:tab w:val="left" w:pos="1449"/>
        </w:tabs>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13.4竣工退场</w:t>
      </w:r>
    </w:p>
    <w:p w14:paraId="3CE8F04C">
      <w:pPr>
        <w:tabs>
          <w:tab w:val="left" w:pos="1651"/>
        </w:tabs>
        <w:autoSpaceDE w:val="0"/>
        <w:autoSpaceDN w:val="0"/>
        <w:adjustRightInd w:val="0"/>
        <w:snapToGrid w:val="0"/>
        <w:spacing w:line="360" w:lineRule="exact"/>
        <w:ind w:firstLine="404" w:firstLineChars="200"/>
        <w:rPr>
          <w:rFonts w:ascii="楷体" w:hAnsi="楷体" w:eastAsia="楷体" w:cs="楷体"/>
          <w:color w:val="auto"/>
          <w:kern w:val="2"/>
          <w:szCs w:val="21"/>
        </w:rPr>
      </w:pPr>
      <w:r>
        <w:rPr>
          <w:rFonts w:hint="eastAsia" w:ascii="楷体" w:hAnsi="楷体" w:eastAsia="楷体" w:cs="楷体"/>
          <w:color w:val="auto"/>
          <w:kern w:val="2"/>
          <w:szCs w:val="21"/>
        </w:rPr>
        <w:t>13.4.1竣工退场</w:t>
      </w:r>
    </w:p>
    <w:p w14:paraId="371F24B7">
      <w:pPr>
        <w:autoSpaceDE w:val="0"/>
        <w:autoSpaceDN w:val="0"/>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承包人完成竣工退场的期限：</w:t>
      </w:r>
      <w:r>
        <w:rPr>
          <w:rFonts w:hint="eastAsia" w:ascii="楷体" w:hAnsi="楷体" w:eastAsia="楷体" w:cs="楷体"/>
          <w:color w:val="auto"/>
          <w:szCs w:val="21"/>
          <w:u w:val="single"/>
        </w:rPr>
        <w:t xml:space="preserve">颁发工程接收证书 10 天内 </w:t>
      </w:r>
      <w:r>
        <w:rPr>
          <w:rFonts w:hint="eastAsia" w:ascii="楷体" w:hAnsi="楷体" w:eastAsia="楷体" w:cs="楷体"/>
          <w:color w:val="auto"/>
          <w:szCs w:val="21"/>
        </w:rPr>
        <w:t>。</w:t>
      </w:r>
    </w:p>
    <w:p w14:paraId="09F0CE7C">
      <w:pPr>
        <w:tabs>
          <w:tab w:val="left" w:pos="1306"/>
        </w:tabs>
        <w:autoSpaceDE w:val="0"/>
        <w:autoSpaceDN w:val="0"/>
        <w:adjustRightInd w:val="0"/>
        <w:snapToGrid w:val="0"/>
        <w:spacing w:line="360" w:lineRule="exact"/>
        <w:ind w:firstLine="404" w:firstLineChars="200"/>
        <w:outlineLvl w:val="2"/>
        <w:rPr>
          <w:rFonts w:ascii="楷体" w:hAnsi="楷体" w:eastAsia="楷体" w:cs="楷体"/>
          <w:b/>
          <w:color w:val="auto"/>
          <w:szCs w:val="21"/>
        </w:rPr>
      </w:pPr>
      <w:bookmarkStart w:id="30" w:name="_Toc12952"/>
      <w:r>
        <w:rPr>
          <w:rFonts w:hint="eastAsia" w:ascii="楷体" w:hAnsi="楷体" w:eastAsia="楷体" w:cs="楷体"/>
          <w:b/>
          <w:color w:val="auto"/>
          <w:szCs w:val="21"/>
        </w:rPr>
        <w:t>14.竣工结算</w:t>
      </w:r>
      <w:bookmarkEnd w:id="30"/>
    </w:p>
    <w:p w14:paraId="57C33677">
      <w:pPr>
        <w:tabs>
          <w:tab w:val="left" w:pos="1449"/>
        </w:tabs>
        <w:autoSpaceDE w:val="0"/>
        <w:autoSpaceDN w:val="0"/>
        <w:adjustRightInd w:val="0"/>
        <w:snapToGrid w:val="0"/>
        <w:spacing w:line="360" w:lineRule="exact"/>
        <w:ind w:firstLine="404" w:firstLineChars="200"/>
        <w:rPr>
          <w:rFonts w:ascii="楷体" w:hAnsi="楷体" w:eastAsia="楷体" w:cs="楷体"/>
          <w:b/>
          <w:color w:val="auto"/>
          <w:kern w:val="2"/>
          <w:szCs w:val="21"/>
        </w:rPr>
      </w:pPr>
      <w:r>
        <w:rPr>
          <w:rFonts w:hint="eastAsia" w:ascii="楷体" w:hAnsi="楷体" w:eastAsia="楷体" w:cs="楷体"/>
          <w:b/>
          <w:color w:val="auto"/>
          <w:kern w:val="2"/>
          <w:szCs w:val="21"/>
        </w:rPr>
        <w:t>14.1竣工结算申请</w:t>
      </w:r>
    </w:p>
    <w:p w14:paraId="7177A51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14.1 竣工结算申请</w:t>
      </w:r>
    </w:p>
    <w:p w14:paraId="09CF617B">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同意遵循长沙经开区关于“竣工即审”相关文件的规定，并承担相应责任。承包人提交竣工付款申请单的期限：承包人在竣工验收合格后120日内提供结算资料，否则，每逾期一天，按5000元/每天支付违约金，竣工资料不合格，不予办理结算。承包人若无法及时提交相关结算资料的，必须书面向发包人和财政评审中心说明原因，经批准后可以延期。若没有及时提交资料，书面说明未批准的，发包人可以停止向承包人支付本项目工程款。审计机构为长沙经开区投资评审中心或其委托的工程造价咨询机构，承包人承诺对审计机构审定的结算金额予以认可，且不提异议。结算审计时间由审计机构按实际情况确定。</w:t>
      </w:r>
    </w:p>
    <w:p w14:paraId="232EC0B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现场签证事项发生时，需通知发包人的工程师、审计人员等（具体按发包人签证程序要求人员）现场确认，计价方式同工程变更。所有经各方确认的工程变更必须在变更确认后十四日内办理相关手续，变更签证需一式五份并编号存档，竣工结算时所有与发包人编号存档的变更（现场技术人员、现场审计人员等）不相符的部分不予结算。</w:t>
      </w:r>
    </w:p>
    <w:p w14:paraId="1F523A0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竣工付款申请单应包括的内容：承包人向工程师提交的竣工结算书，应附有支持文件，并详细说明以下内容：经发包人、监理工程师签章认可的竣工图、现场经济技术签证、材料价格签证；发包人、监理工程师、设计单位签字认可的设计变更；响应文件、投标报价电子文档等与竣工结算有关的所有原始资料。</w:t>
      </w:r>
    </w:p>
    <w:p w14:paraId="44DF2EF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竣工结算原则：</w:t>
      </w:r>
    </w:p>
    <w:p w14:paraId="41B4B10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根据本合同专用条款、成交通知书、本合同协议书及其补充协议书、响应文件及其附录、发包人澄清、修改和补充文件、本合同条款、标准、规范及有关技术文件、磋商文件其他内容、组成合同的其他文件、经发包人审核签字和监理工程师审核并签章认可的竣工图纸及相关竣工资料计算竣工结算造价。</w:t>
      </w:r>
    </w:p>
    <w:p w14:paraId="040CEA0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(2)竣工工程量的确认原则上以经发包人审核签字和监理工程师审核并签章认可的竣工图纸及相关竣工资料计算为准；</w:t>
      </w:r>
    </w:p>
    <w:p w14:paraId="18AAEE0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（3）变更、签证的项目的计价：按 10.4条有关规定；</w:t>
      </w:r>
    </w:p>
    <w:p w14:paraId="6D318C15">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4）本项目辅助材料费、机械费涨价风险已包含在清单价中，合同执行期辅助材料费、机械费价格不予调整。绿色施工安全防护措施费结算时固定费率部分分别根据各专业工程的分部分项工程费+单价措施项目费之和为基数按比例调整。</w:t>
      </w:r>
    </w:p>
    <w:p w14:paraId="354F2A2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（5）砼排水管道沟槽回填按长沙经济技术开发区管理委员会建设发展局2019年12月31日发布的“关于加强砼排水管道沟槽回填质量的通知”执行，且沟槽砂砾石回填应全程拍摄视频作为结算依据。</w:t>
      </w:r>
    </w:p>
    <w:p w14:paraId="4483CD7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（6）采用新型智能环保渣土车的项目，竣工资料必须提供新型智能环保渣土车的办证文件、线路运行文件、每日台账（含新型智能环保渣土车运行台数和运行时间）。</w:t>
      </w:r>
    </w:p>
    <w:p w14:paraId="5C5312E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14.2 竣工结算审核</w:t>
      </w:r>
    </w:p>
    <w:p w14:paraId="152A2F1F">
      <w:pPr>
        <w:adjustRightInd w:val="0"/>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关于竣工付款证书异议部分复核的方式和程序：</w:t>
      </w:r>
      <w:r>
        <w:rPr>
          <w:rFonts w:hint="eastAsia" w:ascii="楷体" w:hAnsi="楷体" w:eastAsia="楷体" w:cs="楷体"/>
          <w:color w:val="auto"/>
          <w:szCs w:val="21"/>
          <w:u w:val="single"/>
        </w:rPr>
        <w:t>按长沙经济技术开发区投资评审中心相关规定执行。</w:t>
      </w:r>
    </w:p>
    <w:p w14:paraId="3F7DCCE5">
      <w:pPr>
        <w:adjustRightInd w:val="0"/>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监理人收到竣工结算资料后进行初步审查，并将审查结果报送发包人。发包人收到监理人审查结果后报相关评审部门进行审定。 审计机构对竣工结算单有异议的，有权要求承包人进行修正和提供补充资料，若承包人的竣工结算资料完整、真实、有效，审查、审定时限遵守国家有关规定，承包人完善、修改结算资料的时间，不含在规定时限之内。承包人不按时报送结算资料的一切后果和损失由承包人承担。</w:t>
      </w:r>
    </w:p>
    <w:p w14:paraId="7139B106">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u w:val="single"/>
        </w:rPr>
        <w:t>承包人必须积极配合发包人竣工结算审核，因承包人配合不积极，结算延期定案的责任由承包人承担，结算未定案，发包人不予支付工程款且无需承担责任。在工程结算审核工作中遇到疑难问题，承包人应在接到通知后两天内到达结算审计工作所在地进行处理。否则，每逾期一天，按5000元/每天支付违约金。</w:t>
      </w:r>
    </w:p>
    <w:p w14:paraId="2ACA359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14.4 最终结清</w:t>
      </w:r>
    </w:p>
    <w:p w14:paraId="3C6880A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14.4.1 最终结清申请单</w:t>
      </w:r>
    </w:p>
    <w:p w14:paraId="19B624F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承包人提交最终结清申请单的份数：</w:t>
      </w:r>
      <w:r>
        <w:rPr>
          <w:rFonts w:hint="eastAsia" w:ascii="楷体" w:hAnsi="楷体" w:eastAsia="楷体" w:cs="楷体"/>
          <w:color w:val="auto"/>
          <w:szCs w:val="21"/>
          <w:u w:val="single"/>
        </w:rPr>
        <w:t xml:space="preserve">按发包人要求 </w:t>
      </w:r>
      <w:r>
        <w:rPr>
          <w:rFonts w:hint="eastAsia" w:ascii="楷体" w:hAnsi="楷体" w:eastAsia="楷体" w:cs="楷体"/>
          <w:color w:val="auto"/>
          <w:szCs w:val="21"/>
        </w:rPr>
        <w:t>。</w:t>
      </w:r>
    </w:p>
    <w:p w14:paraId="5030D36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承包人提交最终结算申请单的期限：</w:t>
      </w:r>
      <w:r>
        <w:rPr>
          <w:rFonts w:hint="eastAsia" w:ascii="楷体" w:hAnsi="楷体" w:eastAsia="楷体" w:cs="楷体"/>
          <w:color w:val="auto"/>
          <w:szCs w:val="21"/>
          <w:u w:val="single"/>
        </w:rPr>
        <w:t>达到合同约定的最终付款条件后30天内。</w:t>
      </w:r>
      <w:r>
        <w:rPr>
          <w:rFonts w:hint="eastAsia" w:ascii="楷体" w:hAnsi="楷体" w:eastAsia="楷体" w:cs="楷体"/>
          <w:color w:val="auto"/>
          <w:szCs w:val="21"/>
        </w:rPr>
        <w:t xml:space="preserve"> </w:t>
      </w:r>
    </w:p>
    <w:p w14:paraId="2B3F2C6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14.4.2 最终结清证书和支付</w:t>
      </w:r>
    </w:p>
    <w:p w14:paraId="4D7239B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（1）发包人完成最终结清申请单的审批并颁发最终结清证书的期限：</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297F8AF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（2）发包人完成支付的期限：</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47E7250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 缺陷责任期与保修</w:t>
      </w:r>
    </w:p>
    <w:p w14:paraId="4669CB02">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15.2缺陷责任期</w:t>
      </w:r>
    </w:p>
    <w:p w14:paraId="7996F5E1">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缺陷责任期的具体期限：</w:t>
      </w:r>
      <w:r>
        <w:rPr>
          <w:rFonts w:hint="eastAsia" w:ascii="楷体" w:hAnsi="楷体" w:eastAsia="楷体" w:cs="楷体"/>
          <w:color w:val="auto"/>
          <w:szCs w:val="21"/>
          <w:u w:val="single"/>
        </w:rPr>
        <w:t xml:space="preserve"> 24 个月，缺陷责任期自工程实际竣工合格之日起计算。</w:t>
      </w:r>
    </w:p>
    <w:p w14:paraId="63D0D08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15.3 质量保证金</w:t>
      </w:r>
    </w:p>
    <w:p w14:paraId="478E06B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关于是否扣留质量保证金的约定：</w:t>
      </w:r>
      <w:r>
        <w:rPr>
          <w:rFonts w:hint="eastAsia" w:ascii="楷体" w:hAnsi="楷体" w:eastAsia="楷体" w:cs="楷体"/>
          <w:color w:val="auto"/>
          <w:szCs w:val="21"/>
          <w:u w:val="single"/>
        </w:rPr>
        <w:t>扣留质量保证金</w:t>
      </w:r>
      <w:r>
        <w:rPr>
          <w:rFonts w:hint="eastAsia" w:ascii="楷体" w:hAnsi="楷体" w:eastAsia="楷体" w:cs="楷体"/>
          <w:color w:val="auto"/>
          <w:szCs w:val="21"/>
        </w:rPr>
        <w:t>。</w:t>
      </w:r>
    </w:p>
    <w:p w14:paraId="6B5026A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15.3.1 承包人提供质量保证金的方式</w:t>
      </w:r>
    </w:p>
    <w:p w14:paraId="4DAB627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质量保证金采用以下第</w:t>
      </w:r>
      <w:r>
        <w:rPr>
          <w:rFonts w:hint="eastAsia" w:ascii="楷体" w:hAnsi="楷体" w:eastAsia="楷体" w:cs="楷体"/>
          <w:color w:val="auto"/>
          <w:szCs w:val="21"/>
          <w:u w:val="single"/>
        </w:rPr>
        <w:t xml:space="preserve"> 2 </w:t>
      </w:r>
      <w:r>
        <w:rPr>
          <w:rFonts w:hint="eastAsia" w:ascii="楷体" w:hAnsi="楷体" w:eastAsia="楷体" w:cs="楷体"/>
          <w:color w:val="auto"/>
          <w:szCs w:val="21"/>
        </w:rPr>
        <w:t>种方式：</w:t>
      </w:r>
    </w:p>
    <w:p w14:paraId="6B3C09A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（1）质量保证金保函，保证金额为：</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 xml:space="preserve">； </w:t>
      </w:r>
    </w:p>
    <w:p w14:paraId="02D16E6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w:t>
      </w:r>
      <w:r>
        <w:rPr>
          <w:rFonts w:hint="eastAsia" w:ascii="楷体" w:hAnsi="楷体" w:eastAsia="楷体" w:cs="楷体"/>
          <w:color w:val="auto"/>
          <w:szCs w:val="21"/>
          <w:u w:val="single"/>
        </w:rPr>
        <w:t xml:space="preserve"> 3 </w:t>
      </w:r>
      <w:r>
        <w:rPr>
          <w:rFonts w:hint="eastAsia" w:ascii="楷体" w:hAnsi="楷体" w:eastAsia="楷体" w:cs="楷体"/>
          <w:color w:val="auto"/>
          <w:szCs w:val="21"/>
        </w:rPr>
        <w:t>%的工程款；</w:t>
      </w:r>
    </w:p>
    <w:p w14:paraId="50CC260D">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（3）其他方式： </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505D994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15.3.2 质量保证金的扣留 </w:t>
      </w:r>
    </w:p>
    <w:p w14:paraId="24D30A8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质量保证金的扣留采取以下第</w:t>
      </w:r>
      <w:r>
        <w:rPr>
          <w:rFonts w:hint="eastAsia" w:ascii="楷体" w:hAnsi="楷体" w:eastAsia="楷体" w:cs="楷体"/>
          <w:color w:val="auto"/>
          <w:szCs w:val="21"/>
          <w:u w:val="single"/>
        </w:rPr>
        <w:t xml:space="preserve"> 2 </w:t>
      </w:r>
      <w:r>
        <w:rPr>
          <w:rFonts w:hint="eastAsia" w:ascii="楷体" w:hAnsi="楷体" w:eastAsia="楷体" w:cs="楷体"/>
          <w:color w:val="auto"/>
          <w:szCs w:val="21"/>
        </w:rPr>
        <w:t>种方式：</w:t>
      </w:r>
    </w:p>
    <w:p w14:paraId="1F56729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（1）在支付工程进度款时逐次扣留，在此情形下，质量保证金的计算基数不包括预付款的支付、扣回以及价格调整的金额；</w:t>
      </w:r>
    </w:p>
    <w:p w14:paraId="0A74EAB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（2）工程竣工结算时一次性扣留质量保证金；</w:t>
      </w:r>
    </w:p>
    <w:p w14:paraId="3D65158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（3）其他扣留方式： </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1B688B24">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关于质量保证金的补充约定：</w:t>
      </w:r>
      <w:r>
        <w:rPr>
          <w:rFonts w:hint="eastAsia" w:ascii="楷体" w:hAnsi="楷体" w:eastAsia="楷体" w:cs="楷体"/>
          <w:color w:val="auto"/>
          <w:szCs w:val="21"/>
          <w:u w:val="single"/>
        </w:rPr>
        <w:t xml:space="preserve">  /  </w:t>
      </w:r>
      <w:r>
        <w:rPr>
          <w:rFonts w:hint="eastAsia" w:ascii="楷体" w:hAnsi="楷体" w:eastAsia="楷体" w:cs="楷体"/>
          <w:color w:val="auto"/>
          <w:szCs w:val="21"/>
        </w:rPr>
        <w:t>。</w:t>
      </w:r>
    </w:p>
    <w:p w14:paraId="16ADADD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15.4保修</w:t>
      </w:r>
    </w:p>
    <w:p w14:paraId="5AE5C4A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15.4.1 保修责任</w:t>
      </w:r>
    </w:p>
    <w:p w14:paraId="24FF570B">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工程保修期为：</w:t>
      </w:r>
      <w:r>
        <w:rPr>
          <w:rFonts w:hint="eastAsia" w:ascii="楷体" w:hAnsi="楷体" w:eastAsia="楷体" w:cs="楷体"/>
          <w:color w:val="auto"/>
          <w:szCs w:val="21"/>
          <w:u w:val="single"/>
        </w:rPr>
        <w:t>见双方签订的本工程保修合同（附件 1）</w:t>
      </w:r>
      <w:r>
        <w:rPr>
          <w:rFonts w:hint="eastAsia" w:ascii="楷体" w:hAnsi="楷体" w:eastAsia="楷体" w:cs="楷体"/>
          <w:color w:val="auto"/>
          <w:szCs w:val="21"/>
        </w:rPr>
        <w:t xml:space="preserve"> 。</w:t>
      </w:r>
    </w:p>
    <w:p w14:paraId="31824EB4">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15.4.3 修复通知</w:t>
      </w:r>
    </w:p>
    <w:p w14:paraId="1570A534">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承包人收到保修通知并到达工程现场的合理时间：</w:t>
      </w:r>
      <w:r>
        <w:rPr>
          <w:rFonts w:hint="eastAsia" w:ascii="楷体" w:hAnsi="楷体" w:eastAsia="楷体" w:cs="楷体"/>
          <w:color w:val="auto"/>
          <w:szCs w:val="21"/>
          <w:u w:val="single"/>
        </w:rPr>
        <w:t>24 小时内</w:t>
      </w:r>
      <w:r>
        <w:rPr>
          <w:rFonts w:hint="eastAsia" w:ascii="楷体" w:hAnsi="楷体" w:eastAsia="楷体" w:cs="楷体"/>
          <w:color w:val="auto"/>
          <w:szCs w:val="21"/>
        </w:rPr>
        <w:t>。</w:t>
      </w:r>
    </w:p>
    <w:p w14:paraId="275AA9E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 违约</w:t>
      </w:r>
    </w:p>
    <w:p w14:paraId="728C00B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16.1 发包人违约</w:t>
      </w:r>
    </w:p>
    <w:p w14:paraId="6EA805AB">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16.1.1发包人违约的情形</w:t>
      </w:r>
    </w:p>
    <w:p w14:paraId="183D98E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发包人违约的其他情形：</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4477BE41">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16.1.2 发包人违约的责任</w:t>
      </w:r>
    </w:p>
    <w:p w14:paraId="7FADF8B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发包人违约责任的承担方式和计算方法：</w:t>
      </w:r>
    </w:p>
    <w:p w14:paraId="24680A6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（1）因发包人原因未能在计划开工日期前7天内下达开工通知的违约责任：</w:t>
      </w:r>
      <w:r>
        <w:rPr>
          <w:rFonts w:hint="eastAsia" w:ascii="楷体" w:hAnsi="楷体" w:eastAsia="楷体" w:cs="楷体"/>
          <w:color w:val="auto"/>
          <w:szCs w:val="21"/>
          <w:u w:val="single"/>
        </w:rPr>
        <w:t>工期不顺延</w:t>
      </w:r>
      <w:r>
        <w:rPr>
          <w:rFonts w:hint="eastAsia" w:ascii="楷体" w:hAnsi="楷体" w:eastAsia="楷体" w:cs="楷体"/>
          <w:color w:val="auto"/>
          <w:szCs w:val="21"/>
        </w:rPr>
        <w:t>。</w:t>
      </w:r>
    </w:p>
    <w:p w14:paraId="0AF4A0D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（2）因发包人原因未能按合同约定支付合同价款的违约责任：</w:t>
      </w:r>
      <w:r>
        <w:rPr>
          <w:rFonts w:hint="eastAsia" w:ascii="楷体" w:hAnsi="楷体" w:eastAsia="楷体" w:cs="楷体"/>
          <w:color w:val="auto"/>
          <w:szCs w:val="21"/>
          <w:u w:val="single"/>
        </w:rPr>
        <w:t xml:space="preserve">无违约责任 </w:t>
      </w:r>
      <w:r>
        <w:rPr>
          <w:rFonts w:hint="eastAsia" w:ascii="楷体" w:hAnsi="楷体" w:eastAsia="楷体" w:cs="楷体"/>
          <w:color w:val="auto"/>
          <w:szCs w:val="21"/>
        </w:rPr>
        <w:t>。</w:t>
      </w:r>
    </w:p>
    <w:p w14:paraId="48237AF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（3）发包人违反第10.1款〔变更的范围〕第（2）项约定，自行实施被取消的工作或转由他人实施的违约责任：</w:t>
      </w:r>
      <w:r>
        <w:rPr>
          <w:rFonts w:hint="eastAsia" w:ascii="楷体" w:hAnsi="楷体" w:eastAsia="楷体" w:cs="楷体"/>
          <w:color w:val="auto"/>
          <w:szCs w:val="21"/>
          <w:u w:val="single"/>
        </w:rPr>
        <w:t>无违约责任</w:t>
      </w:r>
      <w:r>
        <w:rPr>
          <w:rFonts w:hint="eastAsia" w:ascii="楷体" w:hAnsi="楷体" w:eastAsia="楷体" w:cs="楷体"/>
          <w:color w:val="auto"/>
          <w:szCs w:val="21"/>
        </w:rPr>
        <w:t>。</w:t>
      </w:r>
    </w:p>
    <w:p w14:paraId="74375F0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（4）发包人提供的材料、工程设备的规格、数量或质量不符合合同约定，或因发包人原因导致交货日期延误或交货地点变更等情况的违约责任：</w:t>
      </w:r>
      <w:r>
        <w:rPr>
          <w:rFonts w:hint="eastAsia" w:ascii="楷体" w:hAnsi="楷体" w:eastAsia="楷体" w:cs="楷体"/>
          <w:color w:val="auto"/>
          <w:szCs w:val="21"/>
          <w:u w:val="single"/>
        </w:rPr>
        <w:t>工期不顺延</w:t>
      </w:r>
      <w:r>
        <w:rPr>
          <w:rFonts w:hint="eastAsia" w:ascii="楷体" w:hAnsi="楷体" w:eastAsia="楷体" w:cs="楷体"/>
          <w:color w:val="auto"/>
          <w:szCs w:val="21"/>
        </w:rPr>
        <w:t>。</w:t>
      </w:r>
    </w:p>
    <w:p w14:paraId="1F9E6E8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（5）因发包人违反合同约定造成暂停施工的违约责任：</w:t>
      </w:r>
      <w:r>
        <w:rPr>
          <w:rFonts w:hint="eastAsia" w:ascii="楷体" w:hAnsi="楷体" w:eastAsia="楷体" w:cs="楷体"/>
          <w:color w:val="auto"/>
          <w:szCs w:val="21"/>
          <w:u w:val="single"/>
        </w:rPr>
        <w:t>顺延工期</w:t>
      </w:r>
      <w:r>
        <w:rPr>
          <w:rFonts w:hint="eastAsia" w:ascii="楷体" w:hAnsi="楷体" w:eastAsia="楷体" w:cs="楷体"/>
          <w:color w:val="auto"/>
          <w:szCs w:val="21"/>
        </w:rPr>
        <w:t>。</w:t>
      </w:r>
    </w:p>
    <w:p w14:paraId="479DDC6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（6）发包人无正当理由没有在约定期限内发出复工指示，导致承包人无法复工的违约责任：</w:t>
      </w:r>
      <w:r>
        <w:rPr>
          <w:rFonts w:hint="eastAsia" w:ascii="楷体" w:hAnsi="楷体" w:eastAsia="楷体" w:cs="楷体"/>
          <w:color w:val="auto"/>
          <w:szCs w:val="21"/>
          <w:u w:val="single"/>
        </w:rPr>
        <w:t>顺延工期</w:t>
      </w:r>
      <w:r>
        <w:rPr>
          <w:rFonts w:hint="eastAsia" w:ascii="楷体" w:hAnsi="楷体" w:eastAsia="楷体" w:cs="楷体"/>
          <w:color w:val="auto"/>
          <w:szCs w:val="21"/>
        </w:rPr>
        <w:t xml:space="preserve"> 。</w:t>
      </w:r>
    </w:p>
    <w:p w14:paraId="3D6E97E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（7）其他：</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66E0910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16.1.3 因发包人违约解除合同</w:t>
      </w:r>
    </w:p>
    <w:p w14:paraId="22DB0AB4">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除法律规定外，承包人不得因发包人违约而单方面解除合同。</w:t>
      </w:r>
    </w:p>
    <w:p w14:paraId="3C6E335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16.2 承包人违约</w:t>
      </w:r>
    </w:p>
    <w:p w14:paraId="4A3A986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16.2.1 承包人违约的情形</w:t>
      </w:r>
    </w:p>
    <w:p w14:paraId="2B607D8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承包人违约的其他情形：</w:t>
      </w:r>
    </w:p>
    <w:p w14:paraId="0A327489">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1）在发包人日常施工管理中、长沙经开区质安监或政府行政主管部门组织的质量、安全文明施工检查中，项目被发现存在严重质量、安全隐患或严重的文明施工问题的，或被新闻媒体曝光上述问题的，承包人须向发包人支付20000元/次的违约金，如累计出现三次或以上，承包人除承担前述违约金外，发包人有权单方面解除合同，发包人的其他一切损失均由承包人承担。</w:t>
      </w:r>
    </w:p>
    <w:p w14:paraId="5AAF64F4">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2）在建设行政主管部门现场质量、安全监督机构对项目的例行检查中发现存在质量、安全文明施工问题，下发了整改通知单的，承包人须向发包人支付2000元/次的违约金并立即整改合格，承包人未在规定时间内对质量或安全整改通知单进行回复或整改的，承包人须向发包人支付5000元/次的违约金并立即整改合格，下发了停工通知单、不良行为记录或告知的，承包人须向发包人支付5000元/次的违约金并立即整改合格，未及时整改合格的，承包人须向发包人支付5000元/次的违约金。上述情形造成工期延误的，工期不顺延，其他一切损失均由承包人承担。</w:t>
      </w:r>
    </w:p>
    <w:p w14:paraId="299E39F5">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3）发包人在日常施工管理中发现承包人管理人员或施工班组不能达到项目进度、安全及质量要求的，承包人须在接到发包人书面通知后，在7个日历天之内无条件对不合格管理人员或施工班组进行更换，否则承包人须向发包人支付5000元/天的违约金。</w:t>
      </w:r>
    </w:p>
    <w:p w14:paraId="559B5E87">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4）承包人必须按设计、规范及城建档案馆的要求进行资料的编制、整理（甲指分包的资料由分包单位负责整理交总包，再由总包统一归总报送）。所有资料需与工程实体进度同步，发包人、监理人发现资料与实体进度不同步，承包人须向发包人支付1000元/次的违约金并立即整改合格，如累计出现五次或以上，从第五次起承包人须向发包人支付2000元/次的违约金，并更换不符合要求的资料管理人员，耽误工期及其他一切损失均由承包人承担。逾期整改的，按2000元/次向发包人支付违约金。</w:t>
      </w:r>
    </w:p>
    <w:p w14:paraId="77CA04CD">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5）工程资料必须与实体相符，相关岗位人员须本人签字，严禁代签。发包人、监理人发现资料与实体不符或代签现象，承包人须向发包人支付1000元/次的违约金并立即整改合格，如累计出现三次或以上，从第三次起承包人须向发包人支付2000元/次的违约金，并向建设行政主管部门上报不良行为记录，耽误工期及其他一切损失均由承包人承担。</w:t>
      </w:r>
    </w:p>
    <w:p w14:paraId="3A367987">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（6）承包人在施工过程中须无条件配合发包人对自身企业文化的宣传，为发包人在外架和其他显眼位置制作及安装标识系统，具体费用在清单中单列或现场洽商。</w:t>
      </w:r>
    </w:p>
    <w:p w14:paraId="1D4D5CE8">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（7）承包人在施工过程中现场进度、质量、文明施工等难以达到发包人要求的，发包人有权采取措施，委派具备能力的班组和人员进场施工，承包人须无条件配合，且由承包人承担实际发生的费用。</w:t>
      </w:r>
    </w:p>
    <w:p w14:paraId="5C374059">
      <w:pPr>
        <w:snapToGrid w:val="0"/>
        <w:spacing w:line="360" w:lineRule="exact"/>
        <w:ind w:firstLine="428" w:firstLineChars="200"/>
        <w:rPr>
          <w:rFonts w:ascii="楷体" w:hAnsi="楷体" w:eastAsia="楷体" w:cs="楷体"/>
          <w:color w:val="auto"/>
          <w:spacing w:val="5"/>
          <w:w w:val="101"/>
          <w:szCs w:val="21"/>
          <w:u w:val="single"/>
        </w:rPr>
      </w:pPr>
      <w:r>
        <w:rPr>
          <w:rFonts w:hint="eastAsia" w:ascii="楷体" w:hAnsi="楷体" w:eastAsia="楷体" w:cs="楷体"/>
          <w:color w:val="auto"/>
          <w:spacing w:val="5"/>
          <w:w w:val="101"/>
          <w:szCs w:val="21"/>
          <w:u w:val="single"/>
        </w:rPr>
        <w:t>（8）承包人须严格按照发包人要求进行材料与设备的采购，采购之前须征得发包人书面同意。如有未征得发包人书面同意擅自组织材料设备进场的视为承包人违约，承包人须无条件对材料设备进行退场处理，且承包人须向发包人支付2000元/次的违约金，如累计出现两次或以上，从第二次起承包人须向发包人支付5000元/次的违约金，并向建设行政主管部门上报不良行为记录，耽误工期及其他一切损失均由承包人承担。</w:t>
      </w:r>
    </w:p>
    <w:p w14:paraId="4B1DD2EB">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16.2.2承包人违约的责任</w:t>
      </w:r>
    </w:p>
    <w:p w14:paraId="7CADFCB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承包人违约责任的承担方式和计算方法：</w:t>
      </w:r>
      <w:r>
        <w:rPr>
          <w:rFonts w:hint="eastAsia" w:ascii="楷体" w:hAnsi="楷体" w:eastAsia="楷体" w:cs="楷体"/>
          <w:color w:val="auto"/>
          <w:szCs w:val="21"/>
          <w:u w:val="single"/>
        </w:rPr>
        <w:t>包括违约金、延期支付进度款、解除合同等承担方式。按本合同约定应由承包人承担违约金、赔偿金或其他款项，经发包人确认，可直接在工程进度款或履约保证金中等额扣除。</w:t>
      </w:r>
      <w:r>
        <w:rPr>
          <w:rFonts w:hint="eastAsia" w:ascii="楷体" w:hAnsi="楷体" w:eastAsia="楷体" w:cs="楷体"/>
          <w:color w:val="auto"/>
          <w:szCs w:val="21"/>
        </w:rPr>
        <w:t xml:space="preserve">    </w:t>
      </w:r>
    </w:p>
    <w:p w14:paraId="66983761">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16.2.3 因承包人违约解除合同</w:t>
      </w:r>
    </w:p>
    <w:p w14:paraId="364348F8">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 除本合同另有约定外，承包人违约发包人解除合同的其他情形：</w:t>
      </w:r>
    </w:p>
    <w:p w14:paraId="2C48FACA">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（1）</w:t>
      </w:r>
      <w:r>
        <w:rPr>
          <w:rFonts w:hint="eastAsia" w:ascii="楷体" w:hAnsi="楷体" w:eastAsia="楷体" w:cs="楷体"/>
          <w:color w:val="auto"/>
          <w:szCs w:val="21"/>
          <w:u w:val="single"/>
        </w:rPr>
        <w:t>承包人明确表示或以其行为表明不履行合同主要义务的；</w:t>
      </w:r>
    </w:p>
    <w:p w14:paraId="413154CF">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（2）</w:t>
      </w:r>
      <w:r>
        <w:rPr>
          <w:rFonts w:hint="eastAsia" w:ascii="楷体" w:hAnsi="楷体" w:eastAsia="楷体" w:cs="楷体"/>
          <w:color w:val="auto"/>
          <w:szCs w:val="21"/>
          <w:u w:val="single"/>
        </w:rPr>
        <w:t>承包人违法转包的；</w:t>
      </w:r>
    </w:p>
    <w:p w14:paraId="4B22BE2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w:t>
      </w:r>
      <w:r>
        <w:rPr>
          <w:rFonts w:hint="eastAsia" w:ascii="楷体" w:hAnsi="楷体" w:eastAsia="楷体" w:cs="楷体"/>
          <w:color w:val="auto"/>
          <w:szCs w:val="21"/>
          <w:u w:val="single"/>
        </w:rPr>
        <w:t>承包人的违约行为产生的违约金累计达到合同金额的10%的。</w:t>
      </w:r>
    </w:p>
    <w:p w14:paraId="2F541B36">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发包人继续使用承包人在施工现场的材料、设备、临时工程、承包人文件和由承包人或以其名义编制的其他文件的费用承担方式：</w:t>
      </w:r>
      <w:r>
        <w:rPr>
          <w:rFonts w:hint="eastAsia" w:ascii="楷体" w:hAnsi="楷体" w:eastAsia="楷体" w:cs="楷体"/>
          <w:color w:val="auto"/>
          <w:szCs w:val="21"/>
          <w:u w:val="single"/>
        </w:rPr>
        <w:t>双方协商确定</w:t>
      </w:r>
      <w:r>
        <w:rPr>
          <w:rFonts w:hint="eastAsia" w:ascii="楷体" w:hAnsi="楷体" w:eastAsia="楷体" w:cs="楷体"/>
          <w:color w:val="auto"/>
          <w:szCs w:val="21"/>
        </w:rPr>
        <w:t>。</w:t>
      </w:r>
    </w:p>
    <w:p w14:paraId="6E14EB1F">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 xml:space="preserve">17. 不可抗力 </w:t>
      </w:r>
    </w:p>
    <w:p w14:paraId="4DE74C3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17.1 不可抗力的确认</w:t>
      </w:r>
    </w:p>
    <w:p w14:paraId="6A37CC1F">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除通用合同条款约定的不可抗力事件之外，视为不可抗力的其他情形：</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51CDAE7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17.4 因不可抗力解除合同</w:t>
      </w:r>
    </w:p>
    <w:p w14:paraId="1932DA67">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合同解除后，发包人应在商定或确定发包人应支付款项后</w:t>
      </w:r>
      <w:r>
        <w:rPr>
          <w:rFonts w:hint="eastAsia" w:ascii="楷体" w:hAnsi="楷体" w:eastAsia="楷体" w:cs="楷体"/>
          <w:color w:val="auto"/>
          <w:szCs w:val="21"/>
          <w:u w:val="single"/>
        </w:rPr>
        <w:t>28</w:t>
      </w:r>
      <w:r>
        <w:rPr>
          <w:rFonts w:hint="eastAsia" w:ascii="楷体" w:hAnsi="楷体" w:eastAsia="楷体" w:cs="楷体"/>
          <w:color w:val="auto"/>
          <w:szCs w:val="21"/>
        </w:rPr>
        <w:t>天内完成款项的支付。</w:t>
      </w:r>
    </w:p>
    <w:p w14:paraId="326CFC3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18. 保险</w:t>
      </w:r>
    </w:p>
    <w:p w14:paraId="6FA3C192">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18.1 工程保险</w:t>
      </w:r>
    </w:p>
    <w:p w14:paraId="7EFA556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关于工程保险的特别约定：</w:t>
      </w:r>
      <w:r>
        <w:rPr>
          <w:rFonts w:hint="eastAsia" w:ascii="楷体" w:hAnsi="楷体" w:eastAsia="楷体" w:cs="楷体"/>
          <w:color w:val="auto"/>
          <w:szCs w:val="21"/>
          <w:u w:val="single"/>
        </w:rPr>
        <w:t>无</w:t>
      </w:r>
      <w:r>
        <w:rPr>
          <w:rFonts w:hint="eastAsia" w:ascii="楷体" w:hAnsi="楷体" w:eastAsia="楷体" w:cs="楷体"/>
          <w:color w:val="auto"/>
          <w:szCs w:val="21"/>
        </w:rPr>
        <w:t>。</w:t>
      </w:r>
    </w:p>
    <w:p w14:paraId="4EA9198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18.3 其他保险</w:t>
      </w:r>
    </w:p>
    <w:p w14:paraId="3706ABB1">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关于其他保险的约定：承包人应为施工人员购买工伤意外险，特种作业人员保险赔付额度不得低于200万元/人，一般普通施工作业人员保险赔付额度不得低于100万元/人；</w:t>
      </w:r>
      <w:r>
        <w:rPr>
          <w:rFonts w:hint="eastAsia" w:ascii="楷体" w:hAnsi="楷体" w:eastAsia="楷体" w:cs="楷体"/>
          <w:color w:val="auto"/>
          <w:szCs w:val="21"/>
          <w:u w:val="single"/>
        </w:rPr>
        <w:t>承包人未给施工人员办理工伤意外责任保险，如发生施工人员伤亡事故的，由承包人承担全部经济赔偿责任。</w:t>
      </w:r>
    </w:p>
    <w:p w14:paraId="5D4D66A0">
      <w:pPr>
        <w:snapToGrid w:val="0"/>
        <w:spacing w:line="360" w:lineRule="exact"/>
        <w:ind w:firstLine="404" w:firstLineChars="200"/>
        <w:rPr>
          <w:rFonts w:ascii="楷体" w:hAnsi="楷体" w:eastAsia="楷体" w:cs="楷体"/>
          <w:color w:val="auto"/>
          <w:szCs w:val="21"/>
          <w:u w:val="single"/>
        </w:rPr>
      </w:pPr>
      <w:r>
        <w:rPr>
          <w:rFonts w:hint="eastAsia" w:ascii="楷体" w:hAnsi="楷体" w:eastAsia="楷体" w:cs="楷体"/>
          <w:color w:val="auto"/>
          <w:szCs w:val="21"/>
        </w:rPr>
        <w:t>承包人是否应为其施工设备等办理财产保险：</w:t>
      </w:r>
      <w:r>
        <w:rPr>
          <w:rFonts w:hint="eastAsia" w:ascii="楷体" w:hAnsi="楷体" w:eastAsia="楷体" w:cs="楷体"/>
          <w:color w:val="auto"/>
          <w:szCs w:val="21"/>
          <w:u w:val="single"/>
        </w:rPr>
        <w:t>承包人须为其施工设备等办理财产保险。如未办理，由承包人承担全部经济赔偿责任。</w:t>
      </w:r>
    </w:p>
    <w:p w14:paraId="7D7A0893">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施工现场，非发包人原因导致发生的一切人员伤亡事故和财产损害事件，均与发包人无关。</w:t>
      </w:r>
    </w:p>
    <w:p w14:paraId="24F37F20">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18.7 通知义务</w:t>
      </w:r>
    </w:p>
    <w:p w14:paraId="12C2746E">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关于变更保险合同时的通知义务的约定</w:t>
      </w:r>
      <w:r>
        <w:rPr>
          <w:rFonts w:hint="eastAsia" w:ascii="楷体" w:hAnsi="楷体" w:eastAsia="楷体" w:cs="楷体"/>
          <w:color w:val="auto"/>
          <w:szCs w:val="21"/>
          <w:u w:val="single"/>
        </w:rPr>
        <w:t>：无</w:t>
      </w:r>
      <w:r>
        <w:rPr>
          <w:rFonts w:hint="eastAsia" w:ascii="楷体" w:hAnsi="楷体" w:eastAsia="楷体" w:cs="楷体"/>
          <w:color w:val="auto"/>
          <w:szCs w:val="21"/>
        </w:rPr>
        <w:t xml:space="preserve"> 。</w:t>
      </w:r>
    </w:p>
    <w:p w14:paraId="5C53E8B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20. 争议解决</w:t>
      </w:r>
    </w:p>
    <w:p w14:paraId="2E539B59">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20.3 争议评审</w:t>
      </w:r>
    </w:p>
    <w:p w14:paraId="2DB50AC1">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合同当事人是否同意将工程争议提交争议评审小组决定：</w:t>
      </w:r>
      <w:r>
        <w:rPr>
          <w:rFonts w:hint="eastAsia" w:ascii="楷体" w:hAnsi="楷体" w:eastAsia="楷体" w:cs="楷体"/>
          <w:color w:val="auto"/>
          <w:szCs w:val="21"/>
          <w:u w:val="single"/>
        </w:rPr>
        <w:t>否</w:t>
      </w:r>
      <w:r>
        <w:rPr>
          <w:rFonts w:hint="eastAsia" w:ascii="楷体" w:hAnsi="楷体" w:eastAsia="楷体" w:cs="楷体"/>
          <w:color w:val="auto"/>
          <w:szCs w:val="21"/>
        </w:rPr>
        <w:t xml:space="preserve">。  </w:t>
      </w:r>
    </w:p>
    <w:p w14:paraId="1D56202D">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20.4仲裁或诉讼</w:t>
      </w:r>
    </w:p>
    <w:p w14:paraId="50E65A6C">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因合同及合同有关事项发生的争议，争议经协商，委托检测、鉴定、审核、申请调解未能达成一致意见或不委托检测、鉴定、审核，也不申请调解的，</w:t>
      </w:r>
      <w:r>
        <w:rPr>
          <w:rFonts w:hint="eastAsia" w:ascii="楷体" w:hAnsi="楷体" w:eastAsia="楷体" w:cs="楷体"/>
          <w:color w:val="auto"/>
          <w:szCs w:val="21"/>
          <w:u w:val="single"/>
        </w:rPr>
        <w:t>向工程所在地有管辖权的人民法院提起诉讼。</w:t>
      </w:r>
    </w:p>
    <w:p w14:paraId="30D272FE">
      <w:pPr>
        <w:snapToGrid w:val="0"/>
        <w:spacing w:line="360" w:lineRule="exact"/>
        <w:ind w:firstLine="404" w:firstLineChars="200"/>
        <w:rPr>
          <w:rFonts w:ascii="楷体" w:hAnsi="楷体" w:eastAsia="楷体" w:cs="楷体"/>
          <w:color w:val="auto"/>
          <w:szCs w:val="21"/>
        </w:rPr>
      </w:pPr>
    </w:p>
    <w:p w14:paraId="532C0AB0">
      <w:pPr>
        <w:snapToGrid w:val="0"/>
        <w:spacing w:line="360" w:lineRule="exact"/>
        <w:ind w:firstLine="404" w:firstLineChars="200"/>
        <w:rPr>
          <w:rFonts w:ascii="楷体" w:hAnsi="楷体" w:eastAsia="楷体" w:cs="楷体"/>
          <w:color w:val="auto"/>
          <w:szCs w:val="21"/>
        </w:rPr>
      </w:pPr>
    </w:p>
    <w:p w14:paraId="4F72C78A">
      <w:pPr>
        <w:snapToGrid w:val="0"/>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（以下无正文）</w:t>
      </w:r>
    </w:p>
    <w:p w14:paraId="570F2479">
      <w:pPr>
        <w:snapToGrid w:val="0"/>
        <w:spacing w:line="360" w:lineRule="exact"/>
        <w:ind w:firstLine="404" w:firstLineChars="200"/>
        <w:rPr>
          <w:rFonts w:ascii="楷体" w:hAnsi="楷体" w:eastAsia="楷体" w:cs="楷体"/>
          <w:color w:val="auto"/>
          <w:szCs w:val="21"/>
        </w:rPr>
      </w:pPr>
    </w:p>
    <w:p w14:paraId="25D9B3BD">
      <w:pPr>
        <w:spacing w:line="360" w:lineRule="exact"/>
        <w:rPr>
          <w:rFonts w:ascii="楷体" w:hAnsi="楷体" w:eastAsia="楷体" w:cs="楷体"/>
          <w:color w:val="auto"/>
          <w:szCs w:val="21"/>
        </w:rPr>
      </w:pPr>
      <w:r>
        <w:rPr>
          <w:rFonts w:hint="eastAsia" w:ascii="楷体" w:hAnsi="楷体" w:eastAsia="楷体" w:cs="楷体"/>
          <w:color w:val="auto"/>
          <w:szCs w:val="21"/>
        </w:rPr>
        <w:t>合同附件：</w:t>
      </w:r>
    </w:p>
    <w:p w14:paraId="7C3C5188">
      <w:pPr>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附件 1：工程质量保修书</w:t>
      </w:r>
    </w:p>
    <w:p w14:paraId="4FA7B362">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附件 2：建筑施工安全管理协议书 </w:t>
      </w:r>
    </w:p>
    <w:p w14:paraId="2E08D477">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附件 3：施工现场质量、安全文明施工管理规定 </w:t>
      </w:r>
    </w:p>
    <w:p w14:paraId="1C9AE36F">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附件 4：廉洁协议</w:t>
      </w:r>
    </w:p>
    <w:p w14:paraId="50D8ED9C">
      <w:pPr>
        <w:spacing w:line="360" w:lineRule="exact"/>
        <w:jc w:val="left"/>
        <w:outlineLvl w:val="1"/>
        <w:rPr>
          <w:rFonts w:ascii="楷体" w:hAnsi="楷体" w:eastAsia="楷体" w:cs="楷体"/>
          <w:b/>
          <w:bCs/>
          <w:color w:val="auto"/>
          <w:szCs w:val="21"/>
        </w:rPr>
      </w:pPr>
      <w:r>
        <w:rPr>
          <w:rFonts w:hint="eastAsia" w:ascii="楷体" w:hAnsi="楷体" w:eastAsia="楷体" w:cs="楷体"/>
          <w:color w:val="auto"/>
          <w:szCs w:val="21"/>
        </w:rPr>
        <w:br w:type="page"/>
      </w:r>
      <w:bookmarkStart w:id="31" w:name="_Toc129722989"/>
      <w:bookmarkStart w:id="32" w:name="_Toc129857020"/>
      <w:bookmarkStart w:id="33" w:name="_Toc11035"/>
      <w:r>
        <w:rPr>
          <w:rFonts w:hint="eastAsia" w:ascii="楷体" w:hAnsi="楷体" w:eastAsia="楷体" w:cs="楷体"/>
          <w:b/>
          <w:bCs/>
          <w:color w:val="auto"/>
          <w:szCs w:val="21"/>
        </w:rPr>
        <w:t>附件1</w:t>
      </w:r>
      <w:bookmarkEnd w:id="31"/>
      <w:bookmarkEnd w:id="32"/>
      <w:bookmarkEnd w:id="33"/>
    </w:p>
    <w:p w14:paraId="2028430D">
      <w:pPr>
        <w:spacing w:line="360" w:lineRule="exact"/>
        <w:ind w:firstLine="624" w:firstLineChars="200"/>
        <w:jc w:val="center"/>
        <w:rPr>
          <w:rFonts w:ascii="楷体" w:hAnsi="楷体" w:eastAsia="楷体" w:cs="楷体"/>
          <w:color w:val="auto"/>
          <w:sz w:val="32"/>
          <w:szCs w:val="32"/>
        </w:rPr>
      </w:pPr>
      <w:bookmarkStart w:id="34" w:name="_Toc27130861"/>
      <w:bookmarkStart w:id="35" w:name="_Toc129722990"/>
      <w:bookmarkStart w:id="36" w:name="_Toc129857021"/>
      <w:r>
        <w:rPr>
          <w:rFonts w:hint="eastAsia" w:ascii="楷体" w:hAnsi="楷体" w:eastAsia="楷体" w:cs="楷体"/>
          <w:b/>
          <w:color w:val="auto"/>
          <w:sz w:val="32"/>
          <w:szCs w:val="32"/>
        </w:rPr>
        <w:t>工程质量保修书</w:t>
      </w:r>
      <w:bookmarkEnd w:id="34"/>
      <w:bookmarkEnd w:id="35"/>
      <w:bookmarkEnd w:id="36"/>
    </w:p>
    <w:p w14:paraId="56C28B34">
      <w:pPr>
        <w:spacing w:line="360" w:lineRule="exact"/>
        <w:jc w:val="left"/>
        <w:rPr>
          <w:rFonts w:ascii="楷体" w:hAnsi="楷体" w:eastAsia="楷体" w:cs="楷体"/>
          <w:b/>
          <w:color w:val="auto"/>
          <w:szCs w:val="21"/>
        </w:rPr>
      </w:pPr>
      <w:r>
        <w:rPr>
          <w:rFonts w:hint="eastAsia" w:ascii="楷体" w:hAnsi="楷体" w:eastAsia="楷体" w:cs="楷体"/>
          <w:color w:val="auto"/>
          <w:szCs w:val="21"/>
        </w:rPr>
        <w:t>发包人（全称）：</w:t>
      </w:r>
      <w:r>
        <w:rPr>
          <w:rFonts w:hint="eastAsia" w:ascii="楷体" w:hAnsi="楷体" w:eastAsia="楷体" w:cs="楷体"/>
          <w:b/>
          <w:color w:val="auto"/>
          <w:szCs w:val="21"/>
          <w:u w:val="single"/>
        </w:rPr>
        <w:t>湖南东方数智能源投资有限公司</w:t>
      </w:r>
    </w:p>
    <w:p w14:paraId="09F25AEC">
      <w:pPr>
        <w:tabs>
          <w:tab w:val="left" w:pos="5803"/>
        </w:tabs>
        <w:spacing w:line="360" w:lineRule="exact"/>
        <w:jc w:val="left"/>
        <w:rPr>
          <w:rFonts w:ascii="楷体" w:hAnsi="楷体" w:eastAsia="楷体" w:cs="楷体"/>
          <w:b/>
          <w:color w:val="auto"/>
          <w:szCs w:val="21"/>
        </w:rPr>
      </w:pPr>
      <w:r>
        <w:rPr>
          <w:rFonts w:hint="eastAsia" w:ascii="楷体" w:hAnsi="楷体" w:eastAsia="楷体" w:cs="楷体"/>
          <w:bCs/>
          <w:color w:val="auto"/>
          <w:szCs w:val="21"/>
        </w:rPr>
        <w:t>承包人（全称)</w:t>
      </w:r>
      <w:r>
        <w:rPr>
          <w:rFonts w:hint="eastAsia" w:ascii="楷体" w:hAnsi="楷体" w:eastAsia="楷体" w:cs="楷体"/>
          <w:b/>
          <w:color w:val="auto"/>
          <w:szCs w:val="21"/>
        </w:rPr>
        <w:t>：</w:t>
      </w:r>
      <w:r>
        <w:rPr>
          <w:rFonts w:hint="eastAsia" w:ascii="楷体" w:hAnsi="楷体" w:eastAsia="楷体" w:cs="楷体"/>
          <w:b/>
          <w:color w:val="auto"/>
          <w:szCs w:val="21"/>
          <w:u w:val="single"/>
        </w:rPr>
        <w:t xml:space="preserve">                              </w:t>
      </w:r>
    </w:p>
    <w:p w14:paraId="08796D23">
      <w:pPr>
        <w:autoSpaceDE w:val="0"/>
        <w:autoSpaceDN w:val="0"/>
        <w:spacing w:line="360" w:lineRule="exact"/>
        <w:ind w:left="3636" w:leftChars="200" w:hanging="3232" w:hangingChars="1600"/>
        <w:jc w:val="left"/>
        <w:rPr>
          <w:rFonts w:ascii="楷体" w:hAnsi="楷体" w:eastAsia="楷体" w:cs="楷体"/>
          <w:color w:val="auto"/>
          <w:szCs w:val="21"/>
          <w:u w:val="single"/>
        </w:rPr>
      </w:pPr>
      <w:r>
        <w:rPr>
          <w:rFonts w:hint="eastAsia" w:ascii="楷体" w:hAnsi="楷体" w:eastAsia="楷体" w:cs="楷体"/>
          <w:color w:val="auto"/>
          <w:szCs w:val="21"/>
        </w:rPr>
        <w:t>发包人和承包人根据《中华人民共和国建筑法》和《建设工程质量管理条例》，经协商一致就</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 xml:space="preserve">      </w:t>
      </w:r>
      <w:r>
        <w:rPr>
          <w:rFonts w:hint="eastAsia" w:ascii="楷体" w:hAnsi="楷体" w:eastAsia="楷体" w:cs="楷体"/>
          <w:color w:val="auto"/>
          <w:kern w:val="2"/>
          <w:szCs w:val="21"/>
          <w:u w:val="single"/>
        </w:rPr>
        <w:t xml:space="preserve">    </w:t>
      </w:r>
      <w:r>
        <w:rPr>
          <w:rFonts w:hint="eastAsia" w:ascii="楷体" w:hAnsi="楷体" w:eastAsia="楷体" w:cs="楷体"/>
          <w:color w:val="auto"/>
          <w:szCs w:val="21"/>
        </w:rPr>
        <w:t>项目签订工程质量保修书。</w:t>
      </w:r>
    </w:p>
    <w:p w14:paraId="67AB4BEC">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一、工程质量保修范围和内容</w:t>
      </w:r>
    </w:p>
    <w:p w14:paraId="2E618E7A">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质量保修范围包括合同及施工图纸所包括的工程。具体质量保修内容约定如下：</w:t>
      </w:r>
      <w:r>
        <w:rPr>
          <w:rFonts w:hint="eastAsia" w:ascii="楷体" w:hAnsi="楷体" w:eastAsia="楷体" w:cs="楷体"/>
          <w:color w:val="auto"/>
          <w:szCs w:val="21"/>
          <w:u w:val="single"/>
        </w:rPr>
        <w:t>在承包人承包范围内，属承包人责任造成的工程质量问题，由承包人承担保修责任；承包人分包的，承包人及分包人对发包人就分包部分的质量问题承担连带责任。</w:t>
      </w:r>
      <w:r>
        <w:rPr>
          <w:rFonts w:hint="eastAsia" w:ascii="楷体" w:hAnsi="楷体" w:eastAsia="楷体" w:cs="楷体"/>
          <w:color w:val="auto"/>
          <w:szCs w:val="21"/>
        </w:rPr>
        <w:t xml:space="preserve">                                                                 </w:t>
      </w:r>
    </w:p>
    <w:p w14:paraId="3E5E55A2">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二、质量保修期</w:t>
      </w:r>
    </w:p>
    <w:p w14:paraId="08EFBC80">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1．根据《建设工程质量管理条例》及有关规定，约定本工程的质量保修期如下：</w:t>
      </w:r>
    </w:p>
    <w:p w14:paraId="0696E670">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(1)地基基础工程和主体结构工程为设计文件规定的该工程合理使用年限；</w:t>
      </w:r>
    </w:p>
    <w:p w14:paraId="427B9DA5">
      <w:pPr>
        <w:autoSpaceDE w:val="0"/>
        <w:autoSpaceDN w:val="0"/>
        <w:spacing w:line="360" w:lineRule="exact"/>
        <w:ind w:firstLine="404" w:firstLineChars="200"/>
        <w:jc w:val="left"/>
        <w:rPr>
          <w:rFonts w:ascii="楷体" w:hAnsi="楷体" w:eastAsia="楷体" w:cs="楷体"/>
          <w:color w:val="auto"/>
          <w:kern w:val="2"/>
          <w:szCs w:val="21"/>
        </w:rPr>
      </w:pPr>
      <w:r>
        <w:rPr>
          <w:rFonts w:hint="eastAsia" w:ascii="楷体" w:hAnsi="楷体" w:eastAsia="楷体" w:cs="楷体"/>
          <w:color w:val="auto"/>
          <w:szCs w:val="21"/>
        </w:rPr>
        <w:t>(2)屋面防水工程、有防水要求的卫生间、房间和外墙面的防渗漏为</w:t>
      </w:r>
      <w:r>
        <w:rPr>
          <w:rFonts w:hint="eastAsia" w:ascii="楷体" w:hAnsi="楷体" w:eastAsia="楷体" w:cs="楷体"/>
          <w:color w:val="auto"/>
          <w:szCs w:val="21"/>
          <w:u w:val="single"/>
        </w:rPr>
        <w:t>5</w:t>
      </w:r>
      <w:r>
        <w:rPr>
          <w:rFonts w:hint="eastAsia" w:ascii="楷体" w:hAnsi="楷体" w:eastAsia="楷体" w:cs="楷体"/>
          <w:color w:val="auto"/>
          <w:szCs w:val="21"/>
        </w:rPr>
        <w:t>年</w:t>
      </w:r>
      <w:r>
        <w:rPr>
          <w:rFonts w:hint="eastAsia" w:ascii="楷体" w:hAnsi="楷体" w:eastAsia="楷体" w:cs="楷体"/>
          <w:color w:val="auto"/>
          <w:kern w:val="2"/>
          <w:szCs w:val="21"/>
        </w:rPr>
        <w:t>，且应满足《建筑与市政工程防水通用规范》GB55030-2022要求;</w:t>
      </w:r>
    </w:p>
    <w:p w14:paraId="61B3C34B">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(3)装修工程为</w:t>
      </w:r>
      <w:r>
        <w:rPr>
          <w:rFonts w:hint="eastAsia" w:ascii="楷体" w:hAnsi="楷体" w:eastAsia="楷体" w:cs="楷体"/>
          <w:color w:val="auto"/>
          <w:szCs w:val="21"/>
          <w:u w:val="single"/>
        </w:rPr>
        <w:t>2</w:t>
      </w:r>
      <w:r>
        <w:rPr>
          <w:rFonts w:hint="eastAsia" w:ascii="楷体" w:hAnsi="楷体" w:eastAsia="楷体" w:cs="楷体"/>
          <w:color w:val="auto"/>
          <w:szCs w:val="21"/>
        </w:rPr>
        <w:t>年；</w:t>
      </w:r>
    </w:p>
    <w:p w14:paraId="35946855">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(4)电气管线、给排水管道、设备安装工程为</w:t>
      </w:r>
      <w:r>
        <w:rPr>
          <w:rFonts w:hint="eastAsia" w:ascii="楷体" w:hAnsi="楷体" w:eastAsia="楷体" w:cs="楷体"/>
          <w:color w:val="auto"/>
          <w:szCs w:val="21"/>
          <w:u w:val="single"/>
        </w:rPr>
        <w:t>2</w:t>
      </w:r>
      <w:r>
        <w:rPr>
          <w:rFonts w:hint="eastAsia" w:ascii="楷体" w:hAnsi="楷体" w:eastAsia="楷体" w:cs="楷体"/>
          <w:color w:val="auto"/>
          <w:szCs w:val="21"/>
        </w:rPr>
        <w:t>年；</w:t>
      </w:r>
    </w:p>
    <w:p w14:paraId="4F677437">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(5)供热与供冷系统为</w:t>
      </w:r>
      <w:r>
        <w:rPr>
          <w:rFonts w:hint="eastAsia" w:ascii="楷体" w:hAnsi="楷体" w:eastAsia="楷体" w:cs="楷体"/>
          <w:color w:val="auto"/>
          <w:szCs w:val="21"/>
          <w:u w:val="single"/>
        </w:rPr>
        <w:t>2</w:t>
      </w:r>
      <w:r>
        <w:rPr>
          <w:rFonts w:hint="eastAsia" w:ascii="楷体" w:hAnsi="楷体" w:eastAsia="楷体" w:cs="楷体"/>
          <w:color w:val="auto"/>
          <w:szCs w:val="21"/>
        </w:rPr>
        <w:t>个采暖期、供冷期；</w:t>
      </w:r>
    </w:p>
    <w:p w14:paraId="54F7049C">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(6)绿化工程：保修期</w:t>
      </w:r>
      <w:r>
        <w:rPr>
          <w:rFonts w:hint="eastAsia" w:ascii="楷体" w:hAnsi="楷体" w:eastAsia="楷体" w:cs="楷体"/>
          <w:color w:val="auto"/>
          <w:szCs w:val="21"/>
          <w:u w:val="single"/>
        </w:rPr>
        <w:t>2</w:t>
      </w:r>
      <w:r>
        <w:rPr>
          <w:rFonts w:hint="eastAsia" w:ascii="楷体" w:hAnsi="楷体" w:eastAsia="楷体" w:cs="楷体"/>
          <w:color w:val="auto"/>
          <w:szCs w:val="21"/>
        </w:rPr>
        <w:t>年，免费养护期</w:t>
      </w:r>
      <w:r>
        <w:rPr>
          <w:rFonts w:hint="eastAsia" w:ascii="楷体" w:hAnsi="楷体" w:eastAsia="楷体" w:cs="楷体"/>
          <w:color w:val="auto"/>
          <w:szCs w:val="21"/>
          <w:u w:val="single"/>
        </w:rPr>
        <w:t>1</w:t>
      </w:r>
      <w:r>
        <w:rPr>
          <w:rFonts w:hint="eastAsia" w:ascii="楷体" w:hAnsi="楷体" w:eastAsia="楷体" w:cs="楷体"/>
          <w:color w:val="auto"/>
          <w:szCs w:val="21"/>
        </w:rPr>
        <w:t>年，承包人需保证苗木全部成活；</w:t>
      </w:r>
    </w:p>
    <w:p w14:paraId="30D97FFE">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(7)其他项目保修期限约定如下：</w:t>
      </w:r>
      <w:r>
        <w:rPr>
          <w:rFonts w:hint="eastAsia" w:ascii="楷体" w:hAnsi="楷体" w:eastAsia="楷体" w:cs="楷体"/>
          <w:color w:val="auto"/>
          <w:szCs w:val="21"/>
          <w:u w:val="single"/>
        </w:rPr>
        <w:t>2年。</w:t>
      </w:r>
    </w:p>
    <w:p w14:paraId="512AEA8A">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质量保修期自工程竣工验收合格之日起计算。</w:t>
      </w:r>
    </w:p>
    <w:p w14:paraId="7337C68E">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2．质量保修期自本合同工程签发的工程竣工验收合格交工证书中写明的竣工日期起计算。分单项竣工验收的工程，按单项工程分别计算质量保修期。</w:t>
      </w:r>
    </w:p>
    <w:p w14:paraId="49513011">
      <w:pPr>
        <w:autoSpaceDE w:val="0"/>
        <w:autoSpaceDN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rPr>
        <w:t>3．其他约定：</w:t>
      </w:r>
      <w:r>
        <w:rPr>
          <w:rFonts w:hint="eastAsia" w:ascii="楷体" w:hAnsi="楷体" w:eastAsia="楷体" w:cs="楷体"/>
          <w:color w:val="auto"/>
          <w:szCs w:val="21"/>
          <w:u w:val="single"/>
        </w:rPr>
        <w:t>本工程缺陷责任期为24个月，自本合同工程签发的工程竣工验收合格交工证书中写明的竣工日期起计算。</w:t>
      </w:r>
    </w:p>
    <w:p w14:paraId="1F0FD4D6">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三、质量保修保质责任</w:t>
      </w:r>
    </w:p>
    <w:p w14:paraId="73960FAD">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1．质量保修期自工程竣工验收合格之日起计算。</w:t>
      </w:r>
    </w:p>
    <w:p w14:paraId="7591751E">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2．质量保修责任</w:t>
      </w:r>
    </w:p>
    <w:p w14:paraId="2FEDE9A3">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2.1属于保修范围、内容的项目，承包人应当在接到保修通知之日起24小时内派人保修。承包人如有下列情况之一发生，且经发包人或委托管理人口头或书面通知承包人一次而未得到响应或改善的，发包人有权另行委托他人代为保修处理，由此发生的维修费用、赔偿费用（含业主损害赔偿费用及委托他人代工）在发包人支付给承包人的任何款项（含保修金）中扣除，但不解除承包人的任何应负的责任（含整体保修责任）。同时，发包人将扣除修复及赔偿费用的百分之八十作为违约金。该违约金将在保修金中予以扣除。 </w:t>
      </w:r>
    </w:p>
    <w:p w14:paraId="1795D2B8">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集中交付三个月维修期内，无人维修或维修人员不足。</w:t>
      </w:r>
    </w:p>
    <w:p w14:paraId="013DDCA9">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承包人人员未按约定的时限内到现场检查、未提出处理方案或未按约定的时间进场施工， 或未按维修时限完成维修项目并达到验收标准的，且发包人或建设单位未签字认可延期原因的。 </w:t>
      </w:r>
    </w:p>
    <w:p w14:paraId="7118921C">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在接到发包人或委托管理人通知后拒不到现场处理或不按约定时间到现场处理的。 </w:t>
      </w:r>
    </w:p>
    <w:p w14:paraId="3BB98CEF">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在接到发包人或委托管理人通知后，虽及时到现场，但在保修过程中不负责任或推诿或保修不力的。</w:t>
      </w:r>
    </w:p>
    <w:p w14:paraId="1ACFD08B">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同一维修事项经过1次维修未能达成验收标准的，或同类维修问题出现3次未能解决，或未按要求限期整改函的要求进行整改的。</w:t>
      </w:r>
    </w:p>
    <w:p w14:paraId="2948AB68">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承包人的维修方案不满足发包人或委托管理人要求，虽经两次（含）以上修改仍不能满足要求的。</w:t>
      </w:r>
    </w:p>
    <w:p w14:paraId="3FD59BF6">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维修过程中服务态度不好，造成发包人或委托管理人不满或投诉的。 </w:t>
      </w:r>
    </w:p>
    <w:p w14:paraId="49D6DD8B">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2.2发生紧急抢修事故的，承包人在接到事故通知后，应当立即到达事故现场抢修。非承包人施工质量引起的事故，抢修费用由发包人承担。</w:t>
      </w:r>
    </w:p>
    <w:p w14:paraId="6BFD44C1">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2.3对于涉及结构安全的质量问题，应当按照有关的规定，立即向当地建设行政主管部门报告，采取安全防范措施；由原设计单位或者具有相应资质等级的设计单位提出保修方案，承包人实施保修。</w:t>
      </w:r>
    </w:p>
    <w:p w14:paraId="2E5C217B">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2.4质量保修完成后，由发包人组织验收。</w:t>
      </w:r>
    </w:p>
    <w:p w14:paraId="5E117FF6">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3．保修费用</w:t>
      </w:r>
    </w:p>
    <w:p w14:paraId="0CB2A465">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保修费用由造成质量缺陷的责任方承担。</w:t>
      </w:r>
    </w:p>
    <w:p w14:paraId="513C7553">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四、质量保修金的支付</w:t>
      </w:r>
    </w:p>
    <w:p w14:paraId="349AF29F">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本工程约定的工程质量保修金为施工结算价的3%。质量保修金不计利息。</w:t>
      </w:r>
    </w:p>
    <w:p w14:paraId="25E4D46A">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五、质量保修金的返还</w:t>
      </w:r>
    </w:p>
    <w:p w14:paraId="2E80452D">
      <w:pPr>
        <w:autoSpaceDE w:val="0"/>
        <w:autoSpaceDN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u w:val="single"/>
        </w:rPr>
        <w:t>质保金在办理完工程移交手续且缺陷责任期（2年）满后无息支付。</w:t>
      </w:r>
    </w:p>
    <w:p w14:paraId="370885C2">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在保修期内承包人应按保修内容进行保修，若承包人接到发包人保修通知书在七天内未派人进行修理的，发包人则安排其他公司修理，在保修期内发生的修理费用由承包人负责或由发包人从保修金中扣除。</w:t>
      </w:r>
    </w:p>
    <w:p w14:paraId="44E5BA14">
      <w:pPr>
        <w:autoSpaceDE w:val="0"/>
        <w:autoSpaceDN w:val="0"/>
        <w:spacing w:line="360" w:lineRule="exact"/>
        <w:ind w:firstLine="404" w:firstLineChars="200"/>
        <w:jc w:val="left"/>
        <w:rPr>
          <w:rFonts w:ascii="楷体" w:hAnsi="楷体" w:eastAsia="楷体" w:cs="楷体"/>
          <w:b/>
          <w:color w:val="auto"/>
          <w:szCs w:val="21"/>
        </w:rPr>
      </w:pPr>
      <w:r>
        <w:rPr>
          <w:rFonts w:hint="eastAsia" w:ascii="楷体" w:hAnsi="楷体" w:eastAsia="楷体" w:cs="楷体"/>
          <w:b/>
          <w:color w:val="auto"/>
          <w:szCs w:val="21"/>
        </w:rPr>
        <w:t>六、其他</w:t>
      </w:r>
    </w:p>
    <w:p w14:paraId="29176F5F">
      <w:pPr>
        <w:autoSpaceDE w:val="0"/>
        <w:autoSpaceDN w:val="0"/>
        <w:spacing w:line="360" w:lineRule="exact"/>
        <w:ind w:firstLine="404" w:firstLineChars="200"/>
        <w:jc w:val="left"/>
        <w:rPr>
          <w:rFonts w:ascii="楷体" w:hAnsi="楷体" w:eastAsia="楷体" w:cs="楷体"/>
          <w:color w:val="auto"/>
          <w:szCs w:val="21"/>
          <w:u w:val="single"/>
        </w:rPr>
      </w:pPr>
      <w:r>
        <w:rPr>
          <w:rFonts w:hint="eastAsia" w:ascii="楷体" w:hAnsi="楷体" w:eastAsia="楷体" w:cs="楷体"/>
          <w:color w:val="auto"/>
          <w:szCs w:val="21"/>
        </w:rPr>
        <w:t>各方约定的其他工程质量保修事项：</w:t>
      </w:r>
      <w:r>
        <w:rPr>
          <w:rFonts w:hint="eastAsia" w:ascii="楷体" w:hAnsi="楷体" w:eastAsia="楷体" w:cs="楷体"/>
          <w:color w:val="auto"/>
          <w:szCs w:val="21"/>
          <w:u w:val="single"/>
        </w:rPr>
        <w:t>保修期内，如发生属承包人责任的质量问题，按本保修书第2.1款约定，发包人可以委托他人修理，其费用由发包人在质量保修金中双倍扣除，质保金不足以扣除的，由承包人承担。</w:t>
      </w:r>
    </w:p>
    <w:p w14:paraId="4566AA78">
      <w:pPr>
        <w:autoSpaceDE w:val="0"/>
        <w:autoSpaceDN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本工程质量保修书作为《</w:t>
      </w:r>
      <w:r>
        <w:rPr>
          <w:rFonts w:hint="eastAsia" w:ascii="楷体" w:hAnsi="楷体" w:eastAsia="楷体" w:cs="楷体"/>
          <w:color w:val="auto"/>
          <w:szCs w:val="21"/>
          <w:u w:val="single"/>
        </w:rPr>
        <w:t>湖南省建设工程施工合同</w:t>
      </w:r>
      <w:r>
        <w:rPr>
          <w:rFonts w:hint="eastAsia" w:ascii="楷体" w:hAnsi="楷体" w:eastAsia="楷体" w:cs="楷体"/>
          <w:color w:val="auto"/>
          <w:szCs w:val="21"/>
        </w:rPr>
        <w:t>》的附件一，一式伍份，由总承包合同发包人及承包人共同签署。</w:t>
      </w:r>
    </w:p>
    <w:p w14:paraId="49453390">
      <w:pPr>
        <w:spacing w:line="360" w:lineRule="exact"/>
        <w:outlineLvl w:val="2"/>
        <w:rPr>
          <w:rFonts w:ascii="楷体" w:hAnsi="楷体" w:eastAsia="楷体" w:cs="楷体"/>
          <w:color w:val="auto"/>
          <w:szCs w:val="21"/>
        </w:rPr>
      </w:pPr>
      <w:r>
        <w:rPr>
          <w:rFonts w:hint="eastAsia" w:ascii="楷体" w:hAnsi="楷体" w:eastAsia="楷体" w:cs="楷体"/>
          <w:color w:val="auto"/>
          <w:szCs w:val="21"/>
        </w:rPr>
        <w:t xml:space="preserve"> </w:t>
      </w:r>
    </w:p>
    <w:p w14:paraId="66C00798">
      <w:pPr>
        <w:snapToGri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发包人（盖章）：                        承包人（盖章）： </w:t>
      </w:r>
    </w:p>
    <w:p w14:paraId="41974B2B">
      <w:pPr>
        <w:snapToGri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法定代表人或其委托代理人：              法定代表人或其委托代理人：                                     （签章）                                        （签章）  </w:t>
      </w:r>
    </w:p>
    <w:p w14:paraId="0E9BC5AE">
      <w:pPr>
        <w:snapToGrid w:val="0"/>
        <w:spacing w:line="360" w:lineRule="exact"/>
        <w:ind w:firstLine="404" w:firstLineChars="200"/>
        <w:jc w:val="left"/>
        <w:rPr>
          <w:rFonts w:ascii="楷体" w:hAnsi="楷体" w:eastAsia="楷体" w:cs="楷体"/>
          <w:color w:val="auto"/>
          <w:szCs w:val="21"/>
        </w:rPr>
      </w:pPr>
      <w:r>
        <w:rPr>
          <w:rFonts w:hint="eastAsia" w:ascii="楷体" w:hAnsi="楷体" w:eastAsia="楷体" w:cs="楷体"/>
          <w:color w:val="auto"/>
          <w:szCs w:val="21"/>
        </w:rPr>
        <w:t xml:space="preserve"> </w:t>
      </w:r>
    </w:p>
    <w:p w14:paraId="3841AEC5">
      <w:pPr>
        <w:snapToGri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地   址：                               地址：  </w:t>
      </w:r>
    </w:p>
    <w:p w14:paraId="3A87700F">
      <w:pPr>
        <w:snapToGrid w:val="0"/>
        <w:jc w:val="left"/>
        <w:rPr>
          <w:rFonts w:ascii="楷体" w:hAnsi="楷体" w:eastAsia="楷体" w:cs="楷体"/>
          <w:color w:val="auto"/>
          <w:szCs w:val="21"/>
        </w:rPr>
      </w:pPr>
      <w:r>
        <w:rPr>
          <w:rFonts w:hint="eastAsia" w:ascii="楷体" w:hAnsi="楷体" w:eastAsia="楷体" w:cs="楷体"/>
          <w:color w:val="auto"/>
          <w:szCs w:val="21"/>
        </w:rPr>
        <w:t xml:space="preserve"> </w:t>
      </w:r>
    </w:p>
    <w:p w14:paraId="6CA02CCF">
      <w:pPr>
        <w:snapToGrid w:val="0"/>
        <w:jc w:val="left"/>
        <w:rPr>
          <w:rFonts w:ascii="楷体" w:hAnsi="楷体" w:eastAsia="楷体" w:cs="楷体"/>
          <w:color w:val="auto"/>
          <w:szCs w:val="21"/>
        </w:rPr>
      </w:pPr>
    </w:p>
    <w:p w14:paraId="4FCB8A63">
      <w:pPr>
        <w:spacing w:line="360" w:lineRule="exact"/>
        <w:ind w:firstLine="4444" w:firstLineChars="2200"/>
        <w:rPr>
          <w:rFonts w:ascii="楷体" w:hAnsi="楷体" w:eastAsia="楷体" w:cs="楷体"/>
          <w:b/>
          <w:bCs/>
          <w:color w:val="auto"/>
          <w:szCs w:val="21"/>
        </w:rPr>
      </w:pPr>
      <w:bookmarkStart w:id="37" w:name="_Toc29270"/>
      <w:r>
        <w:rPr>
          <w:rFonts w:hint="eastAsia" w:ascii="楷体" w:hAnsi="楷体" w:eastAsia="楷体" w:cs="楷体"/>
          <w:color w:val="auto"/>
          <w:szCs w:val="21"/>
        </w:rPr>
        <w:t xml:space="preserve"> 日   期：       年     月    日  </w:t>
      </w:r>
    </w:p>
    <w:p w14:paraId="40CD33C8">
      <w:pPr>
        <w:spacing w:line="360" w:lineRule="exact"/>
        <w:rPr>
          <w:rFonts w:ascii="楷体" w:hAnsi="楷体" w:eastAsia="楷体" w:cs="楷体"/>
          <w:color w:val="auto"/>
          <w:szCs w:val="21"/>
        </w:rPr>
      </w:pPr>
    </w:p>
    <w:p w14:paraId="3F6D4F50">
      <w:pPr>
        <w:spacing w:line="360" w:lineRule="exact"/>
        <w:rPr>
          <w:rFonts w:ascii="楷体" w:hAnsi="楷体" w:eastAsia="楷体" w:cs="楷体"/>
          <w:b/>
          <w:bCs/>
          <w:color w:val="auto"/>
          <w:sz w:val="24"/>
        </w:rPr>
      </w:pPr>
      <w:r>
        <w:rPr>
          <w:rFonts w:hint="eastAsia" w:ascii="楷体" w:hAnsi="楷体" w:eastAsia="楷体" w:cs="楷体"/>
          <w:b/>
          <w:bCs/>
          <w:color w:val="auto"/>
          <w:szCs w:val="21"/>
        </w:rPr>
        <w:t>附件2：</w:t>
      </w:r>
      <w:bookmarkEnd w:id="37"/>
    </w:p>
    <w:p w14:paraId="6B15506D">
      <w:pPr>
        <w:spacing w:line="360" w:lineRule="exact"/>
        <w:jc w:val="center"/>
        <w:rPr>
          <w:rFonts w:eastAsia="楷体"/>
          <w:b/>
          <w:bCs/>
          <w:color w:val="auto"/>
          <w:sz w:val="30"/>
          <w:szCs w:val="30"/>
        </w:rPr>
      </w:pPr>
      <w:r>
        <w:rPr>
          <w:rFonts w:eastAsia="楷体"/>
          <w:b/>
          <w:bCs/>
          <w:color w:val="auto"/>
          <w:sz w:val="30"/>
          <w:szCs w:val="30"/>
        </w:rPr>
        <w:t>建筑施工安全管理协议书</w:t>
      </w:r>
    </w:p>
    <w:p w14:paraId="45E49E9D">
      <w:pPr>
        <w:spacing w:line="360" w:lineRule="exact"/>
        <w:jc w:val="left"/>
        <w:rPr>
          <w:rFonts w:ascii="楷体" w:hAnsi="楷体" w:eastAsia="楷体" w:cs="楷体"/>
          <w:color w:val="auto"/>
          <w:szCs w:val="21"/>
        </w:rPr>
      </w:pPr>
    </w:p>
    <w:p w14:paraId="12346E6E">
      <w:pPr>
        <w:spacing w:line="360" w:lineRule="exact"/>
        <w:jc w:val="left"/>
        <w:rPr>
          <w:rFonts w:ascii="楷体" w:hAnsi="楷体" w:eastAsia="楷体" w:cs="楷体"/>
          <w:b/>
          <w:color w:val="auto"/>
          <w:szCs w:val="21"/>
        </w:rPr>
      </w:pPr>
      <w:r>
        <w:rPr>
          <w:rFonts w:hint="eastAsia" w:ascii="楷体" w:hAnsi="楷体" w:eastAsia="楷体" w:cs="楷体"/>
          <w:color w:val="auto"/>
          <w:szCs w:val="21"/>
        </w:rPr>
        <w:t>发 包 人（全称）：</w:t>
      </w:r>
      <w:r>
        <w:rPr>
          <w:rFonts w:hint="eastAsia" w:ascii="楷体" w:hAnsi="楷体" w:eastAsia="楷体" w:cs="楷体"/>
          <w:b/>
          <w:color w:val="auto"/>
          <w:szCs w:val="21"/>
          <w:u w:val="single"/>
        </w:rPr>
        <w:t>湖南东方数智能源投资有限公司</w:t>
      </w:r>
    </w:p>
    <w:p w14:paraId="6675A3F0">
      <w:pPr>
        <w:tabs>
          <w:tab w:val="left" w:pos="5803"/>
        </w:tabs>
        <w:spacing w:line="360" w:lineRule="exact"/>
        <w:jc w:val="left"/>
        <w:rPr>
          <w:rFonts w:ascii="楷体" w:hAnsi="楷体" w:eastAsia="楷体" w:cs="楷体"/>
          <w:b/>
          <w:color w:val="auto"/>
          <w:szCs w:val="21"/>
        </w:rPr>
      </w:pPr>
      <w:r>
        <w:rPr>
          <w:rFonts w:hint="eastAsia" w:ascii="楷体" w:hAnsi="楷体" w:eastAsia="楷体" w:cs="楷体"/>
          <w:color w:val="auto"/>
          <w:szCs w:val="21"/>
        </w:rPr>
        <w:t>承 包 人（全称）：</w:t>
      </w:r>
      <w:r>
        <w:rPr>
          <w:rFonts w:hint="eastAsia" w:ascii="楷体" w:hAnsi="楷体" w:eastAsia="楷体" w:cs="楷体"/>
          <w:b/>
          <w:color w:val="auto"/>
          <w:szCs w:val="21"/>
          <w:u w:val="single"/>
        </w:rPr>
        <w:t xml:space="preserve">                           </w:t>
      </w:r>
    </w:p>
    <w:p w14:paraId="39E3B3D6">
      <w:pPr>
        <w:spacing w:line="360" w:lineRule="exact"/>
        <w:ind w:firstLine="404" w:firstLineChars="200"/>
        <w:rPr>
          <w:rFonts w:ascii="楷体" w:hAnsi="楷体" w:eastAsia="楷体" w:cs="楷体"/>
          <w:color w:val="auto"/>
          <w:szCs w:val="21"/>
        </w:rPr>
      </w:pPr>
    </w:p>
    <w:p w14:paraId="17212C91">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为贯彻“安全第一，预防为主”的方针，明确双方的安全生产责任，确保施工安全，在签订建筑工程</w:t>
      </w:r>
      <w:r>
        <w:rPr>
          <w:color w:val="auto"/>
        </w:rPr>
        <w:fldChar w:fldCharType="begin"/>
      </w:r>
      <w:r>
        <w:rPr>
          <w:color w:val="auto"/>
        </w:rPr>
        <w:instrText xml:space="preserve"> HYPERLINK "http://yjbys.com/hetongfanben/" \t "_blank" </w:instrText>
      </w:r>
      <w:r>
        <w:rPr>
          <w:color w:val="auto"/>
        </w:rPr>
        <w:fldChar w:fldCharType="separate"/>
      </w:r>
      <w:r>
        <w:rPr>
          <w:rFonts w:hint="eastAsia" w:ascii="楷体" w:hAnsi="楷体" w:eastAsia="楷体" w:cs="楷体"/>
          <w:color w:val="auto"/>
          <w:szCs w:val="21"/>
        </w:rPr>
        <w:t>合同</w:t>
      </w:r>
      <w:r>
        <w:rPr>
          <w:rFonts w:hint="eastAsia" w:ascii="楷体" w:hAnsi="楷体" w:eastAsia="楷体" w:cs="楷体"/>
          <w:color w:val="auto"/>
          <w:szCs w:val="21"/>
        </w:rPr>
        <w:fldChar w:fldCharType="end"/>
      </w:r>
      <w:r>
        <w:rPr>
          <w:rFonts w:hint="eastAsia" w:ascii="楷体" w:hAnsi="楷体" w:eastAsia="楷体" w:cs="楷体"/>
          <w:color w:val="auto"/>
          <w:szCs w:val="21"/>
        </w:rPr>
        <w:t>的同时，签订本协议，合同各方必须严格执行。</w:t>
      </w:r>
    </w:p>
    <w:p w14:paraId="64BC987B">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1、合同各方必须认真贯彻</w:t>
      </w:r>
      <w:r>
        <w:rPr>
          <w:color w:val="auto"/>
        </w:rPr>
        <w:fldChar w:fldCharType="begin"/>
      </w:r>
      <w:r>
        <w:rPr>
          <w:color w:val="auto"/>
        </w:rPr>
        <w:instrText xml:space="preserve"> HYPERLINK "http://gwy.yjbys.com/" \t "_blank" </w:instrText>
      </w:r>
      <w:r>
        <w:rPr>
          <w:color w:val="auto"/>
        </w:rPr>
        <w:fldChar w:fldCharType="separate"/>
      </w:r>
      <w:r>
        <w:rPr>
          <w:rFonts w:hint="eastAsia" w:ascii="楷体" w:hAnsi="楷体" w:eastAsia="楷体" w:cs="楷体"/>
          <w:color w:val="auto"/>
          <w:szCs w:val="21"/>
        </w:rPr>
        <w:t>国家</w:t>
      </w:r>
      <w:r>
        <w:rPr>
          <w:rFonts w:hint="eastAsia" w:ascii="楷体" w:hAnsi="楷体" w:eastAsia="楷体" w:cs="楷体"/>
          <w:color w:val="auto"/>
          <w:szCs w:val="21"/>
        </w:rPr>
        <w:fldChar w:fldCharType="end"/>
      </w:r>
      <w:r>
        <w:rPr>
          <w:rFonts w:hint="eastAsia" w:ascii="楷体" w:hAnsi="楷体" w:eastAsia="楷体" w:cs="楷体"/>
          <w:color w:val="auto"/>
          <w:szCs w:val="21"/>
        </w:rPr>
        <w:t>和上级劳动保护、企业安全生产主管部门颁发的有关安全生产、消防工作的方针、政策，严格执行有关安全生产以及劳动保护法规、条例、规定。</w:t>
      </w:r>
    </w:p>
    <w:p w14:paraId="34EE6E66">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2、承包人应有安全管理组织体制，包括分管安全生产的领导，各级专职和兼职的安全员；应有各工种的安全操作规程，特种作业工人的审证考核制度及各级安全生产岗位责任制和定期安全检查制度。</w:t>
      </w:r>
    </w:p>
    <w:p w14:paraId="1DE09DA1">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3、承包人的领导必须认真对本单位职工进行安全生产制度及安全技术知识教育，增强法治观念，提高职工的安全生产意识和自我保护的能力，督促职工自觉遵守安全纪律、制度法规。</w:t>
      </w:r>
    </w:p>
    <w:p w14:paraId="2950802D">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4、施工前，承包人应组织召开现场安全生产教育会议，并通知发包人委派有关人员出席会议。介绍施工中有关安全、防火等规章制度及要求，承包人方必须检查、督促施工人员严格遵守、认真执行。</w:t>
      </w:r>
    </w:p>
    <w:p w14:paraId="3B01E4A1">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5、施工期间，承包人项目经理全面负责本工程项目的有关安全、安全措施的落实以及防火工作等；定期进行项目安全检查等工作，共同预防事故发生。</w:t>
      </w:r>
    </w:p>
    <w:p w14:paraId="0F0CB1A5">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6、承包人在施工期间必须严格执行和遵守发包人的安全生产管理的各项规定，接受发包人的督促、检查和指导。发包人有协助承包人搞好安全生产管理以及督促定期检查的义务，对于查出隐患，承包人必须限制整改。</w:t>
      </w:r>
    </w:p>
    <w:p w14:paraId="5E46D9EB">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7、在生产操作过程中的个人安全防护用品，由各方自理，合同各方都应督促施工现场人员自觉穿戴好安全防护用品。</w:t>
      </w:r>
    </w:p>
    <w:p w14:paraId="081F2A33">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8、承包人必须对施工区域、作业环境、操作设施设备、工具用具等必须认真检查，发现隐患，立即停止施工，并落实整改后方准施工。一经施工，就表示承包人确认施工场所、作业环境、设施设备、工具用具等符合安全要求和处于安全状态。承包人对施工过程中产生的后果自行负责。</w:t>
      </w:r>
    </w:p>
    <w:p w14:paraId="3E891427">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9、承包人现场使用的机械设备、脚手架等设备，在搭设、安装完毕提交使用前，应按规定验收，并做好验收及交付使用手续。严禁在未经验收或验收不合格的情况下投入使用，否则由此发生的后果概由承包人负责。</w:t>
      </w:r>
    </w:p>
    <w:p w14:paraId="10D0BC96">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10、承包人特种作业必须执行国家制定的《特种作业人员安全技术培训考核管理办法》，持证上岗，并按规定定期审证；中、小型机械的操作人员必须按规定做到“定机定人”和持证操作；起重吊装作业人员必须遵守“十不吊”规定，严禁违章、无证操作；严禁不懂电器、机械设备的人，擅自操作使用电器、机械设备。</w:t>
      </w:r>
    </w:p>
    <w:p w14:paraId="3D356099">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11、承包人必须严格执行各项防火防爆制度，易燃易爆场所严禁吸烟及动用明火。消防器材不准挪作他用，不准任意玩意，损坏偷盗。动用明火必须有三级动火审批手续，并指定防火监护人员，签发监护工作交底书，落实监护措施。焊工必须持有效证件上岗作业，严禁无证操作。生活设施内，严禁使用电炉，严禁使用碘钨灯照明取暖，烘烤衣服，不准私自拉接电线插座，不准躺在床上吸烟。电饭锅、电炒锅等电热器具应到指定的专间集中使用。</w:t>
      </w:r>
    </w:p>
    <w:p w14:paraId="25AFA675">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12、承包人应注意地下管线、障碍物及高低压架空线路的保护。如遇有情况，应及时向发包人和有关部门联系，采取保护措施。</w:t>
      </w:r>
    </w:p>
    <w:p w14:paraId="24D3455E">
      <w:pPr>
        <w:spacing w:line="360" w:lineRule="exact"/>
        <w:ind w:firstLine="404" w:firstLineChars="200"/>
        <w:rPr>
          <w:rFonts w:ascii="楷体" w:hAnsi="楷体" w:eastAsia="楷体" w:cs="楷体"/>
          <w:color w:val="auto"/>
          <w:szCs w:val="21"/>
        </w:rPr>
      </w:pPr>
      <w:r>
        <w:rPr>
          <w:rFonts w:hint="eastAsia" w:ascii="楷体" w:hAnsi="楷体" w:eastAsia="楷体" w:cs="楷体"/>
          <w:color w:val="auto"/>
          <w:szCs w:val="21"/>
        </w:rPr>
        <w:t>13、贯彻谁施工谁负责安全的原则，承包人人员在施工期间，造成伤亡、火警、火灾、机械等其他事故（包括由承包人责任造成发包人人员、他方人员、行人伤亡等），发包人有协助紧急抢救伤员的义务，承包人负责事故上报，经济赔偿及善后处理。事故的损失和善后处理费用，应按责任，协商解决。</w:t>
      </w:r>
    </w:p>
    <w:p w14:paraId="34EC92CE">
      <w:pPr>
        <w:spacing w:line="360" w:lineRule="exact"/>
        <w:rPr>
          <w:rFonts w:ascii="楷体" w:hAnsi="楷体" w:eastAsia="楷体" w:cs="楷体"/>
          <w:color w:val="auto"/>
          <w:szCs w:val="21"/>
        </w:rPr>
      </w:pPr>
    </w:p>
    <w:p w14:paraId="0FE9A5A3">
      <w:pPr>
        <w:adjustRightInd w:val="0"/>
        <w:spacing w:line="360" w:lineRule="exact"/>
        <w:ind w:left="5650" w:hanging="5656" w:hangingChars="2800"/>
        <w:jc w:val="left"/>
        <w:rPr>
          <w:rFonts w:ascii="楷体" w:hAnsi="楷体" w:eastAsia="楷体" w:cs="楷体"/>
          <w:color w:val="auto"/>
          <w:szCs w:val="21"/>
        </w:rPr>
      </w:pPr>
      <w:r>
        <w:rPr>
          <w:rFonts w:hint="eastAsia" w:ascii="楷体" w:hAnsi="楷体" w:eastAsia="楷体" w:cs="楷体"/>
          <w:color w:val="auto"/>
          <w:szCs w:val="21"/>
        </w:rPr>
        <w:t xml:space="preserve">发包人（盖章）：                          承包人（盖章）： </w:t>
      </w:r>
    </w:p>
    <w:p w14:paraId="6A4EF70D">
      <w:pPr>
        <w:adjustRightInd w:val="0"/>
        <w:spacing w:line="360" w:lineRule="exact"/>
        <w:jc w:val="left"/>
        <w:rPr>
          <w:rFonts w:ascii="楷体" w:hAnsi="楷体" w:eastAsia="楷体" w:cs="楷体"/>
          <w:color w:val="auto"/>
          <w:szCs w:val="21"/>
        </w:rPr>
      </w:pPr>
      <w:r>
        <w:rPr>
          <w:rFonts w:hint="eastAsia" w:ascii="楷体" w:hAnsi="楷体" w:eastAsia="楷体" w:cs="楷体"/>
          <w:color w:val="auto"/>
          <w:szCs w:val="21"/>
        </w:rPr>
        <w:t>法定代表人 ：                             法定代表人：</w:t>
      </w:r>
    </w:p>
    <w:p w14:paraId="7E5A1741">
      <w:pPr>
        <w:adjustRightIn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或委托代理人（签章）：                    或委托代理人（签章）： </w:t>
      </w:r>
    </w:p>
    <w:p w14:paraId="1F2F2109">
      <w:pPr>
        <w:adjustRightIn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                      　　                          </w:t>
      </w:r>
    </w:p>
    <w:p w14:paraId="419B2230">
      <w:pPr>
        <w:snapToGrid w:val="0"/>
        <w:spacing w:line="360" w:lineRule="exact"/>
        <w:jc w:val="left"/>
        <w:rPr>
          <w:rFonts w:ascii="楷体" w:hAnsi="楷体" w:eastAsia="楷体" w:cs="楷体"/>
          <w:color w:val="auto"/>
          <w:szCs w:val="21"/>
        </w:rPr>
      </w:pPr>
      <w:r>
        <w:rPr>
          <w:rFonts w:hint="eastAsia" w:ascii="楷体" w:hAnsi="楷体" w:eastAsia="楷体" w:cs="楷体"/>
          <w:color w:val="auto"/>
          <w:szCs w:val="21"/>
        </w:rPr>
        <w:t xml:space="preserve">地   址：                                 地址： </w:t>
      </w:r>
    </w:p>
    <w:p w14:paraId="0A0BB8BA">
      <w:pPr>
        <w:adjustRightInd w:val="0"/>
        <w:spacing w:line="360" w:lineRule="exact"/>
        <w:ind w:left="5650" w:hanging="5656" w:hangingChars="2800"/>
        <w:jc w:val="left"/>
        <w:rPr>
          <w:rFonts w:ascii="楷体" w:hAnsi="楷体" w:eastAsia="楷体" w:cs="楷体"/>
          <w:color w:val="auto"/>
          <w:szCs w:val="21"/>
        </w:rPr>
      </w:pPr>
      <w:r>
        <w:rPr>
          <w:rFonts w:hint="eastAsia" w:ascii="楷体" w:hAnsi="楷体" w:eastAsia="楷体" w:cs="楷体"/>
          <w:color w:val="auto"/>
          <w:szCs w:val="21"/>
        </w:rPr>
        <w:t xml:space="preserve"> </w:t>
      </w:r>
    </w:p>
    <w:p w14:paraId="09323C64">
      <w:pPr>
        <w:snapToGrid w:val="0"/>
        <w:spacing w:line="360" w:lineRule="exact"/>
        <w:ind w:left="2421" w:hanging="2424" w:hangingChars="1200"/>
        <w:jc w:val="left"/>
        <w:rPr>
          <w:rFonts w:ascii="楷体" w:hAnsi="楷体" w:eastAsia="楷体" w:cs="楷体"/>
          <w:color w:val="auto"/>
          <w:szCs w:val="21"/>
        </w:rPr>
      </w:pPr>
      <w:r>
        <w:rPr>
          <w:rFonts w:hint="eastAsia" w:ascii="楷体" w:hAnsi="楷体" w:eastAsia="楷体" w:cs="楷体"/>
          <w:color w:val="auto"/>
          <w:szCs w:val="21"/>
        </w:rPr>
        <w:t xml:space="preserve">       </w:t>
      </w:r>
    </w:p>
    <w:p w14:paraId="70E1C036">
      <w:pPr>
        <w:adjustRightInd w:val="0"/>
        <w:spacing w:line="360" w:lineRule="exact"/>
        <w:rPr>
          <w:rFonts w:ascii="楷体" w:hAnsi="楷体" w:eastAsia="楷体" w:cs="楷体"/>
          <w:color w:val="auto"/>
          <w:szCs w:val="21"/>
        </w:rPr>
      </w:pPr>
    </w:p>
    <w:p w14:paraId="184105A0">
      <w:pPr>
        <w:autoSpaceDE w:val="0"/>
        <w:autoSpaceDN w:val="0"/>
        <w:adjustRightInd w:val="0"/>
        <w:spacing w:line="360" w:lineRule="exact"/>
        <w:ind w:firstLine="4242" w:firstLineChars="2100"/>
        <w:jc w:val="left"/>
        <w:rPr>
          <w:rFonts w:ascii="楷体" w:hAnsi="楷体" w:eastAsia="楷体" w:cs="楷体"/>
          <w:color w:val="auto"/>
          <w:szCs w:val="21"/>
        </w:rPr>
      </w:pPr>
      <w:r>
        <w:rPr>
          <w:rFonts w:hint="eastAsia" w:ascii="楷体" w:hAnsi="楷体" w:eastAsia="楷体" w:cs="楷体"/>
          <w:color w:val="auto"/>
          <w:szCs w:val="21"/>
        </w:rPr>
        <w:t xml:space="preserve"> 日   期：       年   月   日      </w:t>
      </w:r>
    </w:p>
    <w:p w14:paraId="3107D2A5">
      <w:pPr>
        <w:adjustRightInd w:val="0"/>
        <w:spacing w:line="360" w:lineRule="exact"/>
        <w:jc w:val="left"/>
        <w:rPr>
          <w:rFonts w:ascii="楷体" w:hAnsi="楷体" w:eastAsia="楷体" w:cs="楷体"/>
          <w:color w:val="auto"/>
          <w:szCs w:val="21"/>
        </w:rPr>
        <w:sectPr>
          <w:headerReference r:id="rId5" w:type="default"/>
          <w:footerReference r:id="rId6" w:type="default"/>
          <w:pgSz w:w="11906" w:h="16838"/>
          <w:pgMar w:top="1588" w:right="1588" w:bottom="1531" w:left="1588" w:header="1134" w:footer="851" w:gutter="0"/>
          <w:cols w:space="720" w:num="1"/>
          <w:docGrid w:type="linesAndChars" w:linePitch="574" w:charSpace="-1683"/>
        </w:sectPr>
      </w:pPr>
      <w:r>
        <w:rPr>
          <w:rFonts w:hint="eastAsia" w:ascii="楷体" w:hAnsi="楷体" w:eastAsia="楷体" w:cs="楷体"/>
          <w:color w:val="auto"/>
          <w:szCs w:val="21"/>
        </w:rPr>
        <w:t xml:space="preserve">     　                 </w:t>
      </w:r>
    </w:p>
    <w:p w14:paraId="77160689">
      <w:pPr>
        <w:spacing w:line="360" w:lineRule="exact"/>
        <w:rPr>
          <w:rFonts w:ascii="楷体" w:hAnsi="楷体" w:eastAsia="楷体" w:cs="楷体"/>
          <w:b/>
          <w:bCs/>
          <w:color w:val="auto"/>
          <w:sz w:val="24"/>
        </w:rPr>
      </w:pPr>
      <w:r>
        <w:rPr>
          <w:rFonts w:hint="eastAsia" w:ascii="楷体" w:hAnsi="楷体" w:eastAsia="楷体" w:cs="楷体"/>
          <w:b/>
          <w:bCs/>
          <w:color w:val="auto"/>
          <w:sz w:val="24"/>
        </w:rPr>
        <w:t>附件3：</w:t>
      </w:r>
    </w:p>
    <w:p w14:paraId="3D1A6F27">
      <w:pPr>
        <w:widowControl/>
        <w:spacing w:line="360" w:lineRule="exact"/>
        <w:jc w:val="center"/>
        <w:outlineLvl w:val="2"/>
        <w:rPr>
          <w:rFonts w:eastAsia="楷体"/>
          <w:b/>
          <w:color w:val="auto"/>
          <w:sz w:val="30"/>
          <w:szCs w:val="30"/>
        </w:rPr>
      </w:pPr>
      <w:bookmarkStart w:id="38" w:name="_Toc256000030"/>
      <w:r>
        <w:rPr>
          <w:rFonts w:eastAsia="楷体"/>
          <w:b/>
          <w:color w:val="auto"/>
          <w:sz w:val="30"/>
          <w:szCs w:val="30"/>
        </w:rPr>
        <w:t>施工现场质量、安全文明施工管理规定</w:t>
      </w:r>
      <w:bookmarkEnd w:id="38"/>
    </w:p>
    <w:p w14:paraId="2C6E958D">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为落实质量安全管理责任，防止发生质量安全事故，切实保证项目质量和安全文明施工，特制订本规定。</w:t>
      </w:r>
    </w:p>
    <w:p w14:paraId="541EA290">
      <w:pPr>
        <w:widowControl/>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一、承包单位质量管理职责</w:t>
      </w:r>
    </w:p>
    <w:p w14:paraId="555275EB">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1、承包人应严格遵守国家、省、市有关工程质量的法律法规、规范、标准的要求，认真履行合同约定的工程质量责任和义务。</w:t>
      </w:r>
    </w:p>
    <w:p w14:paraId="3D1CF304">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2、承包人应在施工场地设置专门的工程质量管理机构，配备足够的质量管理人员，建立完善的管理制度。</w:t>
      </w:r>
    </w:p>
    <w:p w14:paraId="00FEC73D">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3、承包人应加强对施工作业人员的工程质量教育培训和技术交底，定期考核施工作业人员的劳动技能，加强工程质量管理。</w:t>
      </w:r>
    </w:p>
    <w:p w14:paraId="39D46E11">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4、承包人应对工程质量负责，严格执行国家、省、市有关工程质量的操作规程及管理要求，按照施工设计图纸和施工技术标准施工，不得偷工减料，不得擅自修改施工设计图纸，确保工程质量。</w:t>
      </w:r>
    </w:p>
    <w:p w14:paraId="2E8119CC">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5、承包人应建立并健全全面质量管理体系，严格按照操作工艺流程、技术要求施工，设置各级技术管理和质量检查人员，并严格按技术标准进行质量检查，自检合格后须报监理单位和质量监督机构验收，符合质量要求后方能进行下一道工序的施工；如果监理单位发现承包单位所报项目不符合要求，承包单位须按要求整改，直至符合要求为止。</w:t>
      </w:r>
    </w:p>
    <w:p w14:paraId="407F9983">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6、承包人应根据发包人移交的测量控制网点和工程测量技术规范要求布设施工控制网，报监理工程师复核确认后才能进行下道工序。</w:t>
      </w:r>
    </w:p>
    <w:p w14:paraId="73DB0758">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7、承包人应按照标准与规范、设计要求和合同约定的要求采购本项目使用的材料和工程设备，提供产品质量合格证明文件，对材料和工程设备质量负责。采购的材料和工程设备，应与所提交的响应文件相应内容一致。</w:t>
      </w:r>
    </w:p>
    <w:p w14:paraId="15DDD056">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8、无论工程材料和设备是发包人提供或承包方自购，均不解除承包单位所负的工程质量责任。承包单位应对工程所有材料和设备按规范进行检验，拒绝不合格产品用于本工程。无论何种原因，出现不合格品用于本工程，均由承包单位承担相应责任。</w:t>
      </w:r>
    </w:p>
    <w:p w14:paraId="3EA06BE2">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9、承包人应按照规范、设计要求以及监理工程师发出的指令施工，确保工程质量，随时接受监理工程师的检查，并为监理工程师的检查提供便利和协助。</w:t>
      </w:r>
    </w:p>
    <w:p w14:paraId="28D3519C">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10、没有经监理工程师验收同意，施工单位不得将任何工程物覆盖或隐蔽。私自将隐蔽工程覆盖的，监理工程师有权指示承包单位进行钻孔探测或剥露验收，由此增加的费用和（或）延误的工期由承包单位承担。</w:t>
      </w:r>
    </w:p>
    <w:p w14:paraId="0B295867">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11、自开工起至工程竣工验收移交给发包人止，承包人对本工程承包范围内的工程材料、半成品、成品的配套设备负完全的照管责任，照管期间发生损坏及遗失，承包方负责予以赔偿。</w:t>
      </w:r>
    </w:p>
    <w:p w14:paraId="1841A262">
      <w:pPr>
        <w:spacing w:line="360" w:lineRule="exact"/>
        <w:ind w:firstLine="420" w:firstLineChars="200"/>
        <w:jc w:val="left"/>
        <w:textAlignment w:val="baseline"/>
        <w:rPr>
          <w:rFonts w:ascii="楷体" w:hAnsi="楷体" w:eastAsia="楷体" w:cs="楷体"/>
          <w:color w:val="auto"/>
          <w:szCs w:val="21"/>
        </w:rPr>
      </w:pPr>
      <w:r>
        <w:rPr>
          <w:rFonts w:hint="eastAsia" w:ascii="楷体" w:hAnsi="楷体" w:eastAsia="楷体" w:cs="楷体"/>
          <w:color w:val="auto"/>
          <w:szCs w:val="21"/>
        </w:rPr>
        <w:t>12、承包人应准确、及时地做好日常工程技术资料的记录、整理和归档工作。保证记录中原始数据的真实性和及时性，保证按国家、地方、行业的有关规定及时做好相关技术资料的整理和归档。</w:t>
      </w:r>
    </w:p>
    <w:p w14:paraId="0A2CFCDB">
      <w:pPr>
        <w:widowControl/>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二、承包单位安全文明施工管理职责</w:t>
      </w:r>
    </w:p>
    <w:p w14:paraId="57730817">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1、承包人为工程安全文明施工的第一责任单位，全面负责本工程的安全文明施工管理工作。</w:t>
      </w:r>
    </w:p>
    <w:p w14:paraId="238FA1C6">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2、承包人应在施工场地设置专门的施工安全管理机构，按规定配备专职安全管理人员，建立完善的安全管理制度。</w:t>
      </w:r>
    </w:p>
    <w:p w14:paraId="01FA8098">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3、承包人应严格遵守国家、省、市有关安全文明施工的法律法规、标准、规范等规定，认真履行合同约定的施工安全的责任和义务。</w:t>
      </w:r>
    </w:p>
    <w:p w14:paraId="0ABA40D4">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4、现场各分包单位的安全文明施工情况均应纳入承包单位的管理范畴。承包单位应根据有关要求，明确对各分包单位的安全文明施工管理要求，并报监理单位和发包人备案。</w:t>
      </w:r>
    </w:p>
    <w:p w14:paraId="08D3D0C9">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5、承包人应组织各施工班组及各分包单位认真贯彻执行国家及地方有关安全文明施工管理的法律法规、规范性文件及本规定要求，切实做好本工程的安全生产和文明施工工作。</w:t>
      </w:r>
    </w:p>
    <w:p w14:paraId="3FBC0FDF">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6、承包人应严格按照国家有关安全文明施工的标准与规范制定安全文明施工操作规程，配备必要的安全生产和劳动保护设施；严格遵守消防部门的有关规定，配备足够的消防设施；加强对施工作业人员的施工安全教育培训；采取有效措施消除安全隐患；确保与本工程有关的财物、人身安全。</w:t>
      </w:r>
    </w:p>
    <w:p w14:paraId="0F8F827D">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7、承包人应加强施工作业安全管理，特别应加强重大危险源的施工管理，尽量避免人员伤亡和财产损失。</w:t>
      </w:r>
    </w:p>
    <w:p w14:paraId="08DC0209">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8、承包人应按要求制定应对灾害的紧急预案，并按预案做好安全检查，配置必要的救助物资和器材，必要时进行应急演练，切实保护好有关人员的人身和财产安全。</w:t>
      </w:r>
    </w:p>
    <w:p w14:paraId="3B1805D9">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9、承包人违反有关规定或由于承包单位原因造成安全事故的，由承包单位承担全部损失和责任，由此增加的费用和延误的工期由承包单位承担。</w:t>
      </w:r>
    </w:p>
    <w:p w14:paraId="73160742">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10、承包人应对其履行合同所雇用的全部人员，包括分包单位人员的安全事故承担责任。</w:t>
      </w:r>
    </w:p>
    <w:p w14:paraId="7C32C38C">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11、由于承包人原因在施工场地内及其毗邻造成的第三者人身伤亡和财产损失，由承包人负责赔偿。</w:t>
      </w:r>
    </w:p>
    <w:p w14:paraId="6BADD806">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12、承包人应遵守国家有关环境保护、卫生监督的法律法规，按照合同约定采取有效措施，保证施工场地达到环境保护、卫生部门的管理要求，为现场所有人员提供并维护干净卫生的生活设施。</w:t>
      </w:r>
    </w:p>
    <w:p w14:paraId="36CDEB1B">
      <w:pPr>
        <w:widowControl/>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三、承包人质量、安全文明施工管理违约责任</w:t>
      </w:r>
    </w:p>
    <w:p w14:paraId="1749227D">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若因承包人的原因造成安全事故，承包人必须承担全部的民事赔偿责任。除按国家及行业规定由上级主管部门实施处罚外，承包人还应根据法定部门认定的安全事故等级，承担相应的违约赔偿责任。具体规定为：</w:t>
      </w:r>
    </w:p>
    <w:p w14:paraId="5F15B843">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1、发生特别重大事故，承包人按所发生事故的分项工程总价10%且不得低于人民币20万元向发包人支付违约金，同时发包人有权单方面解除合同；</w:t>
      </w:r>
    </w:p>
    <w:p w14:paraId="11CC2C2F">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2、发生重大事故，承包人按所发生事故的分项工程总价8%且不得低于人民币16万元向发包人支付违约金，同时发包人有权单方面解除合同；</w:t>
      </w:r>
    </w:p>
    <w:p w14:paraId="3C762C2B">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3、发生较大事故，承包人按所发生事故的分项工程总价6%且不得低于人民币12万元向发包人支付违约金；</w:t>
      </w:r>
    </w:p>
    <w:p w14:paraId="2ED981F1">
      <w:pPr>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4、发生一般事故，承包人按所发生事故的分项工程总价4%且不得低于人民币8万元向发包人支付违约金。</w:t>
      </w:r>
    </w:p>
    <w:p w14:paraId="4CA3F1BA">
      <w:pPr>
        <w:spacing w:line="360" w:lineRule="exact"/>
        <w:ind w:firstLine="420" w:firstLineChars="200"/>
        <w:outlineLvl w:val="0"/>
        <w:rPr>
          <w:rFonts w:ascii="楷体" w:hAnsi="楷体" w:eastAsia="楷体" w:cs="楷体"/>
          <w:b/>
          <w:bCs/>
          <w:color w:val="auto"/>
          <w:szCs w:val="21"/>
        </w:rPr>
      </w:pPr>
      <w:bookmarkStart w:id="39" w:name="_Toc256000031"/>
      <w:r>
        <w:rPr>
          <w:rFonts w:hint="eastAsia" w:ascii="楷体" w:hAnsi="楷体" w:eastAsia="楷体" w:cs="楷体"/>
          <w:color w:val="auto"/>
          <w:szCs w:val="21"/>
        </w:rPr>
        <w:t>除了上述约定的违约金，若因此造成发包人或第三人损失的，承包人还应赔偿发包人或第三人因此造成的损失。</w:t>
      </w:r>
      <w:bookmarkEnd w:id="39"/>
    </w:p>
    <w:p w14:paraId="40BF5881">
      <w:pPr>
        <w:autoSpaceDE w:val="0"/>
        <w:autoSpaceDN w:val="0"/>
        <w:spacing w:line="360" w:lineRule="exact"/>
        <w:jc w:val="left"/>
        <w:rPr>
          <w:rFonts w:ascii="楷体" w:hAnsi="楷体" w:eastAsia="楷体" w:cs="楷体"/>
          <w:color w:val="auto"/>
          <w:sz w:val="24"/>
        </w:rPr>
      </w:pPr>
      <w:r>
        <w:rPr>
          <w:rFonts w:hint="eastAsia" w:ascii="楷体" w:hAnsi="楷体" w:eastAsia="楷体" w:cs="楷体"/>
          <w:b/>
          <w:bCs/>
          <w:color w:val="auto"/>
          <w:sz w:val="24"/>
        </w:rPr>
        <w:t>附件4：</w:t>
      </w:r>
    </w:p>
    <w:p w14:paraId="0964B0B8">
      <w:pPr>
        <w:adjustRightInd w:val="0"/>
        <w:snapToGrid w:val="0"/>
        <w:spacing w:line="360" w:lineRule="exact"/>
        <w:jc w:val="center"/>
        <w:rPr>
          <w:rFonts w:ascii="楷体" w:hAnsi="楷体" w:eastAsia="楷体" w:cs="楷体"/>
          <w:b/>
          <w:color w:val="auto"/>
          <w:sz w:val="30"/>
          <w:szCs w:val="30"/>
        </w:rPr>
      </w:pPr>
      <w:r>
        <w:rPr>
          <w:rFonts w:hint="eastAsia" w:ascii="楷体" w:hAnsi="楷体" w:eastAsia="楷体" w:cs="楷体"/>
          <w:b/>
          <w:color w:val="auto"/>
          <w:sz w:val="30"/>
          <w:szCs w:val="30"/>
        </w:rPr>
        <w:t>廉洁协议</w:t>
      </w:r>
    </w:p>
    <w:p w14:paraId="39A19162">
      <w:pPr>
        <w:widowControl/>
        <w:snapToGrid w:val="0"/>
        <w:spacing w:line="360" w:lineRule="exact"/>
        <w:ind w:firstLine="420" w:firstLineChars="200"/>
        <w:jc w:val="left"/>
        <w:rPr>
          <w:rFonts w:ascii="楷体" w:hAnsi="楷体" w:eastAsia="楷体" w:cs="楷体"/>
          <w:color w:val="auto"/>
          <w:szCs w:val="21"/>
          <w:lang w:bidi="en-US"/>
        </w:rPr>
      </w:pPr>
    </w:p>
    <w:p w14:paraId="26DE72B3">
      <w:pPr>
        <w:spacing w:line="360" w:lineRule="exact"/>
        <w:jc w:val="left"/>
        <w:rPr>
          <w:rFonts w:ascii="楷体" w:hAnsi="楷体" w:eastAsia="楷体" w:cs="楷体"/>
          <w:color w:val="auto"/>
          <w:szCs w:val="21"/>
        </w:rPr>
      </w:pPr>
      <w:r>
        <w:rPr>
          <w:rFonts w:hint="eastAsia" w:ascii="楷体" w:hAnsi="楷体" w:eastAsia="楷体" w:cs="楷体"/>
          <w:color w:val="auto"/>
          <w:szCs w:val="21"/>
          <w:lang w:bidi="en-US"/>
        </w:rPr>
        <w:t>发包人：</w:t>
      </w:r>
      <w:r>
        <w:rPr>
          <w:rFonts w:hint="eastAsia" w:ascii="楷体" w:hAnsi="楷体" w:eastAsia="楷体" w:cs="楷体"/>
          <w:b/>
          <w:bCs/>
          <w:color w:val="auto"/>
          <w:szCs w:val="21"/>
          <w:u w:val="single"/>
        </w:rPr>
        <w:t>湖南东方数智能源投资有限公司</w:t>
      </w:r>
    </w:p>
    <w:p w14:paraId="63E72104">
      <w:pPr>
        <w:tabs>
          <w:tab w:val="left" w:pos="5803"/>
        </w:tabs>
        <w:spacing w:line="360" w:lineRule="exact"/>
        <w:jc w:val="left"/>
        <w:rPr>
          <w:rFonts w:ascii="楷体" w:hAnsi="楷体" w:eastAsia="楷体" w:cs="楷体"/>
          <w:color w:val="auto"/>
          <w:szCs w:val="21"/>
          <w:u w:val="single"/>
        </w:rPr>
      </w:pPr>
      <w:r>
        <w:rPr>
          <w:rFonts w:hint="eastAsia" w:ascii="楷体" w:hAnsi="楷体" w:eastAsia="楷体" w:cs="楷体"/>
          <w:color w:val="auto"/>
          <w:szCs w:val="21"/>
          <w:u w:val="single"/>
        </w:rPr>
        <w:t xml:space="preserve">承包人：                             </w:t>
      </w:r>
    </w:p>
    <w:p w14:paraId="3768FE1E">
      <w:pPr>
        <w:spacing w:line="360" w:lineRule="exact"/>
        <w:jc w:val="left"/>
        <w:rPr>
          <w:rFonts w:ascii="楷体" w:hAnsi="楷体" w:eastAsia="楷体" w:cs="楷体"/>
          <w:b/>
          <w:color w:val="auto"/>
          <w:szCs w:val="21"/>
        </w:rPr>
      </w:pPr>
    </w:p>
    <w:p w14:paraId="10E466D0">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根据国家法律法规以及有关廉政建设的规定，为做好合同执行过程中党风廉政建设，保证建设资金的安全和有效使用，双方特订立如下廉洁协议：</w:t>
      </w:r>
    </w:p>
    <w:p w14:paraId="63081E17">
      <w:pPr>
        <w:adjustRightInd w:val="0"/>
        <w:snapToGrid w:val="0"/>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第一条 共同责任</w:t>
      </w:r>
    </w:p>
    <w:p w14:paraId="4F39F11E">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（一）严格遵守党和国家有关法律法规及湖南省、长沙市、长沙经开区的相关规定。</w:t>
      </w:r>
    </w:p>
    <w:p w14:paraId="1FB41637">
      <w:pPr>
        <w:widowControl/>
        <w:adjustRightInd w:val="0"/>
        <w:snapToGrid w:val="0"/>
        <w:spacing w:line="360" w:lineRule="exact"/>
        <w:ind w:firstLine="420" w:firstLineChars="200"/>
        <w:jc w:val="left"/>
        <w:rPr>
          <w:rFonts w:ascii="楷体" w:hAnsi="楷体" w:eastAsia="楷体" w:cs="楷体"/>
          <w:color w:val="auto"/>
          <w:szCs w:val="21"/>
        </w:rPr>
      </w:pPr>
      <w:r>
        <w:rPr>
          <w:rFonts w:hint="eastAsia" w:ascii="楷体" w:hAnsi="楷体" w:eastAsia="楷体" w:cs="楷体"/>
          <w:color w:val="auto"/>
          <w:szCs w:val="21"/>
        </w:rPr>
        <w:t>（二）严格执行</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以下称主合同）的合同文件，按照合同约定履行。</w:t>
      </w:r>
    </w:p>
    <w:p w14:paraId="475934A6">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（三）双方的业务活动坚持公开、公正、诚信、透明的原则（除法律认定的商业秘密和合同文件另有规定之外），不得损害国家和集体利益，违反工程建设规章制度。</w:t>
      </w:r>
    </w:p>
    <w:p w14:paraId="4C668D83">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（四）建立健全廉政制度，开展廉政教育，设立廉政告示牌，公布举报电话，监督并认真查处违纪违法行为。</w:t>
      </w:r>
    </w:p>
    <w:p w14:paraId="5CEBFAF4">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（五）发现对方在业务活动中有违反廉政规定的行为，有及时提醒对方纠正的权利和义务。</w:t>
      </w:r>
    </w:p>
    <w:p w14:paraId="7C85D779">
      <w:pPr>
        <w:adjustRightInd w:val="0"/>
        <w:snapToGrid w:val="0"/>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第二条 共同权利</w:t>
      </w:r>
    </w:p>
    <w:p w14:paraId="64F14D97">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发现对方严重违反本协议义务条款的行为，有向其上级有关部门举报、建议给予处理并要求告知处理结果的权利。</w:t>
      </w:r>
    </w:p>
    <w:p w14:paraId="6C5F66C9">
      <w:pPr>
        <w:adjustRightInd w:val="0"/>
        <w:snapToGrid w:val="0"/>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第三条 发包人的义务</w:t>
      </w:r>
    </w:p>
    <w:p w14:paraId="7B2AFF42">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（一）发包人及其工作人员不得索要或接受承包人的礼金、有价证券和贵重物品。</w:t>
      </w:r>
    </w:p>
    <w:p w14:paraId="4DA36F7E">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（二）发包人及其工作人员不得在承包人报销任何应由发包人或个人支付的费用等。</w:t>
      </w:r>
    </w:p>
    <w:p w14:paraId="756EB259">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（三）发包人及其工作人员不得参加发包人安排的超标准宴请和娱乐活动。</w:t>
      </w:r>
    </w:p>
    <w:p w14:paraId="7A3F52FE">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（四）发包人及其工作人员不得接受发包人提供的通信工具、交通工具和高档办公用品等。</w:t>
      </w:r>
    </w:p>
    <w:p w14:paraId="37BCAD5D">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（五）发包人及其工作人员不得要求或者接受发包人为其住房装修、婚丧嫁娶活动、配偶子女的工作安排以及出国出境、旅游等提供方便等。</w:t>
      </w:r>
    </w:p>
    <w:p w14:paraId="3DCFC627">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（六）发包人及其工作人员不得有违反法律法规、廉洁从业规定的其他行为。</w:t>
      </w:r>
    </w:p>
    <w:p w14:paraId="32470911">
      <w:pPr>
        <w:adjustRightInd w:val="0"/>
        <w:snapToGrid w:val="0"/>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第四条 承包人义务</w:t>
      </w:r>
    </w:p>
    <w:p w14:paraId="69EA4714">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（一）承包人不得以任何理由向发包人及其工作人员行贿或馈赠礼金、有价证券、贵重物品。</w:t>
      </w:r>
    </w:p>
    <w:p w14:paraId="17AD35F4">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（二）承包人不得以任何名义为发包人及其工作人员报销应由发包人单位或个人支付的任何费用。</w:t>
      </w:r>
    </w:p>
    <w:p w14:paraId="19ECEB7D">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（三）承包人不得以任何理由安排发包人工作人员参加超标准宴请、健身及娱乐活动。</w:t>
      </w:r>
    </w:p>
    <w:p w14:paraId="5D3BA2A4">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（四）承包人不得为发包人及其工作人员购置或提供通信工具、交通工具和高档办公用品等。</w:t>
      </w:r>
    </w:p>
    <w:p w14:paraId="5B24CC74">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（五）承包人不得为发包人及其工作人员住房装修、婚丧嫁娶活动、配偶子女的工作安排以及出国出境、旅游等提供方便等。</w:t>
      </w:r>
    </w:p>
    <w:p w14:paraId="129ABFF2">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（六）承包人不得有违反法律法规、廉洁从业规定的其他行为。</w:t>
      </w:r>
    </w:p>
    <w:p w14:paraId="17A3AD58">
      <w:pPr>
        <w:adjustRightInd w:val="0"/>
        <w:snapToGrid w:val="0"/>
        <w:spacing w:line="360" w:lineRule="exact"/>
        <w:ind w:firstLine="422" w:firstLineChars="200"/>
        <w:rPr>
          <w:rFonts w:ascii="楷体" w:hAnsi="楷体" w:eastAsia="楷体" w:cs="楷体"/>
          <w:b/>
          <w:color w:val="auto"/>
          <w:szCs w:val="21"/>
        </w:rPr>
      </w:pPr>
      <w:r>
        <w:rPr>
          <w:rFonts w:hint="eastAsia" w:ascii="楷体" w:hAnsi="楷体" w:eastAsia="楷体" w:cs="楷体"/>
          <w:b/>
          <w:color w:val="auto"/>
          <w:szCs w:val="21"/>
        </w:rPr>
        <w:t>第五条 违约责任</w:t>
      </w:r>
    </w:p>
    <w:p w14:paraId="53AA61DF">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（一）发包人及其工作人员违反本协议，视情节轻重按管理权限，依据有关规定给予党纪、政纪或组织处理，调离其工作岗位；涉嫌犯罪的，移交司法机关追究刑事责任；给承包人造成经济损失的，应予以赔偿。</w:t>
      </w:r>
    </w:p>
    <w:p w14:paraId="1C60B7E2">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二）承包人及其工作人员违反本协议，视情节轻重按管理权限，依据有关规定，给予党纪、政纪或组织处理；给发包人单位造成经济损失的，应予以赔偿；情节严重的，发包人可以单方解除与承包人的合同，并给予承包人三年内不得对发包人组织建设的工程项目进行投标的处罚。</w:t>
      </w:r>
    </w:p>
    <w:p w14:paraId="00EA90D9">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第六条 双方约定：本合同由双方或双方上级单位的纪检监察机关负责监督执行。由发包人或发包人上级单位的纪检监察机关约请承包人或承包人上级单位纪检监察机关对本合同执行情况进行检查；提出在本合同约定范围内的裁定意见。</w:t>
      </w:r>
    </w:p>
    <w:p w14:paraId="7947C6C6">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第七条 本协议有效期为双方签署之日起至主合同完全履行完毕之日止。</w:t>
      </w:r>
    </w:p>
    <w:p w14:paraId="152B4373">
      <w:pPr>
        <w:adjustRightInd w:val="0"/>
        <w:snapToGrid w:val="0"/>
        <w:spacing w:line="360" w:lineRule="exact"/>
        <w:ind w:firstLine="420" w:firstLineChars="200"/>
        <w:rPr>
          <w:rFonts w:ascii="楷体" w:hAnsi="楷体" w:eastAsia="楷体" w:cs="楷体"/>
          <w:color w:val="auto"/>
          <w:szCs w:val="21"/>
        </w:rPr>
      </w:pPr>
      <w:r>
        <w:rPr>
          <w:rFonts w:hint="eastAsia" w:ascii="楷体" w:hAnsi="楷体" w:eastAsia="楷体" w:cs="楷体"/>
          <w:color w:val="auto"/>
          <w:szCs w:val="21"/>
        </w:rPr>
        <w:t>第八条 本协议作为主合同的附件，与主合同具有同等的法律效力，经合同双方签署立即生效。</w:t>
      </w:r>
    </w:p>
    <w:p w14:paraId="76043C30">
      <w:pPr>
        <w:spacing w:line="360" w:lineRule="exact"/>
        <w:ind w:firstLine="420" w:firstLineChars="200"/>
        <w:rPr>
          <w:rFonts w:ascii="楷体" w:hAnsi="楷体" w:eastAsia="楷体" w:cs="楷体"/>
          <w:color w:val="auto"/>
          <w:szCs w:val="21"/>
        </w:rPr>
      </w:pPr>
    </w:p>
    <w:p w14:paraId="78D865CE">
      <w:pPr>
        <w:spacing w:line="360" w:lineRule="exact"/>
        <w:ind w:left="6090" w:hanging="6090" w:hangingChars="2900"/>
        <w:rPr>
          <w:rFonts w:ascii="楷体" w:hAnsi="楷体" w:eastAsia="楷体" w:cs="楷体"/>
          <w:color w:val="auto"/>
          <w:szCs w:val="21"/>
        </w:rPr>
      </w:pPr>
      <w:r>
        <w:rPr>
          <w:rFonts w:hint="eastAsia" w:ascii="楷体" w:hAnsi="楷体" w:eastAsia="楷体" w:cs="楷体"/>
          <w:color w:val="auto"/>
          <w:szCs w:val="21"/>
        </w:rPr>
        <w:t xml:space="preserve">发包人（盖章）：                          承包人（盖章）：               </w:t>
      </w:r>
    </w:p>
    <w:p w14:paraId="6434463F">
      <w:pPr>
        <w:spacing w:line="360" w:lineRule="exact"/>
        <w:rPr>
          <w:rFonts w:ascii="楷体" w:hAnsi="楷体" w:eastAsia="楷体" w:cs="楷体"/>
          <w:color w:val="auto"/>
          <w:szCs w:val="21"/>
        </w:rPr>
      </w:pPr>
      <w:r>
        <w:rPr>
          <w:rFonts w:hint="eastAsia" w:ascii="楷体" w:hAnsi="楷体" w:eastAsia="楷体" w:cs="楷体"/>
          <w:color w:val="auto"/>
          <w:szCs w:val="21"/>
        </w:rPr>
        <w:t>法定代表人：                              法定代表人：</w:t>
      </w:r>
    </w:p>
    <w:p w14:paraId="36CEEFDE">
      <w:pPr>
        <w:spacing w:line="360" w:lineRule="exact"/>
        <w:rPr>
          <w:rFonts w:ascii="楷体" w:hAnsi="楷体" w:eastAsia="楷体" w:cs="楷体"/>
          <w:color w:val="auto"/>
          <w:szCs w:val="21"/>
        </w:rPr>
      </w:pPr>
      <w:r>
        <w:rPr>
          <w:rFonts w:hint="eastAsia" w:ascii="楷体" w:hAnsi="楷体" w:eastAsia="楷体" w:cs="楷体"/>
          <w:color w:val="auto"/>
          <w:szCs w:val="21"/>
        </w:rPr>
        <w:t>或委托代理人（签章）：                    或委托代理人（签章）：</w:t>
      </w:r>
    </w:p>
    <w:p w14:paraId="35051848">
      <w:pPr>
        <w:snapToGrid w:val="0"/>
        <w:spacing w:line="360" w:lineRule="exact"/>
        <w:rPr>
          <w:rFonts w:ascii="楷体" w:hAnsi="楷体" w:eastAsia="楷体" w:cs="楷体"/>
          <w:color w:val="auto"/>
          <w:szCs w:val="21"/>
        </w:rPr>
      </w:pPr>
    </w:p>
    <w:p w14:paraId="3CE4078B">
      <w:pPr>
        <w:snapToGrid w:val="0"/>
        <w:spacing w:line="360" w:lineRule="exact"/>
        <w:rPr>
          <w:rFonts w:ascii="楷体" w:hAnsi="楷体" w:eastAsia="楷体" w:cs="楷体"/>
          <w:color w:val="auto"/>
          <w:szCs w:val="21"/>
          <w:u w:val="single"/>
        </w:rPr>
      </w:pPr>
      <w:r>
        <w:rPr>
          <w:rFonts w:hint="eastAsia" w:ascii="楷体" w:hAnsi="楷体" w:eastAsia="楷体" w:cs="楷体"/>
          <w:color w:val="auto"/>
          <w:szCs w:val="21"/>
        </w:rPr>
        <w:t xml:space="preserve">                                    日期：</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年</w:t>
      </w:r>
      <w:r>
        <w:rPr>
          <w:rFonts w:hint="eastAsia" w:ascii="楷体" w:hAnsi="楷体" w:eastAsia="楷体" w:cs="楷体"/>
          <w:color w:val="auto"/>
          <w:szCs w:val="21"/>
          <w:u w:val="single"/>
        </w:rPr>
        <w:t xml:space="preserve">        </w:t>
      </w:r>
      <w:r>
        <w:rPr>
          <w:rFonts w:hint="eastAsia" w:ascii="楷体" w:hAnsi="楷体" w:eastAsia="楷体" w:cs="楷体"/>
          <w:color w:val="auto"/>
          <w:szCs w:val="21"/>
        </w:rPr>
        <w:t>月</w:t>
      </w:r>
      <w:r>
        <w:rPr>
          <w:rFonts w:hint="eastAsia" w:ascii="楷体" w:hAnsi="楷体" w:eastAsia="楷体" w:cs="楷体"/>
          <w:color w:val="auto"/>
          <w:szCs w:val="21"/>
          <w:u w:val="single"/>
        </w:rPr>
        <w:t xml:space="preserve">      日</w:t>
      </w:r>
    </w:p>
    <w:p w14:paraId="48D7FC50">
      <w:pPr>
        <w:rPr>
          <w:color w:val="auto"/>
        </w:rPr>
      </w:pPr>
    </w:p>
    <w:p w14:paraId="069D4365">
      <w:pPr>
        <w:snapToGrid w:val="0"/>
        <w:spacing w:before="120" w:line="360" w:lineRule="auto"/>
        <w:ind w:left="420"/>
        <w:jc w:val="center"/>
        <w:rPr>
          <w:rFonts w:asciiTheme="minorEastAsia" w:hAnsiTheme="minorEastAsia" w:eastAsiaTheme="minorEastAsia"/>
          <w:b/>
          <w:color w:val="auto"/>
          <w:sz w:val="32"/>
        </w:rPr>
      </w:pPr>
    </w:p>
    <w:p w14:paraId="5D73B24F">
      <w:pPr>
        <w:snapToGrid w:val="0"/>
        <w:spacing w:before="120" w:line="360" w:lineRule="auto"/>
        <w:ind w:left="420"/>
        <w:jc w:val="center"/>
        <w:rPr>
          <w:rFonts w:asciiTheme="minorEastAsia" w:hAnsiTheme="minorEastAsia" w:eastAsiaTheme="minorEastAsia"/>
          <w:b/>
          <w:color w:val="auto"/>
          <w:sz w:val="32"/>
        </w:rPr>
      </w:pPr>
    </w:p>
    <w:p w14:paraId="799ED99A">
      <w:pPr>
        <w:snapToGrid w:val="0"/>
        <w:spacing w:before="120" w:line="360" w:lineRule="auto"/>
        <w:ind w:left="420"/>
        <w:jc w:val="center"/>
        <w:rPr>
          <w:rFonts w:asciiTheme="minorEastAsia" w:hAnsiTheme="minorEastAsia" w:eastAsiaTheme="minorEastAsia"/>
          <w:b/>
          <w:color w:val="auto"/>
          <w:sz w:val="32"/>
        </w:rPr>
      </w:pPr>
    </w:p>
    <w:p w14:paraId="662DC0CD">
      <w:pPr>
        <w:snapToGrid w:val="0"/>
        <w:spacing w:before="120" w:line="360" w:lineRule="auto"/>
        <w:ind w:left="420"/>
        <w:jc w:val="center"/>
        <w:rPr>
          <w:rFonts w:asciiTheme="minorEastAsia" w:hAnsiTheme="minorEastAsia" w:eastAsiaTheme="minorEastAsia"/>
          <w:b/>
          <w:color w:val="auto"/>
          <w:sz w:val="32"/>
        </w:rPr>
      </w:pPr>
    </w:p>
    <w:p w14:paraId="2C283CC9">
      <w:pPr>
        <w:snapToGrid w:val="0"/>
        <w:spacing w:before="120" w:line="360" w:lineRule="auto"/>
        <w:ind w:left="420"/>
        <w:jc w:val="center"/>
        <w:rPr>
          <w:rFonts w:asciiTheme="minorEastAsia" w:hAnsiTheme="minorEastAsia" w:eastAsiaTheme="minorEastAsia"/>
          <w:b/>
          <w:color w:val="auto"/>
          <w:sz w:val="32"/>
        </w:rPr>
      </w:pPr>
    </w:p>
    <w:p w14:paraId="1B3FF1F7">
      <w:pPr>
        <w:snapToGrid w:val="0"/>
        <w:spacing w:before="120" w:line="360" w:lineRule="auto"/>
        <w:ind w:left="420"/>
        <w:jc w:val="center"/>
        <w:rPr>
          <w:rFonts w:asciiTheme="minorEastAsia" w:hAnsiTheme="minorEastAsia" w:eastAsiaTheme="minorEastAsia"/>
          <w:b/>
          <w:color w:val="auto"/>
          <w:sz w:val="32"/>
        </w:rPr>
      </w:pPr>
    </w:p>
    <w:p w14:paraId="1F8DCE97">
      <w:pPr>
        <w:snapToGrid w:val="0"/>
        <w:spacing w:before="120" w:line="360" w:lineRule="auto"/>
        <w:ind w:left="420"/>
        <w:jc w:val="center"/>
        <w:rPr>
          <w:rFonts w:asciiTheme="minorEastAsia" w:hAnsiTheme="minorEastAsia" w:eastAsiaTheme="minorEastAsia"/>
          <w:b/>
          <w:color w:val="auto"/>
          <w:sz w:val="32"/>
        </w:rPr>
      </w:pPr>
    </w:p>
    <w:p w14:paraId="3DBE7B18">
      <w:pPr>
        <w:snapToGrid w:val="0"/>
        <w:spacing w:before="120" w:line="360" w:lineRule="auto"/>
        <w:ind w:left="420"/>
        <w:jc w:val="center"/>
        <w:rPr>
          <w:rFonts w:asciiTheme="minorEastAsia" w:hAnsiTheme="minorEastAsia" w:eastAsiaTheme="minorEastAsia"/>
          <w:b/>
          <w:color w:val="auto"/>
          <w:sz w:val="32"/>
        </w:rPr>
      </w:pPr>
    </w:p>
    <w:p w14:paraId="6B33D6E5">
      <w:pPr>
        <w:snapToGrid w:val="0"/>
        <w:spacing w:before="120" w:line="360" w:lineRule="auto"/>
        <w:ind w:left="420"/>
        <w:jc w:val="center"/>
        <w:rPr>
          <w:rFonts w:asciiTheme="minorEastAsia" w:hAnsiTheme="minorEastAsia" w:eastAsiaTheme="minorEastAsia"/>
          <w:b/>
          <w:color w:val="auto"/>
          <w:sz w:val="32"/>
        </w:rPr>
      </w:pPr>
    </w:p>
    <w:p w14:paraId="04515DF0">
      <w:pPr>
        <w:snapToGrid w:val="0"/>
        <w:spacing w:before="120" w:line="360" w:lineRule="auto"/>
        <w:ind w:left="420"/>
        <w:jc w:val="center"/>
        <w:rPr>
          <w:rFonts w:asciiTheme="minorEastAsia" w:hAnsiTheme="minorEastAsia" w:eastAsiaTheme="minorEastAsia"/>
          <w:b/>
          <w:color w:val="auto"/>
          <w:sz w:val="32"/>
        </w:rPr>
      </w:pPr>
    </w:p>
    <w:p w14:paraId="09AD9B5C">
      <w:pPr>
        <w:snapToGrid w:val="0"/>
        <w:spacing w:before="120" w:line="360" w:lineRule="auto"/>
        <w:ind w:left="420"/>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第四章 采购需求</w:t>
      </w:r>
    </w:p>
    <w:p w14:paraId="2E952F1D">
      <w:pPr>
        <w:adjustRightInd w:val="0"/>
        <w:snapToGrid w:val="0"/>
        <w:spacing w:line="480" w:lineRule="exact"/>
        <w:rPr>
          <w:rFonts w:ascii="宋体" w:hAnsi="宋体" w:cs="宋体"/>
          <w:b/>
          <w:color w:val="auto"/>
          <w:sz w:val="24"/>
          <w:szCs w:val="24"/>
        </w:rPr>
      </w:pPr>
      <w:bookmarkStart w:id="40" w:name="OLE_LINK17"/>
      <w:bookmarkStart w:id="41" w:name="OLE_LINK11"/>
      <w:bookmarkStart w:id="42" w:name="OLE_LINK12"/>
      <w:bookmarkStart w:id="43" w:name="OLE_LINK7"/>
      <w:r>
        <w:rPr>
          <w:rFonts w:hint="eastAsia" w:ascii="宋体" w:hAnsi="宋体" w:cs="宋体"/>
          <w:b/>
          <w:color w:val="auto"/>
          <w:sz w:val="24"/>
          <w:szCs w:val="24"/>
        </w:rPr>
        <w:t>一、项目概况</w:t>
      </w:r>
    </w:p>
    <w:p w14:paraId="68CB63D6">
      <w:pPr>
        <w:adjustRightInd w:val="0"/>
        <w:snapToGrid w:val="0"/>
        <w:spacing w:line="480" w:lineRule="exact"/>
        <w:ind w:firstLine="482" w:firstLineChars="200"/>
        <w:rPr>
          <w:rFonts w:ascii="宋体" w:hAnsi="宋体" w:cs="宋体"/>
          <w:color w:val="auto"/>
          <w:kern w:val="2"/>
          <w:sz w:val="24"/>
          <w:szCs w:val="24"/>
        </w:rPr>
      </w:pPr>
      <w:r>
        <w:rPr>
          <w:rFonts w:hint="eastAsia" w:ascii="宋体" w:hAnsi="宋体" w:cs="宋体"/>
          <w:b/>
          <w:color w:val="auto"/>
          <w:sz w:val="24"/>
          <w:szCs w:val="24"/>
        </w:rPr>
        <w:t>1、项目名称：长沙经开区果园江湾学校分布式光伏电站及充电桩项目</w:t>
      </w:r>
    </w:p>
    <w:p w14:paraId="3105E73B">
      <w:pPr>
        <w:numPr>
          <w:ilvl w:val="0"/>
          <w:numId w:val="12"/>
        </w:numPr>
        <w:wordWrap w:val="0"/>
        <w:adjustRightInd w:val="0"/>
        <w:snapToGrid w:val="0"/>
        <w:spacing w:line="480" w:lineRule="exact"/>
        <w:ind w:firstLine="480" w:firstLineChars="200"/>
        <w:rPr>
          <w:rFonts w:ascii="宋体" w:hAnsi="宋体" w:cs="宋体"/>
          <w:color w:val="auto"/>
          <w:sz w:val="24"/>
          <w:szCs w:val="24"/>
        </w:rPr>
      </w:pPr>
      <w:r>
        <w:rPr>
          <w:rFonts w:hint="eastAsia" w:ascii="宋体" w:hAnsi="宋体" w:cs="宋体"/>
          <w:color w:val="auto"/>
          <w:sz w:val="24"/>
          <w:szCs w:val="24"/>
        </w:rPr>
        <w:t>采购项目预算：3270354.45元；最高磋商限价：3172243.82元。</w:t>
      </w:r>
    </w:p>
    <w:p w14:paraId="28F0BAA7">
      <w:pPr>
        <w:wordWrap w:val="0"/>
        <w:adjustRightInd w:val="0"/>
        <w:snapToGrid w:val="0"/>
        <w:spacing w:line="480" w:lineRule="exact"/>
        <w:ind w:firstLine="482" w:firstLineChars="200"/>
        <w:rPr>
          <w:rFonts w:ascii="宋体" w:hAnsi="宋体" w:cs="宋体"/>
          <w:b/>
          <w:color w:val="auto"/>
          <w:sz w:val="24"/>
          <w:szCs w:val="24"/>
        </w:rPr>
      </w:pPr>
      <w:r>
        <w:rPr>
          <w:rFonts w:hint="eastAsia" w:ascii="宋体" w:hAnsi="宋体" w:cs="宋体"/>
          <w:b/>
          <w:color w:val="auto"/>
          <w:sz w:val="24"/>
          <w:szCs w:val="24"/>
        </w:rPr>
        <w:t>工程范围：主要施工内容包括工程内容包括沟槽开挖及回填、余方外弃、设备基础施工、充电桩安装、电缆敷设、光伏组件支架采购及安装、逆变器采购及安装、桥架安装、数据监控系统、清洗系统、报装及并网手续等。具体以发包人提供的设计图纸和工程量清单中所包含的施工项为准，从施工到竣工验收、质保期全过程。（充电桩、光伏组件由甲方提供。）</w:t>
      </w:r>
    </w:p>
    <w:p w14:paraId="09B68222">
      <w:pPr>
        <w:wordWrap w:val="0"/>
        <w:adjustRightInd w:val="0"/>
        <w:snapToGrid w:val="0"/>
        <w:spacing w:line="480" w:lineRule="exact"/>
        <w:rPr>
          <w:rFonts w:ascii="宋体" w:hAnsi="宋体" w:cs="宋体"/>
          <w:b/>
          <w:color w:val="auto"/>
          <w:sz w:val="24"/>
          <w:szCs w:val="24"/>
        </w:rPr>
      </w:pPr>
      <w:r>
        <w:rPr>
          <w:rFonts w:hint="eastAsia" w:ascii="宋体" w:hAnsi="宋体" w:cs="宋体"/>
          <w:b/>
          <w:color w:val="auto"/>
          <w:sz w:val="24"/>
          <w:szCs w:val="24"/>
        </w:rPr>
        <w:t>二、项目实施要求</w:t>
      </w:r>
    </w:p>
    <w:p w14:paraId="128DA7CD">
      <w:pPr>
        <w:wordWrap w:val="0"/>
        <w:adjustRightInd w:val="0"/>
        <w:snapToGrid w:val="0"/>
        <w:spacing w:line="480" w:lineRule="exact"/>
        <w:ind w:firstLine="482" w:firstLineChars="200"/>
        <w:rPr>
          <w:rFonts w:ascii="宋体" w:hAnsi="宋体" w:cs="宋体"/>
          <w:b/>
          <w:color w:val="auto"/>
          <w:sz w:val="24"/>
          <w:szCs w:val="24"/>
        </w:rPr>
      </w:pPr>
      <w:r>
        <w:rPr>
          <w:rFonts w:hint="eastAsia" w:ascii="宋体" w:hAnsi="宋体" w:cs="宋体"/>
          <w:b/>
          <w:color w:val="auto"/>
          <w:sz w:val="24"/>
          <w:szCs w:val="24"/>
        </w:rPr>
        <w:t>1、工期要求：90日历天（以采购人通知进场时间为准）。</w:t>
      </w:r>
    </w:p>
    <w:p w14:paraId="2BFB8E44">
      <w:pPr>
        <w:wordWrap w:val="0"/>
        <w:adjustRightInd w:val="0"/>
        <w:snapToGrid w:val="0"/>
        <w:spacing w:line="480" w:lineRule="exact"/>
        <w:ind w:firstLine="482" w:firstLineChars="200"/>
        <w:rPr>
          <w:rFonts w:ascii="宋体" w:hAnsi="宋体" w:cs="宋体"/>
          <w:b/>
          <w:color w:val="auto"/>
          <w:sz w:val="24"/>
          <w:szCs w:val="24"/>
        </w:rPr>
      </w:pPr>
      <w:r>
        <w:rPr>
          <w:rFonts w:hint="eastAsia" w:ascii="宋体" w:hAnsi="宋体" w:cs="宋体"/>
          <w:b/>
          <w:color w:val="auto"/>
          <w:sz w:val="24"/>
          <w:szCs w:val="24"/>
        </w:rPr>
        <w:t>2、质量要求：</w:t>
      </w:r>
      <w:r>
        <w:rPr>
          <w:rFonts w:hint="eastAsia" w:ascii="宋体" w:hAnsi="宋体" w:cs="宋体"/>
          <w:color w:val="auto"/>
          <w:sz w:val="24"/>
          <w:szCs w:val="24"/>
        </w:rPr>
        <w:t>符合现行国家有关工程施工验收规范和标准的合格工程。</w:t>
      </w:r>
    </w:p>
    <w:p w14:paraId="2500DECB">
      <w:pPr>
        <w:wordWrap w:val="0"/>
        <w:adjustRightInd w:val="0"/>
        <w:snapToGrid w:val="0"/>
        <w:spacing w:line="480" w:lineRule="exact"/>
        <w:ind w:firstLine="482" w:firstLineChars="200"/>
        <w:rPr>
          <w:rFonts w:ascii="宋体" w:hAnsi="宋体" w:cs="宋体"/>
          <w:color w:val="auto"/>
          <w:spacing w:val="5"/>
          <w:sz w:val="24"/>
          <w:szCs w:val="24"/>
        </w:rPr>
      </w:pPr>
      <w:r>
        <w:rPr>
          <w:rFonts w:hint="eastAsia" w:ascii="宋体" w:hAnsi="宋体" w:cs="宋体"/>
          <w:b/>
          <w:color w:val="auto"/>
          <w:sz w:val="24"/>
          <w:szCs w:val="24"/>
        </w:rPr>
        <w:t>3、保修要求：</w:t>
      </w:r>
      <w:r>
        <w:rPr>
          <w:rFonts w:hint="eastAsia" w:ascii="宋体" w:hAnsi="宋体" w:cs="宋体"/>
          <w:color w:val="auto"/>
          <w:sz w:val="24"/>
          <w:szCs w:val="24"/>
        </w:rPr>
        <w:t>按国务院2000年第279号令规定进行保修。</w:t>
      </w:r>
    </w:p>
    <w:p w14:paraId="506768D9">
      <w:pPr>
        <w:wordWrap w:val="0"/>
        <w:adjustRightInd w:val="0"/>
        <w:snapToGrid w:val="0"/>
        <w:spacing w:line="480" w:lineRule="exact"/>
        <w:ind w:firstLine="482" w:firstLineChars="200"/>
        <w:rPr>
          <w:rFonts w:ascii="宋体" w:hAnsi="宋体" w:cs="宋体"/>
          <w:color w:val="auto"/>
          <w:sz w:val="24"/>
          <w:szCs w:val="24"/>
        </w:rPr>
      </w:pPr>
      <w:r>
        <w:rPr>
          <w:rFonts w:hint="eastAsia" w:ascii="宋体" w:hAnsi="宋体" w:cs="宋体"/>
          <w:b/>
          <w:color w:val="auto"/>
          <w:sz w:val="24"/>
          <w:szCs w:val="24"/>
        </w:rPr>
        <w:t>4、施工技术要求:</w:t>
      </w:r>
      <w:r>
        <w:rPr>
          <w:rFonts w:hint="eastAsia" w:ascii="宋体" w:hAnsi="宋体" w:cs="宋体"/>
          <w:color w:val="auto"/>
          <w:sz w:val="24"/>
          <w:szCs w:val="24"/>
        </w:rPr>
        <w:t>满足规范、图纸设计要求，详见采购文件中合同约定。</w:t>
      </w:r>
    </w:p>
    <w:p w14:paraId="544AC725">
      <w:pPr>
        <w:wordWrap w:val="0"/>
        <w:autoSpaceDE w:val="0"/>
        <w:autoSpaceDN w:val="0"/>
        <w:adjustRightInd w:val="0"/>
        <w:snapToGrid w:val="0"/>
        <w:spacing w:after="120" w:line="480" w:lineRule="exact"/>
        <w:ind w:firstLine="482" w:firstLineChars="200"/>
        <w:jc w:val="left"/>
        <w:rPr>
          <w:rFonts w:ascii="宋体" w:hAnsi="宋体" w:cs="宋体"/>
          <w:color w:val="auto"/>
          <w:kern w:val="2"/>
          <w:sz w:val="24"/>
          <w:szCs w:val="24"/>
        </w:rPr>
      </w:pPr>
      <w:r>
        <w:rPr>
          <w:rFonts w:hint="eastAsia" w:ascii="宋体" w:hAnsi="宋体" w:cs="宋体"/>
          <w:b/>
          <w:color w:val="auto"/>
          <w:kern w:val="2"/>
          <w:sz w:val="24"/>
          <w:szCs w:val="24"/>
        </w:rPr>
        <w:t>5、安全生产要求</w:t>
      </w:r>
      <w:r>
        <w:rPr>
          <w:rFonts w:hint="eastAsia" w:ascii="宋体" w:hAnsi="宋体" w:cs="宋体"/>
          <w:color w:val="auto"/>
          <w:kern w:val="2"/>
          <w:sz w:val="24"/>
          <w:szCs w:val="24"/>
        </w:rPr>
        <w:t>：不发生任何安全生产事故，详见采购文件中合同约定。</w:t>
      </w:r>
    </w:p>
    <w:p w14:paraId="0E28A980">
      <w:pPr>
        <w:wordWrap w:val="0"/>
        <w:adjustRightInd w:val="0"/>
        <w:snapToGrid w:val="0"/>
        <w:spacing w:line="480" w:lineRule="exact"/>
        <w:ind w:firstLine="482" w:firstLineChars="200"/>
        <w:rPr>
          <w:rFonts w:ascii="宋体" w:hAnsi="宋体" w:cs="宋体"/>
          <w:color w:val="auto"/>
          <w:sz w:val="24"/>
          <w:szCs w:val="24"/>
        </w:rPr>
      </w:pPr>
      <w:r>
        <w:rPr>
          <w:rFonts w:hint="eastAsia" w:ascii="宋体" w:hAnsi="宋体" w:cs="宋体"/>
          <w:b/>
          <w:bCs/>
          <w:color w:val="auto"/>
          <w:sz w:val="24"/>
          <w:szCs w:val="24"/>
        </w:rPr>
        <w:t>6、</w:t>
      </w:r>
      <w:r>
        <w:rPr>
          <w:rFonts w:hint="eastAsia" w:ascii="宋体" w:hAnsi="宋体" w:cs="宋体"/>
          <w:b/>
          <w:bCs/>
          <w:color w:val="auto"/>
          <w:kern w:val="2"/>
          <w:sz w:val="24"/>
          <w:szCs w:val="24"/>
        </w:rPr>
        <w:t>拟任项目经理（即项目负责人）具备机电工程专业贰级及以上注册建造师执业资格，具备项目负责人安全生产考核合格证书，且无在建工程；</w:t>
      </w:r>
    </w:p>
    <w:p w14:paraId="222D92DC">
      <w:pPr>
        <w:wordWrap w:val="0"/>
        <w:adjustRightInd w:val="0"/>
        <w:snapToGrid w:val="0"/>
        <w:spacing w:line="480" w:lineRule="exact"/>
        <w:ind w:firstLine="422" w:firstLineChars="200"/>
        <w:rPr>
          <w:rFonts w:ascii="宋体" w:hAnsi="宋体" w:cs="宋体"/>
          <w:b/>
          <w:bCs/>
          <w:color w:val="auto"/>
          <w:sz w:val="24"/>
          <w:szCs w:val="24"/>
        </w:rPr>
      </w:pPr>
      <w:r>
        <w:rPr>
          <w:rFonts w:hint="eastAsia" w:ascii="宋体" w:hAnsi="宋体"/>
          <w:b/>
          <w:color w:val="auto"/>
          <w:szCs w:val="21"/>
        </w:rPr>
        <w:t>★</w:t>
      </w:r>
      <w:r>
        <w:rPr>
          <w:rFonts w:hint="eastAsia" w:ascii="宋体" w:hAnsi="宋体" w:cs="宋体"/>
          <w:color w:val="auto"/>
          <w:sz w:val="24"/>
          <w:szCs w:val="24"/>
        </w:rPr>
        <w:t>7、</w:t>
      </w:r>
      <w:r>
        <w:rPr>
          <w:rFonts w:hint="eastAsia" w:ascii="宋体" w:hAnsi="宋体" w:cs="宋体"/>
          <w:b/>
          <w:bCs/>
          <w:color w:val="auto"/>
          <w:sz w:val="24"/>
          <w:szCs w:val="24"/>
        </w:rPr>
        <w:t>施工项目部关键岗位人员数量不得低于湘建建[2020]208号文规定的最低配备标准，关键岗位人员均为供应商正式在职人员，项目负责人无在建项目，且提供依规配备其他关键岗位人员的书面承诺，在工程实施时根据项目需要配备到位，并按照要求提供《施工项目部关键岗位人员配备承诺书》，不接受供应商的法定代表人和总经理作为本项目的关键岗位人员。</w:t>
      </w:r>
    </w:p>
    <w:p w14:paraId="2F4AC57D">
      <w:pPr>
        <w:wordWrap w:val="0"/>
        <w:adjustRightInd w:val="0"/>
        <w:snapToGrid w:val="0"/>
        <w:spacing w:line="480" w:lineRule="exact"/>
        <w:ind w:firstLine="482" w:firstLineChars="200"/>
        <w:rPr>
          <w:rFonts w:ascii="宋体" w:hAnsi="宋体" w:cs="宋体"/>
          <w:b/>
          <w:bCs/>
          <w:color w:val="auto"/>
          <w:sz w:val="24"/>
          <w:szCs w:val="24"/>
        </w:rPr>
      </w:pPr>
      <w:r>
        <w:rPr>
          <w:rFonts w:hint="eastAsia" w:ascii="宋体" w:hAnsi="宋体" w:cs="宋体"/>
          <w:b/>
          <w:bCs/>
          <w:color w:val="auto"/>
          <w:sz w:val="24"/>
          <w:szCs w:val="24"/>
        </w:rPr>
        <w:t>评标时，依规查阅相关网站，如果项目负责人有在建项目，或者未按照湘建建[2020]208号文规定的最低配备标准配备关键岗位人员，或者未按照要求的格式提供《施工项目部关键岗位人员配备承诺书》，均在资格审查中认定为不合格供应商；在质疑、投诉期内，有供应商提出关键岗位人员有在建项目并提供证明资料，经查证属实的取消成交供应商成交资格，并承担相应责任。</w:t>
      </w:r>
    </w:p>
    <w:p w14:paraId="2FF6504D">
      <w:pPr>
        <w:pStyle w:val="18"/>
        <w:snapToGrid w:val="0"/>
        <w:spacing w:line="480" w:lineRule="exact"/>
        <w:ind w:left="0" w:firstLine="480" w:firstLineChars="200"/>
        <w:rPr>
          <w:rFonts w:ascii="宋体" w:hAnsi="宋体" w:cs="宋体"/>
          <w:color w:val="auto"/>
          <w:sz w:val="24"/>
          <w:szCs w:val="24"/>
        </w:rPr>
      </w:pPr>
      <w:r>
        <w:rPr>
          <w:rFonts w:hint="eastAsia" w:ascii="宋体" w:hAnsi="宋体" w:cs="宋体"/>
          <w:color w:val="auto"/>
          <w:sz w:val="24"/>
          <w:szCs w:val="24"/>
        </w:rPr>
        <w:t>8、湖南省外企业须按照湘建建[2015]190号文件要求办理省外入湘企业基本情况登记（以“湖南省住房和城乡建设网”查询为准）。</w:t>
      </w:r>
    </w:p>
    <w:p w14:paraId="17E8EFEF">
      <w:pPr>
        <w:adjustRightInd w:val="0"/>
        <w:snapToGrid w:val="0"/>
        <w:spacing w:line="480" w:lineRule="exact"/>
        <w:rPr>
          <w:rFonts w:ascii="宋体" w:hAnsi="宋体" w:cs="宋体"/>
          <w:b/>
          <w:color w:val="auto"/>
          <w:sz w:val="24"/>
          <w:szCs w:val="24"/>
        </w:rPr>
      </w:pPr>
      <w:r>
        <w:rPr>
          <w:rFonts w:hint="eastAsia" w:ascii="宋体" w:hAnsi="宋体" w:cs="宋体"/>
          <w:b/>
          <w:color w:val="auto"/>
          <w:sz w:val="24"/>
          <w:szCs w:val="24"/>
        </w:rPr>
        <w:t>三、磋商报价要求</w:t>
      </w:r>
    </w:p>
    <w:p w14:paraId="587BADB8">
      <w:pPr>
        <w:adjustRightInd w:val="0"/>
        <w:snapToGrid w:val="0"/>
        <w:spacing w:line="480" w:lineRule="exact"/>
        <w:rPr>
          <w:rFonts w:ascii="宋体" w:hAnsi="宋体" w:cs="宋体"/>
          <w:b/>
          <w:color w:val="auto"/>
          <w:sz w:val="24"/>
          <w:szCs w:val="24"/>
        </w:rPr>
      </w:pPr>
      <w:r>
        <w:rPr>
          <w:rFonts w:hint="eastAsia" w:ascii="宋体" w:hAnsi="宋体" w:cs="宋体"/>
          <w:b/>
          <w:color w:val="auto"/>
          <w:sz w:val="24"/>
          <w:szCs w:val="24"/>
        </w:rPr>
        <w:t>1.本工程量清单（含上限价）</w:t>
      </w:r>
    </w:p>
    <w:p w14:paraId="443A0CA2">
      <w:pPr>
        <w:adjustRightInd w:val="0"/>
        <w:snapToGrid w:val="0"/>
        <w:spacing w:line="480" w:lineRule="exact"/>
        <w:ind w:firstLine="480" w:firstLineChars="200"/>
        <w:rPr>
          <w:rFonts w:ascii="宋体" w:hAnsi="宋体" w:cs="宋体"/>
          <w:color w:val="auto"/>
          <w:sz w:val="24"/>
          <w:szCs w:val="24"/>
        </w:rPr>
      </w:pPr>
      <w:r>
        <w:rPr>
          <w:rFonts w:hint="eastAsia" w:ascii="宋体" w:hAnsi="宋体" w:cs="宋体"/>
          <w:color w:val="auto"/>
          <w:sz w:val="24"/>
          <w:szCs w:val="24"/>
        </w:rPr>
        <w:t>以采购人提供的为准，详见磋商公告附件。</w:t>
      </w:r>
    </w:p>
    <w:p w14:paraId="73CCEDF3">
      <w:pPr>
        <w:adjustRightInd w:val="0"/>
        <w:snapToGrid w:val="0"/>
        <w:spacing w:line="480" w:lineRule="exact"/>
        <w:rPr>
          <w:rFonts w:ascii="宋体" w:hAnsi="宋体" w:cs="宋体"/>
          <w:b/>
          <w:color w:val="auto"/>
          <w:sz w:val="24"/>
          <w:szCs w:val="24"/>
        </w:rPr>
      </w:pPr>
      <w:r>
        <w:rPr>
          <w:rFonts w:hint="eastAsia" w:ascii="宋体" w:hAnsi="宋体" w:cs="宋体"/>
          <w:b/>
          <w:color w:val="auto"/>
          <w:sz w:val="24"/>
          <w:szCs w:val="24"/>
        </w:rPr>
        <w:t>2.编制依据</w:t>
      </w:r>
    </w:p>
    <w:p w14:paraId="0302DF00">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1、长沙经济技术开发区政府投资项目工程造价咨询委托服务合同；</w:t>
      </w:r>
    </w:p>
    <w:p w14:paraId="6D42572C">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2、建设单位提供果园江湾学校分布式光伏电站及充电桩项目</w:t>
      </w:r>
      <w:r>
        <w:rPr>
          <w:rFonts w:hint="eastAsia" w:ascii="宋体" w:hAnsi="宋体" w:cs="宋体"/>
          <w:color w:val="auto"/>
          <w:kern w:val="2"/>
          <w:sz w:val="24"/>
          <w:szCs w:val="24"/>
          <w:lang w:val="en-IE"/>
        </w:rPr>
        <w:t>设计图纸</w:t>
      </w:r>
      <w:r>
        <w:rPr>
          <w:rFonts w:hint="eastAsia" w:ascii="宋体" w:hAnsi="宋体" w:cs="宋体"/>
          <w:color w:val="auto"/>
          <w:kern w:val="2"/>
          <w:sz w:val="24"/>
          <w:szCs w:val="24"/>
        </w:rPr>
        <w:t>；</w:t>
      </w:r>
    </w:p>
    <w:p w14:paraId="6E2BC7F5">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3、果园江湾学校分布式光伏电站及充电桩项目预算编制答疑及回复；</w:t>
      </w:r>
    </w:p>
    <w:p w14:paraId="6F2961CE">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4、《建设工程工程量清单计价规范》GB50500-2013、《市政工程工程量计算规范》GB50857-2013、《园林绿化工程工程量清单计算规范》GB50858-2013、《房屋建筑与装饰工程工程量计算规范》 GB50854-2013、《通用安装工程工程量计算规范》GB50856-2013；</w:t>
      </w:r>
    </w:p>
    <w:p w14:paraId="65BB29BA">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5、湖南省建设厅湘建价(2020)56号文“关于颁发《湖南省建设工程计价办法》及《湖南省建设工程消耗量标准》的通知；</w:t>
      </w:r>
    </w:p>
    <w:p w14:paraId="31409B4B">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6、2020年版《湖南省建筑工程消耗量标准》、《湖南省建筑装饰装修工程消耗量标准》、《湖南省市政工程消耗量标准》、《湖南省安装工程消耗量标准》和《湖南省仿古建筑及园林景观工程消耗量标准》及相关解释说明；</w:t>
      </w:r>
    </w:p>
    <w:p w14:paraId="5D30C164">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7、湖南省住房和城乡建设厅关于发布《关于湖南省建设工程计价依据动态调整汇编(2022年度第一期)的通知》湘建价(2022)146号文；</w:t>
      </w:r>
    </w:p>
    <w:p w14:paraId="1A8AAFD5">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8、长住建发(2020)103号长沙市住房和城乡建设局《关于调整新型智能环保渣土运输车和建设工程扬尘防治计价规定的通知》；</w:t>
      </w:r>
    </w:p>
    <w:p w14:paraId="5539DB48">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9、湘建价 (2019)47号湖南省住房和城乡住房建设厅《关于调整建设工程销项税额税率和材料价格综合税率计费标准》的通知；</w:t>
      </w:r>
    </w:p>
    <w:p w14:paraId="4F686D0A">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10、本工程主要材料价格按《长沙市建设造价》2025年1月份；《长沙建设造价》中未发布市场综合价的材料参照长沙县投资评审中心及长沙经济技术开发区投资评审中心共同发布的《2024年长沙县第一期常用材料价格手册》、《长沙市财政评审中心2024年第一期材料价格手册》及市场询价；</w:t>
      </w:r>
    </w:p>
    <w:p w14:paraId="7A6C528C">
      <w:pPr>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11、长沙经开区2020年新消耗量标准统一口径汇编(暂行稿)。</w:t>
      </w:r>
    </w:p>
    <w:p w14:paraId="36F3E4DC">
      <w:pPr>
        <w:wordWrap w:val="0"/>
        <w:autoSpaceDE w:val="0"/>
        <w:autoSpaceDN w:val="0"/>
        <w:adjustRightInd w:val="0"/>
        <w:snapToGrid w:val="0"/>
        <w:spacing w:after="120" w:line="480" w:lineRule="exact"/>
        <w:jc w:val="left"/>
        <w:rPr>
          <w:rFonts w:ascii="宋体" w:hAnsi="宋体" w:cs="宋体"/>
          <w:color w:val="auto"/>
          <w:kern w:val="2"/>
          <w:sz w:val="24"/>
          <w:szCs w:val="24"/>
        </w:rPr>
      </w:pPr>
      <w:r>
        <w:rPr>
          <w:rFonts w:hint="eastAsia" w:ascii="宋体" w:hAnsi="宋体" w:cs="宋体"/>
          <w:color w:val="auto"/>
          <w:kern w:val="2"/>
          <w:sz w:val="24"/>
          <w:szCs w:val="24"/>
        </w:rPr>
        <w:t>四、工程款支付</w:t>
      </w:r>
    </w:p>
    <w:p w14:paraId="12A2540C">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1、付款人：湖南东方数智能源投资有限公司。</w:t>
      </w:r>
    </w:p>
    <w:p w14:paraId="27F119A1">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（1）</w:t>
      </w:r>
      <w:r>
        <w:rPr>
          <w:rFonts w:hint="eastAsia" w:ascii="宋体" w:hAnsi="宋体" w:cs="宋体"/>
          <w:color w:val="auto"/>
          <w:kern w:val="2"/>
          <w:sz w:val="24"/>
          <w:szCs w:val="24"/>
        </w:rPr>
        <w:t>合同无定金或预付款，本工程进度款由建设单位按月支付，每月支付当月已完成合格工程量造价的 70%，区投资评审中心完成竣工结算审核，竣工资料合格并完成归档后，支付至工程结算款的 97%，余款(工程结算款的3%，含质保金及风险保证金，两者合并设置)待缺陷责任期(2年)满且结算抽查(如有)完成后，依据结算抽查结果一次付清。质保金与风险保证金合并设置，以后到期的限额比例为支付条件。以上付款均不计息。</w:t>
      </w:r>
    </w:p>
    <w:p w14:paraId="741FC2CA">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2）结算方式：本项目成交金额不能作为总价包干依据，最终结算价以长沙经济技术开发区投资评审中心出具的结算报告为准。供应商应根据项目要求和现场情况，详细列明项目所需的设备、材料以及所有人工、管理、财务等所有费用，如成交人遗漏磋商文件所列工程量清单内容，均由成交人自负，采购人不再支付任何费用。</w:t>
      </w:r>
    </w:p>
    <w:p w14:paraId="430F1CC5">
      <w:pPr>
        <w:wordWrap w:val="0"/>
        <w:adjustRightInd w:val="0"/>
        <w:snapToGrid w:val="0"/>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注：发包人每次进行计量款支付时须将本付款周期内承包人须向发包人交付的违约金及其他费用予以扣除。</w:t>
      </w:r>
    </w:p>
    <w:p w14:paraId="58F46F94">
      <w:pPr>
        <w:wordWrap w:val="0"/>
        <w:adjustRightInd w:val="0"/>
        <w:snapToGrid w:val="0"/>
        <w:spacing w:line="480" w:lineRule="exact"/>
        <w:ind w:firstLine="480" w:firstLineChars="200"/>
        <w:rPr>
          <w:rFonts w:ascii="宋体" w:hAnsi="宋体" w:cs="宋体"/>
          <w:color w:val="auto"/>
          <w:kern w:val="2"/>
          <w:sz w:val="24"/>
          <w:szCs w:val="24"/>
        </w:rPr>
      </w:pPr>
      <w:r>
        <w:rPr>
          <w:rFonts w:hint="eastAsia" w:ascii="宋体" w:hAnsi="宋体" w:cs="宋体"/>
          <w:color w:val="auto"/>
          <w:kern w:val="2"/>
          <w:sz w:val="24"/>
          <w:szCs w:val="24"/>
        </w:rPr>
        <w:t>2、</w:t>
      </w:r>
      <w:r>
        <w:rPr>
          <w:rFonts w:hint="eastAsia" w:ascii="宋体" w:hAnsi="宋体" w:cs="宋体"/>
          <w:color w:val="auto"/>
          <w:sz w:val="24"/>
          <w:szCs w:val="24"/>
        </w:rPr>
        <w:t>报价实行工程量清单报价，要求如下：</w:t>
      </w:r>
    </w:p>
    <w:p w14:paraId="6FF88A10">
      <w:pPr>
        <w:wordWrap w:val="0"/>
        <w:adjustRightInd w:val="0"/>
        <w:snapToGrid w:val="0"/>
        <w:spacing w:line="480" w:lineRule="exact"/>
        <w:ind w:firstLine="480" w:firstLineChars="200"/>
        <w:rPr>
          <w:rFonts w:ascii="宋体" w:hAnsi="宋体" w:cs="宋体"/>
          <w:color w:val="auto"/>
          <w:sz w:val="24"/>
          <w:szCs w:val="24"/>
        </w:rPr>
      </w:pPr>
      <w:r>
        <w:rPr>
          <w:rFonts w:hint="eastAsia" w:ascii="宋体" w:hAnsi="宋体" w:cs="宋体"/>
          <w:color w:val="auto"/>
          <w:sz w:val="24"/>
          <w:szCs w:val="24"/>
        </w:rPr>
        <w:t>（1）磋商报价中的绿色施工安全防护措施项目费、安全责任险、环境保护税需保持费率与招标控制价对应项目费率一致，不优惠；不可预见费金额需保持与招标控制价中不可预见费金额一致，不优惠；</w:t>
      </w:r>
    </w:p>
    <w:p w14:paraId="35DF8114">
      <w:pPr>
        <w:wordWrap w:val="0"/>
        <w:adjustRightInd w:val="0"/>
        <w:snapToGrid w:val="0"/>
        <w:spacing w:line="480" w:lineRule="exact"/>
        <w:ind w:firstLine="480" w:firstLineChars="200"/>
        <w:rPr>
          <w:rFonts w:ascii="宋体" w:hAnsi="宋体" w:cs="宋体"/>
          <w:color w:val="auto"/>
          <w:sz w:val="24"/>
          <w:szCs w:val="24"/>
        </w:rPr>
      </w:pPr>
      <w:r>
        <w:rPr>
          <w:rFonts w:hint="eastAsia" w:ascii="宋体" w:hAnsi="宋体" w:cs="宋体"/>
          <w:color w:val="auto"/>
          <w:sz w:val="24"/>
          <w:szCs w:val="24"/>
        </w:rPr>
        <w:t>（2）磋商报价优惠率=[1-（磋商报价中的分部分项工程费+单价措施项目费+总价措施项目费）/（招标控制价中的分部分项工程费+单价措施项目费+总价措施项目费）]*100%。</w:t>
      </w:r>
    </w:p>
    <w:p w14:paraId="1B86A9E4">
      <w:pPr>
        <w:spacing w:line="360" w:lineRule="auto"/>
        <w:ind w:firstLine="482" w:firstLineChars="200"/>
        <w:rPr>
          <w:rFonts w:ascii="宋体" w:hAnsi="宋体" w:cs="宋体"/>
          <w:color w:val="auto"/>
          <w:sz w:val="24"/>
          <w:szCs w:val="24"/>
        </w:rPr>
      </w:pPr>
      <w:r>
        <w:rPr>
          <w:rFonts w:hint="eastAsia" w:ascii="宋体" w:hAnsi="宋体" w:cs="宋体"/>
          <w:b/>
          <w:bCs/>
          <w:color w:val="auto"/>
          <w:sz w:val="24"/>
          <w:szCs w:val="24"/>
        </w:rPr>
        <w:t>（3）本项目磋商报价需提供全部工程量清单，投标报价单价不得超过磋商文件中公布的综合单价，否则按不合格供应商处理。大于或等于最高磋商限价的按不合格供应商处理。</w:t>
      </w:r>
    </w:p>
    <w:p w14:paraId="47B58B58">
      <w:pPr>
        <w:wordWrap w:val="0"/>
        <w:adjustRightInd w:val="0"/>
        <w:snapToGrid w:val="0"/>
        <w:spacing w:line="480" w:lineRule="exact"/>
        <w:ind w:firstLine="482" w:firstLineChars="200"/>
        <w:rPr>
          <w:rFonts w:ascii="宋体" w:hAnsi="宋体" w:cs="宋体"/>
          <w:color w:val="auto"/>
          <w:sz w:val="24"/>
          <w:szCs w:val="24"/>
        </w:rPr>
      </w:pPr>
      <w:r>
        <w:rPr>
          <w:rFonts w:hint="eastAsia" w:ascii="宋体" w:hAnsi="宋体" w:cs="宋体"/>
          <w:b/>
          <w:bCs/>
          <w:color w:val="auto"/>
          <w:sz w:val="24"/>
          <w:szCs w:val="24"/>
        </w:rPr>
        <w:t>（4）供应商最后报价须提供项目胶装的工程量清单，封面、骑缝加盖供应商单位公章。最后磋商报价优惠率按本章3.2公式计算确定。</w:t>
      </w:r>
    </w:p>
    <w:p w14:paraId="5AA7BF6A">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5）成交人在接到工程施工任务后，应当根据任务要求和现场情况编制施工方案（同时列明为完成施工任务所需的设备、材料以及人工、管理、财务等所有费用）并报备采购人，经审核确定方可展开施工，如承包遗漏任务所列工程量清单内容，均由成交人自行负责，采购人不再支付任何费用。</w:t>
      </w:r>
    </w:p>
    <w:p w14:paraId="7EC4A534">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w:t>
      </w:r>
      <w:r>
        <w:rPr>
          <w:rFonts w:ascii="宋体" w:hAnsi="宋体" w:cs="宋体"/>
          <w:color w:val="auto"/>
          <w:kern w:val="2"/>
          <w:sz w:val="24"/>
          <w:szCs w:val="24"/>
        </w:rPr>
        <w:t>6</w:t>
      </w:r>
      <w:r>
        <w:rPr>
          <w:rFonts w:hint="eastAsia" w:ascii="宋体" w:hAnsi="宋体" w:cs="宋体"/>
          <w:color w:val="auto"/>
          <w:kern w:val="2"/>
          <w:sz w:val="24"/>
          <w:szCs w:val="24"/>
        </w:rPr>
        <w:t>）成交人负责至相关主管部门办理开口审批、管道开挖、占道、占绿、路灯迁移、停电、接电等手续，并承担相关费用（依规依法应缴纳相关行政性费用由采购人承担）。</w:t>
      </w:r>
    </w:p>
    <w:p w14:paraId="12C2D8E0">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3、成交供应商必须为其工作人员购买好全套的保险后方可开展工作。</w:t>
      </w:r>
    </w:p>
    <w:p w14:paraId="78DDE6A7">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4、供应商在投标前，如需踏勘现场，有关费用自理，踏勘期间发生的意外自负。</w:t>
      </w:r>
    </w:p>
    <w:p w14:paraId="653AEABD">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五、项目验收要求：</w:t>
      </w:r>
    </w:p>
    <w:p w14:paraId="52129C5D">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1、验收方式：本项目履约验收按长沙市财政局《关于加强长沙市政府采购项目履约验收工作的通知》（长财采购〔2024〕5 号）的规定执行。</w:t>
      </w:r>
    </w:p>
    <w:p w14:paraId="5FCDFA64">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2、质保期贰年，工程竣工验收合格之日起算。工程按国务院2000年279号令相关规定保修，在保修期内出现质量问题的，乙方应在接到甲方通知后24小时内进行免费维修（非乙方原因另行议价），逾期不维修的，甲方可另行指定第三方维修，委托他人维修的费用及因此造成的全部损失由乙方承担，甲方可直接从质保金中扣除，不足部分乙方应另行补足。</w:t>
      </w:r>
    </w:p>
    <w:p w14:paraId="32881016">
      <w:pPr>
        <w:wordWrap w:val="0"/>
        <w:autoSpaceDE w:val="0"/>
        <w:autoSpaceDN w:val="0"/>
        <w:adjustRightInd w:val="0"/>
        <w:snapToGrid w:val="0"/>
        <w:spacing w:after="120" w:line="480" w:lineRule="exact"/>
        <w:ind w:firstLine="480" w:firstLineChars="200"/>
        <w:jc w:val="left"/>
        <w:rPr>
          <w:rFonts w:ascii="宋体" w:hAnsi="宋体" w:cs="宋体"/>
          <w:color w:val="auto"/>
          <w:kern w:val="2"/>
          <w:sz w:val="24"/>
          <w:szCs w:val="24"/>
        </w:rPr>
      </w:pPr>
      <w:r>
        <w:rPr>
          <w:rFonts w:hint="eastAsia" w:ascii="宋体" w:hAnsi="宋体" w:cs="宋体"/>
          <w:color w:val="auto"/>
          <w:kern w:val="2"/>
          <w:sz w:val="24"/>
          <w:szCs w:val="24"/>
        </w:rPr>
        <w:t>六、其它需要说明的事项：详见采购文件中合同约定条款。</w:t>
      </w:r>
    </w:p>
    <w:p w14:paraId="2AA4E924">
      <w:pPr>
        <w:wordWrap w:val="0"/>
        <w:autoSpaceDE w:val="0"/>
        <w:autoSpaceDN w:val="0"/>
        <w:adjustRightInd w:val="0"/>
        <w:snapToGrid w:val="0"/>
        <w:spacing w:after="120" w:line="480" w:lineRule="exact"/>
        <w:ind w:firstLine="482" w:firstLineChars="200"/>
        <w:jc w:val="left"/>
        <w:rPr>
          <w:rFonts w:ascii="宋体" w:hAnsi="宋体" w:cs="宋体"/>
          <w:b/>
          <w:bCs/>
          <w:color w:val="auto"/>
          <w:kern w:val="2"/>
          <w:sz w:val="24"/>
          <w:szCs w:val="24"/>
        </w:rPr>
      </w:pPr>
      <w:r>
        <w:rPr>
          <w:rFonts w:hint="eastAsia" w:ascii="宋体" w:hAnsi="宋体" w:cs="宋体"/>
          <w:b/>
          <w:bCs/>
          <w:color w:val="auto"/>
          <w:kern w:val="2"/>
          <w:sz w:val="24"/>
          <w:szCs w:val="24"/>
        </w:rPr>
        <w:t>七、对于上述项目要求，供应商应在响应文件中进行回应，作出明确说明及承诺。</w:t>
      </w:r>
    </w:p>
    <w:p w14:paraId="6FDF60AB">
      <w:pPr>
        <w:adjustRightInd w:val="0"/>
        <w:snapToGrid w:val="0"/>
        <w:spacing w:line="480" w:lineRule="exact"/>
        <w:rPr>
          <w:rFonts w:ascii="宋体" w:hAnsi="宋体" w:cs="宋体"/>
          <w:b/>
          <w:color w:val="auto"/>
          <w:sz w:val="24"/>
          <w:szCs w:val="24"/>
        </w:rPr>
      </w:pPr>
      <w:r>
        <w:rPr>
          <w:rFonts w:hint="eastAsia" w:ascii="宋体" w:hAnsi="宋体" w:cs="宋体"/>
          <w:color w:val="auto"/>
          <w:kern w:val="2"/>
          <w:sz w:val="24"/>
          <w:szCs w:val="24"/>
        </w:rPr>
        <w:br w:type="page"/>
      </w:r>
    </w:p>
    <w:bookmarkEnd w:id="40"/>
    <w:bookmarkEnd w:id="41"/>
    <w:bookmarkEnd w:id="42"/>
    <w:bookmarkEnd w:id="43"/>
    <w:p w14:paraId="6D399DEC">
      <w:pPr>
        <w:snapToGrid w:val="0"/>
        <w:spacing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第五章 响应文件组成</w:t>
      </w:r>
    </w:p>
    <w:p w14:paraId="781CE9F6">
      <w:pPr>
        <w:snapToGrid w:val="0"/>
        <w:spacing w:line="360" w:lineRule="auto"/>
        <w:ind w:firstLine="210"/>
        <w:rPr>
          <w:rFonts w:asciiTheme="minorEastAsia" w:hAnsiTheme="minorEastAsia" w:eastAsiaTheme="minorEastAsia"/>
          <w:color w:val="auto"/>
        </w:rPr>
      </w:pPr>
      <w:r>
        <w:rPr>
          <w:rFonts w:hint="eastAsia" w:asciiTheme="minorEastAsia" w:hAnsiTheme="minorEastAsia" w:eastAsiaTheme="minorEastAsia"/>
          <w:color w:val="auto"/>
        </w:rPr>
        <w:t>供应商的响应文件应包含以下九个部分：</w:t>
      </w:r>
    </w:p>
    <w:p w14:paraId="08ECFE72">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一、磋商响应声明</w:t>
      </w:r>
    </w:p>
    <w:p w14:paraId="4F426B16">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附件1：法定代表人身份证明</w:t>
      </w:r>
    </w:p>
    <w:p w14:paraId="5836832D">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附件2：法定代表人授权书</w:t>
      </w:r>
    </w:p>
    <w:p w14:paraId="6815F809">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附件3：工程质量保修书</w:t>
      </w:r>
    </w:p>
    <w:p w14:paraId="5CD18845">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附件4：不拖欠民工工资承诺书</w:t>
      </w:r>
    </w:p>
    <w:p w14:paraId="206AEDD5">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二、投标承诺</w:t>
      </w:r>
    </w:p>
    <w:p w14:paraId="3FBB4756">
      <w:pPr>
        <w:snapToGrid w:val="0"/>
        <w:spacing w:line="360" w:lineRule="auto"/>
        <w:ind w:right="21" w:firstLine="420"/>
        <w:jc w:val="left"/>
        <w:rPr>
          <w:rFonts w:asciiTheme="minorEastAsia" w:hAnsiTheme="minorEastAsia" w:eastAsiaTheme="minorEastAsia"/>
          <w:b/>
          <w:color w:val="auto"/>
        </w:rPr>
      </w:pPr>
      <w:r>
        <w:rPr>
          <w:rFonts w:hint="eastAsia" w:asciiTheme="minorEastAsia" w:hAnsiTheme="minorEastAsia" w:eastAsiaTheme="minorEastAsia"/>
          <w:color w:val="auto"/>
        </w:rPr>
        <w:t>附件5：投标承诺</w:t>
      </w:r>
    </w:p>
    <w:p w14:paraId="65994D41">
      <w:pPr>
        <w:snapToGrid w:val="0"/>
        <w:spacing w:line="360" w:lineRule="auto"/>
        <w:jc w:val="left"/>
        <w:rPr>
          <w:rFonts w:asciiTheme="minorEastAsia" w:hAnsiTheme="minorEastAsia" w:eastAsiaTheme="minorEastAsia"/>
          <w:b/>
          <w:color w:val="auto"/>
        </w:rPr>
      </w:pPr>
      <w:r>
        <w:rPr>
          <w:rFonts w:hint="eastAsia" w:asciiTheme="minorEastAsia" w:hAnsiTheme="minorEastAsia" w:eastAsiaTheme="minorEastAsia"/>
          <w:b/>
          <w:color w:val="auto"/>
        </w:rPr>
        <w:t>三、供应商的资格证明资料</w:t>
      </w:r>
    </w:p>
    <w:p w14:paraId="54D14D9D">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附件6：供应商基本情况表</w:t>
      </w:r>
    </w:p>
    <w:p w14:paraId="01D81706">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附件6-1：磋商文件规定的基本资格条件证明资料</w:t>
      </w:r>
    </w:p>
    <w:p w14:paraId="1CEA38C8">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附件6-2：湖南省政府采购供应商资格承诺函</w:t>
      </w:r>
    </w:p>
    <w:p w14:paraId="4DC8AB8A">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附件6-3：磋商文件规定的特定资格条件证明资料</w:t>
      </w:r>
    </w:p>
    <w:p w14:paraId="6DE0C592">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附件6-4：参加政府采购活动前三年内在经营活动中没有重大违法记录的书面声明</w:t>
      </w:r>
    </w:p>
    <w:p w14:paraId="54BEDD38">
      <w:pPr>
        <w:tabs>
          <w:tab w:val="center" w:pos="4422"/>
        </w:tabs>
        <w:snapToGrid w:val="0"/>
        <w:spacing w:line="360" w:lineRule="auto"/>
        <w:ind w:right="21" w:firstLine="420"/>
        <w:jc w:val="left"/>
        <w:rPr>
          <w:color w:val="auto"/>
        </w:rPr>
      </w:pPr>
      <w:r>
        <w:rPr>
          <w:rFonts w:hint="eastAsia" w:asciiTheme="minorEastAsia" w:hAnsiTheme="minorEastAsia" w:eastAsiaTheme="minorEastAsia"/>
          <w:color w:val="auto"/>
        </w:rPr>
        <w:t>附件6-5：其他证明资料或说明</w:t>
      </w:r>
      <w:r>
        <w:rPr>
          <w:rFonts w:hint="eastAsia" w:asciiTheme="minorEastAsia" w:hAnsiTheme="minorEastAsia" w:eastAsiaTheme="minorEastAsia"/>
          <w:color w:val="auto"/>
        </w:rPr>
        <w:tab/>
      </w:r>
    </w:p>
    <w:p w14:paraId="14D75CFC">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四、</w:t>
      </w:r>
      <w:r>
        <w:rPr>
          <w:rFonts w:hint="eastAsia" w:asciiTheme="minorEastAsia" w:hAnsiTheme="minorEastAsia" w:eastAsiaTheme="minorEastAsia"/>
          <w:b/>
          <w:color w:val="auto"/>
        </w:rPr>
        <w:t>技术部分</w:t>
      </w:r>
    </w:p>
    <w:p w14:paraId="566B0E6C">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附件7：施工方案</w:t>
      </w:r>
    </w:p>
    <w:p w14:paraId="2A63847F">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附件8：主要人员简历表</w:t>
      </w:r>
    </w:p>
    <w:p w14:paraId="47C7946C">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五、技术/商务响应与偏离表</w:t>
      </w:r>
    </w:p>
    <w:p w14:paraId="1AF1D10F">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六、提供政府采购政策产品等证明材料</w:t>
      </w:r>
    </w:p>
    <w:p w14:paraId="131EFF20">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附件9：中小企业声明函</w:t>
      </w:r>
    </w:p>
    <w:p w14:paraId="7B98421F">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附件9-1：残疾人福利性单位声明函</w:t>
      </w:r>
    </w:p>
    <w:p w14:paraId="61499CE0">
      <w:pPr>
        <w:snapToGrid w:val="0"/>
        <w:spacing w:line="360" w:lineRule="auto"/>
        <w:ind w:right="21" w:firstLine="420"/>
        <w:jc w:val="left"/>
        <w:rPr>
          <w:color w:val="auto"/>
        </w:rPr>
      </w:pPr>
      <w:r>
        <w:rPr>
          <w:rFonts w:hint="eastAsia" w:asciiTheme="minorEastAsia" w:hAnsiTheme="minorEastAsia" w:eastAsiaTheme="minorEastAsia"/>
          <w:color w:val="auto"/>
        </w:rPr>
        <w:t>附件9-2：监狱企业证明资料</w:t>
      </w:r>
    </w:p>
    <w:p w14:paraId="454270B0">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七、报价一览表及报价文件</w:t>
      </w:r>
    </w:p>
    <w:p w14:paraId="733DE111">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（一）报价一览表</w:t>
      </w:r>
    </w:p>
    <w:p w14:paraId="3592EA2A">
      <w:pPr>
        <w:snapToGrid w:val="0"/>
        <w:spacing w:line="360" w:lineRule="auto"/>
        <w:ind w:right="21" w:firstLine="420"/>
        <w:jc w:val="left"/>
        <w:rPr>
          <w:rFonts w:asciiTheme="minorEastAsia" w:hAnsiTheme="minorEastAsia" w:eastAsiaTheme="minorEastAsia"/>
          <w:color w:val="auto"/>
        </w:rPr>
      </w:pPr>
      <w:r>
        <w:rPr>
          <w:rFonts w:hint="eastAsia" w:asciiTheme="minorEastAsia" w:hAnsiTheme="minorEastAsia" w:eastAsiaTheme="minorEastAsia"/>
          <w:color w:val="auto"/>
        </w:rPr>
        <w:t>（二）报价文件</w:t>
      </w:r>
    </w:p>
    <w:p w14:paraId="419974C3">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八、供应商认为需要提供的其它资料</w:t>
      </w:r>
    </w:p>
    <w:p w14:paraId="23924E90">
      <w:pPr>
        <w:snapToGrid w:val="0"/>
        <w:spacing w:line="360" w:lineRule="auto"/>
        <w:rPr>
          <w:rFonts w:asciiTheme="minorEastAsia" w:hAnsiTheme="minorEastAsia" w:eastAsiaTheme="minorEastAsia"/>
          <w:b/>
          <w:color w:val="auto"/>
        </w:rPr>
      </w:pPr>
      <w:r>
        <w:rPr>
          <w:rFonts w:asciiTheme="minorEastAsia" w:hAnsiTheme="minorEastAsia" w:eastAsiaTheme="minorEastAsia"/>
          <w:b/>
          <w:color w:val="auto"/>
        </w:rPr>
        <w:t>九、最后报价</w:t>
      </w:r>
    </w:p>
    <w:p w14:paraId="1793D5FF">
      <w:pPr>
        <w:autoSpaceDE w:val="0"/>
        <w:autoSpaceDN w:val="0"/>
        <w:snapToGrid w:val="0"/>
        <w:spacing w:line="360" w:lineRule="auto"/>
        <w:jc w:val="left"/>
        <w:rPr>
          <w:rFonts w:asciiTheme="minorEastAsia" w:hAnsiTheme="minorEastAsia" w:eastAsiaTheme="minorEastAsia"/>
          <w:color w:val="auto"/>
          <w:sz w:val="32"/>
        </w:rPr>
      </w:pPr>
    </w:p>
    <w:p w14:paraId="6E240D1C">
      <w:pPr>
        <w:snapToGrid w:val="0"/>
        <w:spacing w:line="360" w:lineRule="auto"/>
        <w:jc w:val="center"/>
        <w:rPr>
          <w:rFonts w:asciiTheme="minorEastAsia" w:hAnsiTheme="minorEastAsia" w:eastAsiaTheme="minorEastAsia"/>
          <w:color w:val="auto"/>
          <w:sz w:val="32"/>
        </w:rPr>
      </w:pPr>
    </w:p>
    <w:p w14:paraId="746404BD">
      <w:pPr>
        <w:snapToGrid w:val="0"/>
        <w:spacing w:line="360" w:lineRule="auto"/>
        <w:jc w:val="center"/>
        <w:rPr>
          <w:rFonts w:asciiTheme="minorEastAsia" w:hAnsiTheme="minorEastAsia" w:eastAsiaTheme="minorEastAsia"/>
          <w:b/>
          <w:color w:val="auto"/>
          <w:sz w:val="32"/>
        </w:rPr>
      </w:pPr>
      <w:r>
        <w:rPr>
          <w:rFonts w:asciiTheme="minorEastAsia" w:hAnsiTheme="minorEastAsia" w:eastAsiaTheme="minorEastAsia"/>
          <w:color w:val="auto"/>
        </w:rPr>
        <w:br w:type="page"/>
      </w:r>
      <w:r>
        <w:rPr>
          <w:rFonts w:hint="eastAsia" w:asciiTheme="minorEastAsia" w:hAnsiTheme="minorEastAsia" w:eastAsiaTheme="minorEastAsia"/>
          <w:b/>
          <w:color w:val="auto"/>
          <w:sz w:val="32"/>
        </w:rPr>
        <w:t>一、磋商响应声明</w:t>
      </w:r>
    </w:p>
    <w:p w14:paraId="3D0BFDE7">
      <w:pPr>
        <w:snapToGrid w:val="0"/>
        <w:spacing w:line="360" w:lineRule="atLeast"/>
        <w:rPr>
          <w:rFonts w:asciiTheme="minorEastAsia" w:hAnsiTheme="minorEastAsia" w:eastAsiaTheme="minorEastAsia"/>
          <w:color w:val="auto"/>
        </w:rPr>
      </w:pPr>
      <w:r>
        <w:rPr>
          <w:rFonts w:hint="eastAsia" w:asciiTheme="minorEastAsia" w:hAnsiTheme="minorEastAsia" w:eastAsiaTheme="minorEastAsia"/>
          <w:color w:val="auto"/>
        </w:rPr>
        <w:t>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(采购人或采购代理机构)：</w:t>
      </w:r>
    </w:p>
    <w:p w14:paraId="0104F759">
      <w:pPr>
        <w:snapToGrid w:val="0"/>
        <w:spacing w:line="360" w:lineRule="atLeast"/>
        <w:ind w:firstLine="420"/>
        <w:rPr>
          <w:rFonts w:asciiTheme="minorEastAsia" w:hAnsiTheme="minorEastAsia" w:eastAsiaTheme="minorEastAsia"/>
          <w:color w:val="auto"/>
        </w:rPr>
      </w:pPr>
      <w:r>
        <w:rPr>
          <w:rFonts w:hint="eastAsia" w:asciiTheme="minorEastAsia" w:hAnsiTheme="minorEastAsia" w:eastAsiaTheme="minorEastAsia"/>
          <w:color w:val="auto"/>
        </w:rPr>
        <w:t>我方已仔细研究了</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项目名称)的竞争性磋商文件（政府采购编号：</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；采购代理编号：</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）的全部内容，知悉参加竞争性磋商的风险，我方承诺接受磋商文件的全部条款且无任何异议。</w:t>
      </w:r>
    </w:p>
    <w:p w14:paraId="7FCE4BD4">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一、我方同意在磋商文件中规定的提交首次响应文件截止时间起</w:t>
      </w:r>
      <w:r>
        <w:rPr>
          <w:rFonts w:asciiTheme="minorEastAsia" w:hAnsiTheme="minorEastAsia" w:eastAsiaTheme="minorEastAsia"/>
          <w:color w:val="auto"/>
          <w:u w:val="single"/>
        </w:rPr>
        <w:t xml:space="preserve">    </w:t>
      </w:r>
      <w:r>
        <w:rPr>
          <w:rFonts w:asciiTheme="minorEastAsia" w:hAnsiTheme="minorEastAsia" w:eastAsiaTheme="minorEastAsia"/>
          <w:color w:val="auto"/>
        </w:rPr>
        <w:t>日内(响应文件有效期)遵守本响应文件中的承诺且在此期限期满之前均具有法律约束力。</w:t>
      </w:r>
    </w:p>
    <w:p w14:paraId="1BFDE3C5">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二、我方提交响应文件正本一份和副本一式</w:t>
      </w:r>
      <w:r>
        <w:rPr>
          <w:rFonts w:asciiTheme="minorEastAsia" w:hAnsiTheme="minorEastAsia" w:eastAsiaTheme="minorEastAsia"/>
          <w:color w:val="auto"/>
          <w:u w:val="single"/>
        </w:rPr>
        <w:t xml:space="preserve">     </w:t>
      </w:r>
      <w:r>
        <w:rPr>
          <w:rFonts w:asciiTheme="minorEastAsia" w:hAnsiTheme="minorEastAsia" w:eastAsiaTheme="minorEastAsia"/>
          <w:color w:val="auto"/>
        </w:rPr>
        <w:t>份，并保证响应文件提供的数据和资料全部内容真实、合法、准确和完整，我们对此负责，并愿承担由此引起的法律责任。</w:t>
      </w:r>
    </w:p>
    <w:p w14:paraId="46E8FBF3">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三、我方愿意向贵方提供任何与本项采购有关的数据、情况和技术资料。若贵方需要，我方愿意提供我方作出的一切承诺的证明资料。</w:t>
      </w:r>
    </w:p>
    <w:p w14:paraId="7788877F">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四、我方愿意按磋商文件规定和磋商小组要求重新提交响应文件和最后报价。</w:t>
      </w:r>
    </w:p>
    <w:p w14:paraId="0D358711">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五、我方承诺遵守《中华人民共和国政府采购法》的有关规定，保证在获得成交资格后，按照磋商文件确定的事项签订政府采购合同，履行双方所签订的合同，并承担合同规定的责任和义务。</w:t>
      </w:r>
    </w:p>
    <w:p w14:paraId="3AE08BC1">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 xml:space="preserve">六、我方在此声明： </w:t>
      </w:r>
    </w:p>
    <w:p w14:paraId="2452713D">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（一）我方与采购人或采购代理机构不存在隶属关系或者其他利害关系。</w:t>
      </w:r>
    </w:p>
    <w:p w14:paraId="0BDE86B9">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（二）我方与参加本项目的其他供应商不存在直接控股、管理关系，或者与其他供应商法定代表人（或者负责人）为同一人。</w:t>
      </w:r>
    </w:p>
    <w:p w14:paraId="1A8D44E5">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（三）我方未为本项目前期准备提供设计或咨询服务。</w:t>
      </w:r>
    </w:p>
    <w:p w14:paraId="7ACD6FA6">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（四）我方承诺（承诺期：成立三年以上的，为提交首次响应文件截止时间前三年内；成立不足三年的，为实际时间）：</w:t>
      </w:r>
    </w:p>
    <w:p w14:paraId="68C4D58A">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1、我方依法缴纳了各项税费及各项社会保障资金，没有偷税、漏税及欠缴行为。</w:t>
      </w:r>
    </w:p>
    <w:p w14:paraId="0CD19F33">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2、我方在经营活动中没有存在下列重大违法记录：</w:t>
      </w:r>
    </w:p>
    <w:p w14:paraId="1DB1C502">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(1)受到刑事处罚；</w:t>
      </w:r>
    </w:p>
    <w:p w14:paraId="2F40FEC4">
      <w:pPr>
        <w:snapToGrid w:val="0"/>
        <w:spacing w:line="360" w:lineRule="atLeast"/>
        <w:ind w:firstLine="420"/>
        <w:rPr>
          <w:rFonts w:asciiTheme="minorEastAsia" w:hAnsiTheme="minorEastAsia" w:eastAsiaTheme="minorEastAsia"/>
          <w:color w:val="auto"/>
        </w:rPr>
      </w:pPr>
      <w:r>
        <w:rPr>
          <w:rFonts w:asciiTheme="minorEastAsia" w:hAnsiTheme="minorEastAsia" w:eastAsiaTheme="minorEastAsia"/>
          <w:color w:val="auto"/>
        </w:rPr>
        <w:t>(2)受到</w:t>
      </w:r>
      <w:r>
        <w:rPr>
          <w:rFonts w:hint="eastAsia" w:asciiTheme="minorEastAsia" w:hAnsiTheme="minorEastAsia" w:eastAsiaTheme="minorEastAsia"/>
          <w:color w:val="auto"/>
        </w:rPr>
        <w:t>较大金额以上</w:t>
      </w:r>
      <w:r>
        <w:rPr>
          <w:rFonts w:asciiTheme="minorEastAsia" w:hAnsiTheme="minorEastAsia" w:eastAsiaTheme="minorEastAsia"/>
          <w:color w:val="auto"/>
        </w:rPr>
        <w:t>的罚款、责令停产停业、在一至三年内禁止参加政府采购活动、暂扣或者吊销许可证、暂扣或者吊销执照的行政处罚。</w:t>
      </w:r>
    </w:p>
    <w:p w14:paraId="0DC306C4">
      <w:pPr>
        <w:pStyle w:val="25"/>
        <w:ind w:left="0" w:firstLine="420" w:firstLineChars="200"/>
        <w:rPr>
          <w:rFonts w:ascii="宋体"/>
          <w:b/>
          <w:bCs/>
          <w:color w:val="auto"/>
        </w:rPr>
      </w:pPr>
      <w:r>
        <w:rPr>
          <w:rFonts w:hint="eastAsia" w:asciiTheme="minorEastAsia" w:hAnsiTheme="minorEastAsia" w:eastAsiaTheme="minorEastAsia"/>
          <w:color w:val="auto"/>
        </w:rPr>
        <w:t>（五）我方承诺</w:t>
      </w:r>
      <w:r>
        <w:rPr>
          <w:rFonts w:hint="eastAsia" w:ascii="宋体"/>
          <w:b/>
          <w:bCs/>
          <w:color w:val="auto"/>
        </w:rPr>
        <w:t>：、施工项目部关键岗位人员数量不得低于湘建建[2020]208号文规定的最低配备标准，关键岗位人员均为供应商正式在职人员，项目负责人无在建项目，且提供依规配备其他关键岗位人员的书面承诺，在工程实施时根据项目需要配备到位，并按照要求提供《施工项目部关键岗位人员配备承诺书》，不接受供应商的法定代表人和总经理作为本项目的关键岗位人员。</w:t>
      </w:r>
    </w:p>
    <w:p w14:paraId="547437E0">
      <w:pPr>
        <w:pStyle w:val="25"/>
        <w:ind w:left="0" w:firstLine="422" w:firstLineChars="200"/>
        <w:rPr>
          <w:rFonts w:ascii="宋体"/>
          <w:b/>
          <w:bCs/>
          <w:color w:val="auto"/>
        </w:rPr>
      </w:pPr>
      <w:r>
        <w:rPr>
          <w:rFonts w:hint="eastAsia" w:ascii="宋体"/>
          <w:b/>
          <w:bCs/>
          <w:color w:val="auto"/>
        </w:rPr>
        <w:t>评标时，依规查阅相关网站，如果项目负责人有在建项目，或者未按照湘建建[2020]208号文规定的最低配备标准配备关键岗位人员，或者未按照要求的格式提供《施工项目部关键岗位人员配备承诺书》，均在资格审查中认定为不合格供应商；在质疑、投诉期内，有供应商提出关键岗位人员有在建项目并提供证明资料，经查证属实的取消成交供应商成交资格，并承担相应责任。</w:t>
      </w:r>
    </w:p>
    <w:p w14:paraId="24BC3A2B">
      <w:pPr>
        <w:snapToGrid w:val="0"/>
        <w:spacing w:line="360" w:lineRule="atLeast"/>
        <w:ind w:right="23"/>
        <w:rPr>
          <w:rFonts w:asciiTheme="minorEastAsia" w:hAnsiTheme="minorEastAsia" w:eastAsiaTheme="minorEastAsia"/>
          <w:color w:val="auto"/>
        </w:rPr>
      </w:pPr>
      <w:r>
        <w:rPr>
          <w:rFonts w:hint="eastAsia" w:asciiTheme="minorEastAsia" w:hAnsiTheme="minorEastAsia" w:eastAsiaTheme="minorEastAsia"/>
          <w:color w:val="auto"/>
        </w:rPr>
        <w:t>附件1：法定代表人身份证明</w:t>
      </w:r>
    </w:p>
    <w:p w14:paraId="7AFACBE6">
      <w:pPr>
        <w:snapToGrid w:val="0"/>
        <w:spacing w:line="360" w:lineRule="atLeast"/>
        <w:ind w:right="23"/>
        <w:rPr>
          <w:rFonts w:asciiTheme="minorEastAsia" w:hAnsiTheme="minorEastAsia" w:eastAsiaTheme="minorEastAsia"/>
          <w:color w:val="auto"/>
        </w:rPr>
      </w:pPr>
      <w:r>
        <w:rPr>
          <w:rFonts w:hint="eastAsia" w:asciiTheme="minorEastAsia" w:hAnsiTheme="minorEastAsia" w:eastAsiaTheme="minorEastAsia"/>
          <w:color w:val="auto"/>
        </w:rPr>
        <w:t>附件2：法定代表人授权书</w:t>
      </w:r>
    </w:p>
    <w:p w14:paraId="04306956">
      <w:pPr>
        <w:snapToGrid w:val="0"/>
        <w:spacing w:line="360" w:lineRule="atLeast"/>
        <w:ind w:right="23"/>
        <w:rPr>
          <w:rFonts w:asciiTheme="minorEastAsia" w:hAnsiTheme="minorEastAsia" w:eastAsiaTheme="minorEastAsia"/>
          <w:color w:val="auto"/>
        </w:rPr>
      </w:pPr>
      <w:r>
        <w:rPr>
          <w:rFonts w:hint="eastAsia" w:asciiTheme="minorEastAsia" w:hAnsiTheme="minorEastAsia" w:eastAsiaTheme="minorEastAsia"/>
          <w:color w:val="auto"/>
        </w:rPr>
        <w:t>附件3：工程质量保修书</w:t>
      </w:r>
    </w:p>
    <w:p w14:paraId="3E313797">
      <w:pPr>
        <w:snapToGrid w:val="0"/>
        <w:spacing w:line="360" w:lineRule="atLeast"/>
        <w:ind w:right="23"/>
        <w:rPr>
          <w:rFonts w:asciiTheme="minorEastAsia" w:hAnsiTheme="minorEastAsia" w:eastAsiaTheme="minorEastAsia"/>
          <w:color w:val="auto"/>
        </w:rPr>
      </w:pPr>
      <w:r>
        <w:rPr>
          <w:rFonts w:hint="eastAsia" w:asciiTheme="minorEastAsia" w:hAnsiTheme="minorEastAsia" w:eastAsiaTheme="minorEastAsia"/>
          <w:color w:val="auto"/>
        </w:rPr>
        <w:t>附件4：不拖欠民工工资承诺书</w:t>
      </w:r>
    </w:p>
    <w:p w14:paraId="7A508836">
      <w:pPr>
        <w:snapToGrid w:val="0"/>
        <w:spacing w:line="360" w:lineRule="atLeast"/>
        <w:rPr>
          <w:rFonts w:asciiTheme="minorEastAsia" w:hAnsiTheme="minorEastAsia" w:eastAsiaTheme="minorEastAsia"/>
          <w:color w:val="auto"/>
        </w:rPr>
      </w:pPr>
      <w:r>
        <w:rPr>
          <w:rFonts w:asciiTheme="minorEastAsia" w:hAnsiTheme="minorEastAsia" w:eastAsiaTheme="minorEastAsia"/>
          <w:color w:val="auto"/>
        </w:rPr>
        <w:t>供应商名称(盖单位章)：</w:t>
      </w:r>
    </w:p>
    <w:p w14:paraId="49EB700B">
      <w:pPr>
        <w:snapToGrid w:val="0"/>
        <w:spacing w:line="360" w:lineRule="atLeast"/>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 (签字)：</w:t>
      </w:r>
      <w:r>
        <w:rPr>
          <w:rFonts w:hint="eastAsia" w:asciiTheme="minorEastAsia" w:hAnsiTheme="minorEastAsia" w:eastAsiaTheme="minorEastAsia"/>
          <w:color w:val="auto"/>
          <w:u w:val="single"/>
        </w:rPr>
        <w:t xml:space="preserve">            </w:t>
      </w:r>
    </w:p>
    <w:p w14:paraId="31D1E092">
      <w:pPr>
        <w:snapToGrid w:val="0"/>
        <w:spacing w:line="360" w:lineRule="atLeast"/>
        <w:rPr>
          <w:rFonts w:asciiTheme="minorEastAsia" w:hAnsiTheme="minorEastAsia" w:eastAsiaTheme="minorEastAsia"/>
          <w:color w:val="auto"/>
        </w:rPr>
      </w:pPr>
      <w:r>
        <w:rPr>
          <w:rFonts w:hint="eastAsia" w:asciiTheme="minorEastAsia" w:hAnsiTheme="minorEastAsia" w:eastAsiaTheme="minorEastAsia"/>
          <w:color w:val="auto"/>
        </w:rPr>
        <w:t>日     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42808920">
      <w:pPr>
        <w:snapToGrid w:val="0"/>
        <w:spacing w:line="360" w:lineRule="auto"/>
        <w:ind w:right="23"/>
        <w:rPr>
          <w:rFonts w:asciiTheme="minorEastAsia" w:hAnsiTheme="minorEastAsia" w:eastAsiaTheme="minorEastAsia"/>
          <w:color w:val="auto"/>
          <w:sz w:val="24"/>
        </w:rPr>
      </w:pPr>
      <w:r>
        <w:rPr>
          <w:rFonts w:asciiTheme="minorEastAsia" w:hAnsiTheme="minorEastAsia" w:eastAsiaTheme="minorEastAsia"/>
          <w:color w:val="auto"/>
        </w:rPr>
        <w:br w:type="page"/>
      </w:r>
      <w:r>
        <w:rPr>
          <w:rFonts w:hint="eastAsia" w:asciiTheme="minorEastAsia" w:hAnsiTheme="minorEastAsia" w:eastAsiaTheme="minorEastAsia"/>
          <w:color w:val="auto"/>
          <w:sz w:val="24"/>
        </w:rPr>
        <w:t>附件1：</w:t>
      </w:r>
    </w:p>
    <w:p w14:paraId="375C9C65">
      <w:pPr>
        <w:snapToGrid w:val="0"/>
        <w:spacing w:line="360" w:lineRule="auto"/>
        <w:ind w:right="23"/>
        <w:jc w:val="center"/>
        <w:rPr>
          <w:rFonts w:asciiTheme="minorEastAsia" w:hAnsiTheme="minorEastAsia" w:eastAsiaTheme="minorEastAsia"/>
          <w:color w:val="auto"/>
        </w:rPr>
      </w:pPr>
      <w:r>
        <w:rPr>
          <w:rFonts w:hint="eastAsia" w:asciiTheme="minorEastAsia" w:hAnsiTheme="minorEastAsia" w:eastAsiaTheme="minorEastAsia"/>
          <w:b/>
          <w:color w:val="auto"/>
          <w:sz w:val="28"/>
        </w:rPr>
        <w:t>法定代表人身份证明</w:t>
      </w:r>
    </w:p>
    <w:p w14:paraId="5CEEE088">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供应商名称：</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w:t>
      </w:r>
    </w:p>
    <w:p w14:paraId="68A963F0">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注册号：</w:t>
      </w:r>
      <w:r>
        <w:rPr>
          <w:rFonts w:hint="eastAsia" w:asciiTheme="minorEastAsia" w:hAnsiTheme="minorEastAsia" w:eastAsiaTheme="minorEastAsia"/>
          <w:color w:val="auto"/>
          <w:u w:val="single"/>
        </w:rPr>
        <w:t xml:space="preserve">                  </w:t>
      </w:r>
    </w:p>
    <w:p w14:paraId="4C9ADA3A">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注册地址：</w:t>
      </w:r>
      <w:r>
        <w:rPr>
          <w:rFonts w:hint="eastAsia" w:asciiTheme="minorEastAsia" w:hAnsiTheme="minorEastAsia" w:eastAsiaTheme="minorEastAsia"/>
          <w:color w:val="auto"/>
          <w:u w:val="single"/>
        </w:rPr>
        <w:t xml:space="preserve">                                    </w:t>
      </w:r>
    </w:p>
    <w:p w14:paraId="372010BF">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 xml:space="preserve">成立时间：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年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日</w:t>
      </w:r>
    </w:p>
    <w:p w14:paraId="60657155">
      <w:pPr>
        <w:autoSpaceDE w:val="0"/>
        <w:autoSpaceDN w:val="0"/>
        <w:snapToGrid w:val="0"/>
        <w:spacing w:before="120" w:line="360" w:lineRule="auto"/>
        <w:ind w:right="23"/>
        <w:jc w:val="left"/>
        <w:rPr>
          <w:rFonts w:asciiTheme="minorEastAsia" w:hAnsiTheme="minorEastAsia" w:eastAsiaTheme="minorEastAsia"/>
          <w:color w:val="auto"/>
          <w:u w:val="single"/>
        </w:rPr>
      </w:pPr>
      <w:r>
        <w:rPr>
          <w:rFonts w:hint="eastAsia" w:asciiTheme="minorEastAsia" w:hAnsiTheme="minorEastAsia" w:eastAsiaTheme="minorEastAsia"/>
          <w:color w:val="auto"/>
        </w:rPr>
        <w:t>经营期限：</w:t>
      </w:r>
      <w:r>
        <w:rPr>
          <w:rFonts w:hint="eastAsia" w:asciiTheme="minorEastAsia" w:hAnsiTheme="minorEastAsia" w:eastAsiaTheme="minorEastAsia"/>
          <w:color w:val="auto"/>
          <w:u w:val="single"/>
        </w:rPr>
        <w:t xml:space="preserve">                  </w:t>
      </w:r>
    </w:p>
    <w:p w14:paraId="1CAEB86B">
      <w:pPr>
        <w:autoSpaceDE w:val="0"/>
        <w:autoSpaceDN w:val="0"/>
        <w:snapToGrid w:val="0"/>
        <w:spacing w:before="120" w:line="360" w:lineRule="auto"/>
        <w:ind w:right="23"/>
        <w:jc w:val="left"/>
        <w:rPr>
          <w:rFonts w:asciiTheme="minorEastAsia" w:hAnsiTheme="minorEastAsia" w:eastAsiaTheme="minorEastAsia"/>
          <w:color w:val="auto"/>
          <w:u w:val="single"/>
        </w:rPr>
      </w:pPr>
      <w:r>
        <w:rPr>
          <w:rFonts w:hint="eastAsia" w:asciiTheme="minorEastAsia" w:hAnsiTheme="minorEastAsia" w:eastAsiaTheme="minorEastAsia"/>
          <w:color w:val="auto"/>
        </w:rPr>
        <w:t>经营范围：主营：</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；兼营：</w:t>
      </w:r>
      <w:r>
        <w:rPr>
          <w:rFonts w:hint="eastAsia" w:asciiTheme="minorEastAsia" w:hAnsiTheme="minorEastAsia" w:eastAsiaTheme="minorEastAsia"/>
          <w:color w:val="auto"/>
          <w:u w:val="single"/>
        </w:rPr>
        <w:t xml:space="preserve">              </w:t>
      </w:r>
    </w:p>
    <w:p w14:paraId="3F9DB251">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姓名：</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性别：</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年龄：</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系</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（供应商名称）的法定代表人。</w:t>
      </w:r>
    </w:p>
    <w:p w14:paraId="4B9FD5D6">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特此证明。</w:t>
      </w:r>
    </w:p>
    <w:p w14:paraId="05B7A924">
      <w:pPr>
        <w:autoSpaceDE w:val="0"/>
        <w:autoSpaceDN w:val="0"/>
        <w:snapToGrid w:val="0"/>
        <w:spacing w:before="120" w:line="360" w:lineRule="auto"/>
        <w:ind w:right="23"/>
        <w:jc w:val="left"/>
        <w:rPr>
          <w:rFonts w:asciiTheme="minorEastAsia" w:hAnsiTheme="minorEastAsia" w:eastAsiaTheme="minorEastAsia"/>
          <w:color w:val="auto"/>
        </w:rPr>
      </w:pPr>
      <w:r>
        <w:rPr>
          <w:rFonts w:hint="eastAsia" w:asciiTheme="minorEastAsia" w:hAnsiTheme="minorEastAsia" w:eastAsiaTheme="minorEastAsia"/>
          <w:color w:val="auto"/>
        </w:rPr>
        <w:t>附：法定代表人身份证复印件</w:t>
      </w:r>
    </w:p>
    <w:tbl>
      <w:tblPr>
        <w:tblStyle w:val="19"/>
        <w:tblW w:w="0" w:type="auto"/>
        <w:tblInd w:w="0" w:type="dxa"/>
        <w:tblLayout w:type="fixed"/>
        <w:tblCellMar>
          <w:top w:w="0" w:type="dxa"/>
          <w:left w:w="0" w:type="dxa"/>
          <w:bottom w:w="0" w:type="dxa"/>
          <w:right w:w="0" w:type="dxa"/>
        </w:tblCellMar>
      </w:tblPr>
      <w:tblGrid>
        <w:gridCol w:w="9514"/>
      </w:tblGrid>
      <w:tr w14:paraId="6B7210DA">
        <w:tblPrEx>
          <w:tblCellMar>
            <w:top w:w="0" w:type="dxa"/>
            <w:left w:w="0" w:type="dxa"/>
            <w:bottom w:w="0" w:type="dxa"/>
            <w:right w:w="0" w:type="dxa"/>
          </w:tblCellMar>
        </w:tblPrEx>
        <w:trPr>
          <w:trHeight w:val="3089" w:hRule="atLeast"/>
        </w:trPr>
        <w:tc>
          <w:tcPr>
            <w:tcW w:w="951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58CAFEC6">
            <w:pPr>
              <w:snapToGrid w:val="0"/>
              <w:spacing w:line="360" w:lineRule="auto"/>
              <w:ind w:right="23"/>
              <w:rPr>
                <w:rFonts w:asciiTheme="minorEastAsia" w:hAnsiTheme="minorEastAsia" w:eastAsiaTheme="minorEastAsia"/>
                <w:color w:val="auto"/>
              </w:rPr>
            </w:pPr>
          </w:p>
        </w:tc>
      </w:tr>
    </w:tbl>
    <w:p w14:paraId="350E96FC">
      <w:pPr>
        <w:snapToGrid w:val="0"/>
        <w:spacing w:line="360" w:lineRule="auto"/>
        <w:ind w:right="23"/>
        <w:rPr>
          <w:rFonts w:asciiTheme="minorEastAsia" w:hAnsiTheme="minorEastAsia" w:eastAsiaTheme="minorEastAsia"/>
          <w:color w:val="auto"/>
        </w:rPr>
      </w:pPr>
    </w:p>
    <w:p w14:paraId="09DA6DB8">
      <w:pPr>
        <w:snapToGrid w:val="0"/>
        <w:spacing w:line="360" w:lineRule="auto"/>
        <w:ind w:right="23"/>
        <w:rPr>
          <w:rFonts w:asciiTheme="minorEastAsia" w:hAnsiTheme="minorEastAsia" w:eastAsiaTheme="minorEastAsia"/>
          <w:color w:val="auto"/>
        </w:rPr>
      </w:pPr>
    </w:p>
    <w:p w14:paraId="572CAA46">
      <w:pPr>
        <w:snapToGrid w:val="0"/>
        <w:spacing w:line="360" w:lineRule="auto"/>
        <w:ind w:right="23"/>
        <w:rPr>
          <w:rFonts w:asciiTheme="minorEastAsia" w:hAnsiTheme="minorEastAsia" w:eastAsiaTheme="minorEastAsia"/>
          <w:color w:val="auto"/>
        </w:rPr>
      </w:pPr>
    </w:p>
    <w:p w14:paraId="5F0CAA80">
      <w:pPr>
        <w:snapToGrid w:val="0"/>
        <w:spacing w:line="360" w:lineRule="auto"/>
        <w:ind w:right="23"/>
        <w:rPr>
          <w:rFonts w:asciiTheme="minorEastAsia" w:hAnsiTheme="minorEastAsia" w:eastAsiaTheme="minorEastAsia"/>
          <w:color w:val="auto"/>
        </w:rPr>
      </w:pPr>
    </w:p>
    <w:p w14:paraId="22A67763">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供应商名称（盖单位章）：</w:t>
      </w:r>
    </w:p>
    <w:p w14:paraId="67CB988B">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日      </w:t>
      </w:r>
    </w:p>
    <w:p w14:paraId="34A86073">
      <w:pPr>
        <w:snapToGrid w:val="0"/>
        <w:spacing w:before="120" w:line="360" w:lineRule="auto"/>
        <w:ind w:right="23"/>
        <w:rPr>
          <w:rFonts w:asciiTheme="minorEastAsia" w:hAnsiTheme="minorEastAsia" w:eastAsiaTheme="minorEastAsia"/>
          <w:color w:val="auto"/>
        </w:rPr>
      </w:pPr>
    </w:p>
    <w:p w14:paraId="34AB6982">
      <w:pPr>
        <w:snapToGrid w:val="0"/>
        <w:spacing w:before="120" w:line="360" w:lineRule="auto"/>
        <w:ind w:right="23"/>
        <w:rPr>
          <w:rFonts w:asciiTheme="minorEastAsia" w:hAnsiTheme="minorEastAsia" w:eastAsiaTheme="minorEastAsia"/>
          <w:color w:val="auto"/>
        </w:rPr>
      </w:pPr>
    </w:p>
    <w:p w14:paraId="38B84134">
      <w:pPr>
        <w:snapToGrid w:val="0"/>
        <w:spacing w:line="360" w:lineRule="auto"/>
        <w:ind w:right="23"/>
        <w:rPr>
          <w:rFonts w:asciiTheme="minorEastAsia" w:hAnsiTheme="minorEastAsia" w:eastAsiaTheme="minorEastAsia"/>
          <w:color w:val="auto"/>
          <w:sz w:val="24"/>
        </w:rPr>
      </w:pPr>
      <w:r>
        <w:rPr>
          <w:rFonts w:asciiTheme="minorEastAsia" w:hAnsiTheme="minorEastAsia" w:eastAsiaTheme="minorEastAsia"/>
          <w:color w:val="auto"/>
        </w:rPr>
        <w:br w:type="page"/>
      </w:r>
      <w:r>
        <w:rPr>
          <w:rFonts w:hint="eastAsia" w:asciiTheme="minorEastAsia" w:hAnsiTheme="minorEastAsia" w:eastAsiaTheme="minorEastAsia"/>
          <w:color w:val="auto"/>
          <w:sz w:val="24"/>
        </w:rPr>
        <w:t>附件2：</w:t>
      </w:r>
    </w:p>
    <w:p w14:paraId="7A124185">
      <w:pPr>
        <w:snapToGrid w:val="0"/>
        <w:spacing w:line="360" w:lineRule="auto"/>
        <w:ind w:right="23"/>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法定代表人授权书</w:t>
      </w:r>
    </w:p>
    <w:p w14:paraId="46886790">
      <w:pPr>
        <w:snapToGrid w:val="0"/>
        <w:spacing w:line="360" w:lineRule="auto"/>
        <w:ind w:right="23"/>
        <w:rPr>
          <w:rFonts w:asciiTheme="minorEastAsia" w:hAnsiTheme="minorEastAsia" w:eastAsiaTheme="minorEastAsia"/>
          <w:b/>
          <w:color w:val="auto"/>
          <w:sz w:val="28"/>
        </w:rPr>
      </w:pPr>
    </w:p>
    <w:p w14:paraId="14BAB242">
      <w:pPr>
        <w:autoSpaceDE w:val="0"/>
        <w:autoSpaceDN w:val="0"/>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本人</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（姓名、职务）系</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（供应商名称）的法定代表人，现授权</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（姓名、职务）为我方代理人。代理人根据授权，以我方名义：(1)签署、澄清、补正、修改、撤回、提交</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（项目名称、委托代理编号）响应文件；(2)签署并重新提交响应文件及最后报价；(3)签订合同和处理有关事宜，其法律后果由我方承担；（4）询问、质疑、投诉等相关事项，其法律后果由我方承担。</w:t>
      </w:r>
    </w:p>
    <w:p w14:paraId="3A26C148">
      <w:pPr>
        <w:autoSpaceDE w:val="0"/>
        <w:autoSpaceDN w:val="0"/>
        <w:snapToGrid w:val="0"/>
        <w:spacing w:before="120" w:line="360" w:lineRule="auto"/>
        <w:ind w:firstLine="420"/>
        <w:jc w:val="left"/>
        <w:rPr>
          <w:rFonts w:asciiTheme="minorEastAsia" w:hAnsiTheme="minorEastAsia" w:eastAsiaTheme="minorEastAsia"/>
          <w:color w:val="auto"/>
        </w:rPr>
      </w:pPr>
    </w:p>
    <w:p w14:paraId="2073C96E">
      <w:pPr>
        <w:autoSpaceDE w:val="0"/>
        <w:autoSpaceDN w:val="0"/>
        <w:snapToGrid w:val="0"/>
        <w:spacing w:before="120" w:line="360" w:lineRule="auto"/>
        <w:ind w:firstLine="420"/>
        <w:jc w:val="left"/>
        <w:rPr>
          <w:rFonts w:asciiTheme="minorEastAsia" w:hAnsiTheme="minorEastAsia" w:eastAsiaTheme="minorEastAsia"/>
          <w:color w:val="auto"/>
        </w:rPr>
      </w:pPr>
      <w:r>
        <w:rPr>
          <w:rFonts w:hint="eastAsia" w:asciiTheme="minorEastAsia" w:hAnsiTheme="minorEastAsia" w:eastAsiaTheme="minorEastAsia"/>
          <w:color w:val="auto"/>
        </w:rPr>
        <w:t>委托期限：</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w:t>
      </w:r>
    </w:p>
    <w:p w14:paraId="56011618">
      <w:pPr>
        <w:snapToGrid w:val="0"/>
        <w:spacing w:line="360" w:lineRule="auto"/>
        <w:ind w:firstLine="435"/>
        <w:rPr>
          <w:rFonts w:asciiTheme="minorEastAsia" w:hAnsiTheme="minorEastAsia" w:eastAsiaTheme="minorEastAsia"/>
          <w:color w:val="auto"/>
        </w:rPr>
      </w:pPr>
      <w:r>
        <w:rPr>
          <w:rFonts w:hint="eastAsia" w:asciiTheme="minorEastAsia" w:hAnsiTheme="minorEastAsia" w:eastAsiaTheme="minorEastAsia"/>
          <w:color w:val="auto"/>
        </w:rPr>
        <w:t>代理人无转委托权。</w:t>
      </w:r>
    </w:p>
    <w:p w14:paraId="2531A090">
      <w:pPr>
        <w:snapToGrid w:val="0"/>
        <w:spacing w:line="360" w:lineRule="auto"/>
        <w:ind w:firstLine="435"/>
        <w:rPr>
          <w:rFonts w:asciiTheme="minorEastAsia" w:hAnsiTheme="minorEastAsia" w:eastAsiaTheme="minorEastAsia"/>
          <w:color w:val="auto"/>
        </w:rPr>
      </w:pPr>
      <w:r>
        <w:rPr>
          <w:rFonts w:hint="eastAsia" w:asciiTheme="minorEastAsia" w:hAnsiTheme="minorEastAsia" w:eastAsiaTheme="minorEastAsia"/>
          <w:color w:val="auto"/>
        </w:rPr>
        <w:t>本授权书于</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日签字生效，特此声明。</w:t>
      </w:r>
    </w:p>
    <w:p w14:paraId="70328D66">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附：委托代理人身份证复印件及法定代表人身份证明(附件1，原件)</w:t>
      </w:r>
    </w:p>
    <w:tbl>
      <w:tblPr>
        <w:tblStyle w:val="19"/>
        <w:tblW w:w="0" w:type="auto"/>
        <w:tblInd w:w="0" w:type="dxa"/>
        <w:tblLayout w:type="fixed"/>
        <w:tblCellMar>
          <w:top w:w="0" w:type="dxa"/>
          <w:left w:w="0" w:type="dxa"/>
          <w:bottom w:w="0" w:type="dxa"/>
          <w:right w:w="0" w:type="dxa"/>
        </w:tblCellMar>
      </w:tblPr>
      <w:tblGrid>
        <w:gridCol w:w="9514"/>
      </w:tblGrid>
      <w:tr w14:paraId="13EB5240">
        <w:tblPrEx>
          <w:tblCellMar>
            <w:top w:w="0" w:type="dxa"/>
            <w:left w:w="0" w:type="dxa"/>
            <w:bottom w:w="0" w:type="dxa"/>
            <w:right w:w="0" w:type="dxa"/>
          </w:tblCellMar>
        </w:tblPrEx>
        <w:trPr>
          <w:trHeight w:val="3089" w:hRule="atLeast"/>
        </w:trPr>
        <w:tc>
          <w:tcPr>
            <w:tcW w:w="9514" w:type="dxa"/>
            <w:tcBorders>
              <w:top w:val="single" w:color="000000" w:sz="4" w:space="0"/>
              <w:left w:val="single" w:color="000000" w:sz="4" w:space="0"/>
              <w:bottom w:val="single" w:color="000000" w:sz="4" w:space="0"/>
              <w:right w:val="single" w:color="000000" w:sz="4" w:space="0"/>
            </w:tcBorders>
            <w:tcMar>
              <w:top w:w="0" w:type="dxa"/>
              <w:left w:w="108" w:type="dxa"/>
              <w:bottom w:w="0" w:type="dxa"/>
              <w:right w:w="108" w:type="dxa"/>
            </w:tcMar>
          </w:tcPr>
          <w:p w14:paraId="45771914">
            <w:pPr>
              <w:snapToGrid w:val="0"/>
              <w:spacing w:line="360" w:lineRule="auto"/>
              <w:ind w:right="23"/>
              <w:rPr>
                <w:rFonts w:asciiTheme="minorEastAsia" w:hAnsiTheme="minorEastAsia" w:eastAsiaTheme="minorEastAsia"/>
                <w:color w:val="auto"/>
              </w:rPr>
            </w:pPr>
          </w:p>
        </w:tc>
      </w:tr>
    </w:tbl>
    <w:p w14:paraId="7FF98D36">
      <w:pPr>
        <w:snapToGrid w:val="0"/>
        <w:spacing w:line="360" w:lineRule="auto"/>
        <w:ind w:right="23"/>
        <w:rPr>
          <w:rFonts w:asciiTheme="minorEastAsia" w:hAnsiTheme="minorEastAsia" w:eastAsiaTheme="minorEastAsia"/>
          <w:color w:val="auto"/>
        </w:rPr>
      </w:pPr>
    </w:p>
    <w:p w14:paraId="400F0579">
      <w:pPr>
        <w:snapToGrid w:val="0"/>
        <w:spacing w:line="360" w:lineRule="auto"/>
        <w:ind w:right="23"/>
        <w:rPr>
          <w:rFonts w:asciiTheme="minorEastAsia" w:hAnsiTheme="minorEastAsia" w:eastAsiaTheme="minorEastAsia"/>
          <w:color w:val="auto"/>
        </w:rPr>
      </w:pPr>
    </w:p>
    <w:p w14:paraId="63BCE928">
      <w:pPr>
        <w:snapToGrid w:val="0"/>
        <w:spacing w:line="360" w:lineRule="auto"/>
        <w:ind w:right="23"/>
        <w:rPr>
          <w:rFonts w:asciiTheme="minorEastAsia" w:hAnsiTheme="minorEastAsia" w:eastAsiaTheme="minorEastAsia"/>
          <w:color w:val="auto"/>
        </w:rPr>
      </w:pPr>
    </w:p>
    <w:p w14:paraId="3F7A7CE6">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法定代表人（签字）：</w:t>
      </w:r>
      <w:r>
        <w:rPr>
          <w:rFonts w:hint="eastAsia" w:asciiTheme="minorEastAsia" w:hAnsiTheme="minorEastAsia" w:eastAsiaTheme="minorEastAsia"/>
          <w:color w:val="auto"/>
          <w:u w:val="single"/>
        </w:rPr>
        <w:t xml:space="preserve">                     </w:t>
      </w:r>
    </w:p>
    <w:p w14:paraId="73E8AA63">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委托代理人（签字）：</w:t>
      </w:r>
      <w:r>
        <w:rPr>
          <w:rFonts w:hint="eastAsia" w:asciiTheme="minorEastAsia" w:hAnsiTheme="minorEastAsia" w:eastAsiaTheme="minorEastAsia"/>
          <w:color w:val="auto"/>
          <w:u w:val="single"/>
        </w:rPr>
        <w:t xml:space="preserve">                     </w:t>
      </w:r>
    </w:p>
    <w:p w14:paraId="4FD444B5">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059F70F8">
      <w:pPr>
        <w:snapToGrid w:val="0"/>
        <w:spacing w:line="360" w:lineRule="auto"/>
        <w:ind w:right="23"/>
        <w:rPr>
          <w:rFonts w:asciiTheme="minorEastAsia" w:hAnsiTheme="minorEastAsia" w:eastAsiaTheme="minorEastAsia"/>
          <w:b/>
          <w:color w:val="auto"/>
        </w:rPr>
      </w:pPr>
    </w:p>
    <w:p w14:paraId="5B317B2E">
      <w:pPr>
        <w:snapToGrid w:val="0"/>
        <w:spacing w:line="360" w:lineRule="auto"/>
        <w:ind w:right="23"/>
        <w:rPr>
          <w:rFonts w:asciiTheme="minorEastAsia" w:hAnsiTheme="minorEastAsia" w:eastAsiaTheme="minorEastAsia"/>
          <w:b/>
          <w:color w:val="auto"/>
        </w:rPr>
      </w:pPr>
    </w:p>
    <w:p w14:paraId="17796088">
      <w:pPr>
        <w:snapToGrid w:val="0"/>
        <w:spacing w:before="120" w:line="360" w:lineRule="auto"/>
        <w:ind w:right="420"/>
        <w:rPr>
          <w:rFonts w:asciiTheme="minorEastAsia" w:hAnsiTheme="minorEastAsia" w:eastAsiaTheme="minorEastAsia"/>
          <w:b/>
          <w:color w:val="auto"/>
        </w:rPr>
      </w:pPr>
      <w:r>
        <w:rPr>
          <w:rFonts w:hint="eastAsia" w:asciiTheme="minorEastAsia" w:hAnsiTheme="minorEastAsia" w:eastAsiaTheme="minorEastAsia"/>
          <w:b/>
          <w:color w:val="auto"/>
        </w:rPr>
        <w:t>附被授权人在投标单位或投标单位依法登记的分支机构近三个月内任意连续一个月的社保证明。</w:t>
      </w:r>
    </w:p>
    <w:p w14:paraId="2942E44D">
      <w:pPr>
        <w:snapToGrid w:val="0"/>
        <w:spacing w:before="120" w:line="360" w:lineRule="auto"/>
        <w:ind w:right="420"/>
        <w:rPr>
          <w:rFonts w:asciiTheme="minorEastAsia" w:hAnsiTheme="minorEastAsia" w:eastAsiaTheme="minorEastAsia"/>
          <w:color w:val="auto"/>
          <w:sz w:val="24"/>
        </w:rPr>
      </w:pPr>
      <w:r>
        <w:rPr>
          <w:rFonts w:asciiTheme="minorEastAsia" w:hAnsiTheme="minorEastAsia" w:eastAsiaTheme="minorEastAsia"/>
          <w:color w:val="auto"/>
        </w:rPr>
        <w:br w:type="page"/>
      </w:r>
      <w:r>
        <w:rPr>
          <w:rFonts w:hint="eastAsia" w:asciiTheme="minorEastAsia" w:hAnsiTheme="minorEastAsia" w:eastAsiaTheme="minorEastAsia"/>
          <w:color w:val="auto"/>
          <w:sz w:val="24"/>
        </w:rPr>
        <w:t>附件3：</w:t>
      </w:r>
    </w:p>
    <w:p w14:paraId="2371EFB3">
      <w:pPr>
        <w:snapToGrid w:val="0"/>
        <w:spacing w:line="360" w:lineRule="auto"/>
        <w:ind w:right="23"/>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工程质量保修书</w:t>
      </w:r>
    </w:p>
    <w:p w14:paraId="1C00B597">
      <w:pPr>
        <w:pStyle w:val="25"/>
        <w:rPr>
          <w:color w:val="auto"/>
        </w:rPr>
      </w:pPr>
    </w:p>
    <w:p w14:paraId="3761DCAD">
      <w:pPr>
        <w:snapToGrid w:val="0"/>
        <w:spacing w:line="360" w:lineRule="auto"/>
        <w:ind w:firstLine="420"/>
        <w:rPr>
          <w:rFonts w:ascii="宋体"/>
          <w:color w:val="auto"/>
          <w:u w:val="single"/>
        </w:rPr>
      </w:pPr>
      <w:r>
        <w:rPr>
          <w:rFonts w:hint="eastAsia" w:ascii="宋体"/>
          <w:color w:val="auto"/>
        </w:rPr>
        <w:t>采购人（</w:t>
      </w:r>
      <w:r>
        <w:rPr>
          <w:rFonts w:ascii="宋体"/>
          <w:color w:val="auto"/>
        </w:rPr>
        <w:t>发包人</w:t>
      </w:r>
      <w:r>
        <w:rPr>
          <w:rFonts w:hint="eastAsia" w:ascii="宋体"/>
          <w:color w:val="auto"/>
        </w:rPr>
        <w:t>）：</w:t>
      </w:r>
      <w:r>
        <w:rPr>
          <w:rFonts w:ascii="宋体"/>
          <w:color w:val="auto"/>
          <w:u w:val="single"/>
        </w:rPr>
        <w:t xml:space="preserve">                                         </w:t>
      </w:r>
      <w:r>
        <w:rPr>
          <w:rFonts w:hint="eastAsia" w:ascii="宋体"/>
          <w:color w:val="auto"/>
        </w:rPr>
        <w:t>（甲方）</w:t>
      </w:r>
    </w:p>
    <w:p w14:paraId="5ECFD098">
      <w:pPr>
        <w:snapToGrid w:val="0"/>
        <w:spacing w:line="360" w:lineRule="auto"/>
        <w:ind w:firstLine="420"/>
        <w:rPr>
          <w:rFonts w:ascii="宋体"/>
          <w:color w:val="auto"/>
          <w:u w:val="single"/>
        </w:rPr>
      </w:pPr>
      <w:r>
        <w:rPr>
          <w:rFonts w:hint="eastAsia" w:ascii="宋体"/>
          <w:color w:val="auto"/>
        </w:rPr>
        <w:t>供应商（</w:t>
      </w:r>
      <w:r>
        <w:rPr>
          <w:rFonts w:ascii="宋体"/>
          <w:color w:val="auto"/>
        </w:rPr>
        <w:t>承包人</w:t>
      </w:r>
      <w:r>
        <w:rPr>
          <w:rFonts w:hint="eastAsia" w:ascii="宋体"/>
          <w:color w:val="auto"/>
        </w:rPr>
        <w:t>）</w:t>
      </w:r>
      <w:r>
        <w:rPr>
          <w:rFonts w:ascii="宋体"/>
          <w:color w:val="auto"/>
        </w:rPr>
        <w:t>：</w:t>
      </w:r>
      <w:r>
        <w:rPr>
          <w:rFonts w:ascii="宋体"/>
          <w:color w:val="auto"/>
          <w:u w:val="single"/>
        </w:rPr>
        <w:t xml:space="preserve">            </w:t>
      </w:r>
      <w:r>
        <w:rPr>
          <w:rFonts w:hint="eastAsia" w:ascii="宋体"/>
          <w:color w:val="auto"/>
          <w:u w:val="single"/>
        </w:rPr>
        <w:t xml:space="preserve"> </w:t>
      </w:r>
      <w:r>
        <w:rPr>
          <w:rFonts w:ascii="宋体"/>
          <w:color w:val="auto"/>
          <w:u w:val="single"/>
        </w:rPr>
        <w:t xml:space="preserve">                            </w:t>
      </w:r>
      <w:r>
        <w:rPr>
          <w:rFonts w:hint="eastAsia" w:ascii="宋体"/>
          <w:color w:val="auto"/>
        </w:rPr>
        <w:t>（乙方）</w:t>
      </w:r>
    </w:p>
    <w:p w14:paraId="42AC59A8">
      <w:pPr>
        <w:snapToGrid w:val="0"/>
        <w:spacing w:line="360" w:lineRule="auto"/>
        <w:ind w:right="23" w:firstLine="420"/>
        <w:rPr>
          <w:rFonts w:ascii="宋体"/>
          <w:color w:val="auto"/>
        </w:rPr>
      </w:pPr>
      <w:r>
        <w:rPr>
          <w:rFonts w:cs="仿宋_GB2312" w:asciiTheme="minorEastAsia" w:hAnsiTheme="minorEastAsia" w:eastAsiaTheme="minorEastAsia"/>
          <w:color w:val="auto"/>
          <w:kern w:val="2"/>
          <w:szCs w:val="21"/>
        </w:rPr>
        <w:t xml:space="preserve">   </w:t>
      </w:r>
      <w:r>
        <w:rPr>
          <w:rFonts w:ascii="宋体"/>
          <w:color w:val="auto"/>
        </w:rPr>
        <w:t>为保证</w:t>
      </w:r>
      <w:r>
        <w:rPr>
          <w:rFonts w:ascii="宋体"/>
          <w:color w:val="auto"/>
          <w:u w:val="single"/>
        </w:rPr>
        <w:t xml:space="preserve">                                                       </w:t>
      </w:r>
      <w:r>
        <w:rPr>
          <w:rFonts w:ascii="宋体"/>
          <w:color w:val="auto"/>
        </w:rPr>
        <w:t>（工程名称）在合理使用期限内正常使用，发包人和承包人根据《中华人民共和国建筑法》、《建设工程质量管理条例》和《房屋建筑工程质量保修办法》，经协商一致，签订工程质量保修书，承包人在质量保修期内应按照有关规定及双方约定承担工程质量保修责任。</w:t>
      </w:r>
    </w:p>
    <w:p w14:paraId="2E9CDAA7">
      <w:pPr>
        <w:snapToGrid w:val="0"/>
        <w:spacing w:line="360" w:lineRule="auto"/>
        <w:ind w:right="23" w:firstLine="422"/>
        <w:rPr>
          <w:rFonts w:ascii="宋体"/>
          <w:b/>
          <w:color w:val="auto"/>
        </w:rPr>
      </w:pPr>
      <w:r>
        <w:rPr>
          <w:rFonts w:hint="eastAsia" w:ascii="宋体"/>
          <w:b/>
          <w:color w:val="auto"/>
        </w:rPr>
        <w:t>1 质量保修范围</w:t>
      </w:r>
    </w:p>
    <w:p w14:paraId="5225A679">
      <w:pPr>
        <w:snapToGrid w:val="0"/>
        <w:spacing w:line="360" w:lineRule="auto"/>
        <w:ind w:right="23" w:firstLine="420"/>
        <w:rPr>
          <w:rFonts w:ascii="宋体"/>
          <w:color w:val="auto"/>
        </w:rPr>
      </w:pPr>
      <w:r>
        <w:rPr>
          <w:rFonts w:ascii="宋体"/>
          <w:color w:val="auto"/>
        </w:rPr>
        <w:t>质量保修范围包括地基基础工程、主体结构工程、屋面防水工程、有防水要求的卫生间、房间、外墙面的防渗漏工程、电气管线工程、给排水管道工程、设备安装工程、供热、供冷系统工程、装饰装修工程以及双方约定其他项目。具体质量保修范围，双方约定如下：</w:t>
      </w:r>
    </w:p>
    <w:p w14:paraId="45CFFC12">
      <w:pPr>
        <w:snapToGrid w:val="0"/>
        <w:spacing w:line="360" w:lineRule="auto"/>
        <w:ind w:right="23" w:firstLine="420"/>
        <w:rPr>
          <w:rFonts w:ascii="宋体"/>
          <w:color w:val="auto"/>
          <w:u w:val="single"/>
        </w:rPr>
      </w:pPr>
      <w:r>
        <w:rPr>
          <w:rFonts w:ascii="宋体"/>
          <w:color w:val="auto"/>
        </w:rPr>
        <w:t>（1）</w:t>
      </w:r>
      <w:r>
        <w:rPr>
          <w:rFonts w:hint="eastAsia" w:ascii="宋体"/>
          <w:color w:val="auto"/>
          <w:u w:val="single"/>
        </w:rPr>
        <w:t xml:space="preserve">                                                                            </w:t>
      </w:r>
    </w:p>
    <w:p w14:paraId="60D211A0">
      <w:pPr>
        <w:snapToGrid w:val="0"/>
        <w:spacing w:line="360" w:lineRule="auto"/>
        <w:ind w:right="23" w:firstLine="420"/>
        <w:rPr>
          <w:rFonts w:ascii="宋体"/>
          <w:color w:val="auto"/>
        </w:rPr>
      </w:pPr>
      <w:r>
        <w:rPr>
          <w:rFonts w:ascii="宋体"/>
          <w:color w:val="auto"/>
        </w:rPr>
        <w:t>（2）</w:t>
      </w:r>
      <w:r>
        <w:rPr>
          <w:rFonts w:hint="eastAsia" w:ascii="宋体"/>
          <w:color w:val="auto"/>
          <w:u w:val="single"/>
        </w:rPr>
        <w:t xml:space="preserve">                                                                            </w:t>
      </w:r>
    </w:p>
    <w:p w14:paraId="4F699C3C">
      <w:pPr>
        <w:snapToGrid w:val="0"/>
        <w:spacing w:line="360" w:lineRule="auto"/>
        <w:ind w:right="23" w:firstLine="420"/>
        <w:rPr>
          <w:rFonts w:ascii="宋体"/>
          <w:color w:val="auto"/>
        </w:rPr>
      </w:pPr>
      <w:r>
        <w:rPr>
          <w:rFonts w:ascii="宋体"/>
          <w:color w:val="auto"/>
        </w:rPr>
        <w:t>（3）</w:t>
      </w:r>
      <w:r>
        <w:rPr>
          <w:rFonts w:hint="eastAsia" w:ascii="宋体"/>
          <w:color w:val="auto"/>
          <w:u w:val="single"/>
        </w:rPr>
        <w:t xml:space="preserve">                                                                            </w:t>
      </w:r>
    </w:p>
    <w:p w14:paraId="2EB5EBD3">
      <w:pPr>
        <w:snapToGrid w:val="0"/>
        <w:spacing w:line="360" w:lineRule="auto"/>
        <w:ind w:right="23" w:firstLine="422"/>
        <w:rPr>
          <w:rFonts w:ascii="宋体"/>
          <w:b/>
          <w:color w:val="auto"/>
        </w:rPr>
      </w:pPr>
      <w:r>
        <w:rPr>
          <w:rFonts w:hint="eastAsia" w:ascii="宋体"/>
          <w:b/>
          <w:color w:val="auto"/>
        </w:rPr>
        <w:t>2 质量保修期</w:t>
      </w:r>
    </w:p>
    <w:p w14:paraId="6ED2F616">
      <w:pPr>
        <w:snapToGrid w:val="0"/>
        <w:spacing w:line="360" w:lineRule="auto"/>
        <w:ind w:right="23" w:firstLine="420"/>
        <w:rPr>
          <w:rFonts w:ascii="宋体"/>
          <w:color w:val="auto"/>
        </w:rPr>
      </w:pPr>
      <w:r>
        <w:rPr>
          <w:rFonts w:ascii="宋体"/>
          <w:color w:val="auto"/>
        </w:rPr>
        <w:t>2.1 质量保修期从工程实际竣工验收合格之日起计算。单项竣工验收的工程，按单项工程分别计算质量保修期。</w:t>
      </w:r>
    </w:p>
    <w:p w14:paraId="731247AE">
      <w:pPr>
        <w:snapToGrid w:val="0"/>
        <w:spacing w:line="360" w:lineRule="auto"/>
        <w:ind w:right="23" w:firstLine="420"/>
        <w:rPr>
          <w:rFonts w:ascii="宋体"/>
          <w:color w:val="auto"/>
        </w:rPr>
      </w:pPr>
      <w:r>
        <w:rPr>
          <w:rFonts w:ascii="宋体"/>
          <w:color w:val="auto"/>
        </w:rPr>
        <w:t>2.2 双方根据《建设工程质量管理条例》及有关规定，约定本工程质量保修期如下：</w:t>
      </w:r>
    </w:p>
    <w:p w14:paraId="69F27F27">
      <w:pPr>
        <w:adjustRightInd w:val="0"/>
        <w:snapToGrid w:val="0"/>
        <w:spacing w:line="360" w:lineRule="auto"/>
        <w:ind w:firstLine="420" w:firstLineChars="200"/>
        <w:rPr>
          <w:rFonts w:ascii="宋体" w:cs="仿宋"/>
          <w:color w:val="auto"/>
          <w:kern w:val="2"/>
          <w:szCs w:val="21"/>
        </w:rPr>
      </w:pPr>
      <w:r>
        <w:rPr>
          <w:rFonts w:hint="eastAsia" w:ascii="宋体" w:cs="仿宋"/>
          <w:color w:val="auto"/>
          <w:kern w:val="2"/>
          <w:szCs w:val="21"/>
        </w:rPr>
        <w:t>（1）地基基础工程、主体结构工程为设计文件规定的合理使用年限；</w:t>
      </w:r>
    </w:p>
    <w:p w14:paraId="5DE9FD9F">
      <w:pPr>
        <w:adjustRightInd w:val="0"/>
        <w:snapToGrid w:val="0"/>
        <w:spacing w:line="360" w:lineRule="auto"/>
        <w:ind w:firstLine="420" w:firstLineChars="200"/>
        <w:rPr>
          <w:rFonts w:ascii="宋体" w:cs="仿宋"/>
          <w:color w:val="auto"/>
          <w:kern w:val="2"/>
          <w:szCs w:val="21"/>
        </w:rPr>
      </w:pPr>
      <w:r>
        <w:rPr>
          <w:rFonts w:hint="eastAsia" w:ascii="宋体" w:cs="仿宋"/>
          <w:color w:val="auto"/>
          <w:kern w:val="2"/>
          <w:szCs w:val="21"/>
        </w:rPr>
        <w:t>（2）屋面防水工程、有防水要求的卫生间、房间和外墙面的防渗漏工程为：</w:t>
      </w:r>
      <w:r>
        <w:rPr>
          <w:rFonts w:hint="eastAsia" w:ascii="宋体" w:cs="仿宋"/>
          <w:color w:val="auto"/>
          <w:kern w:val="2"/>
          <w:szCs w:val="21"/>
          <w:u w:val="single"/>
        </w:rPr>
        <w:t xml:space="preserve">         </w:t>
      </w:r>
      <w:r>
        <w:rPr>
          <w:rFonts w:hint="eastAsia" w:ascii="宋体" w:cs="仿宋"/>
          <w:color w:val="auto"/>
          <w:kern w:val="2"/>
          <w:szCs w:val="21"/>
        </w:rPr>
        <w:t>年；</w:t>
      </w:r>
    </w:p>
    <w:p w14:paraId="7C436A42">
      <w:pPr>
        <w:adjustRightInd w:val="0"/>
        <w:snapToGrid w:val="0"/>
        <w:spacing w:line="360" w:lineRule="auto"/>
        <w:ind w:firstLine="420" w:firstLineChars="200"/>
        <w:rPr>
          <w:rFonts w:ascii="宋体" w:cs="仿宋"/>
          <w:color w:val="auto"/>
          <w:kern w:val="2"/>
          <w:szCs w:val="21"/>
        </w:rPr>
      </w:pPr>
      <w:r>
        <w:rPr>
          <w:rFonts w:hint="eastAsia" w:ascii="宋体" w:cs="仿宋"/>
          <w:color w:val="auto"/>
          <w:kern w:val="2"/>
          <w:szCs w:val="21"/>
        </w:rPr>
        <w:t>（3）电气管线工程、给排水管道、设备安装工程为：</w:t>
      </w:r>
      <w:r>
        <w:rPr>
          <w:rFonts w:hint="eastAsia" w:ascii="宋体" w:cs="仿宋"/>
          <w:color w:val="auto"/>
          <w:kern w:val="2"/>
          <w:szCs w:val="21"/>
          <w:u w:val="single"/>
        </w:rPr>
        <w:t xml:space="preserve">            </w:t>
      </w:r>
      <w:r>
        <w:rPr>
          <w:rFonts w:hint="eastAsia" w:ascii="宋体" w:cs="仿宋"/>
          <w:color w:val="auto"/>
          <w:kern w:val="2"/>
          <w:szCs w:val="21"/>
        </w:rPr>
        <w:t>年；</w:t>
      </w:r>
    </w:p>
    <w:p w14:paraId="6BC7F423">
      <w:pPr>
        <w:adjustRightInd w:val="0"/>
        <w:snapToGrid w:val="0"/>
        <w:spacing w:line="360" w:lineRule="auto"/>
        <w:ind w:firstLine="420" w:firstLineChars="200"/>
        <w:rPr>
          <w:rFonts w:ascii="宋体" w:cs="仿宋"/>
          <w:color w:val="auto"/>
          <w:kern w:val="2"/>
          <w:szCs w:val="21"/>
        </w:rPr>
      </w:pPr>
      <w:r>
        <w:rPr>
          <w:rFonts w:hint="eastAsia" w:ascii="宋体" w:cs="仿宋"/>
          <w:color w:val="auto"/>
          <w:kern w:val="2"/>
          <w:szCs w:val="21"/>
        </w:rPr>
        <w:t>（4）供热、供冷系统工程为：</w:t>
      </w:r>
      <w:r>
        <w:rPr>
          <w:rFonts w:hint="eastAsia" w:ascii="宋体" w:cs="仿宋"/>
          <w:color w:val="auto"/>
          <w:kern w:val="2"/>
          <w:szCs w:val="21"/>
          <w:u w:val="single"/>
        </w:rPr>
        <w:t xml:space="preserve">              </w:t>
      </w:r>
      <w:r>
        <w:rPr>
          <w:rFonts w:hint="eastAsia" w:ascii="宋体" w:cs="仿宋"/>
          <w:color w:val="auto"/>
          <w:kern w:val="2"/>
          <w:szCs w:val="21"/>
        </w:rPr>
        <w:t>个采暖期、供冷期；</w:t>
      </w:r>
    </w:p>
    <w:p w14:paraId="625C4058">
      <w:pPr>
        <w:adjustRightInd w:val="0"/>
        <w:snapToGrid w:val="0"/>
        <w:spacing w:line="360" w:lineRule="auto"/>
        <w:ind w:firstLine="420" w:firstLineChars="200"/>
        <w:rPr>
          <w:rFonts w:ascii="宋体" w:cs="仿宋"/>
          <w:color w:val="auto"/>
          <w:kern w:val="2"/>
          <w:szCs w:val="21"/>
        </w:rPr>
      </w:pPr>
      <w:r>
        <w:rPr>
          <w:rFonts w:hint="eastAsia" w:ascii="宋体" w:cs="仿宋"/>
          <w:color w:val="auto"/>
          <w:kern w:val="2"/>
          <w:szCs w:val="21"/>
        </w:rPr>
        <w:t>（5）装饰装修工程为</w:t>
      </w:r>
      <w:r>
        <w:rPr>
          <w:rFonts w:hint="eastAsia" w:ascii="宋体" w:cs="仿宋"/>
          <w:color w:val="auto"/>
          <w:kern w:val="2"/>
          <w:szCs w:val="21"/>
          <w:u w:val="single"/>
        </w:rPr>
        <w:t xml:space="preserve">             </w:t>
      </w:r>
      <w:r>
        <w:rPr>
          <w:rFonts w:hint="eastAsia" w:ascii="宋体" w:cs="仿宋"/>
          <w:color w:val="auto"/>
          <w:kern w:val="2"/>
          <w:szCs w:val="21"/>
        </w:rPr>
        <w:t>年；</w:t>
      </w:r>
    </w:p>
    <w:p w14:paraId="4C3C82CF">
      <w:pPr>
        <w:adjustRightInd w:val="0"/>
        <w:snapToGrid w:val="0"/>
        <w:spacing w:line="360" w:lineRule="auto"/>
        <w:ind w:firstLine="420" w:firstLineChars="200"/>
        <w:rPr>
          <w:rFonts w:ascii="宋体"/>
          <w:color w:val="auto"/>
        </w:rPr>
      </w:pPr>
      <w:r>
        <w:rPr>
          <w:rFonts w:hint="eastAsia" w:ascii="宋体" w:cs="仿宋"/>
          <w:color w:val="auto"/>
          <w:kern w:val="2"/>
          <w:szCs w:val="21"/>
        </w:rPr>
        <w:t>（6）其他项目</w:t>
      </w:r>
      <w:r>
        <w:rPr>
          <w:rFonts w:hint="eastAsia" w:ascii="宋体" w:cs="仿宋"/>
          <w:color w:val="auto"/>
          <w:kern w:val="2"/>
          <w:szCs w:val="21"/>
          <w:u w:val="single"/>
        </w:rPr>
        <w:t xml:space="preserve">       </w:t>
      </w:r>
      <w:r>
        <w:rPr>
          <w:rFonts w:hint="eastAsia" w:ascii="宋体" w:cs="仿宋"/>
          <w:color w:val="auto"/>
          <w:kern w:val="2"/>
          <w:szCs w:val="21"/>
        </w:rPr>
        <w:t>年。</w:t>
      </w:r>
    </w:p>
    <w:p w14:paraId="7AC83A09">
      <w:pPr>
        <w:snapToGrid w:val="0"/>
        <w:spacing w:line="360" w:lineRule="auto"/>
        <w:ind w:right="23" w:firstLine="422"/>
        <w:rPr>
          <w:rFonts w:ascii="宋体"/>
          <w:b/>
          <w:color w:val="auto"/>
        </w:rPr>
      </w:pPr>
      <w:r>
        <w:rPr>
          <w:rFonts w:hint="eastAsia" w:ascii="宋体"/>
          <w:b/>
          <w:color w:val="auto"/>
        </w:rPr>
        <w:t>3 质量保修责任</w:t>
      </w:r>
    </w:p>
    <w:p w14:paraId="47045FED">
      <w:pPr>
        <w:snapToGrid w:val="0"/>
        <w:spacing w:line="360" w:lineRule="auto"/>
        <w:ind w:right="23" w:firstLine="420"/>
        <w:rPr>
          <w:rFonts w:ascii="宋体"/>
          <w:color w:val="auto"/>
        </w:rPr>
      </w:pPr>
      <w:r>
        <w:rPr>
          <w:rFonts w:ascii="宋体"/>
          <w:color w:val="auto"/>
        </w:rPr>
        <w:t>3.1 属于保修范围的项目，承包人应在接到通知后的7天内派人保修，承包人不在约定期限内派人保修，发包人可自行或指派第三方保修。</w:t>
      </w:r>
    </w:p>
    <w:p w14:paraId="4368E898">
      <w:pPr>
        <w:snapToGrid w:val="0"/>
        <w:spacing w:line="360" w:lineRule="auto"/>
        <w:ind w:right="23" w:firstLine="420"/>
        <w:rPr>
          <w:rFonts w:ascii="宋体"/>
          <w:color w:val="auto"/>
        </w:rPr>
      </w:pPr>
      <w:r>
        <w:rPr>
          <w:rFonts w:ascii="宋体"/>
          <w:color w:val="auto"/>
        </w:rPr>
        <w:t>3.2 发生紧急抢修事故的，承包人在接到通知后，应立即到达事故现场抢修。</w:t>
      </w:r>
    </w:p>
    <w:p w14:paraId="31FAC9A0">
      <w:pPr>
        <w:snapToGrid w:val="0"/>
        <w:spacing w:line="360" w:lineRule="auto"/>
        <w:ind w:right="23" w:firstLine="420"/>
        <w:rPr>
          <w:rFonts w:ascii="宋体"/>
          <w:color w:val="auto"/>
        </w:rPr>
      </w:pPr>
      <w:r>
        <w:rPr>
          <w:rFonts w:ascii="宋体"/>
          <w:color w:val="auto"/>
        </w:rPr>
        <w:t>3.3 在国家规定的工程合理使用期限内，承包人应确保地基基础工程和主体结构的安全和质量。凡出现</w:t>
      </w:r>
      <w:r>
        <w:rPr>
          <w:rFonts w:hint="eastAsia" w:ascii="宋体"/>
          <w:color w:val="auto"/>
        </w:rPr>
        <w:t>其</w:t>
      </w:r>
      <w:r>
        <w:rPr>
          <w:rFonts w:ascii="宋体"/>
          <w:color w:val="auto"/>
        </w:rPr>
        <w:t>质量问题，应立即报告当地建设行政主管部门，由设计单位提出保修方案，承包人应立即实施保修。</w:t>
      </w:r>
    </w:p>
    <w:p w14:paraId="60BA876C">
      <w:pPr>
        <w:snapToGrid w:val="0"/>
        <w:spacing w:line="360" w:lineRule="auto"/>
        <w:ind w:right="23" w:firstLine="420"/>
        <w:rPr>
          <w:rFonts w:ascii="宋体"/>
          <w:color w:val="auto"/>
        </w:rPr>
      </w:pPr>
      <w:r>
        <w:rPr>
          <w:rFonts w:ascii="宋体"/>
          <w:color w:val="auto"/>
        </w:rPr>
        <w:t>3.4 质量保修完成后，由发包人组织验收。</w:t>
      </w:r>
    </w:p>
    <w:p w14:paraId="6E2E2F39">
      <w:pPr>
        <w:snapToGrid w:val="0"/>
        <w:spacing w:line="360" w:lineRule="auto"/>
        <w:ind w:right="23" w:firstLine="422"/>
        <w:rPr>
          <w:rFonts w:ascii="宋体"/>
          <w:b/>
          <w:color w:val="auto"/>
        </w:rPr>
      </w:pPr>
      <w:r>
        <w:rPr>
          <w:rFonts w:hint="eastAsia" w:ascii="宋体"/>
          <w:b/>
          <w:color w:val="auto"/>
        </w:rPr>
        <w:t>4 质量保修费用</w:t>
      </w:r>
    </w:p>
    <w:p w14:paraId="44EA067B">
      <w:pPr>
        <w:snapToGrid w:val="0"/>
        <w:spacing w:line="360" w:lineRule="auto"/>
        <w:ind w:right="23" w:firstLine="420"/>
        <w:rPr>
          <w:rFonts w:ascii="宋体"/>
          <w:color w:val="auto"/>
        </w:rPr>
      </w:pPr>
      <w:r>
        <w:rPr>
          <w:rFonts w:ascii="宋体"/>
          <w:color w:val="auto"/>
        </w:rPr>
        <w:t>质量保修费用及相关的损害赔偿费，由造成质量缺陷的责任方承担。</w:t>
      </w:r>
    </w:p>
    <w:p w14:paraId="3D2F4526">
      <w:pPr>
        <w:snapToGrid w:val="0"/>
        <w:spacing w:line="360" w:lineRule="auto"/>
        <w:ind w:right="23" w:firstLine="422"/>
        <w:rPr>
          <w:rFonts w:ascii="宋体"/>
          <w:b/>
          <w:color w:val="auto"/>
        </w:rPr>
      </w:pPr>
      <w:r>
        <w:rPr>
          <w:rFonts w:hint="eastAsia" w:ascii="宋体"/>
          <w:b/>
          <w:color w:val="auto"/>
        </w:rPr>
        <w:t>5 质量保证金</w:t>
      </w:r>
    </w:p>
    <w:p w14:paraId="4070D6C4">
      <w:pPr>
        <w:snapToGrid w:val="0"/>
        <w:spacing w:line="360" w:lineRule="auto"/>
        <w:ind w:right="23" w:firstLine="420"/>
        <w:rPr>
          <w:rFonts w:ascii="宋体"/>
          <w:color w:val="auto"/>
        </w:rPr>
      </w:pPr>
      <w:r>
        <w:rPr>
          <w:rFonts w:ascii="宋体"/>
          <w:color w:val="auto"/>
        </w:rPr>
        <w:t>质量保证金的使用、约定、支付、返还与本合同的质量保证金赋予的约定一致。</w:t>
      </w:r>
    </w:p>
    <w:p w14:paraId="48234EAE">
      <w:pPr>
        <w:snapToGrid w:val="0"/>
        <w:spacing w:line="360" w:lineRule="auto"/>
        <w:ind w:right="23" w:firstLine="422"/>
        <w:rPr>
          <w:rFonts w:ascii="宋体"/>
          <w:b/>
          <w:color w:val="auto"/>
        </w:rPr>
      </w:pPr>
      <w:r>
        <w:rPr>
          <w:rFonts w:hint="eastAsia" w:ascii="宋体"/>
          <w:b/>
          <w:color w:val="auto"/>
        </w:rPr>
        <w:t>6 其他</w:t>
      </w:r>
    </w:p>
    <w:p w14:paraId="56BD84DC">
      <w:pPr>
        <w:snapToGrid w:val="0"/>
        <w:spacing w:line="360" w:lineRule="auto"/>
        <w:ind w:right="23" w:firstLine="420"/>
        <w:rPr>
          <w:rFonts w:ascii="宋体"/>
          <w:color w:val="auto"/>
          <w:u w:val="single"/>
        </w:rPr>
      </w:pPr>
      <w:r>
        <w:rPr>
          <w:rFonts w:ascii="宋体"/>
          <w:color w:val="auto"/>
        </w:rPr>
        <w:t>6.1 双方约定的其它工程质量保修事项：</w:t>
      </w:r>
      <w:r>
        <w:rPr>
          <w:rFonts w:ascii="宋体"/>
          <w:color w:val="auto"/>
          <w:u w:val="single"/>
        </w:rPr>
        <w:t xml:space="preserve">                              </w:t>
      </w:r>
      <w:r>
        <w:rPr>
          <w:rFonts w:hint="eastAsia" w:ascii="宋体"/>
          <w:color w:val="auto"/>
          <w:u w:val="single"/>
        </w:rPr>
        <w:t xml:space="preserve">               </w:t>
      </w:r>
    </w:p>
    <w:p w14:paraId="26927417">
      <w:pPr>
        <w:snapToGrid w:val="0"/>
        <w:spacing w:line="360" w:lineRule="auto"/>
        <w:ind w:right="23"/>
        <w:rPr>
          <w:rFonts w:ascii="宋体"/>
          <w:color w:val="auto"/>
          <w:u w:val="single"/>
        </w:rPr>
      </w:pPr>
      <w:r>
        <w:rPr>
          <w:rFonts w:ascii="宋体"/>
          <w:color w:val="auto"/>
          <w:u w:val="single"/>
        </w:rPr>
        <w:t xml:space="preserve">                                                                      </w:t>
      </w:r>
      <w:r>
        <w:rPr>
          <w:rFonts w:hint="eastAsia" w:ascii="宋体"/>
          <w:color w:val="auto"/>
          <w:u w:val="single"/>
        </w:rPr>
        <w:t xml:space="preserve">               </w:t>
      </w:r>
    </w:p>
    <w:p w14:paraId="3F58A14B">
      <w:pPr>
        <w:snapToGrid w:val="0"/>
        <w:spacing w:line="360" w:lineRule="auto"/>
        <w:ind w:right="23" w:firstLine="420"/>
        <w:rPr>
          <w:rFonts w:ascii="宋体"/>
          <w:color w:val="auto"/>
        </w:rPr>
      </w:pPr>
      <w:r>
        <w:rPr>
          <w:rFonts w:ascii="宋体"/>
          <w:color w:val="auto"/>
        </w:rPr>
        <w:t>6.2 本工程质量保修书，由发包人承包人在工程竣工验收前签署，作为合同附件，其有效期限至保修期满。</w:t>
      </w:r>
    </w:p>
    <w:p w14:paraId="7B735665">
      <w:pPr>
        <w:snapToGrid w:val="0"/>
        <w:spacing w:line="360" w:lineRule="auto"/>
        <w:ind w:right="23" w:firstLine="480"/>
        <w:rPr>
          <w:rFonts w:ascii="宋体"/>
          <w:color w:val="auto"/>
        </w:rPr>
      </w:pPr>
    </w:p>
    <w:p w14:paraId="40A20C64">
      <w:pPr>
        <w:snapToGrid w:val="0"/>
        <w:spacing w:line="360" w:lineRule="auto"/>
        <w:ind w:right="23" w:firstLine="480"/>
        <w:rPr>
          <w:rFonts w:ascii="宋体"/>
          <w:color w:val="auto"/>
        </w:rPr>
      </w:pPr>
    </w:p>
    <w:p w14:paraId="23669D8E">
      <w:pPr>
        <w:snapToGrid w:val="0"/>
        <w:spacing w:line="360" w:lineRule="auto"/>
        <w:ind w:right="23" w:firstLine="420"/>
        <w:rPr>
          <w:rFonts w:ascii="宋体"/>
          <w:color w:val="auto"/>
          <w:u w:val="single"/>
        </w:rPr>
      </w:pPr>
      <w:r>
        <w:rPr>
          <w:rFonts w:ascii="宋体"/>
          <w:color w:val="auto"/>
        </w:rPr>
        <w:t>发包人（公章）：</w:t>
      </w:r>
      <w:r>
        <w:rPr>
          <w:rFonts w:ascii="宋体"/>
          <w:color w:val="auto"/>
          <w:u w:val="single"/>
        </w:rPr>
        <w:t xml:space="preserve">                </w:t>
      </w:r>
      <w:r>
        <w:rPr>
          <w:rFonts w:hint="eastAsia" w:ascii="宋体"/>
          <w:color w:val="auto"/>
          <w:u w:val="single"/>
        </w:rPr>
        <w:t xml:space="preserve">    </w:t>
      </w:r>
      <w:r>
        <w:rPr>
          <w:rFonts w:hint="eastAsia" w:ascii="宋体"/>
          <w:color w:val="auto"/>
        </w:rPr>
        <w:t xml:space="preserve">      </w:t>
      </w:r>
      <w:r>
        <w:rPr>
          <w:rFonts w:ascii="宋体"/>
          <w:color w:val="auto"/>
        </w:rPr>
        <w:t>承包人（公章）：</w:t>
      </w:r>
      <w:r>
        <w:rPr>
          <w:rFonts w:hint="eastAsia" w:ascii="宋体"/>
          <w:color w:val="auto"/>
          <w:u w:val="single"/>
        </w:rPr>
        <w:t xml:space="preserve">                    </w:t>
      </w:r>
    </w:p>
    <w:p w14:paraId="64A0ED27">
      <w:pPr>
        <w:snapToGrid w:val="0"/>
        <w:spacing w:line="360" w:lineRule="auto"/>
        <w:ind w:right="23" w:firstLine="420"/>
        <w:rPr>
          <w:rFonts w:ascii="宋体"/>
          <w:color w:val="auto"/>
          <w:u w:val="single"/>
        </w:rPr>
      </w:pPr>
      <w:r>
        <w:rPr>
          <w:rFonts w:ascii="宋体"/>
          <w:color w:val="auto"/>
        </w:rPr>
        <w:t>法定代表人（签字）：</w:t>
      </w:r>
      <w:r>
        <w:rPr>
          <w:rFonts w:ascii="宋体"/>
          <w:color w:val="auto"/>
          <w:u w:val="single"/>
        </w:rPr>
        <w:t xml:space="preserve">               </w:t>
      </w:r>
      <w:r>
        <w:rPr>
          <w:rFonts w:ascii="宋体"/>
          <w:color w:val="auto"/>
        </w:rPr>
        <w:t xml:space="preserve"> </w:t>
      </w:r>
      <w:r>
        <w:rPr>
          <w:rFonts w:hint="eastAsia" w:ascii="宋体"/>
          <w:color w:val="auto"/>
        </w:rPr>
        <w:t xml:space="preserve">      </w:t>
      </w:r>
      <w:r>
        <w:rPr>
          <w:rFonts w:ascii="宋体"/>
          <w:color w:val="auto"/>
        </w:rPr>
        <w:t>法定代表人（签字）：</w:t>
      </w:r>
      <w:r>
        <w:rPr>
          <w:rFonts w:hint="eastAsia" w:ascii="宋体"/>
          <w:color w:val="auto"/>
          <w:u w:val="single"/>
        </w:rPr>
        <w:t xml:space="preserve">                   </w:t>
      </w:r>
    </w:p>
    <w:p w14:paraId="77D0A8E6">
      <w:pPr>
        <w:snapToGrid w:val="0"/>
        <w:spacing w:line="360" w:lineRule="auto"/>
        <w:ind w:right="23" w:firstLine="420"/>
        <w:rPr>
          <w:rFonts w:ascii="宋体"/>
          <w:color w:val="auto"/>
        </w:rPr>
      </w:pPr>
      <w:r>
        <w:rPr>
          <w:rFonts w:ascii="宋体"/>
          <w:color w:val="auto"/>
          <w:u w:val="single"/>
        </w:rPr>
        <w:t xml:space="preserve">        </w:t>
      </w:r>
      <w:r>
        <w:rPr>
          <w:rFonts w:ascii="宋体"/>
          <w:color w:val="auto"/>
        </w:rPr>
        <w:t>年</w:t>
      </w:r>
      <w:r>
        <w:rPr>
          <w:rFonts w:ascii="宋体"/>
          <w:color w:val="auto"/>
          <w:u w:val="single"/>
        </w:rPr>
        <w:t xml:space="preserve">     </w:t>
      </w:r>
      <w:r>
        <w:rPr>
          <w:rFonts w:ascii="宋体"/>
          <w:color w:val="auto"/>
        </w:rPr>
        <w:t>月</w:t>
      </w:r>
      <w:r>
        <w:rPr>
          <w:rFonts w:ascii="宋体"/>
          <w:color w:val="auto"/>
          <w:u w:val="single"/>
        </w:rPr>
        <w:t xml:space="preserve">     </w:t>
      </w:r>
      <w:r>
        <w:rPr>
          <w:rFonts w:ascii="宋体"/>
          <w:color w:val="auto"/>
        </w:rPr>
        <w:t xml:space="preserve">日           </w:t>
      </w:r>
      <w:r>
        <w:rPr>
          <w:rFonts w:hint="eastAsia" w:ascii="宋体"/>
          <w:color w:val="auto"/>
        </w:rPr>
        <w:t xml:space="preserve">               </w:t>
      </w:r>
      <w:r>
        <w:rPr>
          <w:rFonts w:ascii="宋体"/>
          <w:color w:val="auto"/>
        </w:rPr>
        <w:t xml:space="preserve"> </w:t>
      </w:r>
      <w:r>
        <w:rPr>
          <w:rFonts w:ascii="宋体"/>
          <w:color w:val="auto"/>
          <w:u w:val="single"/>
        </w:rPr>
        <w:t xml:space="preserve">        </w:t>
      </w:r>
      <w:r>
        <w:rPr>
          <w:rFonts w:ascii="宋体"/>
          <w:color w:val="auto"/>
        </w:rPr>
        <w:t>年</w:t>
      </w:r>
      <w:r>
        <w:rPr>
          <w:rFonts w:ascii="宋体"/>
          <w:color w:val="auto"/>
          <w:u w:val="single"/>
        </w:rPr>
        <w:t xml:space="preserve">     </w:t>
      </w:r>
      <w:r>
        <w:rPr>
          <w:rFonts w:ascii="宋体"/>
          <w:color w:val="auto"/>
        </w:rPr>
        <w:t>月</w:t>
      </w:r>
      <w:r>
        <w:rPr>
          <w:rFonts w:ascii="宋体"/>
          <w:color w:val="auto"/>
          <w:u w:val="single"/>
        </w:rPr>
        <w:t xml:space="preserve">     </w:t>
      </w:r>
      <w:r>
        <w:rPr>
          <w:rFonts w:ascii="宋体"/>
          <w:color w:val="auto"/>
        </w:rPr>
        <w:t>日</w:t>
      </w:r>
    </w:p>
    <w:p w14:paraId="5969677F">
      <w:pPr>
        <w:snapToGrid w:val="0"/>
        <w:spacing w:line="400" w:lineRule="atLeast"/>
        <w:ind w:right="23" w:firstLine="420"/>
        <w:rPr>
          <w:rFonts w:asciiTheme="minorEastAsia" w:hAnsiTheme="minorEastAsia" w:eastAsiaTheme="minorEastAsia"/>
          <w:color w:val="auto"/>
        </w:rPr>
      </w:pPr>
    </w:p>
    <w:p w14:paraId="7A664F68">
      <w:pPr>
        <w:snapToGrid w:val="0"/>
        <w:spacing w:line="360" w:lineRule="auto"/>
        <w:ind w:right="23" w:firstLine="420"/>
        <w:rPr>
          <w:rFonts w:asciiTheme="minorEastAsia" w:hAnsiTheme="minorEastAsia" w:eastAsiaTheme="minorEastAsia"/>
          <w:color w:val="auto"/>
        </w:rPr>
      </w:pPr>
    </w:p>
    <w:p w14:paraId="105AC7FE">
      <w:pPr>
        <w:snapToGrid w:val="0"/>
        <w:spacing w:line="360" w:lineRule="auto"/>
        <w:ind w:right="23" w:firstLine="420"/>
        <w:rPr>
          <w:rFonts w:asciiTheme="minorEastAsia" w:hAnsiTheme="minorEastAsia" w:eastAsiaTheme="minorEastAsia"/>
          <w:color w:val="auto"/>
        </w:rPr>
      </w:pPr>
    </w:p>
    <w:p w14:paraId="00BC16B7">
      <w:pPr>
        <w:snapToGrid w:val="0"/>
        <w:spacing w:line="360" w:lineRule="auto"/>
        <w:ind w:right="23" w:firstLine="420"/>
        <w:rPr>
          <w:rFonts w:asciiTheme="minorEastAsia" w:hAnsiTheme="minorEastAsia" w:eastAsiaTheme="minorEastAsia"/>
          <w:color w:val="auto"/>
        </w:rPr>
      </w:pPr>
    </w:p>
    <w:p w14:paraId="6A95C117">
      <w:pPr>
        <w:snapToGrid w:val="0"/>
        <w:spacing w:line="360" w:lineRule="auto"/>
        <w:ind w:right="23" w:firstLine="420"/>
        <w:rPr>
          <w:rFonts w:asciiTheme="minorEastAsia" w:hAnsiTheme="minorEastAsia" w:eastAsiaTheme="minorEastAsia"/>
          <w:color w:val="auto"/>
        </w:rPr>
      </w:pPr>
    </w:p>
    <w:p w14:paraId="33A0F216">
      <w:pPr>
        <w:snapToGrid w:val="0"/>
        <w:spacing w:line="360" w:lineRule="auto"/>
        <w:ind w:right="23" w:firstLine="420"/>
        <w:rPr>
          <w:rFonts w:asciiTheme="minorEastAsia" w:hAnsiTheme="minorEastAsia" w:eastAsiaTheme="minorEastAsia"/>
          <w:color w:val="auto"/>
        </w:rPr>
      </w:pPr>
    </w:p>
    <w:p w14:paraId="3E82FD47">
      <w:pPr>
        <w:snapToGrid w:val="0"/>
        <w:spacing w:line="360" w:lineRule="auto"/>
        <w:ind w:right="23" w:firstLine="420"/>
        <w:rPr>
          <w:rFonts w:asciiTheme="minorEastAsia" w:hAnsiTheme="minorEastAsia" w:eastAsiaTheme="minorEastAsia"/>
          <w:color w:val="auto"/>
        </w:rPr>
      </w:pPr>
    </w:p>
    <w:p w14:paraId="4495434D">
      <w:pPr>
        <w:snapToGrid w:val="0"/>
        <w:spacing w:line="360" w:lineRule="auto"/>
        <w:ind w:right="23" w:firstLine="420"/>
        <w:rPr>
          <w:rFonts w:asciiTheme="minorEastAsia" w:hAnsiTheme="minorEastAsia" w:eastAsiaTheme="minorEastAsia"/>
          <w:color w:val="auto"/>
        </w:rPr>
      </w:pPr>
    </w:p>
    <w:p w14:paraId="2521A52C">
      <w:pPr>
        <w:snapToGrid w:val="0"/>
        <w:spacing w:line="360" w:lineRule="auto"/>
        <w:ind w:right="23" w:firstLine="420"/>
        <w:rPr>
          <w:rFonts w:asciiTheme="minorEastAsia" w:hAnsiTheme="minorEastAsia" w:eastAsiaTheme="minorEastAsia"/>
          <w:color w:val="auto"/>
        </w:rPr>
      </w:pPr>
    </w:p>
    <w:p w14:paraId="5916309B">
      <w:pPr>
        <w:snapToGrid w:val="0"/>
        <w:spacing w:line="360" w:lineRule="auto"/>
        <w:ind w:right="23" w:firstLine="420"/>
        <w:rPr>
          <w:rFonts w:asciiTheme="minorEastAsia" w:hAnsiTheme="minorEastAsia" w:eastAsiaTheme="minorEastAsia"/>
          <w:color w:val="auto"/>
        </w:rPr>
      </w:pPr>
    </w:p>
    <w:p w14:paraId="182F4BC3">
      <w:pPr>
        <w:snapToGrid w:val="0"/>
        <w:spacing w:line="360" w:lineRule="auto"/>
        <w:ind w:right="23" w:firstLine="420"/>
        <w:rPr>
          <w:rFonts w:asciiTheme="minorEastAsia" w:hAnsiTheme="minorEastAsia" w:eastAsiaTheme="minorEastAsia"/>
          <w:color w:val="auto"/>
        </w:rPr>
      </w:pPr>
    </w:p>
    <w:p w14:paraId="27DD2816">
      <w:pPr>
        <w:snapToGrid w:val="0"/>
        <w:spacing w:line="360" w:lineRule="auto"/>
        <w:ind w:right="23" w:firstLine="420"/>
        <w:rPr>
          <w:rFonts w:asciiTheme="minorEastAsia" w:hAnsiTheme="minorEastAsia" w:eastAsiaTheme="minorEastAsia"/>
          <w:color w:val="auto"/>
        </w:rPr>
      </w:pPr>
    </w:p>
    <w:p w14:paraId="06E18FA2">
      <w:pPr>
        <w:snapToGrid w:val="0"/>
        <w:spacing w:line="360" w:lineRule="auto"/>
        <w:ind w:right="23" w:firstLine="420"/>
        <w:rPr>
          <w:rFonts w:asciiTheme="minorEastAsia" w:hAnsiTheme="minorEastAsia" w:eastAsiaTheme="minorEastAsia"/>
          <w:color w:val="auto"/>
        </w:rPr>
      </w:pPr>
    </w:p>
    <w:p w14:paraId="2ED65877">
      <w:pPr>
        <w:snapToGrid w:val="0"/>
        <w:spacing w:line="360" w:lineRule="auto"/>
        <w:ind w:right="23" w:firstLine="420"/>
        <w:rPr>
          <w:rFonts w:asciiTheme="minorEastAsia" w:hAnsiTheme="minorEastAsia" w:eastAsiaTheme="minorEastAsia"/>
          <w:color w:val="auto"/>
        </w:rPr>
      </w:pPr>
    </w:p>
    <w:p w14:paraId="39E3416D">
      <w:pPr>
        <w:snapToGrid w:val="0"/>
        <w:spacing w:line="360" w:lineRule="auto"/>
        <w:ind w:right="23" w:firstLine="420"/>
        <w:rPr>
          <w:rFonts w:asciiTheme="minorEastAsia" w:hAnsiTheme="minorEastAsia" w:eastAsiaTheme="minorEastAsia"/>
          <w:color w:val="auto"/>
        </w:rPr>
      </w:pPr>
    </w:p>
    <w:p w14:paraId="0E536D70">
      <w:pPr>
        <w:snapToGrid w:val="0"/>
        <w:spacing w:line="360" w:lineRule="auto"/>
        <w:ind w:right="23" w:firstLine="420"/>
        <w:rPr>
          <w:rFonts w:asciiTheme="minorEastAsia" w:hAnsiTheme="minorEastAsia" w:eastAsiaTheme="minorEastAsia"/>
          <w:color w:val="auto"/>
        </w:rPr>
      </w:pPr>
    </w:p>
    <w:p w14:paraId="6EE2E226">
      <w:pPr>
        <w:snapToGrid w:val="0"/>
        <w:spacing w:line="360" w:lineRule="auto"/>
        <w:ind w:right="23" w:firstLine="420"/>
        <w:rPr>
          <w:rFonts w:asciiTheme="minorEastAsia" w:hAnsiTheme="minorEastAsia" w:eastAsiaTheme="minorEastAsia"/>
          <w:color w:val="auto"/>
        </w:rPr>
      </w:pPr>
    </w:p>
    <w:p w14:paraId="6A0BF82F">
      <w:pPr>
        <w:rPr>
          <w:rFonts w:asciiTheme="minorEastAsia" w:hAnsiTheme="minorEastAsia" w:eastAsiaTheme="minorEastAsia"/>
          <w:color w:val="auto"/>
        </w:rPr>
      </w:pPr>
      <w:r>
        <w:rPr>
          <w:rFonts w:asciiTheme="minorEastAsia" w:hAnsiTheme="minorEastAsia" w:eastAsiaTheme="minorEastAsia"/>
          <w:color w:val="auto"/>
        </w:rPr>
        <w:br w:type="page"/>
      </w:r>
    </w:p>
    <w:p w14:paraId="50DBBA85">
      <w:pPr>
        <w:pStyle w:val="25"/>
        <w:rPr>
          <w:color w:val="auto"/>
        </w:rPr>
      </w:pPr>
    </w:p>
    <w:p w14:paraId="14143D03">
      <w:pPr>
        <w:snapToGrid w:val="0"/>
        <w:spacing w:line="360" w:lineRule="auto"/>
        <w:ind w:right="23"/>
        <w:rPr>
          <w:rFonts w:asciiTheme="minorEastAsia" w:hAnsiTheme="minorEastAsia" w:eastAsiaTheme="minorEastAsia"/>
          <w:b/>
          <w:color w:val="auto"/>
          <w:sz w:val="28"/>
        </w:rPr>
      </w:pPr>
      <w:r>
        <w:rPr>
          <w:rFonts w:hint="eastAsia" w:asciiTheme="minorEastAsia" w:hAnsiTheme="minorEastAsia" w:eastAsiaTheme="minorEastAsia"/>
          <w:color w:val="auto"/>
          <w:sz w:val="24"/>
        </w:rPr>
        <w:t xml:space="preserve">附件4：                 </w:t>
      </w:r>
      <w:r>
        <w:rPr>
          <w:rFonts w:hint="eastAsia" w:asciiTheme="minorEastAsia" w:hAnsiTheme="minorEastAsia" w:eastAsiaTheme="minorEastAsia"/>
          <w:b/>
          <w:color w:val="auto"/>
          <w:sz w:val="24"/>
        </w:rPr>
        <w:t xml:space="preserve"> </w:t>
      </w:r>
      <w:r>
        <w:rPr>
          <w:rFonts w:hint="eastAsia" w:asciiTheme="minorEastAsia" w:hAnsiTheme="minorEastAsia" w:eastAsiaTheme="minorEastAsia"/>
          <w:b/>
          <w:color w:val="auto"/>
          <w:sz w:val="28"/>
        </w:rPr>
        <w:t xml:space="preserve"> 不拖欠民工工资承诺书</w:t>
      </w:r>
    </w:p>
    <w:p w14:paraId="7D76D5A5">
      <w:pPr>
        <w:snapToGrid w:val="0"/>
        <w:spacing w:line="360" w:lineRule="auto"/>
        <w:ind w:right="23"/>
        <w:rPr>
          <w:rFonts w:asciiTheme="minorEastAsia" w:hAnsiTheme="minorEastAsia" w:eastAsiaTheme="minorEastAsia"/>
          <w:b/>
          <w:color w:val="auto"/>
          <w:sz w:val="28"/>
        </w:rPr>
      </w:pPr>
    </w:p>
    <w:p w14:paraId="420CE1B0">
      <w:pPr>
        <w:snapToGrid w:val="0"/>
        <w:spacing w:line="360" w:lineRule="auto"/>
        <w:ind w:right="23"/>
        <w:rPr>
          <w:rFonts w:asciiTheme="minorEastAsia" w:hAnsiTheme="minorEastAsia" w:eastAsiaTheme="minorEastAsia"/>
          <w:b/>
          <w:color w:val="auto"/>
          <w:sz w:val="28"/>
        </w:rPr>
      </w:pPr>
    </w:p>
    <w:p w14:paraId="3C10DB82">
      <w:pPr>
        <w:snapToGrid w:val="0"/>
        <w:spacing w:line="360" w:lineRule="auto"/>
        <w:ind w:right="23"/>
        <w:rPr>
          <w:rFonts w:asciiTheme="minorEastAsia" w:hAnsiTheme="minorEastAsia" w:eastAsiaTheme="minorEastAsia"/>
          <w:color w:val="auto"/>
        </w:rPr>
      </w:pPr>
    </w:p>
    <w:p w14:paraId="483DD9EA">
      <w:pPr>
        <w:snapToGrid w:val="0"/>
        <w:spacing w:line="480" w:lineRule="exact"/>
        <w:ind w:right="23" w:firstLine="3990"/>
        <w:rPr>
          <w:rFonts w:asciiTheme="minorEastAsia" w:hAnsiTheme="minorEastAsia" w:eastAsiaTheme="minorEastAsia"/>
          <w:color w:val="auto"/>
        </w:rPr>
      </w:pPr>
      <w:r>
        <w:rPr>
          <w:rFonts w:hint="eastAsia" w:asciiTheme="minorEastAsia" w:hAnsiTheme="minorEastAsia" w:eastAsiaTheme="minorEastAsia"/>
          <w:color w:val="auto"/>
        </w:rPr>
        <w:t>内容、格式自拟。</w:t>
      </w:r>
    </w:p>
    <w:p w14:paraId="51A11361">
      <w:pPr>
        <w:snapToGrid w:val="0"/>
        <w:spacing w:line="360" w:lineRule="auto"/>
        <w:ind w:right="23"/>
        <w:rPr>
          <w:rFonts w:asciiTheme="minorEastAsia" w:hAnsiTheme="minorEastAsia" w:eastAsiaTheme="minorEastAsia"/>
          <w:color w:val="auto"/>
        </w:rPr>
      </w:pPr>
    </w:p>
    <w:p w14:paraId="2958B275">
      <w:pPr>
        <w:snapToGrid w:val="0"/>
        <w:spacing w:line="360" w:lineRule="auto"/>
        <w:ind w:right="23"/>
        <w:rPr>
          <w:rFonts w:asciiTheme="minorEastAsia" w:hAnsiTheme="minorEastAsia" w:eastAsiaTheme="minorEastAsia"/>
          <w:color w:val="auto"/>
        </w:rPr>
      </w:pPr>
    </w:p>
    <w:p w14:paraId="6E0B9BA8">
      <w:pPr>
        <w:snapToGrid w:val="0"/>
        <w:spacing w:line="360" w:lineRule="auto"/>
        <w:ind w:right="23"/>
        <w:rPr>
          <w:rFonts w:asciiTheme="minorEastAsia" w:hAnsiTheme="minorEastAsia" w:eastAsiaTheme="minorEastAsia"/>
          <w:color w:val="auto"/>
        </w:rPr>
      </w:pPr>
    </w:p>
    <w:p w14:paraId="39922B0D">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供应商名称（盖章）：</w:t>
      </w:r>
    </w:p>
    <w:p w14:paraId="6F0EDDFD">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p>
    <w:p w14:paraId="2E8AA11D">
      <w:pPr>
        <w:snapToGrid w:val="0"/>
        <w:spacing w:line="360" w:lineRule="auto"/>
        <w:ind w:right="23"/>
        <w:rPr>
          <w:rFonts w:asciiTheme="minorEastAsia" w:hAnsiTheme="minorEastAsia" w:eastAsiaTheme="minorEastAsia"/>
          <w:color w:val="auto"/>
        </w:rPr>
      </w:pPr>
    </w:p>
    <w:p w14:paraId="75FE8649">
      <w:pPr>
        <w:snapToGrid w:val="0"/>
        <w:spacing w:line="360" w:lineRule="auto"/>
        <w:ind w:right="23"/>
        <w:rPr>
          <w:rFonts w:asciiTheme="minorEastAsia" w:hAnsiTheme="minorEastAsia" w:eastAsiaTheme="minorEastAsia"/>
          <w:b/>
          <w:color w:val="auto"/>
          <w:sz w:val="32"/>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24B710DE">
      <w:pPr>
        <w:snapToGrid w:val="0"/>
        <w:spacing w:line="360" w:lineRule="auto"/>
        <w:ind w:left="2948" w:right="23"/>
        <w:jc w:val="center"/>
        <w:rPr>
          <w:rFonts w:asciiTheme="minorEastAsia" w:hAnsiTheme="minorEastAsia" w:eastAsiaTheme="minorEastAsia"/>
          <w:b/>
          <w:color w:val="auto"/>
          <w:sz w:val="32"/>
        </w:rPr>
      </w:pPr>
    </w:p>
    <w:p w14:paraId="2F0FE563">
      <w:pPr>
        <w:snapToGrid w:val="0"/>
        <w:spacing w:line="360" w:lineRule="auto"/>
        <w:ind w:left="2948" w:right="23"/>
        <w:jc w:val="center"/>
        <w:rPr>
          <w:rFonts w:asciiTheme="minorEastAsia" w:hAnsiTheme="minorEastAsia" w:eastAsiaTheme="minorEastAsia"/>
          <w:b/>
          <w:color w:val="auto"/>
          <w:sz w:val="32"/>
        </w:rPr>
      </w:pPr>
    </w:p>
    <w:p w14:paraId="3A6DABF2">
      <w:pPr>
        <w:snapToGrid w:val="0"/>
        <w:spacing w:line="360" w:lineRule="auto"/>
        <w:ind w:left="2948" w:right="23"/>
        <w:jc w:val="center"/>
        <w:rPr>
          <w:rFonts w:asciiTheme="minorEastAsia" w:hAnsiTheme="minorEastAsia" w:eastAsiaTheme="minorEastAsia"/>
          <w:b/>
          <w:color w:val="auto"/>
          <w:sz w:val="32"/>
        </w:rPr>
      </w:pPr>
    </w:p>
    <w:p w14:paraId="7F2CA36E">
      <w:pPr>
        <w:snapToGrid w:val="0"/>
        <w:spacing w:line="360" w:lineRule="auto"/>
        <w:ind w:left="2948" w:right="23"/>
        <w:jc w:val="center"/>
        <w:rPr>
          <w:rFonts w:asciiTheme="minorEastAsia" w:hAnsiTheme="minorEastAsia" w:eastAsiaTheme="minorEastAsia"/>
          <w:b/>
          <w:color w:val="auto"/>
          <w:sz w:val="32"/>
        </w:rPr>
      </w:pPr>
    </w:p>
    <w:p w14:paraId="03FED763">
      <w:pPr>
        <w:snapToGrid w:val="0"/>
        <w:spacing w:line="360" w:lineRule="auto"/>
        <w:ind w:left="2948" w:right="23"/>
        <w:jc w:val="center"/>
        <w:rPr>
          <w:rFonts w:asciiTheme="minorEastAsia" w:hAnsiTheme="minorEastAsia" w:eastAsiaTheme="minorEastAsia"/>
          <w:b/>
          <w:color w:val="auto"/>
          <w:sz w:val="32"/>
        </w:rPr>
      </w:pPr>
    </w:p>
    <w:p w14:paraId="59285A2B">
      <w:pPr>
        <w:snapToGrid w:val="0"/>
        <w:spacing w:line="360" w:lineRule="auto"/>
        <w:ind w:left="2948" w:right="23"/>
        <w:jc w:val="center"/>
        <w:rPr>
          <w:rFonts w:asciiTheme="minorEastAsia" w:hAnsiTheme="minorEastAsia" w:eastAsiaTheme="minorEastAsia"/>
          <w:b/>
          <w:color w:val="auto"/>
          <w:sz w:val="32"/>
        </w:rPr>
      </w:pPr>
    </w:p>
    <w:p w14:paraId="70278440">
      <w:pPr>
        <w:snapToGrid w:val="0"/>
        <w:spacing w:line="360" w:lineRule="auto"/>
        <w:ind w:left="2948" w:right="23"/>
        <w:jc w:val="center"/>
        <w:rPr>
          <w:rFonts w:asciiTheme="minorEastAsia" w:hAnsiTheme="minorEastAsia" w:eastAsiaTheme="minorEastAsia"/>
          <w:b/>
          <w:color w:val="auto"/>
          <w:sz w:val="32"/>
        </w:rPr>
      </w:pPr>
    </w:p>
    <w:p w14:paraId="1EDFDC25">
      <w:pPr>
        <w:snapToGrid w:val="0"/>
        <w:spacing w:line="360" w:lineRule="auto"/>
        <w:ind w:left="2948" w:right="23"/>
        <w:jc w:val="center"/>
        <w:rPr>
          <w:rFonts w:asciiTheme="minorEastAsia" w:hAnsiTheme="minorEastAsia" w:eastAsiaTheme="minorEastAsia"/>
          <w:b/>
          <w:color w:val="auto"/>
          <w:sz w:val="32"/>
        </w:rPr>
      </w:pPr>
    </w:p>
    <w:p w14:paraId="021D5EC1">
      <w:pPr>
        <w:snapToGrid w:val="0"/>
        <w:spacing w:line="360" w:lineRule="auto"/>
        <w:ind w:left="2948" w:right="23"/>
        <w:jc w:val="center"/>
        <w:rPr>
          <w:rFonts w:asciiTheme="minorEastAsia" w:hAnsiTheme="minorEastAsia" w:eastAsiaTheme="minorEastAsia"/>
          <w:b/>
          <w:color w:val="auto"/>
          <w:sz w:val="32"/>
        </w:rPr>
      </w:pPr>
    </w:p>
    <w:p w14:paraId="1F550652">
      <w:pPr>
        <w:snapToGrid w:val="0"/>
        <w:spacing w:line="360" w:lineRule="auto"/>
        <w:ind w:left="2948" w:right="23"/>
        <w:jc w:val="center"/>
        <w:rPr>
          <w:rFonts w:asciiTheme="minorEastAsia" w:hAnsiTheme="minorEastAsia" w:eastAsiaTheme="minorEastAsia"/>
          <w:b/>
          <w:color w:val="auto"/>
          <w:sz w:val="32"/>
        </w:rPr>
      </w:pPr>
    </w:p>
    <w:p w14:paraId="57AA7BE2">
      <w:pPr>
        <w:snapToGrid w:val="0"/>
        <w:spacing w:line="360" w:lineRule="auto"/>
        <w:ind w:left="2948" w:right="23"/>
        <w:jc w:val="center"/>
        <w:rPr>
          <w:rFonts w:asciiTheme="minorEastAsia" w:hAnsiTheme="minorEastAsia" w:eastAsiaTheme="minorEastAsia"/>
          <w:b/>
          <w:color w:val="auto"/>
          <w:sz w:val="32"/>
        </w:rPr>
      </w:pPr>
    </w:p>
    <w:p w14:paraId="50A24E94">
      <w:pPr>
        <w:snapToGrid w:val="0"/>
        <w:spacing w:line="360" w:lineRule="auto"/>
        <w:ind w:left="2948" w:right="23"/>
        <w:jc w:val="center"/>
        <w:rPr>
          <w:rFonts w:asciiTheme="minorEastAsia" w:hAnsiTheme="minorEastAsia" w:eastAsiaTheme="minorEastAsia"/>
          <w:b/>
          <w:color w:val="auto"/>
          <w:sz w:val="32"/>
        </w:rPr>
      </w:pPr>
    </w:p>
    <w:p w14:paraId="20485E1B">
      <w:pPr>
        <w:snapToGrid w:val="0"/>
        <w:spacing w:line="360" w:lineRule="auto"/>
        <w:ind w:left="2948" w:right="23"/>
        <w:jc w:val="center"/>
        <w:rPr>
          <w:rFonts w:asciiTheme="minorEastAsia" w:hAnsiTheme="minorEastAsia" w:eastAsiaTheme="minorEastAsia"/>
          <w:b/>
          <w:color w:val="auto"/>
          <w:sz w:val="32"/>
        </w:rPr>
      </w:pPr>
    </w:p>
    <w:p w14:paraId="4F4518A5">
      <w:pPr>
        <w:snapToGrid w:val="0"/>
        <w:spacing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二、</w:t>
      </w:r>
      <w:r>
        <w:rPr>
          <w:rFonts w:hint="eastAsia" w:asciiTheme="minorEastAsia" w:hAnsiTheme="minorEastAsia" w:eastAsiaTheme="minorEastAsia"/>
          <w:b/>
          <w:bCs/>
          <w:color w:val="auto"/>
          <w:sz w:val="30"/>
          <w:szCs w:val="30"/>
          <w:lang w:val="zh-TW"/>
        </w:rPr>
        <w:t>投标承诺</w:t>
      </w:r>
    </w:p>
    <w:p w14:paraId="7A890AF2">
      <w:pPr>
        <w:snapToGrid w:val="0"/>
        <w:spacing w:before="120" w:line="360" w:lineRule="auto"/>
        <w:rPr>
          <w:rFonts w:asciiTheme="minorEastAsia" w:hAnsiTheme="minorEastAsia" w:eastAsiaTheme="minorEastAsia"/>
          <w:color w:val="auto"/>
          <w:sz w:val="20"/>
        </w:rPr>
      </w:pPr>
      <w:r>
        <w:rPr>
          <w:rFonts w:asciiTheme="minorEastAsia" w:hAnsiTheme="minorEastAsia" w:eastAsiaTheme="minorEastAsia"/>
          <w:color w:val="auto"/>
          <w:sz w:val="20"/>
        </w:rPr>
        <w:t xml:space="preserve">    </w:t>
      </w:r>
    </w:p>
    <w:p w14:paraId="68A939DD">
      <w:pPr>
        <w:snapToGrid w:val="0"/>
        <w:spacing w:line="360" w:lineRule="auto"/>
        <w:jc w:val="left"/>
        <w:rPr>
          <w:rFonts w:asciiTheme="minorEastAsia" w:hAnsiTheme="minorEastAsia" w:eastAsiaTheme="minorEastAsia"/>
          <w:color w:val="auto"/>
          <w:sz w:val="32"/>
        </w:rPr>
      </w:pPr>
      <w:r>
        <w:rPr>
          <w:rFonts w:hint="eastAsia" w:asciiTheme="minorEastAsia" w:hAnsiTheme="minorEastAsia" w:eastAsiaTheme="minorEastAsia"/>
          <w:color w:val="auto"/>
          <w:sz w:val="32"/>
        </w:rPr>
        <w:t>附件5-1：</w:t>
      </w:r>
    </w:p>
    <w:p w14:paraId="17439A44">
      <w:pPr>
        <w:snapToGrid w:val="0"/>
        <w:spacing w:line="360" w:lineRule="auto"/>
        <w:ind w:right="23"/>
        <w:jc w:val="center"/>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投标承诺（格式）</w:t>
      </w:r>
    </w:p>
    <w:p w14:paraId="7A8951B0">
      <w:pPr>
        <w:spacing w:line="360" w:lineRule="auto"/>
        <w:rPr>
          <w:rFonts w:cs="宋体" w:asciiTheme="minorEastAsia" w:hAnsiTheme="minorEastAsia" w:eastAsiaTheme="minorEastAsia"/>
          <w:b/>
          <w:color w:val="auto"/>
          <w:sz w:val="30"/>
          <w:szCs w:val="30"/>
        </w:rPr>
      </w:pPr>
    </w:p>
    <w:p w14:paraId="61FEA9BC">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采购人名称):</w:t>
      </w:r>
    </w:p>
    <w:p w14:paraId="7C3FF5B7">
      <w:pPr>
        <w:spacing w:line="360" w:lineRule="auto"/>
        <w:rPr>
          <w:rFonts w:asciiTheme="minorEastAsia" w:hAnsiTheme="minorEastAsia" w:eastAsiaTheme="minorEastAsia"/>
          <w:color w:val="auto"/>
          <w:szCs w:val="21"/>
        </w:rPr>
      </w:pPr>
    </w:p>
    <w:p w14:paraId="12920E8C">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1、投标担保</w:t>
      </w:r>
    </w:p>
    <w:p w14:paraId="3B0193C4">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 xml:space="preserve">   经慎重研究，我公司参与你方组织的</w:t>
      </w:r>
      <w:r>
        <w:rPr>
          <w:rFonts w:hint="eastAsia" w:asciiTheme="minorEastAsia" w:hAnsiTheme="minorEastAsia" w:eastAsiaTheme="minorEastAsia"/>
          <w:color w:val="auto"/>
          <w:szCs w:val="21"/>
          <w:u w:val="single"/>
        </w:rPr>
        <w:t xml:space="preserve">               </w:t>
      </w:r>
      <w:r>
        <w:rPr>
          <w:rFonts w:hint="eastAsia" w:asciiTheme="minorEastAsia" w:hAnsiTheme="minorEastAsia" w:eastAsiaTheme="minorEastAsia"/>
          <w:color w:val="auto"/>
          <w:szCs w:val="21"/>
        </w:rPr>
        <w:t>(项目名称)的投标，我方承诺严格按照《招标投标法》、《</w:t>
      </w:r>
      <w:r>
        <w:rPr>
          <w:rFonts w:hint="eastAsia" w:asciiTheme="minorEastAsia" w:hAnsiTheme="minorEastAsia" w:eastAsiaTheme="minorEastAsia"/>
          <w:bCs/>
          <w:color w:val="auto"/>
          <w:szCs w:val="21"/>
        </w:rPr>
        <w:t>中华人民共和国政府采购法</w:t>
      </w:r>
      <w:r>
        <w:rPr>
          <w:rFonts w:hint="eastAsia" w:asciiTheme="minorEastAsia" w:hAnsiTheme="minorEastAsia" w:eastAsiaTheme="minorEastAsia"/>
          <w:color w:val="auto"/>
          <w:szCs w:val="21"/>
        </w:rPr>
        <w:t>》等法律法规和政策文件的要求，履行投标义务。 如果发生不履行相关投标义务的行为，自愿接受按法律法规和招标文件作出的处理。</w:t>
      </w:r>
    </w:p>
    <w:p w14:paraId="04B887BD">
      <w:pPr>
        <w:spacing w:line="360" w:lineRule="auto"/>
        <w:rPr>
          <w:rFonts w:asciiTheme="minorEastAsia" w:hAnsiTheme="minorEastAsia" w:eastAsiaTheme="minorEastAsia"/>
          <w:color w:val="auto"/>
          <w:kern w:val="2"/>
          <w:szCs w:val="21"/>
        </w:rPr>
      </w:pPr>
    </w:p>
    <w:p w14:paraId="2332A1F2">
      <w:pPr>
        <w:spacing w:line="360" w:lineRule="auto"/>
        <w:rPr>
          <w:rFonts w:asciiTheme="minorEastAsia" w:hAnsiTheme="minorEastAsia" w:eastAsiaTheme="minorEastAsia"/>
          <w:color w:val="auto"/>
          <w:kern w:val="2"/>
          <w:szCs w:val="21"/>
        </w:rPr>
      </w:pPr>
    </w:p>
    <w:p w14:paraId="08FE0F8B">
      <w:pPr>
        <w:spacing w:line="360" w:lineRule="auto"/>
        <w:rPr>
          <w:rFonts w:asciiTheme="minorEastAsia" w:hAnsiTheme="minorEastAsia" w:eastAsiaTheme="minorEastAsia"/>
          <w:color w:val="auto"/>
          <w:kern w:val="2"/>
          <w:szCs w:val="21"/>
        </w:rPr>
      </w:pPr>
    </w:p>
    <w:p w14:paraId="5DB5986A">
      <w:pPr>
        <w:spacing w:line="360" w:lineRule="auto"/>
        <w:ind w:firstLine="1470" w:firstLineChars="700"/>
        <w:rPr>
          <w:rFonts w:cs="仿宋" w:asciiTheme="minorEastAsia" w:hAnsiTheme="minorEastAsia" w:eastAsiaTheme="minorEastAsia"/>
          <w:color w:val="auto"/>
          <w:kern w:val="2"/>
          <w:szCs w:val="21"/>
        </w:rPr>
      </w:pPr>
      <w:r>
        <w:rPr>
          <w:rFonts w:hint="eastAsia" w:cs="仿宋" w:asciiTheme="minorEastAsia" w:hAnsiTheme="minorEastAsia" w:eastAsiaTheme="minorEastAsia"/>
          <w:color w:val="auto"/>
          <w:kern w:val="2"/>
          <w:szCs w:val="21"/>
        </w:rPr>
        <w:t>供  应  商：</w:t>
      </w:r>
      <w:r>
        <w:rPr>
          <w:rFonts w:hint="eastAsia" w:cs="仿宋" w:asciiTheme="minorEastAsia" w:hAnsiTheme="minorEastAsia" w:eastAsiaTheme="minorEastAsia"/>
          <w:color w:val="auto"/>
          <w:kern w:val="2"/>
          <w:szCs w:val="21"/>
          <w:u w:val="single"/>
        </w:rPr>
        <w:t xml:space="preserve">         （全称）            </w:t>
      </w:r>
      <w:r>
        <w:rPr>
          <w:rFonts w:hint="eastAsia" w:cs="仿宋" w:asciiTheme="minorEastAsia" w:hAnsiTheme="minorEastAsia" w:eastAsiaTheme="minorEastAsia"/>
          <w:color w:val="auto"/>
          <w:kern w:val="2"/>
          <w:szCs w:val="21"/>
        </w:rPr>
        <w:t>（盖单位公章）</w:t>
      </w:r>
    </w:p>
    <w:p w14:paraId="1BB083BC">
      <w:pPr>
        <w:spacing w:line="360" w:lineRule="auto"/>
        <w:ind w:firstLine="1470" w:firstLineChars="700"/>
        <w:rPr>
          <w:rFonts w:cs="仿宋" w:asciiTheme="minorEastAsia" w:hAnsiTheme="minorEastAsia" w:eastAsiaTheme="minorEastAsia"/>
          <w:color w:val="auto"/>
          <w:kern w:val="2"/>
          <w:szCs w:val="21"/>
        </w:rPr>
      </w:pPr>
      <w:r>
        <w:rPr>
          <w:rFonts w:hint="eastAsia" w:cs="仿宋" w:asciiTheme="minorEastAsia" w:hAnsiTheme="minorEastAsia" w:eastAsiaTheme="minorEastAsia"/>
          <w:color w:val="auto"/>
          <w:kern w:val="2"/>
          <w:szCs w:val="21"/>
        </w:rPr>
        <w:t>法定代表人</w:t>
      </w:r>
      <w:r>
        <w:rPr>
          <w:rFonts w:hint="eastAsia" w:asciiTheme="minorEastAsia" w:hAnsiTheme="minorEastAsia" w:eastAsiaTheme="minorEastAsia"/>
          <w:color w:val="auto"/>
        </w:rPr>
        <w:t>或其委托代理人</w:t>
      </w:r>
      <w:r>
        <w:rPr>
          <w:rFonts w:hint="eastAsia" w:cs="仿宋" w:asciiTheme="minorEastAsia" w:hAnsiTheme="minorEastAsia" w:eastAsiaTheme="minorEastAsia"/>
          <w:color w:val="auto"/>
          <w:kern w:val="2"/>
          <w:szCs w:val="21"/>
        </w:rPr>
        <w:t>：</w:t>
      </w:r>
      <w:r>
        <w:rPr>
          <w:rFonts w:hint="eastAsia" w:cs="仿宋" w:asciiTheme="minorEastAsia" w:hAnsiTheme="minorEastAsia" w:eastAsiaTheme="minorEastAsia"/>
          <w:color w:val="auto"/>
          <w:kern w:val="2"/>
          <w:szCs w:val="21"/>
          <w:u w:val="single"/>
        </w:rPr>
        <w:t xml:space="preserve">               </w:t>
      </w:r>
      <w:r>
        <w:rPr>
          <w:rFonts w:hint="eastAsia" w:cs="仿宋" w:asciiTheme="minorEastAsia" w:hAnsiTheme="minorEastAsia" w:eastAsiaTheme="minorEastAsia"/>
          <w:color w:val="auto"/>
          <w:kern w:val="2"/>
          <w:szCs w:val="21"/>
        </w:rPr>
        <w:t>（签字或盖章）</w:t>
      </w:r>
    </w:p>
    <w:p w14:paraId="0AD75D18">
      <w:pPr>
        <w:widowControl/>
        <w:spacing w:after="240" w:line="360" w:lineRule="auto"/>
        <w:jc w:val="left"/>
        <w:rPr>
          <w:rFonts w:cs="仿宋" w:asciiTheme="minorEastAsia" w:hAnsiTheme="minorEastAsia" w:eastAsiaTheme="minorEastAsia"/>
          <w:color w:val="auto"/>
          <w:kern w:val="2"/>
          <w:szCs w:val="21"/>
          <w:u w:val="single"/>
        </w:rPr>
      </w:pPr>
      <w:r>
        <w:rPr>
          <w:rFonts w:hint="eastAsia" w:asciiTheme="minorEastAsia" w:hAnsiTheme="minorEastAsia" w:eastAsiaTheme="minorEastAsia"/>
          <w:color w:val="auto"/>
          <w:szCs w:val="21"/>
        </w:rPr>
        <w:t xml:space="preserve">              地      址:</w:t>
      </w:r>
      <w:r>
        <w:rPr>
          <w:rFonts w:hint="eastAsia" w:cs="仿宋" w:asciiTheme="minorEastAsia" w:hAnsiTheme="minorEastAsia" w:eastAsiaTheme="minorEastAsia"/>
          <w:color w:val="auto"/>
          <w:kern w:val="2"/>
          <w:szCs w:val="21"/>
          <w:u w:val="single"/>
        </w:rPr>
        <w:t xml:space="preserve">                              </w:t>
      </w:r>
    </w:p>
    <w:p w14:paraId="1D4D235D">
      <w:pPr>
        <w:widowControl/>
        <w:spacing w:after="240" w:line="360" w:lineRule="auto"/>
        <w:jc w:val="left"/>
        <w:rPr>
          <w:rFonts w:cs="仿宋" w:asciiTheme="minorEastAsia" w:hAnsiTheme="minorEastAsia" w:eastAsiaTheme="minorEastAsia"/>
          <w:color w:val="auto"/>
          <w:kern w:val="2"/>
          <w:szCs w:val="21"/>
          <w:u w:val="single"/>
        </w:rPr>
      </w:pPr>
      <w:r>
        <w:rPr>
          <w:rFonts w:hint="eastAsia" w:asciiTheme="minorEastAsia" w:hAnsiTheme="minorEastAsia" w:eastAsiaTheme="minorEastAsia"/>
          <w:color w:val="auto"/>
          <w:szCs w:val="21"/>
        </w:rPr>
        <w:t xml:space="preserve">              电      话:</w:t>
      </w:r>
      <w:r>
        <w:rPr>
          <w:rFonts w:hint="eastAsia" w:cs="仿宋" w:asciiTheme="minorEastAsia" w:hAnsiTheme="minorEastAsia" w:eastAsiaTheme="minorEastAsia"/>
          <w:color w:val="auto"/>
          <w:kern w:val="2"/>
          <w:szCs w:val="21"/>
          <w:u w:val="single"/>
        </w:rPr>
        <w:t xml:space="preserve">                              </w:t>
      </w:r>
    </w:p>
    <w:p w14:paraId="5D471535">
      <w:pPr>
        <w:widowControl/>
        <w:spacing w:after="240" w:line="360" w:lineRule="auto"/>
        <w:jc w:val="left"/>
        <w:rPr>
          <w:rFonts w:cs="仿宋" w:asciiTheme="minorEastAsia" w:hAnsiTheme="minorEastAsia" w:eastAsiaTheme="minorEastAsia"/>
          <w:color w:val="auto"/>
          <w:kern w:val="2"/>
          <w:szCs w:val="21"/>
          <w:u w:val="single"/>
        </w:rPr>
      </w:pPr>
      <w:r>
        <w:rPr>
          <w:rFonts w:hint="eastAsia" w:asciiTheme="minorEastAsia" w:hAnsiTheme="minorEastAsia" w:eastAsiaTheme="minorEastAsia"/>
          <w:color w:val="auto"/>
          <w:szCs w:val="21"/>
        </w:rPr>
        <w:t xml:space="preserve">              传      真:</w:t>
      </w:r>
      <w:r>
        <w:rPr>
          <w:rFonts w:hint="eastAsia" w:cs="仿宋" w:asciiTheme="minorEastAsia" w:hAnsiTheme="minorEastAsia" w:eastAsiaTheme="minorEastAsia"/>
          <w:color w:val="auto"/>
          <w:kern w:val="2"/>
          <w:szCs w:val="21"/>
          <w:u w:val="single"/>
        </w:rPr>
        <w:t xml:space="preserve">                              </w:t>
      </w:r>
    </w:p>
    <w:p w14:paraId="2E242A85">
      <w:pPr>
        <w:widowControl/>
        <w:spacing w:after="240" w:line="360" w:lineRule="auto"/>
        <w:jc w:val="left"/>
        <w:rPr>
          <w:rFonts w:asciiTheme="minorEastAsia" w:hAnsiTheme="minorEastAsia" w:eastAsiaTheme="minorEastAsia"/>
          <w:bCs/>
          <w:color w:val="auto"/>
          <w:kern w:val="2"/>
          <w:szCs w:val="21"/>
        </w:rPr>
      </w:pP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
          <w:bCs/>
          <w:color w:val="auto"/>
          <w:kern w:val="2"/>
          <w:szCs w:val="21"/>
        </w:rPr>
        <w:t xml:space="preserve">      </w:t>
      </w:r>
      <w:r>
        <w:rPr>
          <w:rFonts w:hint="eastAsia" w:asciiTheme="minorEastAsia" w:hAnsiTheme="minorEastAsia" w:eastAsiaTheme="minorEastAsia"/>
          <w:b/>
          <w:bCs/>
          <w:color w:val="auto"/>
          <w:kern w:val="2"/>
          <w:szCs w:val="21"/>
        </w:rPr>
        <w:tab/>
      </w:r>
      <w:r>
        <w:rPr>
          <w:rFonts w:hint="eastAsia" w:asciiTheme="minorEastAsia" w:hAnsiTheme="minorEastAsia" w:eastAsiaTheme="minorEastAsia"/>
          <w:bCs/>
          <w:color w:val="auto"/>
          <w:kern w:val="2"/>
          <w:szCs w:val="21"/>
          <w:u w:val="single"/>
        </w:rPr>
        <w:tab/>
      </w:r>
      <w:r>
        <w:rPr>
          <w:rFonts w:hint="eastAsia" w:asciiTheme="minorEastAsia" w:hAnsiTheme="minorEastAsia" w:eastAsiaTheme="minorEastAsia"/>
          <w:bCs/>
          <w:color w:val="auto"/>
          <w:kern w:val="2"/>
          <w:szCs w:val="21"/>
        </w:rPr>
        <w:t>年</w:t>
      </w:r>
      <w:r>
        <w:rPr>
          <w:rFonts w:hint="eastAsia" w:asciiTheme="minorEastAsia" w:hAnsiTheme="minorEastAsia" w:eastAsiaTheme="minorEastAsia"/>
          <w:bCs/>
          <w:color w:val="auto"/>
          <w:kern w:val="2"/>
          <w:szCs w:val="21"/>
          <w:u w:val="single"/>
        </w:rPr>
        <w:t xml:space="preserve">    </w:t>
      </w:r>
      <w:r>
        <w:rPr>
          <w:rFonts w:hint="eastAsia" w:asciiTheme="minorEastAsia" w:hAnsiTheme="minorEastAsia" w:eastAsiaTheme="minorEastAsia"/>
          <w:bCs/>
          <w:color w:val="auto"/>
          <w:kern w:val="2"/>
          <w:szCs w:val="21"/>
        </w:rPr>
        <w:t>月</w:t>
      </w:r>
      <w:r>
        <w:rPr>
          <w:rFonts w:hint="eastAsia" w:asciiTheme="minorEastAsia" w:hAnsiTheme="minorEastAsia" w:eastAsiaTheme="minorEastAsia"/>
          <w:bCs/>
          <w:color w:val="auto"/>
          <w:kern w:val="2"/>
          <w:szCs w:val="21"/>
          <w:u w:val="single"/>
        </w:rPr>
        <w:t xml:space="preserve">    </w:t>
      </w:r>
      <w:r>
        <w:rPr>
          <w:rFonts w:hint="eastAsia" w:asciiTheme="minorEastAsia" w:hAnsiTheme="minorEastAsia" w:eastAsiaTheme="minorEastAsia"/>
          <w:bCs/>
          <w:color w:val="auto"/>
          <w:kern w:val="2"/>
          <w:szCs w:val="21"/>
        </w:rPr>
        <w:t>日</w:t>
      </w:r>
    </w:p>
    <w:p w14:paraId="4601CF96">
      <w:pPr>
        <w:rPr>
          <w:rFonts w:asciiTheme="minorEastAsia" w:hAnsiTheme="minorEastAsia" w:eastAsiaTheme="minorEastAsia"/>
          <w:bCs/>
          <w:color w:val="auto"/>
          <w:kern w:val="2"/>
          <w:szCs w:val="21"/>
        </w:rPr>
      </w:pPr>
      <w:r>
        <w:rPr>
          <w:rFonts w:hint="eastAsia" w:asciiTheme="minorEastAsia" w:hAnsiTheme="minorEastAsia" w:eastAsiaTheme="minorEastAsia"/>
          <w:bCs/>
          <w:color w:val="auto"/>
          <w:kern w:val="2"/>
          <w:szCs w:val="21"/>
        </w:rPr>
        <w:br w:type="page"/>
      </w:r>
    </w:p>
    <w:p w14:paraId="7B356B5C">
      <w:pPr>
        <w:rPr>
          <w:rFonts w:ascii="Calibri" w:hAnsi="Calibri"/>
          <w:color w:val="auto"/>
          <w:kern w:val="2"/>
          <w:sz w:val="28"/>
          <w:szCs w:val="28"/>
        </w:rPr>
      </w:pPr>
      <w:r>
        <w:rPr>
          <w:rFonts w:hint="eastAsia" w:ascii="Calibri" w:hAnsi="Calibri"/>
          <w:color w:val="auto"/>
          <w:kern w:val="2"/>
          <w:sz w:val="28"/>
          <w:szCs w:val="28"/>
        </w:rPr>
        <w:t>附件5-2：</w:t>
      </w:r>
    </w:p>
    <w:p w14:paraId="5F4DA9BC">
      <w:pPr>
        <w:jc w:val="center"/>
        <w:rPr>
          <w:rFonts w:ascii="Calibri" w:hAnsi="Calibri"/>
          <w:b/>
          <w:color w:val="auto"/>
          <w:kern w:val="2"/>
          <w:sz w:val="28"/>
          <w:szCs w:val="28"/>
        </w:rPr>
      </w:pPr>
      <w:r>
        <w:rPr>
          <w:rFonts w:hint="eastAsia" w:ascii="Calibri" w:hAnsi="Calibri"/>
          <w:b/>
          <w:color w:val="auto"/>
          <w:kern w:val="2"/>
          <w:sz w:val="28"/>
          <w:szCs w:val="28"/>
        </w:rPr>
        <w:t>施工项目部关键岗位人员配备承诺书</w:t>
      </w:r>
    </w:p>
    <w:p w14:paraId="001DCFF9">
      <w:pPr>
        <w:jc w:val="center"/>
        <w:rPr>
          <w:rFonts w:ascii="Calibri" w:hAnsi="Calibri"/>
          <w:color w:val="auto"/>
          <w:kern w:val="2"/>
          <w:szCs w:val="22"/>
        </w:rPr>
      </w:pPr>
    </w:p>
    <w:p w14:paraId="75D9AACF">
      <w:pPr>
        <w:snapToGrid w:val="0"/>
        <w:spacing w:line="420" w:lineRule="exact"/>
        <w:ind w:firstLine="422"/>
        <w:rPr>
          <w:rFonts w:ascii="宋体" w:hAnsi="宋体"/>
          <w:color w:val="auto"/>
          <w:kern w:val="2"/>
          <w:szCs w:val="21"/>
        </w:rPr>
      </w:pPr>
      <w:r>
        <w:rPr>
          <w:rFonts w:hint="eastAsia" w:ascii="宋体" w:hAnsi="宋体"/>
          <w:color w:val="auto"/>
          <w:kern w:val="2"/>
          <w:szCs w:val="21"/>
        </w:rPr>
        <w:t>我方承诺：施工项目部关键岗位人员数量按照湘建建【2020】208号文最低配备标准配备关键岗位人员，</w:t>
      </w:r>
      <w:r>
        <w:rPr>
          <w:rFonts w:hint="eastAsia" w:ascii="宋体" w:hAnsi="宋体" w:cs="宋体"/>
          <w:color w:val="auto"/>
          <w:szCs w:val="21"/>
        </w:rPr>
        <w:t>关键岗位人员均为供应商正式在职人员，</w:t>
      </w:r>
      <w:r>
        <w:rPr>
          <w:rFonts w:hint="eastAsia" w:ascii="宋体" w:hAnsi="宋体"/>
          <w:color w:val="auto"/>
          <w:szCs w:val="21"/>
        </w:rPr>
        <w:t>项目负责人</w:t>
      </w:r>
      <w:r>
        <w:rPr>
          <w:rFonts w:hint="eastAsia" w:ascii="宋体" w:hAnsi="宋体" w:cs="宋体"/>
          <w:color w:val="auto"/>
          <w:szCs w:val="21"/>
        </w:rPr>
        <w:t>无在建项目，且依规</w:t>
      </w:r>
      <w:r>
        <w:rPr>
          <w:rFonts w:hint="eastAsia" w:ascii="宋体" w:hAnsi="宋体"/>
          <w:color w:val="auto"/>
          <w:szCs w:val="21"/>
        </w:rPr>
        <w:t>配备其他关键岗位人员，在工程实施时根据项目需要配备到位</w:t>
      </w:r>
      <w:r>
        <w:rPr>
          <w:rFonts w:hint="eastAsia" w:ascii="宋体" w:hAnsi="宋体"/>
          <w:color w:val="auto"/>
          <w:kern w:val="2"/>
          <w:szCs w:val="21"/>
        </w:rPr>
        <w:t>，供应商的法定代表人和总经理不作为本项目的关键岗位人员。</w:t>
      </w:r>
    </w:p>
    <w:p w14:paraId="25542129">
      <w:pPr>
        <w:snapToGrid w:val="0"/>
        <w:spacing w:line="420" w:lineRule="exact"/>
        <w:ind w:firstLine="422"/>
        <w:rPr>
          <w:rFonts w:ascii="宋体" w:hAnsi="宋体"/>
          <w:color w:val="auto"/>
          <w:kern w:val="2"/>
          <w:szCs w:val="21"/>
        </w:rPr>
      </w:pPr>
    </w:p>
    <w:p w14:paraId="7B6974F3">
      <w:pPr>
        <w:snapToGrid w:val="0"/>
        <w:spacing w:line="420" w:lineRule="exact"/>
        <w:ind w:firstLine="422"/>
        <w:rPr>
          <w:rFonts w:ascii="宋体" w:hAnsi="宋体"/>
          <w:color w:val="auto"/>
          <w:kern w:val="2"/>
          <w:szCs w:val="21"/>
        </w:rPr>
      </w:pPr>
    </w:p>
    <w:p w14:paraId="338D9C6A">
      <w:pPr>
        <w:snapToGrid w:val="0"/>
        <w:spacing w:line="420" w:lineRule="exact"/>
        <w:ind w:firstLine="422"/>
        <w:rPr>
          <w:rFonts w:ascii="宋体" w:hAnsi="宋体"/>
          <w:color w:val="auto"/>
          <w:kern w:val="2"/>
          <w:szCs w:val="21"/>
        </w:rPr>
      </w:pPr>
    </w:p>
    <w:p w14:paraId="3EE7F077">
      <w:pPr>
        <w:snapToGrid w:val="0"/>
        <w:spacing w:line="420" w:lineRule="exact"/>
        <w:ind w:firstLine="422"/>
        <w:rPr>
          <w:rFonts w:ascii="宋体" w:hAnsi="宋体"/>
          <w:color w:val="auto"/>
          <w:kern w:val="2"/>
          <w:szCs w:val="21"/>
        </w:rPr>
      </w:pPr>
    </w:p>
    <w:p w14:paraId="0BFD8CDD">
      <w:pPr>
        <w:snapToGrid w:val="0"/>
        <w:spacing w:line="420" w:lineRule="exact"/>
        <w:ind w:firstLine="422"/>
        <w:rPr>
          <w:rFonts w:ascii="宋体" w:hAnsi="宋体"/>
          <w:color w:val="auto"/>
          <w:kern w:val="2"/>
          <w:szCs w:val="21"/>
        </w:rPr>
      </w:pPr>
    </w:p>
    <w:p w14:paraId="26D6281E">
      <w:pPr>
        <w:snapToGrid w:val="0"/>
        <w:spacing w:line="420" w:lineRule="exact"/>
        <w:ind w:firstLine="422"/>
        <w:rPr>
          <w:rFonts w:ascii="宋体" w:hAnsi="宋体"/>
          <w:color w:val="auto"/>
          <w:kern w:val="2"/>
          <w:szCs w:val="21"/>
        </w:rPr>
      </w:pPr>
      <w:r>
        <w:rPr>
          <w:rFonts w:hint="eastAsia" w:ascii="宋体" w:hAnsi="宋体"/>
          <w:color w:val="auto"/>
          <w:kern w:val="2"/>
          <w:szCs w:val="21"/>
        </w:rPr>
        <w:t>供应商（盖章）：</w:t>
      </w:r>
    </w:p>
    <w:p w14:paraId="5C1F6462">
      <w:pPr>
        <w:snapToGrid w:val="0"/>
        <w:spacing w:line="420" w:lineRule="exact"/>
        <w:ind w:firstLine="422"/>
        <w:rPr>
          <w:rFonts w:ascii="宋体" w:hAnsi="宋体"/>
          <w:color w:val="auto"/>
          <w:kern w:val="2"/>
          <w:szCs w:val="21"/>
        </w:rPr>
      </w:pPr>
      <w:r>
        <w:rPr>
          <w:rFonts w:hint="eastAsia" w:ascii="宋体" w:hAnsi="宋体"/>
          <w:color w:val="auto"/>
          <w:kern w:val="2"/>
          <w:szCs w:val="21"/>
        </w:rPr>
        <w:t>法定代表人（签字或盖章）：</w:t>
      </w:r>
    </w:p>
    <w:p w14:paraId="555E4A19">
      <w:pPr>
        <w:snapToGrid w:val="0"/>
        <w:spacing w:line="420" w:lineRule="exact"/>
        <w:ind w:firstLine="422"/>
        <w:rPr>
          <w:rFonts w:ascii="宋体" w:hAnsi="宋体"/>
          <w:color w:val="auto"/>
          <w:kern w:val="2"/>
          <w:szCs w:val="21"/>
        </w:rPr>
      </w:pPr>
      <w:r>
        <w:rPr>
          <w:rFonts w:hint="eastAsia" w:ascii="宋体" w:hAnsi="宋体"/>
          <w:color w:val="auto"/>
          <w:kern w:val="2"/>
          <w:szCs w:val="21"/>
        </w:rPr>
        <w:t>日期：    年  月  日</w:t>
      </w:r>
    </w:p>
    <w:p w14:paraId="4E5FEC5A">
      <w:pPr>
        <w:widowControl/>
        <w:spacing w:after="240" w:line="360" w:lineRule="auto"/>
        <w:jc w:val="left"/>
        <w:rPr>
          <w:rFonts w:asciiTheme="minorEastAsia" w:hAnsiTheme="minorEastAsia" w:eastAsiaTheme="minorEastAsia"/>
          <w:bCs/>
          <w:color w:val="auto"/>
          <w:kern w:val="2"/>
          <w:szCs w:val="21"/>
        </w:rPr>
      </w:pPr>
    </w:p>
    <w:p w14:paraId="69BE3EC8">
      <w:pPr>
        <w:snapToGrid w:val="0"/>
        <w:spacing w:line="360" w:lineRule="auto"/>
        <w:jc w:val="center"/>
        <w:rPr>
          <w:rFonts w:asciiTheme="minorEastAsia" w:hAnsiTheme="minorEastAsia" w:eastAsiaTheme="minorEastAsia"/>
          <w:color w:val="auto"/>
          <w:sz w:val="24"/>
        </w:rPr>
      </w:pPr>
    </w:p>
    <w:p w14:paraId="6F1E55B8">
      <w:pPr>
        <w:snapToGrid w:val="0"/>
        <w:spacing w:line="360" w:lineRule="auto"/>
        <w:jc w:val="center"/>
        <w:rPr>
          <w:rFonts w:asciiTheme="minorEastAsia" w:hAnsiTheme="minorEastAsia" w:eastAsiaTheme="minorEastAsia"/>
          <w:b/>
          <w:color w:val="auto"/>
          <w:sz w:val="32"/>
        </w:rPr>
      </w:pPr>
    </w:p>
    <w:p w14:paraId="59D66584">
      <w:pPr>
        <w:snapToGrid w:val="0"/>
        <w:spacing w:line="360" w:lineRule="auto"/>
        <w:jc w:val="center"/>
        <w:rPr>
          <w:rFonts w:asciiTheme="minorEastAsia" w:hAnsiTheme="minorEastAsia" w:eastAsiaTheme="minorEastAsia"/>
          <w:b/>
          <w:color w:val="auto"/>
          <w:sz w:val="32"/>
        </w:rPr>
      </w:pPr>
    </w:p>
    <w:p w14:paraId="33C6E759">
      <w:pPr>
        <w:snapToGrid w:val="0"/>
        <w:spacing w:line="360" w:lineRule="auto"/>
        <w:jc w:val="center"/>
        <w:rPr>
          <w:rFonts w:asciiTheme="minorEastAsia" w:hAnsiTheme="minorEastAsia" w:eastAsiaTheme="minorEastAsia"/>
          <w:b/>
          <w:color w:val="auto"/>
          <w:sz w:val="32"/>
        </w:rPr>
      </w:pPr>
    </w:p>
    <w:p w14:paraId="3A6E6E08">
      <w:pPr>
        <w:pStyle w:val="25"/>
        <w:spacing w:line="360" w:lineRule="auto"/>
        <w:ind w:left="0"/>
        <w:rPr>
          <w:rFonts w:asciiTheme="minorEastAsia" w:hAnsiTheme="minorEastAsia" w:eastAsiaTheme="minorEastAsia"/>
          <w:color w:val="auto"/>
          <w:sz w:val="20"/>
        </w:rPr>
      </w:pPr>
    </w:p>
    <w:p w14:paraId="14555566">
      <w:pPr>
        <w:pStyle w:val="25"/>
        <w:spacing w:line="360" w:lineRule="auto"/>
        <w:ind w:left="0"/>
        <w:rPr>
          <w:rFonts w:asciiTheme="minorEastAsia" w:hAnsiTheme="minorEastAsia" w:eastAsiaTheme="minorEastAsia"/>
          <w:color w:val="auto"/>
          <w:sz w:val="20"/>
        </w:rPr>
      </w:pPr>
    </w:p>
    <w:p w14:paraId="33307B34">
      <w:pPr>
        <w:rPr>
          <w:rFonts w:asciiTheme="minorEastAsia" w:hAnsiTheme="minorEastAsia" w:eastAsiaTheme="minorEastAsia"/>
          <w:b/>
          <w:color w:val="auto"/>
          <w:sz w:val="32"/>
        </w:rPr>
      </w:pPr>
      <w:r>
        <w:rPr>
          <w:rFonts w:hint="eastAsia" w:asciiTheme="minorEastAsia" w:hAnsiTheme="minorEastAsia" w:eastAsiaTheme="minorEastAsia"/>
          <w:b/>
          <w:color w:val="auto"/>
          <w:sz w:val="32"/>
        </w:rPr>
        <w:br w:type="page"/>
      </w:r>
    </w:p>
    <w:p w14:paraId="21A4D558">
      <w:pPr>
        <w:snapToGrid w:val="0"/>
        <w:spacing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三、供应商的资格证明资料</w:t>
      </w:r>
    </w:p>
    <w:p w14:paraId="37E28617">
      <w:pPr>
        <w:snapToGrid w:val="0"/>
        <w:spacing w:line="360" w:lineRule="auto"/>
        <w:rPr>
          <w:rFonts w:asciiTheme="minorEastAsia" w:hAnsiTheme="minorEastAsia" w:eastAsiaTheme="minorEastAsia"/>
          <w:color w:val="auto"/>
          <w:sz w:val="30"/>
        </w:rPr>
      </w:pPr>
      <w:r>
        <w:rPr>
          <w:rFonts w:hint="eastAsia" w:asciiTheme="minorEastAsia" w:hAnsiTheme="minorEastAsia" w:eastAsiaTheme="minorEastAsia"/>
          <w:color w:val="auto"/>
          <w:sz w:val="30"/>
        </w:rPr>
        <w:t>附件6              供应商基本情况表</w:t>
      </w:r>
    </w:p>
    <w:p w14:paraId="68BC9BDE">
      <w:pPr>
        <w:snapToGrid w:val="0"/>
        <w:spacing w:line="360" w:lineRule="auto"/>
        <w:rPr>
          <w:rFonts w:asciiTheme="minorEastAsia" w:hAnsiTheme="minorEastAsia" w:eastAsiaTheme="minorEastAsia"/>
          <w:color w:val="auto"/>
          <w:sz w:val="30"/>
        </w:rPr>
      </w:pPr>
    </w:p>
    <w:p w14:paraId="4DEEC035">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盖供应商单位章</w:t>
      </w:r>
    </w:p>
    <w:tbl>
      <w:tblPr>
        <w:tblStyle w:val="19"/>
        <w:tblW w:w="0" w:type="auto"/>
        <w:tblInd w:w="108" w:type="dxa"/>
        <w:tblLayout w:type="fixed"/>
        <w:tblCellMar>
          <w:top w:w="0" w:type="dxa"/>
          <w:left w:w="0" w:type="dxa"/>
          <w:bottom w:w="0" w:type="dxa"/>
          <w:right w:w="0" w:type="dxa"/>
        </w:tblCellMar>
      </w:tblPr>
      <w:tblGrid>
        <w:gridCol w:w="719"/>
        <w:gridCol w:w="539"/>
        <w:gridCol w:w="362"/>
        <w:gridCol w:w="1143"/>
        <w:gridCol w:w="850"/>
        <w:gridCol w:w="590"/>
        <w:gridCol w:w="294"/>
        <w:gridCol w:w="1083"/>
        <w:gridCol w:w="1329"/>
        <w:gridCol w:w="1911"/>
      </w:tblGrid>
      <w:tr w14:paraId="5FA81512">
        <w:tblPrEx>
          <w:tblCellMar>
            <w:top w:w="0" w:type="dxa"/>
            <w:left w:w="0" w:type="dxa"/>
            <w:bottom w:w="0" w:type="dxa"/>
            <w:right w:w="0" w:type="dxa"/>
          </w:tblCellMar>
        </w:tblPrEx>
        <w:trPr>
          <w:trHeight w:val="561" w:hRule="atLeast"/>
        </w:trPr>
        <w:tc>
          <w:tcPr>
            <w:tcW w:w="1620" w:type="dxa"/>
            <w:gridSpan w:val="3"/>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350752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供应商</w:t>
            </w:r>
            <w:r>
              <w:rPr>
                <w:rFonts w:asciiTheme="minorEastAsia" w:hAnsiTheme="minorEastAsia" w:eastAsiaTheme="minorEastAsia"/>
                <w:color w:val="auto"/>
              </w:rPr>
              <w:t>名称</w:t>
            </w:r>
          </w:p>
        </w:tc>
        <w:tc>
          <w:tcPr>
            <w:tcW w:w="3960" w:type="dxa"/>
            <w:gridSpan w:val="5"/>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C471A1F">
            <w:pPr>
              <w:snapToGrid w:val="0"/>
              <w:spacing w:line="360" w:lineRule="auto"/>
              <w:jc w:val="center"/>
              <w:rPr>
                <w:rFonts w:asciiTheme="minorEastAsia" w:hAnsiTheme="minorEastAsia" w:eastAsiaTheme="minorEastAsia"/>
                <w:color w:val="auto"/>
              </w:rPr>
            </w:pPr>
          </w:p>
        </w:tc>
        <w:tc>
          <w:tcPr>
            <w:tcW w:w="1329"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C185F1C">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法定代表人</w:t>
            </w:r>
          </w:p>
        </w:tc>
        <w:tc>
          <w:tcPr>
            <w:tcW w:w="1911"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EFF8D3C">
            <w:pPr>
              <w:snapToGrid w:val="0"/>
              <w:spacing w:line="360" w:lineRule="auto"/>
              <w:jc w:val="center"/>
              <w:rPr>
                <w:rFonts w:asciiTheme="minorEastAsia" w:hAnsiTheme="minorEastAsia" w:eastAsiaTheme="minorEastAsia"/>
                <w:color w:val="auto"/>
              </w:rPr>
            </w:pPr>
          </w:p>
        </w:tc>
      </w:tr>
      <w:tr w14:paraId="0E22AB5D">
        <w:tblPrEx>
          <w:tblCellMar>
            <w:top w:w="0" w:type="dxa"/>
            <w:left w:w="0" w:type="dxa"/>
            <w:bottom w:w="0" w:type="dxa"/>
            <w:right w:w="0" w:type="dxa"/>
          </w:tblCellMar>
        </w:tblPrEx>
        <w:trPr>
          <w:trHeight w:val="611" w:hRule="atLeast"/>
        </w:trPr>
        <w:tc>
          <w:tcPr>
            <w:tcW w:w="1620" w:type="dxa"/>
            <w:gridSpan w:val="3"/>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83F26C0">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委托代理</w:t>
            </w:r>
            <w:r>
              <w:rPr>
                <w:rFonts w:asciiTheme="minorEastAsia" w:hAnsiTheme="minorEastAsia" w:eastAsiaTheme="minorEastAsia"/>
                <w:color w:val="auto"/>
              </w:rPr>
              <w:t>人</w:t>
            </w:r>
          </w:p>
        </w:tc>
        <w:tc>
          <w:tcPr>
            <w:tcW w:w="3960" w:type="dxa"/>
            <w:gridSpan w:val="5"/>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5C16416">
            <w:pPr>
              <w:snapToGrid w:val="0"/>
              <w:spacing w:line="360" w:lineRule="auto"/>
              <w:jc w:val="center"/>
              <w:rPr>
                <w:rFonts w:asciiTheme="minorEastAsia" w:hAnsiTheme="minorEastAsia" w:eastAsiaTheme="minorEastAsia"/>
                <w:color w:val="auto"/>
              </w:rPr>
            </w:pPr>
          </w:p>
        </w:tc>
        <w:tc>
          <w:tcPr>
            <w:tcW w:w="132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C753F84">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邮政编码</w:t>
            </w:r>
          </w:p>
        </w:tc>
        <w:tc>
          <w:tcPr>
            <w:tcW w:w="191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603AE60E">
            <w:pPr>
              <w:snapToGrid w:val="0"/>
              <w:spacing w:line="360" w:lineRule="auto"/>
              <w:jc w:val="center"/>
              <w:rPr>
                <w:rFonts w:asciiTheme="minorEastAsia" w:hAnsiTheme="minorEastAsia" w:eastAsiaTheme="minorEastAsia"/>
                <w:color w:val="auto"/>
              </w:rPr>
            </w:pPr>
          </w:p>
        </w:tc>
      </w:tr>
      <w:tr w14:paraId="4792ACA7">
        <w:tblPrEx>
          <w:tblCellMar>
            <w:top w:w="0" w:type="dxa"/>
            <w:left w:w="0" w:type="dxa"/>
            <w:bottom w:w="0" w:type="dxa"/>
            <w:right w:w="0" w:type="dxa"/>
          </w:tblCellMar>
        </w:tblPrEx>
        <w:trPr>
          <w:trHeight w:val="608" w:hRule="atLeast"/>
        </w:trPr>
        <w:tc>
          <w:tcPr>
            <w:tcW w:w="1620" w:type="dxa"/>
            <w:gridSpan w:val="3"/>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ED89716">
            <w:pPr>
              <w:snapToGrid w:val="0"/>
              <w:spacing w:line="360" w:lineRule="auto"/>
              <w:jc w:val="center"/>
              <w:rPr>
                <w:rFonts w:asciiTheme="minorEastAsia" w:hAnsiTheme="minorEastAsia" w:eastAsiaTheme="minorEastAsia"/>
                <w:color w:val="auto"/>
              </w:rPr>
            </w:pPr>
          </w:p>
        </w:tc>
        <w:tc>
          <w:tcPr>
            <w:tcW w:w="3960" w:type="dxa"/>
            <w:gridSpan w:val="5"/>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69EF482">
            <w:pPr>
              <w:snapToGrid w:val="0"/>
              <w:spacing w:line="360" w:lineRule="auto"/>
              <w:jc w:val="center"/>
              <w:rPr>
                <w:rFonts w:asciiTheme="minorEastAsia" w:hAnsiTheme="minorEastAsia" w:eastAsiaTheme="minorEastAsia"/>
                <w:color w:val="auto"/>
              </w:rPr>
            </w:pPr>
          </w:p>
        </w:tc>
        <w:tc>
          <w:tcPr>
            <w:tcW w:w="132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BEDE1C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电子邮箱</w:t>
            </w:r>
          </w:p>
        </w:tc>
        <w:tc>
          <w:tcPr>
            <w:tcW w:w="191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6479D81">
            <w:pPr>
              <w:snapToGrid w:val="0"/>
              <w:spacing w:line="360" w:lineRule="auto"/>
              <w:jc w:val="center"/>
              <w:rPr>
                <w:rFonts w:asciiTheme="minorEastAsia" w:hAnsiTheme="minorEastAsia" w:eastAsiaTheme="minorEastAsia"/>
                <w:color w:val="auto"/>
              </w:rPr>
            </w:pPr>
          </w:p>
        </w:tc>
      </w:tr>
      <w:tr w14:paraId="5022899E">
        <w:tblPrEx>
          <w:tblCellMar>
            <w:top w:w="0" w:type="dxa"/>
            <w:left w:w="0" w:type="dxa"/>
            <w:bottom w:w="0" w:type="dxa"/>
            <w:right w:w="0" w:type="dxa"/>
          </w:tblCellMar>
        </w:tblPrEx>
        <w:trPr>
          <w:trHeight w:val="608" w:hRule="atLeast"/>
        </w:trPr>
        <w:tc>
          <w:tcPr>
            <w:tcW w:w="1620" w:type="dxa"/>
            <w:gridSpan w:val="3"/>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E788BB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上年营业收入</w:t>
            </w:r>
          </w:p>
        </w:tc>
        <w:tc>
          <w:tcPr>
            <w:tcW w:w="3960" w:type="dxa"/>
            <w:gridSpan w:val="5"/>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A06253C">
            <w:pPr>
              <w:snapToGrid w:val="0"/>
              <w:spacing w:line="360" w:lineRule="auto"/>
              <w:jc w:val="center"/>
              <w:rPr>
                <w:rFonts w:asciiTheme="minorEastAsia" w:hAnsiTheme="minorEastAsia" w:eastAsiaTheme="minorEastAsia"/>
                <w:color w:val="auto"/>
              </w:rPr>
            </w:pPr>
          </w:p>
        </w:tc>
        <w:tc>
          <w:tcPr>
            <w:tcW w:w="1329"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4551ED0">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员工总人数</w:t>
            </w:r>
          </w:p>
        </w:tc>
        <w:tc>
          <w:tcPr>
            <w:tcW w:w="191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673A7A1">
            <w:pPr>
              <w:snapToGrid w:val="0"/>
              <w:spacing w:line="360" w:lineRule="auto"/>
              <w:jc w:val="center"/>
              <w:rPr>
                <w:rFonts w:asciiTheme="minorEastAsia" w:hAnsiTheme="minorEastAsia" w:eastAsiaTheme="minorEastAsia"/>
                <w:color w:val="auto"/>
              </w:rPr>
            </w:pPr>
          </w:p>
        </w:tc>
      </w:tr>
      <w:tr w14:paraId="2AB5C192">
        <w:tblPrEx>
          <w:tblCellMar>
            <w:top w:w="0" w:type="dxa"/>
            <w:left w:w="0" w:type="dxa"/>
            <w:bottom w:w="0" w:type="dxa"/>
            <w:right w:w="0" w:type="dxa"/>
          </w:tblCellMar>
        </w:tblPrEx>
        <w:trPr>
          <w:trHeight w:val="624" w:hRule="atLeast"/>
        </w:trPr>
        <w:tc>
          <w:tcPr>
            <w:tcW w:w="719" w:type="dxa"/>
            <w:vMerge w:val="restart"/>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412B2C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营业执照</w:t>
            </w:r>
          </w:p>
        </w:tc>
        <w:tc>
          <w:tcPr>
            <w:tcW w:w="2044"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ACFB04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注册号码</w:t>
            </w:r>
          </w:p>
        </w:tc>
        <w:tc>
          <w:tcPr>
            <w:tcW w:w="1440"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9DD9724">
            <w:pPr>
              <w:snapToGrid w:val="0"/>
              <w:spacing w:line="360" w:lineRule="auto"/>
              <w:jc w:val="center"/>
              <w:rPr>
                <w:rFonts w:asciiTheme="minorEastAsia" w:hAnsiTheme="minorEastAsia" w:eastAsiaTheme="minorEastAsia"/>
                <w:color w:val="auto"/>
              </w:rPr>
            </w:pPr>
          </w:p>
        </w:tc>
        <w:tc>
          <w:tcPr>
            <w:tcW w:w="1377"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89EB47F">
            <w:pPr>
              <w:snapToGrid w:val="0"/>
              <w:spacing w:line="360" w:lineRule="auto"/>
              <w:ind w:firstLine="105"/>
              <w:jc w:val="center"/>
              <w:rPr>
                <w:rFonts w:asciiTheme="minorEastAsia" w:hAnsiTheme="minorEastAsia" w:eastAsiaTheme="minorEastAsia"/>
                <w:color w:val="auto"/>
              </w:rPr>
            </w:pPr>
            <w:r>
              <w:rPr>
                <w:rFonts w:hint="eastAsia" w:asciiTheme="minorEastAsia" w:hAnsiTheme="minorEastAsia" w:eastAsiaTheme="minorEastAsia"/>
                <w:color w:val="auto"/>
              </w:rPr>
              <w:t>注册地址</w:t>
            </w: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B032E7C">
            <w:pPr>
              <w:snapToGrid w:val="0"/>
              <w:spacing w:line="360" w:lineRule="auto"/>
              <w:ind w:firstLine="105"/>
              <w:jc w:val="center"/>
              <w:rPr>
                <w:rFonts w:asciiTheme="minorEastAsia" w:hAnsiTheme="minorEastAsia" w:eastAsiaTheme="minorEastAsia"/>
                <w:color w:val="auto"/>
              </w:rPr>
            </w:pPr>
          </w:p>
        </w:tc>
      </w:tr>
      <w:tr w14:paraId="4D4A34D4">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01E66BC">
            <w:pPr>
              <w:snapToGrid w:val="0"/>
              <w:spacing w:line="360" w:lineRule="auto"/>
              <w:ind w:firstLine="105"/>
              <w:jc w:val="center"/>
              <w:rPr>
                <w:rFonts w:asciiTheme="minorEastAsia" w:hAnsiTheme="minorEastAsia" w:eastAsiaTheme="minorEastAsia"/>
                <w:color w:val="auto"/>
              </w:rPr>
            </w:pPr>
          </w:p>
        </w:tc>
        <w:tc>
          <w:tcPr>
            <w:tcW w:w="2044"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7B950A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发证机关</w:t>
            </w:r>
          </w:p>
        </w:tc>
        <w:tc>
          <w:tcPr>
            <w:tcW w:w="1440"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2EC4D13">
            <w:pPr>
              <w:snapToGrid w:val="0"/>
              <w:spacing w:line="360" w:lineRule="auto"/>
              <w:jc w:val="center"/>
              <w:rPr>
                <w:rFonts w:asciiTheme="minorEastAsia" w:hAnsiTheme="minorEastAsia" w:eastAsiaTheme="minorEastAsia"/>
                <w:color w:val="auto"/>
              </w:rPr>
            </w:pPr>
          </w:p>
        </w:tc>
        <w:tc>
          <w:tcPr>
            <w:tcW w:w="1377"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2F10C77">
            <w:pPr>
              <w:snapToGrid w:val="0"/>
              <w:spacing w:line="360" w:lineRule="auto"/>
              <w:ind w:firstLine="105"/>
              <w:jc w:val="center"/>
              <w:rPr>
                <w:rFonts w:asciiTheme="minorEastAsia" w:hAnsiTheme="minorEastAsia" w:eastAsiaTheme="minorEastAsia"/>
                <w:color w:val="auto"/>
              </w:rPr>
            </w:pPr>
            <w:r>
              <w:rPr>
                <w:rFonts w:hint="eastAsia" w:asciiTheme="minorEastAsia" w:hAnsiTheme="minorEastAsia" w:eastAsiaTheme="minorEastAsia"/>
                <w:color w:val="auto"/>
              </w:rPr>
              <w:t>发证日期</w:t>
            </w: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EEA43C0">
            <w:pPr>
              <w:snapToGrid w:val="0"/>
              <w:spacing w:line="360" w:lineRule="auto"/>
              <w:ind w:firstLine="105"/>
              <w:jc w:val="center"/>
              <w:rPr>
                <w:rFonts w:asciiTheme="minorEastAsia" w:hAnsiTheme="minorEastAsia" w:eastAsiaTheme="minorEastAsia"/>
                <w:color w:val="auto"/>
              </w:rPr>
            </w:pPr>
          </w:p>
        </w:tc>
      </w:tr>
      <w:tr w14:paraId="2C1B5DB8">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4ACE50C">
            <w:pPr>
              <w:snapToGrid w:val="0"/>
              <w:spacing w:line="360" w:lineRule="auto"/>
              <w:ind w:firstLine="105"/>
              <w:jc w:val="center"/>
              <w:rPr>
                <w:rFonts w:asciiTheme="minorEastAsia" w:hAnsiTheme="minorEastAsia" w:eastAsiaTheme="minorEastAsia"/>
                <w:color w:val="auto"/>
              </w:rPr>
            </w:pPr>
          </w:p>
        </w:tc>
        <w:tc>
          <w:tcPr>
            <w:tcW w:w="2044"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CF64D63">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营业范围（主营）</w:t>
            </w:r>
          </w:p>
        </w:tc>
        <w:tc>
          <w:tcPr>
            <w:tcW w:w="6057" w:type="dxa"/>
            <w:gridSpan w:val="6"/>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CE705B1">
            <w:pPr>
              <w:snapToGrid w:val="0"/>
              <w:spacing w:line="360" w:lineRule="auto"/>
              <w:ind w:firstLine="105"/>
              <w:jc w:val="center"/>
              <w:rPr>
                <w:rFonts w:asciiTheme="minorEastAsia" w:hAnsiTheme="minorEastAsia" w:eastAsiaTheme="minorEastAsia"/>
                <w:color w:val="auto"/>
              </w:rPr>
            </w:pPr>
          </w:p>
        </w:tc>
      </w:tr>
      <w:tr w14:paraId="372C1444">
        <w:tblPrEx>
          <w:tblCellMar>
            <w:top w:w="0" w:type="dxa"/>
            <w:left w:w="0" w:type="dxa"/>
            <w:bottom w:w="0" w:type="dxa"/>
            <w:right w:w="0" w:type="dxa"/>
          </w:tblCellMar>
        </w:tblPrEx>
        <w:trPr>
          <w:trHeight w:val="624" w:hRule="atLeast"/>
        </w:trPr>
        <w:tc>
          <w:tcPr>
            <w:tcW w:w="719" w:type="dxa"/>
            <w:vMerge w:val="continue"/>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92623ED">
            <w:pPr>
              <w:snapToGrid w:val="0"/>
              <w:spacing w:line="360" w:lineRule="auto"/>
              <w:ind w:firstLine="105"/>
              <w:jc w:val="center"/>
              <w:rPr>
                <w:rFonts w:asciiTheme="minorEastAsia" w:hAnsiTheme="minorEastAsia" w:eastAsiaTheme="minorEastAsia"/>
                <w:color w:val="auto"/>
              </w:rPr>
            </w:pPr>
          </w:p>
        </w:tc>
        <w:tc>
          <w:tcPr>
            <w:tcW w:w="2044"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0EAFDF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营业范围（兼营）</w:t>
            </w:r>
          </w:p>
        </w:tc>
        <w:tc>
          <w:tcPr>
            <w:tcW w:w="6057" w:type="dxa"/>
            <w:gridSpan w:val="6"/>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86E3FB5">
            <w:pPr>
              <w:snapToGrid w:val="0"/>
              <w:spacing w:line="360" w:lineRule="auto"/>
              <w:ind w:firstLine="105"/>
              <w:jc w:val="center"/>
              <w:rPr>
                <w:rFonts w:asciiTheme="minorEastAsia" w:hAnsiTheme="minorEastAsia" w:eastAsiaTheme="minorEastAsia"/>
                <w:color w:val="auto"/>
              </w:rPr>
            </w:pPr>
          </w:p>
        </w:tc>
      </w:tr>
      <w:tr w14:paraId="13C226DD">
        <w:tblPrEx>
          <w:tblCellMar>
            <w:top w:w="0" w:type="dxa"/>
            <w:left w:w="0" w:type="dxa"/>
            <w:bottom w:w="0" w:type="dxa"/>
            <w:right w:w="0" w:type="dxa"/>
          </w:tblCellMar>
        </w:tblPrEx>
        <w:trPr>
          <w:trHeight w:val="658" w:hRule="atLeast"/>
        </w:trPr>
        <w:tc>
          <w:tcPr>
            <w:tcW w:w="2763" w:type="dxa"/>
            <w:gridSpan w:val="4"/>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A7676B6">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基本账户开户行及账号</w:t>
            </w:r>
          </w:p>
        </w:tc>
        <w:tc>
          <w:tcPr>
            <w:tcW w:w="6057" w:type="dxa"/>
            <w:gridSpan w:val="6"/>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9F1B3C9">
            <w:pPr>
              <w:snapToGrid w:val="0"/>
              <w:spacing w:line="360" w:lineRule="auto"/>
              <w:jc w:val="center"/>
              <w:rPr>
                <w:rFonts w:asciiTheme="minorEastAsia" w:hAnsiTheme="minorEastAsia" w:eastAsiaTheme="minorEastAsia"/>
                <w:color w:val="auto"/>
              </w:rPr>
            </w:pPr>
          </w:p>
        </w:tc>
      </w:tr>
      <w:tr w14:paraId="33D7943C">
        <w:tblPrEx>
          <w:tblCellMar>
            <w:top w:w="0" w:type="dxa"/>
            <w:left w:w="0" w:type="dxa"/>
            <w:bottom w:w="0" w:type="dxa"/>
            <w:right w:w="0" w:type="dxa"/>
          </w:tblCellMar>
        </w:tblPrEx>
        <w:trPr>
          <w:trHeight w:val="658" w:hRule="atLeast"/>
        </w:trPr>
        <w:tc>
          <w:tcPr>
            <w:tcW w:w="2763" w:type="dxa"/>
            <w:gridSpan w:val="4"/>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BEEF709">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税务登记机关</w:t>
            </w:r>
          </w:p>
        </w:tc>
        <w:tc>
          <w:tcPr>
            <w:tcW w:w="6057" w:type="dxa"/>
            <w:gridSpan w:val="6"/>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711DAED">
            <w:pPr>
              <w:snapToGrid w:val="0"/>
              <w:spacing w:line="360" w:lineRule="auto"/>
              <w:jc w:val="center"/>
              <w:rPr>
                <w:rFonts w:asciiTheme="minorEastAsia" w:hAnsiTheme="minorEastAsia" w:eastAsiaTheme="minorEastAsia"/>
                <w:color w:val="auto"/>
              </w:rPr>
            </w:pPr>
          </w:p>
        </w:tc>
      </w:tr>
      <w:tr w14:paraId="6461196B">
        <w:tblPrEx>
          <w:tblCellMar>
            <w:top w:w="0" w:type="dxa"/>
            <w:left w:w="0" w:type="dxa"/>
            <w:bottom w:w="0" w:type="dxa"/>
            <w:right w:w="0" w:type="dxa"/>
          </w:tblCellMar>
        </w:tblPrEx>
        <w:trPr>
          <w:trHeight w:val="604" w:hRule="atLeast"/>
        </w:trPr>
        <w:tc>
          <w:tcPr>
            <w:tcW w:w="3613" w:type="dxa"/>
            <w:gridSpan w:val="5"/>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10DC1C5">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资质</w:t>
            </w:r>
            <w:r>
              <w:rPr>
                <w:rFonts w:hint="eastAsia" w:asciiTheme="minorEastAsia" w:hAnsiTheme="minorEastAsia" w:eastAsiaTheme="minorEastAsia"/>
                <w:color w:val="auto"/>
              </w:rPr>
              <w:t>名称</w:t>
            </w:r>
          </w:p>
        </w:tc>
        <w:tc>
          <w:tcPr>
            <w:tcW w:w="884"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AA055C6">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等级</w:t>
            </w: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9AA8E7A">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发证机关</w:t>
            </w: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E13EA3C">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有效期</w:t>
            </w:r>
          </w:p>
        </w:tc>
      </w:tr>
      <w:tr w14:paraId="78A3ABFC">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0BBFD02">
            <w:pPr>
              <w:snapToGrid w:val="0"/>
              <w:spacing w:line="360" w:lineRule="auto"/>
              <w:jc w:val="center"/>
              <w:rPr>
                <w:rFonts w:asciiTheme="minorEastAsia" w:hAnsiTheme="minorEastAsia" w:eastAsiaTheme="minorEastAsia"/>
                <w:color w:val="auto"/>
              </w:rPr>
            </w:pPr>
          </w:p>
        </w:tc>
        <w:tc>
          <w:tcPr>
            <w:tcW w:w="884"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6D30E6F">
            <w:pPr>
              <w:snapToGrid w:val="0"/>
              <w:spacing w:line="360" w:lineRule="auto"/>
              <w:jc w:val="center"/>
              <w:rPr>
                <w:rFonts w:asciiTheme="minorEastAsia" w:hAnsiTheme="minorEastAsia" w:eastAsiaTheme="minorEastAsia"/>
                <w:color w:val="auto"/>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A7CAA78">
            <w:pPr>
              <w:snapToGrid w:val="0"/>
              <w:spacing w:line="360" w:lineRule="auto"/>
              <w:jc w:val="center"/>
              <w:rPr>
                <w:rFonts w:asciiTheme="minorEastAsia" w:hAnsiTheme="minorEastAsia" w:eastAsiaTheme="minorEastAsia"/>
                <w:color w:val="auto"/>
              </w:rPr>
            </w:pP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E925E6F">
            <w:pPr>
              <w:snapToGrid w:val="0"/>
              <w:spacing w:line="360" w:lineRule="auto"/>
              <w:jc w:val="center"/>
              <w:rPr>
                <w:rFonts w:asciiTheme="minorEastAsia" w:hAnsiTheme="minorEastAsia" w:eastAsiaTheme="minorEastAsia"/>
                <w:color w:val="auto"/>
              </w:rPr>
            </w:pPr>
          </w:p>
        </w:tc>
      </w:tr>
      <w:tr w14:paraId="6114AE55">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10ADEF45">
            <w:pPr>
              <w:snapToGrid w:val="0"/>
              <w:spacing w:line="360" w:lineRule="auto"/>
              <w:jc w:val="center"/>
              <w:rPr>
                <w:rFonts w:asciiTheme="minorEastAsia" w:hAnsiTheme="minorEastAsia" w:eastAsiaTheme="minorEastAsia"/>
                <w:color w:val="auto"/>
              </w:rPr>
            </w:pPr>
          </w:p>
        </w:tc>
        <w:tc>
          <w:tcPr>
            <w:tcW w:w="884"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B9599FC">
            <w:pPr>
              <w:snapToGrid w:val="0"/>
              <w:spacing w:line="360" w:lineRule="auto"/>
              <w:jc w:val="center"/>
              <w:rPr>
                <w:rFonts w:asciiTheme="minorEastAsia" w:hAnsiTheme="minorEastAsia" w:eastAsiaTheme="minorEastAsia"/>
                <w:color w:val="auto"/>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D59D3A7">
            <w:pPr>
              <w:snapToGrid w:val="0"/>
              <w:spacing w:line="360" w:lineRule="auto"/>
              <w:jc w:val="center"/>
              <w:rPr>
                <w:rFonts w:asciiTheme="minorEastAsia" w:hAnsiTheme="minorEastAsia" w:eastAsiaTheme="minorEastAsia"/>
                <w:color w:val="auto"/>
              </w:rPr>
            </w:pP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80C03F0">
            <w:pPr>
              <w:snapToGrid w:val="0"/>
              <w:spacing w:line="360" w:lineRule="auto"/>
              <w:jc w:val="center"/>
              <w:rPr>
                <w:rFonts w:asciiTheme="minorEastAsia" w:hAnsiTheme="minorEastAsia" w:eastAsiaTheme="minorEastAsia"/>
                <w:color w:val="auto"/>
              </w:rPr>
            </w:pPr>
          </w:p>
        </w:tc>
      </w:tr>
      <w:tr w14:paraId="7C11FB1A">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A82CBEF">
            <w:pPr>
              <w:snapToGrid w:val="0"/>
              <w:spacing w:line="360" w:lineRule="auto"/>
              <w:jc w:val="center"/>
              <w:rPr>
                <w:rFonts w:asciiTheme="minorEastAsia" w:hAnsiTheme="minorEastAsia" w:eastAsiaTheme="minorEastAsia"/>
                <w:color w:val="auto"/>
              </w:rPr>
            </w:pPr>
          </w:p>
        </w:tc>
        <w:tc>
          <w:tcPr>
            <w:tcW w:w="884"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0AB35E3">
            <w:pPr>
              <w:snapToGrid w:val="0"/>
              <w:spacing w:line="360" w:lineRule="auto"/>
              <w:jc w:val="center"/>
              <w:rPr>
                <w:rFonts w:asciiTheme="minorEastAsia" w:hAnsiTheme="minorEastAsia" w:eastAsiaTheme="minorEastAsia"/>
                <w:color w:val="auto"/>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09A087E">
            <w:pPr>
              <w:snapToGrid w:val="0"/>
              <w:spacing w:line="360" w:lineRule="auto"/>
              <w:jc w:val="center"/>
              <w:rPr>
                <w:rFonts w:asciiTheme="minorEastAsia" w:hAnsiTheme="minorEastAsia" w:eastAsiaTheme="minorEastAsia"/>
                <w:color w:val="auto"/>
              </w:rPr>
            </w:pP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54CE136">
            <w:pPr>
              <w:snapToGrid w:val="0"/>
              <w:spacing w:line="360" w:lineRule="auto"/>
              <w:jc w:val="center"/>
              <w:rPr>
                <w:rFonts w:asciiTheme="minorEastAsia" w:hAnsiTheme="minorEastAsia" w:eastAsiaTheme="minorEastAsia"/>
                <w:color w:val="auto"/>
              </w:rPr>
            </w:pPr>
          </w:p>
        </w:tc>
      </w:tr>
      <w:tr w14:paraId="0E97BA1F">
        <w:tblPrEx>
          <w:tblCellMar>
            <w:top w:w="0" w:type="dxa"/>
            <w:left w:w="0" w:type="dxa"/>
            <w:bottom w:w="0" w:type="dxa"/>
            <w:right w:w="0" w:type="dxa"/>
          </w:tblCellMar>
        </w:tblPrEx>
        <w:trPr>
          <w:trHeight w:val="626" w:hRule="atLeast"/>
        </w:trPr>
        <w:tc>
          <w:tcPr>
            <w:tcW w:w="3613" w:type="dxa"/>
            <w:gridSpan w:val="5"/>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841E355">
            <w:pPr>
              <w:snapToGrid w:val="0"/>
              <w:spacing w:line="360" w:lineRule="auto"/>
              <w:jc w:val="center"/>
              <w:rPr>
                <w:rFonts w:asciiTheme="minorEastAsia" w:hAnsiTheme="minorEastAsia" w:eastAsiaTheme="minorEastAsia"/>
                <w:color w:val="auto"/>
              </w:rPr>
            </w:pPr>
          </w:p>
        </w:tc>
        <w:tc>
          <w:tcPr>
            <w:tcW w:w="884" w:type="dxa"/>
            <w:gridSpan w:val="2"/>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9068786">
            <w:pPr>
              <w:snapToGrid w:val="0"/>
              <w:spacing w:line="360" w:lineRule="auto"/>
              <w:jc w:val="center"/>
              <w:rPr>
                <w:rFonts w:asciiTheme="minorEastAsia" w:hAnsiTheme="minorEastAsia" w:eastAsiaTheme="minorEastAsia"/>
                <w:color w:val="auto"/>
              </w:rPr>
            </w:pPr>
          </w:p>
        </w:tc>
        <w:tc>
          <w:tcPr>
            <w:tcW w:w="1083"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69C1339">
            <w:pPr>
              <w:snapToGrid w:val="0"/>
              <w:spacing w:line="360" w:lineRule="auto"/>
              <w:jc w:val="center"/>
              <w:rPr>
                <w:rFonts w:asciiTheme="minorEastAsia" w:hAnsiTheme="minorEastAsia" w:eastAsiaTheme="minorEastAsia"/>
                <w:color w:val="auto"/>
              </w:rPr>
            </w:pPr>
          </w:p>
        </w:tc>
        <w:tc>
          <w:tcPr>
            <w:tcW w:w="3240"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0BDADFBE">
            <w:pPr>
              <w:snapToGrid w:val="0"/>
              <w:spacing w:line="360" w:lineRule="auto"/>
              <w:jc w:val="center"/>
              <w:rPr>
                <w:rFonts w:asciiTheme="minorEastAsia" w:hAnsiTheme="minorEastAsia" w:eastAsiaTheme="minorEastAsia"/>
                <w:color w:val="auto"/>
              </w:rPr>
            </w:pPr>
          </w:p>
        </w:tc>
      </w:tr>
      <w:tr w14:paraId="6B010A39">
        <w:tblPrEx>
          <w:tblCellMar>
            <w:top w:w="0" w:type="dxa"/>
            <w:left w:w="0" w:type="dxa"/>
            <w:bottom w:w="0" w:type="dxa"/>
            <w:right w:w="0" w:type="dxa"/>
          </w:tblCellMar>
        </w:tblPrEx>
        <w:trPr>
          <w:trHeight w:val="1777" w:hRule="atLeast"/>
        </w:trPr>
        <w:tc>
          <w:tcPr>
            <w:tcW w:w="1258" w:type="dxa"/>
            <w:gridSpan w:val="2"/>
            <w:tcBorders>
              <w:top w:val="single" w:color="000000" w:sz="6"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1C3A9E8E">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备注</w:t>
            </w:r>
          </w:p>
        </w:tc>
        <w:tc>
          <w:tcPr>
            <w:tcW w:w="7562" w:type="dxa"/>
            <w:gridSpan w:val="8"/>
            <w:tcBorders>
              <w:top w:val="single" w:color="000000" w:sz="6"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2FAF8417">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附《营业执照》（副本）复印件。其他资料按第二章第42.1款或第四章采购需求要求提供。</w:t>
            </w:r>
          </w:p>
        </w:tc>
      </w:tr>
    </w:tbl>
    <w:p w14:paraId="33992209">
      <w:pPr>
        <w:snapToGrid w:val="0"/>
        <w:spacing w:line="360" w:lineRule="auto"/>
        <w:rPr>
          <w:rFonts w:asciiTheme="minorEastAsia" w:hAnsiTheme="minorEastAsia" w:eastAsiaTheme="minorEastAsia"/>
          <w:color w:val="auto"/>
          <w:sz w:val="30"/>
        </w:rPr>
      </w:pPr>
    </w:p>
    <w:p w14:paraId="15FAB130">
      <w:pPr>
        <w:snapToGrid w:val="0"/>
        <w:spacing w:line="360" w:lineRule="auto"/>
        <w:rPr>
          <w:rFonts w:asciiTheme="minorEastAsia" w:hAnsiTheme="minorEastAsia" w:eastAsiaTheme="minorEastAsia"/>
          <w:color w:val="auto"/>
          <w:sz w:val="30"/>
        </w:rPr>
      </w:pPr>
      <w:r>
        <w:rPr>
          <w:rFonts w:hint="eastAsia" w:asciiTheme="minorEastAsia" w:hAnsiTheme="minorEastAsia" w:eastAsiaTheme="minorEastAsia"/>
          <w:color w:val="auto"/>
          <w:sz w:val="30"/>
        </w:rPr>
        <w:t>附件6-1      磋商文件规定的基本资格条件证明资料</w:t>
      </w:r>
    </w:p>
    <w:p w14:paraId="510EFBDE">
      <w:pPr>
        <w:snapToGrid w:val="0"/>
        <w:spacing w:line="360" w:lineRule="auto"/>
        <w:rPr>
          <w:rFonts w:asciiTheme="minorEastAsia" w:hAnsiTheme="minorEastAsia" w:eastAsiaTheme="minorEastAsia"/>
          <w:color w:val="auto"/>
        </w:rPr>
      </w:pPr>
    </w:p>
    <w:p w14:paraId="071B257D">
      <w:pPr>
        <w:snapToGrid w:val="0"/>
        <w:spacing w:line="360" w:lineRule="auto"/>
        <w:ind w:right="23"/>
        <w:rPr>
          <w:rFonts w:asciiTheme="minorEastAsia" w:hAnsiTheme="minorEastAsia" w:eastAsiaTheme="minorEastAsia"/>
          <w:color w:val="auto"/>
        </w:rPr>
      </w:pPr>
      <w:r>
        <w:rPr>
          <w:rFonts w:hint="eastAsia" w:asciiTheme="minorEastAsia" w:hAnsiTheme="minorEastAsia" w:eastAsiaTheme="minorEastAsia"/>
          <w:color w:val="auto"/>
        </w:rPr>
        <w:t>提供第二章 磋商须知第3.1款供应商基本资格条件：法律、行政法规规定的其他条件[包括供应商从事磋商货物的生产、销售或经营、安装、集成等项许可(如果有的话)]证明资料的复印件。</w:t>
      </w:r>
    </w:p>
    <w:p w14:paraId="79A49E9F">
      <w:pPr>
        <w:rPr>
          <w:rFonts w:asciiTheme="minorEastAsia" w:hAnsiTheme="minorEastAsia" w:eastAsiaTheme="minorEastAsia"/>
          <w:color w:val="auto"/>
        </w:rPr>
      </w:pPr>
      <w:r>
        <w:rPr>
          <w:rFonts w:hint="eastAsia" w:asciiTheme="minorEastAsia" w:hAnsiTheme="minorEastAsia" w:eastAsiaTheme="minorEastAsia"/>
          <w:color w:val="auto"/>
        </w:rPr>
        <w:br w:type="page"/>
      </w:r>
    </w:p>
    <w:p w14:paraId="3EAA1CBC">
      <w:pPr>
        <w:snapToGrid w:val="0"/>
        <w:spacing w:line="360" w:lineRule="auto"/>
        <w:rPr>
          <w:rFonts w:asciiTheme="minorEastAsia" w:hAnsiTheme="minorEastAsia" w:eastAsiaTheme="minorEastAsia"/>
          <w:color w:val="auto"/>
          <w:sz w:val="30"/>
        </w:rPr>
      </w:pPr>
    </w:p>
    <w:p w14:paraId="48B4B59F">
      <w:pPr>
        <w:snapToGrid w:val="0"/>
        <w:spacing w:line="360" w:lineRule="auto"/>
        <w:rPr>
          <w:rFonts w:asciiTheme="minorEastAsia" w:hAnsiTheme="minorEastAsia" w:eastAsiaTheme="minorEastAsia"/>
          <w:bCs/>
          <w:color w:val="auto"/>
          <w:sz w:val="30"/>
        </w:rPr>
      </w:pPr>
      <w:r>
        <w:rPr>
          <w:rFonts w:hint="eastAsia" w:asciiTheme="minorEastAsia" w:hAnsiTheme="minorEastAsia" w:eastAsiaTheme="minorEastAsia"/>
          <w:color w:val="auto"/>
          <w:sz w:val="30"/>
        </w:rPr>
        <w:t xml:space="preserve">附件6-2         </w:t>
      </w:r>
      <w:r>
        <w:rPr>
          <w:rFonts w:hint="eastAsia" w:ascii="宋体"/>
          <w:bCs/>
          <w:color w:val="auto"/>
          <w:sz w:val="28"/>
        </w:rPr>
        <w:t>湖南省政府采购供应商资格承诺函</w:t>
      </w:r>
    </w:p>
    <w:p w14:paraId="66B94D71">
      <w:pPr>
        <w:ind w:firstLine="640" w:firstLineChars="200"/>
        <w:rPr>
          <w:rFonts w:ascii="仿宋" w:hAnsi="仿宋" w:eastAsia="仿宋"/>
          <w:color w:val="auto"/>
          <w:kern w:val="2"/>
          <w:sz w:val="32"/>
          <w:szCs w:val="22"/>
        </w:rPr>
      </w:pPr>
    </w:p>
    <w:p w14:paraId="58673B30">
      <w:pPr>
        <w:spacing w:line="360" w:lineRule="auto"/>
        <w:ind w:firstLine="420" w:firstLineChars="200"/>
        <w:rPr>
          <w:rFonts w:ascii="宋体"/>
          <w:color w:val="auto"/>
          <w:kern w:val="2"/>
          <w:szCs w:val="21"/>
        </w:rPr>
      </w:pPr>
      <w:r>
        <w:rPr>
          <w:rFonts w:hint="eastAsia" w:ascii="宋体"/>
          <w:color w:val="auto"/>
          <w:kern w:val="2"/>
          <w:szCs w:val="21"/>
        </w:rPr>
        <w:t>本公司独立承担民事责任、具有良好的商业信誉和健全的财务会计制度、依法缴纳税收和社会保障资金，在前三年的经营活动中无重大违法记录，未列入严重失信行为名单，符合政府采购供应商的基本资格要求。</w:t>
      </w:r>
    </w:p>
    <w:p w14:paraId="40658F9C">
      <w:pPr>
        <w:spacing w:line="360" w:lineRule="auto"/>
        <w:ind w:firstLine="420" w:firstLineChars="200"/>
        <w:rPr>
          <w:rFonts w:ascii="宋体"/>
          <w:color w:val="auto"/>
          <w:kern w:val="2"/>
          <w:szCs w:val="21"/>
        </w:rPr>
      </w:pPr>
      <w:r>
        <w:rPr>
          <w:rFonts w:hint="eastAsia" w:ascii="宋体"/>
          <w:color w:val="auto"/>
          <w:kern w:val="2"/>
          <w:szCs w:val="21"/>
        </w:rPr>
        <w:t>按照《政府采购促进中小企业发展管理办法》（财库〔2020〕46号），本公司企业规模为：大型□  中型□  小型□  微型□</w:t>
      </w:r>
    </w:p>
    <w:p w14:paraId="495B5B36">
      <w:pPr>
        <w:spacing w:line="360" w:lineRule="auto"/>
        <w:ind w:firstLine="420" w:firstLineChars="200"/>
        <w:rPr>
          <w:rFonts w:ascii="宋体"/>
          <w:color w:val="auto"/>
          <w:kern w:val="2"/>
          <w:szCs w:val="21"/>
        </w:rPr>
      </w:pPr>
      <w:r>
        <w:rPr>
          <w:rFonts w:hint="eastAsia" w:ascii="宋体"/>
          <w:color w:val="auto"/>
          <w:kern w:val="2"/>
          <w:szCs w:val="21"/>
        </w:rPr>
        <w:t>□本公司自愿入驻湖南省政府采购电子卖场，遵守《湖南省政府采购电子卖场管理办法》（湘财购〔2019〕27号），如违反承诺，同意金融机构将曾信保证划缴国库(非电子卖场采购活动项目不需勾选)</w:t>
      </w:r>
    </w:p>
    <w:p w14:paraId="43C21898">
      <w:pPr>
        <w:spacing w:line="360" w:lineRule="auto"/>
        <w:ind w:firstLine="420" w:firstLineChars="200"/>
        <w:rPr>
          <w:rFonts w:ascii="宋体"/>
          <w:color w:val="auto"/>
          <w:kern w:val="2"/>
          <w:szCs w:val="21"/>
        </w:rPr>
      </w:pPr>
      <w:r>
        <w:rPr>
          <w:rFonts w:hint="eastAsia" w:ascii="宋体"/>
          <w:color w:val="auto"/>
          <w:kern w:val="2"/>
          <w:szCs w:val="21"/>
        </w:rPr>
        <w:t xml:space="preserve">   </w:t>
      </w:r>
    </w:p>
    <w:p w14:paraId="093CF292">
      <w:pPr>
        <w:spacing w:line="360" w:lineRule="auto"/>
        <w:ind w:firstLine="420" w:firstLineChars="200"/>
        <w:jc w:val="right"/>
        <w:rPr>
          <w:rFonts w:ascii="宋体"/>
          <w:color w:val="auto"/>
          <w:kern w:val="2"/>
          <w:szCs w:val="21"/>
        </w:rPr>
      </w:pPr>
      <w:r>
        <w:rPr>
          <w:rFonts w:hint="eastAsia" w:ascii="宋体"/>
          <w:color w:val="auto"/>
          <w:kern w:val="2"/>
          <w:szCs w:val="21"/>
        </w:rPr>
        <w:t>公司（单位）名称：（盖章）</w:t>
      </w:r>
    </w:p>
    <w:p w14:paraId="09C68943">
      <w:pPr>
        <w:spacing w:line="360" w:lineRule="auto"/>
        <w:ind w:firstLine="420" w:firstLineChars="200"/>
        <w:jc w:val="right"/>
        <w:rPr>
          <w:rFonts w:ascii="宋体"/>
          <w:color w:val="auto"/>
          <w:kern w:val="2"/>
          <w:szCs w:val="21"/>
        </w:rPr>
      </w:pPr>
      <w:r>
        <w:rPr>
          <w:rFonts w:hint="eastAsia" w:ascii="宋体"/>
          <w:color w:val="auto"/>
          <w:kern w:val="2"/>
          <w:szCs w:val="21"/>
        </w:rPr>
        <w:t>年  月   日</w:t>
      </w:r>
    </w:p>
    <w:p w14:paraId="45A334AD">
      <w:pPr>
        <w:spacing w:line="360" w:lineRule="auto"/>
        <w:rPr>
          <w:rFonts w:ascii="宋体"/>
          <w:color w:val="auto"/>
          <w:kern w:val="2"/>
          <w:szCs w:val="21"/>
          <w:u w:val="single"/>
        </w:rPr>
      </w:pPr>
      <w:r>
        <w:rPr>
          <w:rFonts w:hint="eastAsia" w:ascii="宋体"/>
          <w:color w:val="auto"/>
          <w:kern w:val="2"/>
          <w:szCs w:val="21"/>
        </w:rPr>
        <w:t xml:space="preserve">机构代码： </w:t>
      </w:r>
      <w:r>
        <w:rPr>
          <w:rFonts w:hint="eastAsia" w:ascii="宋体"/>
          <w:color w:val="auto"/>
          <w:kern w:val="2"/>
          <w:szCs w:val="21"/>
          <w:u w:val="single"/>
        </w:rPr>
        <w:t xml:space="preserve">                  </w:t>
      </w:r>
      <w:r>
        <w:rPr>
          <w:rFonts w:hint="eastAsia" w:ascii="宋体"/>
          <w:color w:val="auto"/>
          <w:kern w:val="2"/>
          <w:szCs w:val="21"/>
        </w:rPr>
        <w:t xml:space="preserve">   注册登记机构：</w:t>
      </w:r>
      <w:r>
        <w:rPr>
          <w:rFonts w:hint="eastAsia" w:ascii="宋体"/>
          <w:color w:val="auto"/>
          <w:kern w:val="2"/>
          <w:szCs w:val="21"/>
          <w:u w:val="single"/>
        </w:rPr>
        <w:t xml:space="preserve">                     </w:t>
      </w:r>
    </w:p>
    <w:p w14:paraId="2CE2246F">
      <w:pPr>
        <w:spacing w:line="360" w:lineRule="auto"/>
        <w:rPr>
          <w:rFonts w:ascii="宋体"/>
          <w:color w:val="auto"/>
          <w:kern w:val="2"/>
          <w:szCs w:val="21"/>
          <w:u w:val="single"/>
        </w:rPr>
      </w:pPr>
      <w:r>
        <w:rPr>
          <w:rFonts w:hint="eastAsia" w:ascii="宋体"/>
          <w:color w:val="auto"/>
          <w:kern w:val="2"/>
          <w:szCs w:val="21"/>
        </w:rPr>
        <w:t xml:space="preserve">日期： </w:t>
      </w:r>
      <w:r>
        <w:rPr>
          <w:rFonts w:hint="eastAsia" w:ascii="宋体"/>
          <w:color w:val="auto"/>
          <w:kern w:val="2"/>
          <w:szCs w:val="21"/>
          <w:u w:val="single"/>
        </w:rPr>
        <w:t xml:space="preserve">         </w:t>
      </w:r>
      <w:r>
        <w:rPr>
          <w:rFonts w:hint="eastAsia" w:ascii="宋体"/>
          <w:color w:val="auto"/>
          <w:kern w:val="2"/>
          <w:szCs w:val="21"/>
        </w:rPr>
        <w:t>有效期：</w:t>
      </w:r>
      <w:r>
        <w:rPr>
          <w:rFonts w:hint="eastAsia" w:ascii="宋体"/>
          <w:color w:val="auto"/>
          <w:kern w:val="2"/>
          <w:szCs w:val="21"/>
          <w:u w:val="single"/>
        </w:rPr>
        <w:t xml:space="preserve">                    </w:t>
      </w:r>
      <w:r>
        <w:rPr>
          <w:rFonts w:hint="eastAsia" w:ascii="宋体"/>
          <w:color w:val="auto"/>
          <w:kern w:val="2"/>
          <w:szCs w:val="21"/>
        </w:rPr>
        <w:t>注册资本：</w:t>
      </w:r>
      <w:r>
        <w:rPr>
          <w:rFonts w:hint="eastAsia" w:ascii="宋体"/>
          <w:color w:val="auto"/>
          <w:kern w:val="2"/>
          <w:szCs w:val="21"/>
          <w:u w:val="single"/>
        </w:rPr>
        <w:t xml:space="preserve">          </w:t>
      </w:r>
    </w:p>
    <w:p w14:paraId="7098FBB2">
      <w:pPr>
        <w:spacing w:line="360" w:lineRule="auto"/>
        <w:rPr>
          <w:rFonts w:ascii="宋体"/>
          <w:color w:val="auto"/>
          <w:kern w:val="2"/>
          <w:szCs w:val="21"/>
          <w:u w:val="single"/>
        </w:rPr>
      </w:pPr>
      <w:r>
        <w:rPr>
          <w:rFonts w:hint="eastAsia" w:ascii="宋体"/>
          <w:color w:val="auto"/>
          <w:kern w:val="2"/>
          <w:szCs w:val="21"/>
        </w:rPr>
        <w:t>地址：</w:t>
      </w:r>
      <w:r>
        <w:rPr>
          <w:rFonts w:hint="eastAsia" w:ascii="宋体"/>
          <w:color w:val="auto"/>
          <w:kern w:val="2"/>
          <w:szCs w:val="21"/>
          <w:u w:val="single"/>
        </w:rPr>
        <w:t xml:space="preserve">                          </w:t>
      </w:r>
    </w:p>
    <w:p w14:paraId="7B2CEF7C">
      <w:pPr>
        <w:spacing w:line="360" w:lineRule="auto"/>
        <w:rPr>
          <w:rFonts w:ascii="宋体"/>
          <w:color w:val="auto"/>
          <w:kern w:val="2"/>
          <w:szCs w:val="21"/>
          <w:u w:val="single"/>
        </w:rPr>
      </w:pPr>
      <w:r>
        <w:rPr>
          <w:rFonts w:hint="eastAsia" w:ascii="宋体"/>
          <w:color w:val="auto"/>
          <w:kern w:val="2"/>
          <w:szCs w:val="21"/>
        </w:rPr>
        <w:t>经济行业：</w:t>
      </w:r>
      <w:r>
        <w:rPr>
          <w:rFonts w:hint="eastAsia" w:ascii="宋体"/>
          <w:color w:val="auto"/>
          <w:kern w:val="2"/>
          <w:szCs w:val="21"/>
          <w:u w:val="single"/>
        </w:rPr>
        <w:t xml:space="preserve">                   </w:t>
      </w:r>
      <w:r>
        <w:rPr>
          <w:rFonts w:hint="eastAsia" w:ascii="宋体"/>
          <w:color w:val="auto"/>
          <w:kern w:val="2"/>
          <w:szCs w:val="21"/>
        </w:rPr>
        <w:t>经济性质：</w:t>
      </w:r>
      <w:r>
        <w:rPr>
          <w:rFonts w:hint="eastAsia" w:ascii="宋体"/>
          <w:color w:val="auto"/>
          <w:kern w:val="2"/>
          <w:szCs w:val="21"/>
          <w:u w:val="single"/>
        </w:rPr>
        <w:t xml:space="preserve">                         </w:t>
      </w:r>
    </w:p>
    <w:p w14:paraId="62398B14">
      <w:pPr>
        <w:spacing w:line="360" w:lineRule="auto"/>
        <w:rPr>
          <w:rFonts w:ascii="宋体"/>
          <w:color w:val="auto"/>
          <w:kern w:val="2"/>
          <w:szCs w:val="21"/>
        </w:rPr>
      </w:pPr>
      <w:r>
        <w:rPr>
          <w:rFonts w:hint="eastAsia" w:ascii="宋体"/>
          <w:color w:val="auto"/>
          <w:kern w:val="2"/>
          <w:szCs w:val="21"/>
        </w:rPr>
        <w:t>法定代表人（负责人）姓名（签字）：</w:t>
      </w:r>
      <w:r>
        <w:rPr>
          <w:rFonts w:hint="eastAsia" w:ascii="宋体"/>
          <w:color w:val="auto"/>
          <w:kern w:val="2"/>
          <w:szCs w:val="21"/>
          <w:u w:val="single"/>
        </w:rPr>
        <w:t xml:space="preserve">                     </w:t>
      </w:r>
      <w:r>
        <w:rPr>
          <w:rFonts w:hint="eastAsia" w:ascii="宋体"/>
          <w:color w:val="auto"/>
          <w:kern w:val="2"/>
          <w:szCs w:val="21"/>
        </w:rPr>
        <w:t xml:space="preserve"> </w:t>
      </w:r>
    </w:p>
    <w:p w14:paraId="3BD744E4">
      <w:pPr>
        <w:spacing w:line="360" w:lineRule="auto"/>
        <w:rPr>
          <w:rFonts w:ascii="宋体"/>
          <w:color w:val="auto"/>
          <w:kern w:val="2"/>
          <w:szCs w:val="21"/>
        </w:rPr>
      </w:pPr>
      <w:r>
        <w:rPr>
          <w:rFonts w:hint="eastAsia" w:ascii="宋体"/>
          <w:color w:val="auto"/>
          <w:kern w:val="2"/>
          <w:szCs w:val="21"/>
        </w:rPr>
        <w:t>身份证号码：</w:t>
      </w:r>
      <w:r>
        <w:rPr>
          <w:rFonts w:hint="eastAsia" w:ascii="宋体"/>
          <w:color w:val="auto"/>
          <w:kern w:val="2"/>
          <w:szCs w:val="21"/>
          <w:u w:val="single"/>
        </w:rPr>
        <w:t xml:space="preserve">                 </w:t>
      </w:r>
      <w:r>
        <w:rPr>
          <w:rFonts w:hint="eastAsia" w:ascii="宋体"/>
          <w:color w:val="auto"/>
          <w:kern w:val="2"/>
          <w:szCs w:val="21"/>
        </w:rPr>
        <w:t xml:space="preserve">       手机号码： </w:t>
      </w:r>
      <w:r>
        <w:rPr>
          <w:rFonts w:hint="eastAsia" w:ascii="宋体"/>
          <w:color w:val="auto"/>
          <w:kern w:val="2"/>
          <w:szCs w:val="21"/>
          <w:u w:val="single"/>
        </w:rPr>
        <w:t xml:space="preserve">                </w:t>
      </w:r>
    </w:p>
    <w:p w14:paraId="1078C774">
      <w:pPr>
        <w:spacing w:line="360" w:lineRule="auto"/>
        <w:rPr>
          <w:rFonts w:ascii="宋体"/>
          <w:color w:val="auto"/>
          <w:kern w:val="2"/>
          <w:szCs w:val="21"/>
        </w:rPr>
      </w:pPr>
      <w:r>
        <w:rPr>
          <w:rFonts w:hint="eastAsia" w:ascii="宋体"/>
          <w:color w:val="auto"/>
          <w:kern w:val="2"/>
          <w:szCs w:val="21"/>
        </w:rPr>
        <w:t>授权代表姓名（签字）：</w:t>
      </w:r>
      <w:r>
        <w:rPr>
          <w:rFonts w:hint="eastAsia" w:ascii="宋体"/>
          <w:color w:val="auto"/>
          <w:kern w:val="2"/>
          <w:szCs w:val="21"/>
          <w:u w:val="single"/>
        </w:rPr>
        <w:t xml:space="preserve">                     </w:t>
      </w:r>
      <w:r>
        <w:rPr>
          <w:rFonts w:hint="eastAsia" w:ascii="宋体"/>
          <w:color w:val="auto"/>
          <w:kern w:val="2"/>
          <w:szCs w:val="21"/>
        </w:rPr>
        <w:t xml:space="preserve">    </w:t>
      </w:r>
    </w:p>
    <w:p w14:paraId="74CA7739">
      <w:pPr>
        <w:spacing w:line="360" w:lineRule="auto"/>
        <w:rPr>
          <w:rFonts w:ascii="宋体"/>
          <w:color w:val="auto"/>
          <w:kern w:val="2"/>
          <w:szCs w:val="21"/>
        </w:rPr>
      </w:pPr>
      <w:r>
        <w:rPr>
          <w:rFonts w:hint="eastAsia" w:ascii="宋体"/>
          <w:color w:val="auto"/>
          <w:kern w:val="2"/>
          <w:szCs w:val="21"/>
        </w:rPr>
        <w:t>身份证号码：</w:t>
      </w:r>
      <w:r>
        <w:rPr>
          <w:rFonts w:hint="eastAsia" w:ascii="宋体"/>
          <w:color w:val="auto"/>
          <w:kern w:val="2"/>
          <w:szCs w:val="21"/>
          <w:u w:val="single"/>
        </w:rPr>
        <w:t xml:space="preserve">                 </w:t>
      </w:r>
      <w:r>
        <w:rPr>
          <w:rFonts w:hint="eastAsia" w:ascii="宋体"/>
          <w:color w:val="auto"/>
          <w:kern w:val="2"/>
          <w:szCs w:val="21"/>
        </w:rPr>
        <w:t xml:space="preserve">       手机号码： </w:t>
      </w:r>
      <w:r>
        <w:rPr>
          <w:rFonts w:hint="eastAsia" w:ascii="宋体"/>
          <w:color w:val="auto"/>
          <w:kern w:val="2"/>
          <w:szCs w:val="21"/>
          <w:u w:val="single"/>
        </w:rPr>
        <w:t xml:space="preserve">                </w:t>
      </w:r>
    </w:p>
    <w:p w14:paraId="498AA281">
      <w:pPr>
        <w:snapToGrid w:val="0"/>
        <w:spacing w:line="360" w:lineRule="auto"/>
        <w:rPr>
          <w:rFonts w:asciiTheme="minorEastAsia" w:hAnsiTheme="minorEastAsia" w:eastAsiaTheme="minorEastAsia"/>
          <w:color w:val="auto"/>
          <w:sz w:val="30"/>
        </w:rPr>
      </w:pPr>
    </w:p>
    <w:p w14:paraId="66E61DE7">
      <w:pPr>
        <w:snapToGrid w:val="0"/>
        <w:spacing w:line="360" w:lineRule="auto"/>
        <w:rPr>
          <w:rFonts w:asciiTheme="minorEastAsia" w:hAnsiTheme="minorEastAsia" w:eastAsiaTheme="minorEastAsia"/>
          <w:color w:val="auto"/>
          <w:sz w:val="30"/>
        </w:rPr>
      </w:pPr>
    </w:p>
    <w:p w14:paraId="3FBF4313">
      <w:pPr>
        <w:snapToGrid w:val="0"/>
        <w:spacing w:line="360" w:lineRule="auto"/>
        <w:rPr>
          <w:rFonts w:asciiTheme="minorEastAsia" w:hAnsiTheme="minorEastAsia" w:eastAsiaTheme="minorEastAsia"/>
          <w:color w:val="auto"/>
          <w:sz w:val="30"/>
        </w:rPr>
      </w:pPr>
    </w:p>
    <w:p w14:paraId="7ECC5650">
      <w:pPr>
        <w:snapToGrid w:val="0"/>
        <w:spacing w:line="360" w:lineRule="auto"/>
        <w:rPr>
          <w:rFonts w:asciiTheme="minorEastAsia" w:hAnsiTheme="minorEastAsia" w:eastAsiaTheme="minorEastAsia"/>
          <w:color w:val="auto"/>
          <w:sz w:val="30"/>
        </w:rPr>
      </w:pPr>
    </w:p>
    <w:p w14:paraId="6AD45C1C">
      <w:pPr>
        <w:pStyle w:val="25"/>
        <w:spacing w:line="360" w:lineRule="auto"/>
        <w:rPr>
          <w:rFonts w:asciiTheme="minorEastAsia" w:hAnsiTheme="minorEastAsia" w:eastAsiaTheme="minorEastAsia"/>
          <w:color w:val="auto"/>
          <w:sz w:val="20"/>
        </w:rPr>
      </w:pPr>
      <w:r>
        <w:rPr>
          <w:rFonts w:hint="eastAsia" w:asciiTheme="minorEastAsia" w:hAnsiTheme="minorEastAsia" w:eastAsiaTheme="minorEastAsia"/>
          <w:color w:val="auto"/>
          <w:sz w:val="20"/>
        </w:rPr>
        <w:br w:type="page"/>
      </w:r>
    </w:p>
    <w:p w14:paraId="06A43D9F">
      <w:pPr>
        <w:spacing w:line="360" w:lineRule="auto"/>
        <w:rPr>
          <w:rFonts w:asciiTheme="minorEastAsia" w:hAnsiTheme="minorEastAsia" w:eastAsiaTheme="minorEastAsia"/>
          <w:color w:val="auto"/>
          <w:sz w:val="20"/>
        </w:rPr>
      </w:pPr>
    </w:p>
    <w:p w14:paraId="2CA38E50">
      <w:pPr>
        <w:snapToGrid w:val="0"/>
        <w:spacing w:line="360" w:lineRule="auto"/>
        <w:rPr>
          <w:rFonts w:asciiTheme="minorEastAsia" w:hAnsiTheme="minorEastAsia" w:eastAsiaTheme="minorEastAsia"/>
          <w:color w:val="auto"/>
          <w:sz w:val="30"/>
        </w:rPr>
      </w:pPr>
      <w:r>
        <w:rPr>
          <w:rFonts w:hint="eastAsia" w:asciiTheme="minorEastAsia" w:hAnsiTheme="minorEastAsia" w:eastAsiaTheme="minorEastAsia"/>
          <w:color w:val="auto"/>
          <w:sz w:val="30"/>
        </w:rPr>
        <w:t>附件6-3  磋商文件规定的特定资格条件证明资料</w:t>
      </w:r>
    </w:p>
    <w:p w14:paraId="16B14166">
      <w:pPr>
        <w:snapToGrid w:val="0"/>
        <w:spacing w:line="360" w:lineRule="auto"/>
        <w:rPr>
          <w:rFonts w:asciiTheme="minorEastAsia" w:hAnsiTheme="minorEastAsia" w:eastAsiaTheme="minorEastAsia"/>
          <w:color w:val="auto"/>
        </w:rPr>
      </w:pPr>
    </w:p>
    <w:p w14:paraId="25E7EB6F">
      <w:pPr>
        <w:snapToGrid w:val="0"/>
        <w:spacing w:line="360" w:lineRule="auto"/>
        <w:ind w:firstLine="525"/>
        <w:rPr>
          <w:rFonts w:asciiTheme="minorEastAsia" w:hAnsiTheme="minorEastAsia" w:eastAsiaTheme="minorEastAsia"/>
          <w:color w:val="auto"/>
        </w:rPr>
      </w:pPr>
      <w:r>
        <w:rPr>
          <w:rFonts w:hint="eastAsia" w:asciiTheme="minorEastAsia" w:hAnsiTheme="minorEastAsia" w:eastAsiaTheme="minorEastAsia"/>
          <w:color w:val="auto"/>
        </w:rPr>
        <w:t>备注：提供第二章 磋商须知第3.1款供应商特定资格条件证明资料的复印件</w:t>
      </w:r>
    </w:p>
    <w:p w14:paraId="329E3CEB">
      <w:pPr>
        <w:snapToGrid w:val="0"/>
        <w:spacing w:line="360" w:lineRule="auto"/>
        <w:rPr>
          <w:rFonts w:asciiTheme="minorEastAsia" w:hAnsiTheme="minorEastAsia" w:eastAsiaTheme="minorEastAsia"/>
          <w:color w:val="auto"/>
        </w:rPr>
      </w:pPr>
    </w:p>
    <w:p w14:paraId="528E0A20">
      <w:pPr>
        <w:snapToGrid w:val="0"/>
        <w:spacing w:line="360" w:lineRule="auto"/>
        <w:rPr>
          <w:rFonts w:asciiTheme="minorEastAsia" w:hAnsiTheme="minorEastAsia" w:eastAsiaTheme="minorEastAsia"/>
          <w:b/>
          <w:color w:val="auto"/>
          <w:sz w:val="30"/>
        </w:rPr>
      </w:pPr>
    </w:p>
    <w:p w14:paraId="121C5C10">
      <w:pPr>
        <w:pStyle w:val="25"/>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br w:type="page"/>
      </w:r>
    </w:p>
    <w:p w14:paraId="6484A4E0">
      <w:pPr>
        <w:pStyle w:val="25"/>
        <w:spacing w:line="360" w:lineRule="auto"/>
        <w:rPr>
          <w:rFonts w:asciiTheme="minorEastAsia" w:hAnsiTheme="minorEastAsia" w:eastAsiaTheme="minorEastAsia"/>
          <w:color w:val="auto"/>
          <w:sz w:val="20"/>
        </w:rPr>
      </w:pPr>
    </w:p>
    <w:p w14:paraId="67350114">
      <w:pPr>
        <w:snapToGrid w:val="0"/>
        <w:spacing w:line="360" w:lineRule="auto"/>
        <w:rPr>
          <w:rFonts w:asciiTheme="minorEastAsia" w:hAnsiTheme="minorEastAsia" w:eastAsiaTheme="minorEastAsia"/>
          <w:b/>
          <w:color w:val="auto"/>
          <w:sz w:val="30"/>
        </w:rPr>
      </w:pPr>
      <w:r>
        <w:rPr>
          <w:rFonts w:hint="eastAsia" w:asciiTheme="minorEastAsia" w:hAnsiTheme="minorEastAsia" w:eastAsiaTheme="minorEastAsia"/>
          <w:b/>
          <w:color w:val="auto"/>
          <w:sz w:val="30"/>
        </w:rPr>
        <w:t xml:space="preserve">附件6-4          </w:t>
      </w:r>
    </w:p>
    <w:p w14:paraId="0F06AFD9">
      <w:pPr>
        <w:snapToGrid w:val="0"/>
        <w:spacing w:line="360" w:lineRule="auto"/>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参加政府采购活动前三年内在经营活动中</w:t>
      </w:r>
    </w:p>
    <w:p w14:paraId="203D8FE2">
      <w:pPr>
        <w:snapToGrid w:val="0"/>
        <w:spacing w:line="360" w:lineRule="auto"/>
        <w:jc w:val="center"/>
        <w:rPr>
          <w:rFonts w:asciiTheme="minorEastAsia" w:hAnsiTheme="minorEastAsia" w:eastAsiaTheme="minorEastAsia"/>
          <w:b/>
          <w:color w:val="auto"/>
          <w:sz w:val="28"/>
        </w:rPr>
      </w:pPr>
      <w:r>
        <w:rPr>
          <w:rFonts w:hint="eastAsia" w:asciiTheme="minorEastAsia" w:hAnsiTheme="minorEastAsia" w:eastAsiaTheme="minorEastAsia"/>
          <w:b/>
          <w:color w:val="auto"/>
          <w:sz w:val="28"/>
        </w:rPr>
        <w:t>没有重大违法记录的书面声明</w:t>
      </w:r>
    </w:p>
    <w:p w14:paraId="1D0C9569">
      <w:pPr>
        <w:snapToGrid w:val="0"/>
        <w:spacing w:line="360" w:lineRule="auto"/>
        <w:ind w:right="23"/>
        <w:rPr>
          <w:rFonts w:asciiTheme="minorEastAsia" w:hAnsiTheme="minorEastAsia" w:eastAsiaTheme="minorEastAsia"/>
          <w:color w:val="auto"/>
          <w:sz w:val="24"/>
        </w:rPr>
      </w:pPr>
    </w:p>
    <w:p w14:paraId="5F793962">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致</w:t>
      </w:r>
      <w:r>
        <w:rPr>
          <w:rFonts w:hint="eastAsia" w:asciiTheme="minorEastAsia" w:hAnsiTheme="minorEastAsia" w:eastAsiaTheme="minorEastAsia"/>
          <w:color w:val="auto"/>
          <w:u w:val="single"/>
        </w:rPr>
        <w:t xml:space="preserve">              (采购代理机构)</w:t>
      </w:r>
      <w:r>
        <w:rPr>
          <w:rFonts w:hint="eastAsia" w:asciiTheme="minorEastAsia" w:hAnsiTheme="minorEastAsia" w:eastAsiaTheme="minorEastAsia"/>
          <w:color w:val="auto"/>
        </w:rPr>
        <w:t>：</w:t>
      </w:r>
    </w:p>
    <w:p w14:paraId="3529D0E3">
      <w:pPr>
        <w:snapToGrid w:val="0"/>
        <w:spacing w:before="120" w:line="360" w:lineRule="auto"/>
        <w:ind w:firstLine="420"/>
        <w:rPr>
          <w:rFonts w:asciiTheme="minorEastAsia" w:hAnsiTheme="minorEastAsia" w:eastAsiaTheme="minorEastAsia"/>
          <w:color w:val="auto"/>
        </w:rPr>
      </w:pPr>
    </w:p>
    <w:p w14:paraId="2853EFAB">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我单位在参加采购活动前三年内在经营活动中没有政府采购法第二十二条第一款第（五）项所称重大违法记录，包括：</w:t>
      </w:r>
    </w:p>
    <w:p w14:paraId="57FEAFA8">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受到刑事处罚，受到较大金额以上的罚款、责令停产停业、在一至三年内禁止参加政府采购活动、暂扣或者吊销许可证、暂扣或者吊销执照等情形之一的行政处罚，或者存在财政部门认定的其他重大违法记录。</w:t>
      </w:r>
    </w:p>
    <w:p w14:paraId="143D9C51">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特此声明！</w:t>
      </w:r>
    </w:p>
    <w:p w14:paraId="554B94F7">
      <w:pPr>
        <w:snapToGrid w:val="0"/>
        <w:spacing w:before="120" w:line="360" w:lineRule="auto"/>
        <w:ind w:firstLine="420"/>
        <w:rPr>
          <w:rFonts w:asciiTheme="minorEastAsia" w:hAnsiTheme="minorEastAsia" w:eastAsiaTheme="minorEastAsia"/>
          <w:color w:val="auto"/>
        </w:rPr>
      </w:pPr>
    </w:p>
    <w:p w14:paraId="0AAEA888">
      <w:pPr>
        <w:snapToGrid w:val="0"/>
        <w:spacing w:before="120" w:line="360" w:lineRule="auto"/>
        <w:ind w:firstLine="420"/>
        <w:rPr>
          <w:rFonts w:asciiTheme="minorEastAsia" w:hAnsiTheme="minorEastAsia" w:eastAsiaTheme="minorEastAsia"/>
          <w:color w:val="auto"/>
        </w:rPr>
      </w:pPr>
    </w:p>
    <w:p w14:paraId="31008205">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 xml:space="preserve">供应商名称（单位章）： </w:t>
      </w:r>
    </w:p>
    <w:p w14:paraId="4456C5DD">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 xml:space="preserve">法定代表人或其委托代理人（签字）：              </w:t>
      </w:r>
    </w:p>
    <w:p w14:paraId="248A7809">
      <w:pPr>
        <w:snapToGrid w:val="0"/>
        <w:spacing w:before="120"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790C0710">
      <w:pPr>
        <w:autoSpaceDE w:val="0"/>
        <w:autoSpaceDN w:val="0"/>
        <w:snapToGrid w:val="0"/>
        <w:spacing w:line="360" w:lineRule="auto"/>
        <w:jc w:val="left"/>
        <w:rPr>
          <w:rFonts w:asciiTheme="minorEastAsia" w:hAnsiTheme="minorEastAsia" w:eastAsiaTheme="minorEastAsia"/>
          <w:color w:val="auto"/>
          <w:sz w:val="20"/>
        </w:rPr>
      </w:pPr>
    </w:p>
    <w:p w14:paraId="51FE67B0">
      <w:pPr>
        <w:snapToGrid w:val="0"/>
        <w:spacing w:line="360" w:lineRule="auto"/>
        <w:rPr>
          <w:rFonts w:asciiTheme="minorEastAsia" w:hAnsiTheme="minorEastAsia" w:eastAsiaTheme="minorEastAsia"/>
          <w:b/>
          <w:color w:val="auto"/>
          <w:sz w:val="30"/>
        </w:rPr>
      </w:pPr>
      <w:r>
        <w:rPr>
          <w:rFonts w:asciiTheme="minorEastAsia" w:hAnsiTheme="minorEastAsia" w:eastAsiaTheme="minorEastAsia"/>
          <w:color w:val="auto"/>
        </w:rPr>
        <w:br w:type="page"/>
      </w:r>
      <w:r>
        <w:rPr>
          <w:rFonts w:hint="eastAsia" w:asciiTheme="minorEastAsia" w:hAnsiTheme="minorEastAsia" w:eastAsiaTheme="minorEastAsia"/>
          <w:b/>
          <w:color w:val="auto"/>
          <w:sz w:val="30"/>
        </w:rPr>
        <w:t>附件6-5</w:t>
      </w:r>
    </w:p>
    <w:p w14:paraId="138E7F20">
      <w:pPr>
        <w:snapToGrid w:val="0"/>
        <w:spacing w:line="360" w:lineRule="auto"/>
        <w:jc w:val="center"/>
        <w:rPr>
          <w:rFonts w:asciiTheme="minorEastAsia" w:hAnsiTheme="minorEastAsia" w:eastAsiaTheme="minorEastAsia"/>
          <w:b/>
          <w:color w:val="auto"/>
          <w:sz w:val="30"/>
        </w:rPr>
      </w:pPr>
      <w:r>
        <w:rPr>
          <w:rFonts w:hint="eastAsia" w:asciiTheme="minorEastAsia" w:hAnsiTheme="minorEastAsia" w:eastAsiaTheme="minorEastAsia"/>
          <w:b/>
          <w:color w:val="auto"/>
          <w:sz w:val="30"/>
        </w:rPr>
        <w:t>其他证明资料或说明</w:t>
      </w:r>
    </w:p>
    <w:p w14:paraId="15C5B2A6">
      <w:pPr>
        <w:snapToGrid w:val="0"/>
        <w:spacing w:line="360" w:lineRule="auto"/>
        <w:rPr>
          <w:rFonts w:asciiTheme="minorEastAsia" w:hAnsiTheme="minorEastAsia" w:eastAsiaTheme="minorEastAsia"/>
          <w:color w:val="auto"/>
        </w:rPr>
      </w:pPr>
    </w:p>
    <w:p w14:paraId="25E1D8B5">
      <w:pPr>
        <w:snapToGrid w:val="0"/>
        <w:spacing w:line="360" w:lineRule="auto"/>
        <w:rPr>
          <w:rFonts w:asciiTheme="minorEastAsia" w:hAnsiTheme="minorEastAsia" w:eastAsiaTheme="minorEastAsia"/>
          <w:b/>
          <w:color w:val="auto"/>
        </w:rPr>
      </w:pPr>
      <w:r>
        <w:rPr>
          <w:rFonts w:hint="eastAsia" w:asciiTheme="minorEastAsia" w:hAnsiTheme="minorEastAsia" w:eastAsiaTheme="minorEastAsia"/>
          <w:b/>
          <w:color w:val="auto"/>
        </w:rPr>
        <w:t>提供磋商文件或评分标准需要提供的相关证明文件复印件,并加盖投标供应商公章，否则不计分。</w:t>
      </w:r>
    </w:p>
    <w:p w14:paraId="5F34E997">
      <w:pPr>
        <w:snapToGrid w:val="0"/>
        <w:spacing w:line="360" w:lineRule="auto"/>
        <w:jc w:val="center"/>
        <w:rPr>
          <w:rFonts w:asciiTheme="minorEastAsia" w:hAnsiTheme="minorEastAsia" w:eastAsiaTheme="minorEastAsia"/>
          <w:b/>
          <w:color w:val="auto"/>
          <w:sz w:val="32"/>
        </w:rPr>
      </w:pPr>
    </w:p>
    <w:p w14:paraId="46DB6FBF">
      <w:pPr>
        <w:snapToGrid w:val="0"/>
        <w:spacing w:line="360" w:lineRule="auto"/>
        <w:jc w:val="center"/>
        <w:rPr>
          <w:rFonts w:asciiTheme="minorEastAsia" w:hAnsiTheme="minorEastAsia" w:eastAsiaTheme="minorEastAsia"/>
          <w:b/>
          <w:color w:val="auto"/>
          <w:sz w:val="32"/>
        </w:rPr>
      </w:pPr>
    </w:p>
    <w:p w14:paraId="4B6BD196">
      <w:pPr>
        <w:snapToGrid w:val="0"/>
        <w:spacing w:line="360" w:lineRule="auto"/>
        <w:jc w:val="center"/>
        <w:rPr>
          <w:rFonts w:asciiTheme="minorEastAsia" w:hAnsiTheme="minorEastAsia" w:eastAsiaTheme="minorEastAsia"/>
          <w:b/>
          <w:color w:val="auto"/>
          <w:sz w:val="32"/>
        </w:rPr>
      </w:pPr>
    </w:p>
    <w:p w14:paraId="39E4B521">
      <w:pPr>
        <w:snapToGrid w:val="0"/>
        <w:spacing w:line="360" w:lineRule="auto"/>
        <w:jc w:val="center"/>
        <w:rPr>
          <w:rFonts w:asciiTheme="minorEastAsia" w:hAnsiTheme="minorEastAsia" w:eastAsiaTheme="minorEastAsia"/>
          <w:b/>
          <w:color w:val="auto"/>
          <w:sz w:val="32"/>
        </w:rPr>
      </w:pPr>
    </w:p>
    <w:p w14:paraId="295545E4">
      <w:pPr>
        <w:snapToGrid w:val="0"/>
        <w:spacing w:line="360" w:lineRule="auto"/>
        <w:jc w:val="center"/>
        <w:rPr>
          <w:rFonts w:asciiTheme="minorEastAsia" w:hAnsiTheme="minorEastAsia" w:eastAsiaTheme="minorEastAsia"/>
          <w:b/>
          <w:color w:val="auto"/>
          <w:sz w:val="32"/>
        </w:rPr>
      </w:pPr>
    </w:p>
    <w:p w14:paraId="60FA54B8">
      <w:pPr>
        <w:snapToGrid w:val="0"/>
        <w:spacing w:line="360" w:lineRule="auto"/>
        <w:jc w:val="center"/>
        <w:rPr>
          <w:rFonts w:asciiTheme="minorEastAsia" w:hAnsiTheme="minorEastAsia" w:eastAsiaTheme="minorEastAsia"/>
          <w:b/>
          <w:color w:val="auto"/>
          <w:sz w:val="32"/>
        </w:rPr>
      </w:pPr>
    </w:p>
    <w:p w14:paraId="71DA21F6">
      <w:pPr>
        <w:snapToGrid w:val="0"/>
        <w:spacing w:line="360" w:lineRule="auto"/>
        <w:jc w:val="center"/>
        <w:rPr>
          <w:rFonts w:asciiTheme="minorEastAsia" w:hAnsiTheme="minorEastAsia" w:eastAsiaTheme="minorEastAsia"/>
          <w:b/>
          <w:color w:val="auto"/>
          <w:sz w:val="32"/>
        </w:rPr>
      </w:pPr>
    </w:p>
    <w:p w14:paraId="428F766E">
      <w:pPr>
        <w:snapToGrid w:val="0"/>
        <w:spacing w:line="360" w:lineRule="auto"/>
        <w:jc w:val="center"/>
        <w:rPr>
          <w:rFonts w:asciiTheme="minorEastAsia" w:hAnsiTheme="minorEastAsia" w:eastAsiaTheme="minorEastAsia"/>
          <w:b/>
          <w:color w:val="auto"/>
          <w:sz w:val="32"/>
        </w:rPr>
      </w:pPr>
    </w:p>
    <w:p w14:paraId="7C1CBCB5">
      <w:pPr>
        <w:snapToGrid w:val="0"/>
        <w:spacing w:line="360" w:lineRule="auto"/>
        <w:jc w:val="center"/>
        <w:rPr>
          <w:rFonts w:asciiTheme="minorEastAsia" w:hAnsiTheme="minorEastAsia" w:eastAsiaTheme="minorEastAsia"/>
          <w:b/>
          <w:color w:val="auto"/>
          <w:sz w:val="32"/>
        </w:rPr>
      </w:pPr>
    </w:p>
    <w:p w14:paraId="75AF50D0">
      <w:pPr>
        <w:snapToGrid w:val="0"/>
        <w:spacing w:line="360" w:lineRule="auto"/>
        <w:jc w:val="center"/>
        <w:rPr>
          <w:rFonts w:asciiTheme="minorEastAsia" w:hAnsiTheme="minorEastAsia" w:eastAsiaTheme="minorEastAsia"/>
          <w:b/>
          <w:color w:val="auto"/>
          <w:sz w:val="32"/>
        </w:rPr>
      </w:pPr>
    </w:p>
    <w:p w14:paraId="4AC44242">
      <w:pPr>
        <w:snapToGrid w:val="0"/>
        <w:spacing w:line="360" w:lineRule="auto"/>
        <w:jc w:val="center"/>
        <w:rPr>
          <w:rFonts w:asciiTheme="minorEastAsia" w:hAnsiTheme="minorEastAsia" w:eastAsiaTheme="minorEastAsia"/>
          <w:b/>
          <w:color w:val="auto"/>
          <w:sz w:val="32"/>
        </w:rPr>
      </w:pPr>
    </w:p>
    <w:p w14:paraId="44C3EC90">
      <w:pPr>
        <w:snapToGrid w:val="0"/>
        <w:spacing w:line="360" w:lineRule="auto"/>
        <w:jc w:val="center"/>
        <w:rPr>
          <w:rFonts w:asciiTheme="minorEastAsia" w:hAnsiTheme="minorEastAsia" w:eastAsiaTheme="minorEastAsia"/>
          <w:b/>
          <w:color w:val="auto"/>
          <w:sz w:val="32"/>
        </w:rPr>
      </w:pPr>
    </w:p>
    <w:p w14:paraId="69F2B4CE">
      <w:pPr>
        <w:snapToGrid w:val="0"/>
        <w:spacing w:line="360" w:lineRule="auto"/>
        <w:jc w:val="center"/>
        <w:rPr>
          <w:rFonts w:asciiTheme="minorEastAsia" w:hAnsiTheme="minorEastAsia" w:eastAsiaTheme="minorEastAsia"/>
          <w:b/>
          <w:color w:val="auto"/>
          <w:sz w:val="32"/>
        </w:rPr>
      </w:pPr>
    </w:p>
    <w:p w14:paraId="1B4D4ADA">
      <w:pPr>
        <w:snapToGrid w:val="0"/>
        <w:spacing w:line="360" w:lineRule="auto"/>
        <w:jc w:val="center"/>
        <w:rPr>
          <w:rFonts w:asciiTheme="minorEastAsia" w:hAnsiTheme="minorEastAsia" w:eastAsiaTheme="minorEastAsia"/>
          <w:b/>
          <w:color w:val="auto"/>
          <w:sz w:val="32"/>
        </w:rPr>
      </w:pPr>
    </w:p>
    <w:p w14:paraId="3A159BE2">
      <w:pPr>
        <w:snapToGrid w:val="0"/>
        <w:spacing w:line="360" w:lineRule="auto"/>
        <w:jc w:val="center"/>
        <w:rPr>
          <w:rFonts w:asciiTheme="minorEastAsia" w:hAnsiTheme="minorEastAsia" w:eastAsiaTheme="minorEastAsia"/>
          <w:b/>
          <w:color w:val="auto"/>
          <w:sz w:val="32"/>
        </w:rPr>
      </w:pPr>
    </w:p>
    <w:p w14:paraId="109603B8">
      <w:pPr>
        <w:snapToGrid w:val="0"/>
        <w:spacing w:line="360" w:lineRule="auto"/>
        <w:jc w:val="center"/>
        <w:rPr>
          <w:rFonts w:asciiTheme="minorEastAsia" w:hAnsiTheme="minorEastAsia" w:eastAsiaTheme="minorEastAsia"/>
          <w:b/>
          <w:color w:val="auto"/>
          <w:sz w:val="32"/>
        </w:rPr>
      </w:pPr>
    </w:p>
    <w:p w14:paraId="287DA718">
      <w:pPr>
        <w:snapToGrid w:val="0"/>
        <w:spacing w:line="360" w:lineRule="auto"/>
        <w:jc w:val="center"/>
        <w:rPr>
          <w:rFonts w:asciiTheme="minorEastAsia" w:hAnsiTheme="minorEastAsia" w:eastAsiaTheme="minorEastAsia"/>
          <w:b/>
          <w:color w:val="auto"/>
          <w:sz w:val="32"/>
        </w:rPr>
      </w:pPr>
    </w:p>
    <w:p w14:paraId="51B25030">
      <w:pPr>
        <w:snapToGrid w:val="0"/>
        <w:spacing w:line="360" w:lineRule="auto"/>
        <w:jc w:val="center"/>
        <w:rPr>
          <w:rFonts w:asciiTheme="minorEastAsia" w:hAnsiTheme="minorEastAsia" w:eastAsiaTheme="minorEastAsia"/>
          <w:b/>
          <w:color w:val="auto"/>
          <w:sz w:val="32"/>
        </w:rPr>
      </w:pPr>
    </w:p>
    <w:p w14:paraId="259EB7E8">
      <w:pPr>
        <w:snapToGrid w:val="0"/>
        <w:spacing w:line="360" w:lineRule="auto"/>
        <w:jc w:val="center"/>
        <w:rPr>
          <w:rFonts w:asciiTheme="minorEastAsia" w:hAnsiTheme="minorEastAsia" w:eastAsiaTheme="minorEastAsia"/>
          <w:b/>
          <w:color w:val="auto"/>
          <w:sz w:val="32"/>
        </w:rPr>
      </w:pPr>
    </w:p>
    <w:p w14:paraId="531ABE36">
      <w:pPr>
        <w:snapToGrid w:val="0"/>
        <w:spacing w:line="360" w:lineRule="auto"/>
        <w:rPr>
          <w:rFonts w:asciiTheme="minorEastAsia" w:hAnsiTheme="minorEastAsia" w:eastAsiaTheme="minorEastAsia"/>
          <w:b/>
          <w:color w:val="auto"/>
          <w:sz w:val="32"/>
        </w:rPr>
      </w:pPr>
    </w:p>
    <w:p w14:paraId="5AA870B5">
      <w:pPr>
        <w:snapToGrid w:val="0"/>
        <w:spacing w:line="360" w:lineRule="auto"/>
        <w:jc w:val="center"/>
        <w:rPr>
          <w:rFonts w:asciiTheme="minorEastAsia" w:hAnsiTheme="minorEastAsia" w:eastAsiaTheme="minorEastAsia"/>
          <w:b/>
          <w:color w:val="auto"/>
          <w:sz w:val="30"/>
        </w:rPr>
      </w:pPr>
      <w:r>
        <w:rPr>
          <w:rFonts w:hint="eastAsia" w:asciiTheme="minorEastAsia" w:hAnsiTheme="minorEastAsia" w:eastAsiaTheme="minorEastAsia"/>
          <w:b/>
          <w:color w:val="auto"/>
          <w:sz w:val="30"/>
        </w:rPr>
        <w:t>四、技术方案</w:t>
      </w:r>
    </w:p>
    <w:p w14:paraId="287833E6">
      <w:pPr>
        <w:snapToGrid w:val="0"/>
        <w:spacing w:line="360" w:lineRule="auto"/>
        <w:rPr>
          <w:rFonts w:asciiTheme="minorEastAsia" w:hAnsiTheme="minorEastAsia" w:eastAsiaTheme="minorEastAsia"/>
          <w:color w:val="auto"/>
          <w:sz w:val="30"/>
        </w:rPr>
      </w:pPr>
    </w:p>
    <w:p w14:paraId="29AC812D">
      <w:pPr>
        <w:snapToGrid w:val="0"/>
        <w:spacing w:line="360" w:lineRule="auto"/>
        <w:rPr>
          <w:rFonts w:asciiTheme="minorEastAsia" w:hAnsiTheme="minorEastAsia" w:eastAsiaTheme="minorEastAsia"/>
          <w:color w:val="auto"/>
          <w:sz w:val="30"/>
        </w:rPr>
      </w:pPr>
      <w:r>
        <w:rPr>
          <w:rFonts w:hint="eastAsia" w:asciiTheme="minorEastAsia" w:hAnsiTheme="minorEastAsia" w:eastAsiaTheme="minorEastAsia"/>
          <w:color w:val="auto"/>
          <w:sz w:val="30"/>
        </w:rPr>
        <w:t xml:space="preserve">附件7：    </w:t>
      </w:r>
    </w:p>
    <w:p w14:paraId="7B1389CE">
      <w:pPr>
        <w:snapToGrid w:val="0"/>
        <w:spacing w:line="360" w:lineRule="auto"/>
        <w:jc w:val="center"/>
        <w:rPr>
          <w:rFonts w:asciiTheme="minorEastAsia" w:hAnsiTheme="minorEastAsia" w:eastAsiaTheme="minorEastAsia"/>
          <w:color w:val="auto"/>
          <w:sz w:val="30"/>
        </w:rPr>
      </w:pPr>
      <w:r>
        <w:rPr>
          <w:rFonts w:hint="eastAsia" w:asciiTheme="minorEastAsia" w:hAnsiTheme="minorEastAsia" w:eastAsiaTheme="minorEastAsia"/>
          <w:color w:val="auto"/>
          <w:sz w:val="30"/>
        </w:rPr>
        <w:t>施工组织设计</w:t>
      </w:r>
    </w:p>
    <w:p w14:paraId="441BCD8D">
      <w:pPr>
        <w:snapToGrid w:val="0"/>
        <w:spacing w:line="360" w:lineRule="auto"/>
        <w:rPr>
          <w:rFonts w:asciiTheme="minorEastAsia" w:hAnsiTheme="minorEastAsia" w:eastAsiaTheme="minorEastAsia"/>
          <w:color w:val="auto"/>
          <w:sz w:val="30"/>
        </w:rPr>
      </w:pPr>
    </w:p>
    <w:p w14:paraId="0BBE4660">
      <w:pPr>
        <w:snapToGrid w:val="0"/>
        <w:spacing w:line="360" w:lineRule="auto"/>
        <w:ind w:firstLine="420"/>
        <w:rPr>
          <w:rFonts w:asciiTheme="minorEastAsia" w:hAnsiTheme="minorEastAsia" w:eastAsiaTheme="minorEastAsia"/>
          <w:color w:val="auto"/>
        </w:rPr>
      </w:pPr>
      <w:r>
        <w:rPr>
          <w:rFonts w:hint="eastAsia" w:asciiTheme="minorEastAsia" w:hAnsiTheme="minorEastAsia" w:eastAsiaTheme="minorEastAsia"/>
          <w:color w:val="auto"/>
        </w:rPr>
        <w:t>供应商应递交完整的施工组织设计，说明各分部分项工程的施工方法和布置，提交包括临时设施和施工道路的施工总布置图及其它的图表、文字说明书等资料，《施工组织设计》技术文件应包括的内容（不仅限于以下内容、可自行增加）：</w:t>
      </w:r>
    </w:p>
    <w:p w14:paraId="14EC419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一、施工方案与技术措施</w:t>
      </w:r>
    </w:p>
    <w:p w14:paraId="185F59C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二、工程进度计划与保证措施</w:t>
      </w:r>
    </w:p>
    <w:p w14:paraId="73867E2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三、质量管理体系与措施</w:t>
      </w:r>
      <w:r>
        <w:rPr>
          <w:rFonts w:hint="eastAsia" w:asciiTheme="minorEastAsia" w:hAnsiTheme="minorEastAsia" w:eastAsiaTheme="minorEastAsia"/>
          <w:color w:val="auto"/>
        </w:rPr>
        <w:tab/>
      </w:r>
    </w:p>
    <w:p w14:paraId="4AE79887">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四、安全管理体系与措施</w:t>
      </w:r>
    </w:p>
    <w:p w14:paraId="6E32391D">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五、环境保护管理体系与措施</w:t>
      </w:r>
    </w:p>
    <w:p w14:paraId="6D733B1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六、资源配备计划</w:t>
      </w:r>
    </w:p>
    <w:p w14:paraId="58A09BCA">
      <w:pPr>
        <w:snapToGrid w:val="0"/>
        <w:spacing w:line="360" w:lineRule="auto"/>
        <w:rPr>
          <w:rFonts w:asciiTheme="minorEastAsia" w:hAnsiTheme="minorEastAsia" w:eastAsiaTheme="minorEastAsia"/>
          <w:color w:val="auto"/>
        </w:rPr>
      </w:pPr>
    </w:p>
    <w:p w14:paraId="3954C77D">
      <w:pPr>
        <w:snapToGrid w:val="0"/>
        <w:spacing w:line="360" w:lineRule="auto"/>
        <w:rPr>
          <w:rFonts w:asciiTheme="minorEastAsia" w:hAnsiTheme="minorEastAsia" w:eastAsiaTheme="minorEastAsia"/>
          <w:color w:val="auto"/>
        </w:rPr>
      </w:pPr>
    </w:p>
    <w:p w14:paraId="040B154F">
      <w:pPr>
        <w:snapToGrid w:val="0"/>
        <w:spacing w:line="360" w:lineRule="auto"/>
        <w:rPr>
          <w:rFonts w:asciiTheme="minorEastAsia" w:hAnsiTheme="minorEastAsia" w:eastAsiaTheme="minorEastAsia"/>
          <w:color w:val="auto"/>
        </w:rPr>
      </w:pPr>
    </w:p>
    <w:p w14:paraId="7A41D10B">
      <w:pPr>
        <w:snapToGrid w:val="0"/>
        <w:spacing w:line="360" w:lineRule="auto"/>
        <w:rPr>
          <w:rFonts w:asciiTheme="minorEastAsia" w:hAnsiTheme="minorEastAsia" w:eastAsiaTheme="minorEastAsia"/>
          <w:color w:val="auto"/>
        </w:rPr>
      </w:pPr>
    </w:p>
    <w:p w14:paraId="22B2DF1C">
      <w:pPr>
        <w:snapToGrid w:val="0"/>
        <w:spacing w:line="360" w:lineRule="auto"/>
        <w:rPr>
          <w:rFonts w:asciiTheme="minorEastAsia" w:hAnsiTheme="minorEastAsia" w:eastAsiaTheme="minorEastAsia"/>
          <w:color w:val="auto"/>
        </w:rPr>
      </w:pPr>
    </w:p>
    <w:p w14:paraId="5C296341">
      <w:pPr>
        <w:snapToGrid w:val="0"/>
        <w:spacing w:line="360" w:lineRule="auto"/>
        <w:rPr>
          <w:rFonts w:asciiTheme="minorEastAsia" w:hAnsiTheme="minorEastAsia" w:eastAsiaTheme="minorEastAsia"/>
          <w:color w:val="auto"/>
        </w:rPr>
      </w:pPr>
    </w:p>
    <w:p w14:paraId="59935DD0">
      <w:pPr>
        <w:snapToGrid w:val="0"/>
        <w:spacing w:line="360" w:lineRule="auto"/>
        <w:rPr>
          <w:rFonts w:asciiTheme="minorEastAsia" w:hAnsiTheme="minorEastAsia" w:eastAsiaTheme="minorEastAsia"/>
          <w:color w:val="auto"/>
        </w:rPr>
      </w:pPr>
    </w:p>
    <w:p w14:paraId="1C5101BF">
      <w:pPr>
        <w:snapToGrid w:val="0"/>
        <w:spacing w:line="360" w:lineRule="auto"/>
        <w:rPr>
          <w:rFonts w:asciiTheme="minorEastAsia" w:hAnsiTheme="minorEastAsia" w:eastAsiaTheme="minorEastAsia"/>
          <w:color w:val="auto"/>
        </w:rPr>
      </w:pPr>
    </w:p>
    <w:p w14:paraId="5B7240DD">
      <w:pPr>
        <w:snapToGrid w:val="0"/>
        <w:spacing w:line="360" w:lineRule="auto"/>
        <w:rPr>
          <w:rFonts w:asciiTheme="minorEastAsia" w:hAnsiTheme="minorEastAsia" w:eastAsiaTheme="minorEastAsia"/>
          <w:color w:val="auto"/>
        </w:rPr>
      </w:pPr>
    </w:p>
    <w:p w14:paraId="398F4E7A">
      <w:pPr>
        <w:snapToGrid w:val="0"/>
        <w:spacing w:line="360" w:lineRule="auto"/>
        <w:rPr>
          <w:rFonts w:asciiTheme="minorEastAsia" w:hAnsiTheme="minorEastAsia" w:eastAsiaTheme="minorEastAsia"/>
          <w:color w:val="auto"/>
        </w:rPr>
      </w:pPr>
    </w:p>
    <w:p w14:paraId="24B4EA4D">
      <w:pPr>
        <w:snapToGrid w:val="0"/>
        <w:spacing w:line="360" w:lineRule="auto"/>
        <w:rPr>
          <w:rFonts w:asciiTheme="minorEastAsia" w:hAnsiTheme="minorEastAsia" w:eastAsiaTheme="minorEastAsia"/>
          <w:color w:val="auto"/>
        </w:rPr>
      </w:pPr>
    </w:p>
    <w:p w14:paraId="27FDD769">
      <w:pPr>
        <w:snapToGrid w:val="0"/>
        <w:spacing w:line="360" w:lineRule="auto"/>
        <w:rPr>
          <w:rFonts w:asciiTheme="minorEastAsia" w:hAnsiTheme="minorEastAsia" w:eastAsiaTheme="minorEastAsia"/>
          <w:color w:val="auto"/>
        </w:rPr>
      </w:pPr>
    </w:p>
    <w:p w14:paraId="357E4D83">
      <w:pPr>
        <w:snapToGrid w:val="0"/>
        <w:spacing w:line="360" w:lineRule="auto"/>
        <w:rPr>
          <w:rFonts w:asciiTheme="minorEastAsia" w:hAnsiTheme="minorEastAsia" w:eastAsiaTheme="minorEastAsia"/>
          <w:color w:val="auto"/>
        </w:rPr>
      </w:pPr>
    </w:p>
    <w:p w14:paraId="25313513">
      <w:pPr>
        <w:snapToGrid w:val="0"/>
        <w:spacing w:line="360" w:lineRule="auto"/>
        <w:rPr>
          <w:rFonts w:asciiTheme="minorEastAsia" w:hAnsiTheme="minorEastAsia" w:eastAsiaTheme="minorEastAsia"/>
          <w:color w:val="auto"/>
        </w:rPr>
      </w:pPr>
    </w:p>
    <w:p w14:paraId="1DC8E6D3">
      <w:pPr>
        <w:snapToGrid w:val="0"/>
        <w:spacing w:line="360" w:lineRule="auto"/>
        <w:rPr>
          <w:rFonts w:asciiTheme="minorEastAsia" w:hAnsiTheme="minorEastAsia" w:eastAsiaTheme="minorEastAsia"/>
          <w:color w:val="auto"/>
        </w:rPr>
      </w:pPr>
    </w:p>
    <w:p w14:paraId="070FEACC">
      <w:pPr>
        <w:snapToGrid w:val="0"/>
        <w:spacing w:line="360" w:lineRule="auto"/>
        <w:rPr>
          <w:rFonts w:asciiTheme="minorEastAsia" w:hAnsiTheme="minorEastAsia" w:eastAsiaTheme="minorEastAsia"/>
          <w:color w:val="auto"/>
        </w:rPr>
      </w:pPr>
    </w:p>
    <w:p w14:paraId="5ED41644">
      <w:pPr>
        <w:snapToGrid w:val="0"/>
        <w:spacing w:line="360" w:lineRule="auto"/>
        <w:rPr>
          <w:rFonts w:asciiTheme="minorEastAsia" w:hAnsiTheme="minorEastAsia" w:eastAsiaTheme="minorEastAsia"/>
          <w:color w:val="auto"/>
          <w:sz w:val="30"/>
        </w:rPr>
      </w:pPr>
      <w:r>
        <w:rPr>
          <w:rFonts w:hint="eastAsia" w:asciiTheme="minorEastAsia" w:hAnsiTheme="minorEastAsia" w:eastAsiaTheme="minorEastAsia"/>
          <w:color w:val="auto"/>
          <w:sz w:val="30"/>
        </w:rPr>
        <w:t>附件8</w:t>
      </w:r>
    </w:p>
    <w:p w14:paraId="56359A7F">
      <w:pPr>
        <w:snapToGrid w:val="0"/>
        <w:spacing w:line="360" w:lineRule="auto"/>
        <w:jc w:val="center"/>
        <w:rPr>
          <w:rFonts w:asciiTheme="minorEastAsia" w:hAnsiTheme="minorEastAsia" w:eastAsiaTheme="minorEastAsia"/>
          <w:color w:val="auto"/>
          <w:sz w:val="30"/>
        </w:rPr>
      </w:pPr>
      <w:r>
        <w:rPr>
          <w:rFonts w:hint="eastAsia" w:asciiTheme="minorEastAsia" w:hAnsiTheme="minorEastAsia" w:eastAsiaTheme="minorEastAsia"/>
          <w:color w:val="auto"/>
          <w:sz w:val="30"/>
        </w:rPr>
        <w:t>主要人员简历表</w:t>
      </w:r>
    </w:p>
    <w:p w14:paraId="79D160A5">
      <w:pPr>
        <w:snapToGrid w:val="0"/>
        <w:spacing w:line="360" w:lineRule="auto"/>
        <w:jc w:val="center"/>
        <w:rPr>
          <w:rFonts w:asciiTheme="minorEastAsia" w:hAnsiTheme="minorEastAsia" w:eastAsiaTheme="minorEastAsia"/>
          <w:color w:val="auto"/>
          <w:sz w:val="28"/>
        </w:rPr>
      </w:pPr>
    </w:p>
    <w:tbl>
      <w:tblPr>
        <w:tblStyle w:val="19"/>
        <w:tblW w:w="0" w:type="auto"/>
        <w:tblInd w:w="0" w:type="dxa"/>
        <w:tblLayout w:type="fixed"/>
        <w:tblCellMar>
          <w:top w:w="0" w:type="dxa"/>
          <w:left w:w="0" w:type="dxa"/>
          <w:bottom w:w="0" w:type="dxa"/>
          <w:right w:w="0" w:type="dxa"/>
        </w:tblCellMar>
      </w:tblPr>
      <w:tblGrid>
        <w:gridCol w:w="1410"/>
        <w:gridCol w:w="864"/>
        <w:gridCol w:w="2761"/>
        <w:gridCol w:w="443"/>
        <w:gridCol w:w="1572"/>
        <w:gridCol w:w="603"/>
        <w:gridCol w:w="1861"/>
      </w:tblGrid>
      <w:tr w14:paraId="1BC5C58D">
        <w:tblPrEx>
          <w:tblCellMar>
            <w:top w:w="0" w:type="dxa"/>
            <w:left w:w="0" w:type="dxa"/>
            <w:bottom w:w="0" w:type="dxa"/>
            <w:right w:w="0" w:type="dxa"/>
          </w:tblCellMar>
        </w:tblPrEx>
        <w:trPr>
          <w:trHeight w:val="691" w:hRule="exact"/>
        </w:trPr>
        <w:tc>
          <w:tcPr>
            <w:tcW w:w="2274" w:type="dxa"/>
            <w:gridSpan w:val="2"/>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79C9C83">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姓</w:t>
            </w:r>
            <w:r>
              <w:rPr>
                <w:rFonts w:asciiTheme="minorEastAsia" w:hAnsiTheme="minorEastAsia" w:eastAsiaTheme="minorEastAsia"/>
                <w:color w:val="auto"/>
              </w:rPr>
              <w:t xml:space="preserve">   </w:t>
            </w:r>
            <w:r>
              <w:rPr>
                <w:rFonts w:hint="eastAsia" w:asciiTheme="minorEastAsia" w:hAnsiTheme="minorEastAsia" w:eastAsiaTheme="minorEastAsia"/>
                <w:color w:val="auto"/>
              </w:rPr>
              <w:t>名</w:t>
            </w:r>
          </w:p>
        </w:tc>
        <w:tc>
          <w:tcPr>
            <w:tcW w:w="2761"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440BAE6">
            <w:pPr>
              <w:snapToGrid w:val="0"/>
              <w:spacing w:line="360" w:lineRule="auto"/>
              <w:jc w:val="center"/>
              <w:rPr>
                <w:rFonts w:asciiTheme="minorEastAsia" w:hAnsiTheme="minorEastAsia" w:eastAsiaTheme="minorEastAsia"/>
                <w:color w:val="auto"/>
              </w:rPr>
            </w:pPr>
          </w:p>
        </w:tc>
        <w:tc>
          <w:tcPr>
            <w:tcW w:w="2618" w:type="dxa"/>
            <w:gridSpan w:val="3"/>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3F48EB8">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性</w:t>
            </w:r>
            <w:r>
              <w:rPr>
                <w:rFonts w:asciiTheme="minorEastAsia" w:hAnsiTheme="minorEastAsia" w:eastAsiaTheme="minorEastAsia"/>
                <w:color w:val="auto"/>
              </w:rPr>
              <w:t xml:space="preserve">  </w:t>
            </w:r>
            <w:r>
              <w:rPr>
                <w:rFonts w:hint="eastAsia" w:asciiTheme="minorEastAsia" w:hAnsiTheme="minorEastAsia" w:eastAsiaTheme="minorEastAsia"/>
                <w:color w:val="auto"/>
              </w:rPr>
              <w:t>别</w:t>
            </w:r>
          </w:p>
        </w:tc>
        <w:tc>
          <w:tcPr>
            <w:tcW w:w="1861"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FD04D89">
            <w:pPr>
              <w:snapToGrid w:val="0"/>
              <w:spacing w:line="360" w:lineRule="auto"/>
              <w:jc w:val="center"/>
              <w:rPr>
                <w:rFonts w:asciiTheme="minorEastAsia" w:hAnsiTheme="minorEastAsia" w:eastAsiaTheme="minorEastAsia"/>
                <w:color w:val="auto"/>
              </w:rPr>
            </w:pPr>
          </w:p>
        </w:tc>
      </w:tr>
      <w:tr w14:paraId="5357A179">
        <w:tblPrEx>
          <w:tblCellMar>
            <w:top w:w="0" w:type="dxa"/>
            <w:left w:w="0" w:type="dxa"/>
            <w:bottom w:w="0" w:type="dxa"/>
            <w:right w:w="0" w:type="dxa"/>
          </w:tblCellMar>
        </w:tblPrEx>
        <w:trPr>
          <w:trHeight w:val="613" w:hRule="exact"/>
        </w:trPr>
        <w:tc>
          <w:tcPr>
            <w:tcW w:w="2274" w:type="dxa"/>
            <w:gridSpan w:val="2"/>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FC09DB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职</w:t>
            </w:r>
            <w:r>
              <w:rPr>
                <w:rFonts w:asciiTheme="minorEastAsia" w:hAnsiTheme="minorEastAsia" w:eastAsiaTheme="minorEastAsia"/>
                <w:color w:val="auto"/>
              </w:rPr>
              <w:t xml:space="preserve">   </w:t>
            </w:r>
            <w:r>
              <w:rPr>
                <w:rFonts w:hint="eastAsia" w:asciiTheme="minorEastAsia" w:hAnsiTheme="minorEastAsia" w:eastAsiaTheme="minorEastAsia"/>
                <w:color w:val="auto"/>
              </w:rPr>
              <w:t>务</w:t>
            </w:r>
          </w:p>
        </w:tc>
        <w:tc>
          <w:tcPr>
            <w:tcW w:w="276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DB4504E">
            <w:pPr>
              <w:snapToGrid w:val="0"/>
              <w:spacing w:line="360" w:lineRule="auto"/>
              <w:jc w:val="center"/>
              <w:rPr>
                <w:rFonts w:asciiTheme="minorEastAsia" w:hAnsiTheme="minorEastAsia" w:eastAsiaTheme="minorEastAsia"/>
                <w:color w:val="auto"/>
              </w:rPr>
            </w:pPr>
          </w:p>
        </w:tc>
        <w:tc>
          <w:tcPr>
            <w:tcW w:w="261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1882ED9">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职</w:t>
            </w:r>
            <w:r>
              <w:rPr>
                <w:rFonts w:asciiTheme="minorEastAsia" w:hAnsiTheme="minorEastAsia" w:eastAsiaTheme="minorEastAsia"/>
                <w:color w:val="auto"/>
              </w:rPr>
              <w:t xml:space="preserve">  </w:t>
            </w:r>
            <w:r>
              <w:rPr>
                <w:rFonts w:hint="eastAsia" w:asciiTheme="minorEastAsia" w:hAnsiTheme="minorEastAsia" w:eastAsiaTheme="minorEastAsia"/>
                <w:color w:val="auto"/>
              </w:rPr>
              <w:t>称</w:t>
            </w:r>
          </w:p>
        </w:tc>
        <w:tc>
          <w:tcPr>
            <w:tcW w:w="186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859B952">
            <w:pPr>
              <w:snapToGrid w:val="0"/>
              <w:spacing w:line="360" w:lineRule="auto"/>
              <w:jc w:val="center"/>
              <w:rPr>
                <w:rFonts w:asciiTheme="minorEastAsia" w:hAnsiTheme="minorEastAsia" w:eastAsiaTheme="minorEastAsia"/>
                <w:color w:val="auto"/>
              </w:rPr>
            </w:pPr>
          </w:p>
        </w:tc>
      </w:tr>
      <w:tr w14:paraId="56E3E21D">
        <w:tblPrEx>
          <w:tblCellMar>
            <w:top w:w="0" w:type="dxa"/>
            <w:left w:w="0" w:type="dxa"/>
            <w:bottom w:w="0" w:type="dxa"/>
            <w:right w:w="0" w:type="dxa"/>
          </w:tblCellMar>
        </w:tblPrEx>
        <w:trPr>
          <w:trHeight w:val="621" w:hRule="exact"/>
        </w:trPr>
        <w:tc>
          <w:tcPr>
            <w:tcW w:w="2274" w:type="dxa"/>
            <w:gridSpan w:val="2"/>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16DE63E7">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毕业学校、专业</w:t>
            </w:r>
          </w:p>
        </w:tc>
        <w:tc>
          <w:tcPr>
            <w:tcW w:w="7240" w:type="dxa"/>
            <w:gridSpan w:val="5"/>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ABC98B6">
            <w:pPr>
              <w:snapToGrid w:val="0"/>
              <w:spacing w:line="360" w:lineRule="auto"/>
              <w:jc w:val="center"/>
              <w:rPr>
                <w:rFonts w:asciiTheme="minorEastAsia" w:hAnsiTheme="minorEastAsia" w:eastAsiaTheme="minorEastAsia"/>
                <w:color w:val="auto"/>
              </w:rPr>
            </w:pPr>
          </w:p>
        </w:tc>
      </w:tr>
      <w:tr w14:paraId="40F14E1E">
        <w:tblPrEx>
          <w:tblCellMar>
            <w:top w:w="0" w:type="dxa"/>
            <w:left w:w="0" w:type="dxa"/>
            <w:bottom w:w="0" w:type="dxa"/>
            <w:right w:w="0" w:type="dxa"/>
          </w:tblCellMar>
        </w:tblPrEx>
        <w:trPr>
          <w:trHeight w:val="771" w:hRule="exact"/>
        </w:trPr>
        <w:tc>
          <w:tcPr>
            <w:tcW w:w="2274" w:type="dxa"/>
            <w:gridSpan w:val="2"/>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99E147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身份证号</w:t>
            </w:r>
          </w:p>
        </w:tc>
        <w:tc>
          <w:tcPr>
            <w:tcW w:w="276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674D190">
            <w:pPr>
              <w:snapToGrid w:val="0"/>
              <w:spacing w:line="360" w:lineRule="auto"/>
              <w:jc w:val="center"/>
              <w:rPr>
                <w:rFonts w:asciiTheme="minorEastAsia" w:hAnsiTheme="minorEastAsia" w:eastAsiaTheme="minorEastAsia"/>
                <w:color w:val="auto"/>
              </w:rPr>
            </w:pPr>
          </w:p>
        </w:tc>
        <w:tc>
          <w:tcPr>
            <w:tcW w:w="261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EE0F386">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拟在本合同任职</w:t>
            </w:r>
          </w:p>
        </w:tc>
        <w:tc>
          <w:tcPr>
            <w:tcW w:w="186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ACB26CB">
            <w:pPr>
              <w:snapToGrid w:val="0"/>
              <w:spacing w:line="360" w:lineRule="auto"/>
              <w:ind w:right="-105"/>
              <w:jc w:val="center"/>
              <w:rPr>
                <w:rFonts w:asciiTheme="minorEastAsia" w:hAnsiTheme="minorEastAsia" w:eastAsiaTheme="minorEastAsia"/>
                <w:color w:val="auto"/>
              </w:rPr>
            </w:pPr>
          </w:p>
        </w:tc>
      </w:tr>
      <w:tr w14:paraId="3A6A9CBB">
        <w:tblPrEx>
          <w:tblCellMar>
            <w:top w:w="0" w:type="dxa"/>
            <w:left w:w="0" w:type="dxa"/>
            <w:bottom w:w="0" w:type="dxa"/>
            <w:right w:w="0" w:type="dxa"/>
          </w:tblCellMar>
        </w:tblPrEx>
        <w:trPr>
          <w:trHeight w:val="771" w:hRule="exact"/>
        </w:trPr>
        <w:tc>
          <w:tcPr>
            <w:tcW w:w="2274" w:type="dxa"/>
            <w:gridSpan w:val="2"/>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3CB96B6">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执业资格证</w:t>
            </w:r>
          </w:p>
        </w:tc>
        <w:tc>
          <w:tcPr>
            <w:tcW w:w="2761"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7B54455">
            <w:pPr>
              <w:snapToGrid w:val="0"/>
              <w:spacing w:line="360" w:lineRule="auto"/>
              <w:jc w:val="center"/>
              <w:rPr>
                <w:rFonts w:asciiTheme="minorEastAsia" w:hAnsiTheme="minorEastAsia" w:eastAsiaTheme="minorEastAsia"/>
                <w:color w:val="auto"/>
              </w:rPr>
            </w:pPr>
          </w:p>
        </w:tc>
        <w:tc>
          <w:tcPr>
            <w:tcW w:w="261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8F44101">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执业资格证书号</w:t>
            </w:r>
          </w:p>
        </w:tc>
        <w:tc>
          <w:tcPr>
            <w:tcW w:w="1861"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335744B">
            <w:pPr>
              <w:snapToGrid w:val="0"/>
              <w:spacing w:line="360" w:lineRule="auto"/>
              <w:rPr>
                <w:rFonts w:asciiTheme="minorEastAsia" w:hAnsiTheme="minorEastAsia" w:eastAsiaTheme="minorEastAsia"/>
                <w:color w:val="auto"/>
              </w:rPr>
            </w:pPr>
          </w:p>
        </w:tc>
      </w:tr>
      <w:tr w14:paraId="3C4E84A7">
        <w:tblPrEx>
          <w:tblCellMar>
            <w:top w:w="0" w:type="dxa"/>
            <w:left w:w="0" w:type="dxa"/>
            <w:bottom w:w="0" w:type="dxa"/>
            <w:right w:w="0" w:type="dxa"/>
          </w:tblCellMar>
        </w:tblPrEx>
        <w:trPr>
          <w:trHeight w:val="500" w:hRule="exact"/>
        </w:trPr>
        <w:tc>
          <w:tcPr>
            <w:tcW w:w="9514" w:type="dxa"/>
            <w:gridSpan w:val="7"/>
            <w:tcBorders>
              <w:top w:val="single" w:color="000000" w:sz="6" w:space="0"/>
              <w:left w:val="double" w:color="000000" w:sz="4" w:space="0"/>
              <w:bottom w:val="single" w:color="000000" w:sz="6" w:space="0"/>
              <w:right w:val="double" w:color="000000" w:sz="4" w:space="0"/>
            </w:tcBorders>
            <w:tcMar>
              <w:top w:w="0" w:type="dxa"/>
              <w:left w:w="108" w:type="dxa"/>
              <w:bottom w:w="0" w:type="dxa"/>
              <w:right w:w="108" w:type="dxa"/>
            </w:tcMar>
            <w:vAlign w:val="center"/>
          </w:tcPr>
          <w:p w14:paraId="3858EC4F">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近三年承担项目情况</w:t>
            </w:r>
          </w:p>
        </w:tc>
      </w:tr>
      <w:tr w14:paraId="2F6C1256">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32B44E7">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时间</w:t>
            </w: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786326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类似项目名称</w:t>
            </w: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716863E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担任职务</w:t>
            </w: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2BE3C84">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项目单位名称及电话</w:t>
            </w:r>
          </w:p>
        </w:tc>
      </w:tr>
      <w:tr w14:paraId="3C5C4028">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4C2A6F8F">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2DFD65E">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28FF4D3">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32D8640">
            <w:pPr>
              <w:snapToGrid w:val="0"/>
              <w:spacing w:line="360" w:lineRule="auto"/>
              <w:jc w:val="center"/>
              <w:rPr>
                <w:rFonts w:asciiTheme="minorEastAsia" w:hAnsiTheme="minorEastAsia" w:eastAsiaTheme="minorEastAsia"/>
                <w:color w:val="auto"/>
              </w:rPr>
            </w:pPr>
          </w:p>
        </w:tc>
      </w:tr>
      <w:tr w14:paraId="53119380">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60A7707">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8C4337C">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16D5D81">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1C06B92">
            <w:pPr>
              <w:snapToGrid w:val="0"/>
              <w:spacing w:line="360" w:lineRule="auto"/>
              <w:jc w:val="center"/>
              <w:rPr>
                <w:rFonts w:asciiTheme="minorEastAsia" w:hAnsiTheme="minorEastAsia" w:eastAsiaTheme="minorEastAsia"/>
                <w:color w:val="auto"/>
              </w:rPr>
            </w:pPr>
          </w:p>
        </w:tc>
      </w:tr>
      <w:tr w14:paraId="328D2D77">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5E12BFFF">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5FDF353">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003F62B">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267F1B2">
            <w:pPr>
              <w:snapToGrid w:val="0"/>
              <w:spacing w:line="360" w:lineRule="auto"/>
              <w:jc w:val="center"/>
              <w:rPr>
                <w:rFonts w:asciiTheme="minorEastAsia" w:hAnsiTheme="minorEastAsia" w:eastAsiaTheme="minorEastAsia"/>
                <w:color w:val="auto"/>
              </w:rPr>
            </w:pPr>
          </w:p>
        </w:tc>
      </w:tr>
      <w:tr w14:paraId="17C33AC6">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CDA10DD">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CD7141A">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8481145">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76071F7">
            <w:pPr>
              <w:snapToGrid w:val="0"/>
              <w:spacing w:line="360" w:lineRule="auto"/>
              <w:jc w:val="center"/>
              <w:rPr>
                <w:rFonts w:asciiTheme="minorEastAsia" w:hAnsiTheme="minorEastAsia" w:eastAsiaTheme="minorEastAsia"/>
                <w:color w:val="auto"/>
              </w:rPr>
            </w:pPr>
          </w:p>
        </w:tc>
      </w:tr>
      <w:tr w14:paraId="1747E5F3">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6C771AB">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484D0749">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30289BB">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39D1E49">
            <w:pPr>
              <w:snapToGrid w:val="0"/>
              <w:spacing w:line="360" w:lineRule="auto"/>
              <w:jc w:val="center"/>
              <w:rPr>
                <w:rFonts w:asciiTheme="minorEastAsia" w:hAnsiTheme="minorEastAsia" w:eastAsiaTheme="minorEastAsia"/>
                <w:color w:val="auto"/>
              </w:rPr>
            </w:pPr>
          </w:p>
        </w:tc>
      </w:tr>
      <w:tr w14:paraId="4492788F">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001F3BE">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2FEB584">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DEAB52B">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7F65C08B">
            <w:pPr>
              <w:snapToGrid w:val="0"/>
              <w:spacing w:line="360" w:lineRule="auto"/>
              <w:jc w:val="center"/>
              <w:rPr>
                <w:rFonts w:asciiTheme="minorEastAsia" w:hAnsiTheme="minorEastAsia" w:eastAsiaTheme="minorEastAsia"/>
                <w:color w:val="auto"/>
              </w:rPr>
            </w:pPr>
          </w:p>
        </w:tc>
      </w:tr>
      <w:tr w14:paraId="69775126">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0C1A868E">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3A0F77FA">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C2C499A">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39968394">
            <w:pPr>
              <w:snapToGrid w:val="0"/>
              <w:spacing w:line="360" w:lineRule="auto"/>
              <w:jc w:val="center"/>
              <w:rPr>
                <w:rFonts w:asciiTheme="minorEastAsia" w:hAnsiTheme="minorEastAsia" w:eastAsiaTheme="minorEastAsia"/>
                <w:color w:val="auto"/>
              </w:rPr>
            </w:pPr>
          </w:p>
        </w:tc>
      </w:tr>
      <w:tr w14:paraId="00C72684">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38E55C29">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40068F6">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D83628C">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0AF3308">
            <w:pPr>
              <w:snapToGrid w:val="0"/>
              <w:spacing w:line="360" w:lineRule="auto"/>
              <w:jc w:val="center"/>
              <w:rPr>
                <w:rFonts w:asciiTheme="minorEastAsia" w:hAnsiTheme="minorEastAsia" w:eastAsiaTheme="minorEastAsia"/>
                <w:color w:val="auto"/>
              </w:rPr>
            </w:pPr>
          </w:p>
        </w:tc>
      </w:tr>
      <w:tr w14:paraId="186DCE67">
        <w:tblPrEx>
          <w:tblCellMar>
            <w:top w:w="0" w:type="dxa"/>
            <w:left w:w="0" w:type="dxa"/>
            <w:bottom w:w="0" w:type="dxa"/>
            <w:right w:w="0" w:type="dxa"/>
          </w:tblCellMar>
        </w:tblPrEx>
        <w:trPr>
          <w:trHeight w:val="500" w:hRule="exact"/>
        </w:trPr>
        <w:tc>
          <w:tcPr>
            <w:tcW w:w="1410" w:type="dxa"/>
            <w:tcBorders>
              <w:top w:val="single" w:color="000000" w:sz="6"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2A0DA687">
            <w:pPr>
              <w:snapToGrid w:val="0"/>
              <w:spacing w:line="360" w:lineRule="auto"/>
              <w:jc w:val="center"/>
              <w:rPr>
                <w:rFonts w:asciiTheme="minorEastAsia" w:hAnsiTheme="minorEastAsia" w:eastAsiaTheme="minorEastAsia"/>
                <w:color w:val="auto"/>
              </w:rPr>
            </w:pPr>
          </w:p>
        </w:tc>
        <w:tc>
          <w:tcPr>
            <w:tcW w:w="4068" w:type="dxa"/>
            <w:gridSpan w:val="3"/>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74AAE824">
            <w:pPr>
              <w:snapToGrid w:val="0"/>
              <w:spacing w:line="360" w:lineRule="auto"/>
              <w:jc w:val="center"/>
              <w:rPr>
                <w:rFonts w:asciiTheme="minorEastAsia" w:hAnsiTheme="minorEastAsia" w:eastAsiaTheme="minorEastAsia"/>
                <w:color w:val="auto"/>
              </w:rPr>
            </w:pPr>
          </w:p>
        </w:tc>
        <w:tc>
          <w:tcPr>
            <w:tcW w:w="1572" w:type="dxa"/>
            <w:tcBorders>
              <w:top w:val="single" w:color="000000" w:sz="6" w:space="0"/>
              <w:left w:val="single" w:color="000000" w:sz="6" w:space="0"/>
              <w:bottom w:val="double" w:color="000000" w:sz="4" w:space="0"/>
              <w:right w:val="single" w:color="000000" w:sz="6" w:space="0"/>
            </w:tcBorders>
            <w:tcMar>
              <w:top w:w="0" w:type="dxa"/>
              <w:left w:w="108" w:type="dxa"/>
              <w:bottom w:w="0" w:type="dxa"/>
              <w:right w:w="108" w:type="dxa"/>
            </w:tcMar>
            <w:vAlign w:val="center"/>
          </w:tcPr>
          <w:p w14:paraId="79C030B1">
            <w:pPr>
              <w:snapToGrid w:val="0"/>
              <w:spacing w:line="360" w:lineRule="auto"/>
              <w:jc w:val="center"/>
              <w:rPr>
                <w:rFonts w:asciiTheme="minorEastAsia" w:hAnsiTheme="minorEastAsia" w:eastAsiaTheme="minorEastAsia"/>
                <w:color w:val="auto"/>
              </w:rPr>
            </w:pPr>
          </w:p>
        </w:tc>
        <w:tc>
          <w:tcPr>
            <w:tcW w:w="2464" w:type="dxa"/>
            <w:gridSpan w:val="2"/>
            <w:tcBorders>
              <w:top w:val="single" w:color="000000" w:sz="6"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4E222881">
            <w:pPr>
              <w:snapToGrid w:val="0"/>
              <w:spacing w:line="360" w:lineRule="auto"/>
              <w:jc w:val="center"/>
              <w:rPr>
                <w:rFonts w:asciiTheme="minorEastAsia" w:hAnsiTheme="minorEastAsia" w:eastAsiaTheme="minorEastAsia"/>
                <w:color w:val="auto"/>
              </w:rPr>
            </w:pPr>
          </w:p>
        </w:tc>
      </w:tr>
    </w:tbl>
    <w:p w14:paraId="0C66D380">
      <w:pPr>
        <w:snapToGrid w:val="0"/>
        <w:spacing w:line="360" w:lineRule="auto"/>
        <w:rPr>
          <w:rFonts w:asciiTheme="minorEastAsia" w:hAnsiTheme="minorEastAsia" w:eastAsiaTheme="minorEastAsia"/>
          <w:color w:val="auto"/>
        </w:rPr>
      </w:pPr>
    </w:p>
    <w:p w14:paraId="473232D3">
      <w:pPr>
        <w:snapToGrid w:val="0"/>
        <w:spacing w:line="360" w:lineRule="auto"/>
        <w:rPr>
          <w:rFonts w:asciiTheme="minorEastAsia" w:hAnsiTheme="minorEastAsia" w:eastAsiaTheme="minorEastAsia"/>
          <w:b/>
          <w:bCs/>
          <w:color w:val="auto"/>
        </w:rPr>
      </w:pPr>
      <w:r>
        <w:rPr>
          <w:rFonts w:hint="eastAsia" w:asciiTheme="minorEastAsia" w:hAnsiTheme="minorEastAsia" w:eastAsiaTheme="minorEastAsia"/>
          <w:b/>
          <w:bCs/>
          <w:color w:val="auto"/>
        </w:rPr>
        <w:t>说明：主要人员证书、类似项目证明资料等按第二章第42.1款或第四章采购需求要求提供。</w:t>
      </w:r>
    </w:p>
    <w:p w14:paraId="489713B2">
      <w:pPr>
        <w:snapToGrid w:val="0"/>
        <w:spacing w:line="360" w:lineRule="auto"/>
        <w:rPr>
          <w:rFonts w:asciiTheme="minorEastAsia" w:hAnsiTheme="minorEastAsia" w:eastAsiaTheme="minorEastAsia"/>
          <w:color w:val="auto"/>
        </w:rPr>
      </w:pPr>
    </w:p>
    <w:p w14:paraId="223846A8">
      <w:pPr>
        <w:snapToGrid w:val="0"/>
        <w:spacing w:line="360" w:lineRule="auto"/>
        <w:rPr>
          <w:rFonts w:asciiTheme="minorEastAsia" w:hAnsiTheme="minorEastAsia" w:eastAsiaTheme="minorEastAsia"/>
          <w:color w:val="auto"/>
        </w:rPr>
      </w:pPr>
    </w:p>
    <w:p w14:paraId="345AAB0A">
      <w:pPr>
        <w:snapToGrid w:val="0"/>
        <w:spacing w:line="360" w:lineRule="auto"/>
        <w:rPr>
          <w:rFonts w:asciiTheme="minorEastAsia" w:hAnsiTheme="minorEastAsia" w:eastAsiaTheme="minorEastAsia"/>
          <w:color w:val="auto"/>
        </w:rPr>
      </w:pPr>
      <w:r>
        <w:rPr>
          <w:rFonts w:asciiTheme="minorEastAsia" w:hAnsiTheme="minorEastAsia" w:eastAsiaTheme="minorEastAsia"/>
          <w:color w:val="auto"/>
        </w:rPr>
        <w:t>供应商名称：</w:t>
      </w:r>
      <w:r>
        <w:rPr>
          <w:rFonts w:asciiTheme="minorEastAsia" w:hAnsiTheme="minorEastAsia" w:eastAsiaTheme="minorEastAsia"/>
          <w:color w:val="auto"/>
          <w:u w:val="single"/>
        </w:rPr>
        <w:t xml:space="preserve">                </w:t>
      </w:r>
    </w:p>
    <w:p w14:paraId="77239234">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_</w:t>
      </w:r>
    </w:p>
    <w:p w14:paraId="79BEBFA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日期：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年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月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日</w:t>
      </w:r>
    </w:p>
    <w:p w14:paraId="497627C1">
      <w:pPr>
        <w:snapToGrid w:val="0"/>
        <w:spacing w:line="360" w:lineRule="auto"/>
        <w:rPr>
          <w:rFonts w:asciiTheme="minorEastAsia" w:hAnsiTheme="minorEastAsia" w:eastAsiaTheme="minorEastAsia"/>
          <w:b/>
          <w:color w:val="auto"/>
          <w:sz w:val="30"/>
        </w:rPr>
      </w:pPr>
    </w:p>
    <w:p w14:paraId="01B4C7B8">
      <w:pPr>
        <w:snapToGrid w:val="0"/>
        <w:spacing w:line="360" w:lineRule="auto"/>
        <w:jc w:val="center"/>
        <w:rPr>
          <w:rFonts w:asciiTheme="minorEastAsia" w:hAnsiTheme="minorEastAsia" w:eastAsiaTheme="minorEastAsia"/>
          <w:b/>
          <w:color w:val="auto"/>
          <w:sz w:val="30"/>
        </w:rPr>
      </w:pPr>
      <w:r>
        <w:rPr>
          <w:rFonts w:hint="eastAsia" w:asciiTheme="minorEastAsia" w:hAnsiTheme="minorEastAsia" w:eastAsiaTheme="minorEastAsia"/>
          <w:b/>
          <w:color w:val="auto"/>
          <w:sz w:val="30"/>
        </w:rPr>
        <w:t>五、技术/商务响应与偏离表</w:t>
      </w:r>
    </w:p>
    <w:p w14:paraId="29629A2A">
      <w:pPr>
        <w:snapToGrid w:val="0"/>
        <w:spacing w:line="360" w:lineRule="auto"/>
        <w:ind w:left="-88" w:firstLine="315"/>
        <w:rPr>
          <w:rFonts w:asciiTheme="minorEastAsia" w:hAnsiTheme="minorEastAsia" w:eastAsiaTheme="minorEastAsia"/>
          <w:color w:val="auto"/>
          <w:u w:val="single"/>
        </w:rPr>
      </w:pPr>
    </w:p>
    <w:tbl>
      <w:tblPr>
        <w:tblStyle w:val="19"/>
        <w:tblW w:w="0" w:type="auto"/>
        <w:jc w:val="center"/>
        <w:tblLayout w:type="fixed"/>
        <w:tblCellMar>
          <w:top w:w="0" w:type="dxa"/>
          <w:left w:w="0" w:type="dxa"/>
          <w:bottom w:w="0" w:type="dxa"/>
          <w:right w:w="0" w:type="dxa"/>
        </w:tblCellMar>
      </w:tblPr>
      <w:tblGrid>
        <w:gridCol w:w="680"/>
        <w:gridCol w:w="1803"/>
        <w:gridCol w:w="2084"/>
        <w:gridCol w:w="2782"/>
        <w:gridCol w:w="1298"/>
        <w:gridCol w:w="707"/>
      </w:tblGrid>
      <w:tr w14:paraId="779F296D">
        <w:tblPrEx>
          <w:tblCellMar>
            <w:top w:w="0" w:type="dxa"/>
            <w:left w:w="0" w:type="dxa"/>
            <w:bottom w:w="0" w:type="dxa"/>
            <w:right w:w="0" w:type="dxa"/>
          </w:tblCellMar>
        </w:tblPrEx>
        <w:trPr>
          <w:trHeight w:val="504" w:hRule="atLeast"/>
          <w:jc w:val="center"/>
        </w:trPr>
        <w:tc>
          <w:tcPr>
            <w:tcW w:w="680" w:type="dxa"/>
            <w:tcBorders>
              <w:top w:val="double" w:color="000000" w:sz="4" w:space="0"/>
              <w:left w:val="double" w:color="000000" w:sz="4" w:space="0"/>
              <w:bottom w:val="single" w:color="000000" w:sz="6" w:space="0"/>
              <w:right w:val="single" w:color="000000" w:sz="6" w:space="0"/>
            </w:tcBorders>
            <w:tcMar>
              <w:top w:w="0" w:type="dxa"/>
              <w:left w:w="28" w:type="dxa"/>
              <w:bottom w:w="0" w:type="dxa"/>
              <w:right w:w="28" w:type="dxa"/>
            </w:tcMar>
            <w:vAlign w:val="center"/>
          </w:tcPr>
          <w:p w14:paraId="1FECACA6">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序号</w:t>
            </w:r>
          </w:p>
        </w:tc>
        <w:tc>
          <w:tcPr>
            <w:tcW w:w="1803" w:type="dxa"/>
            <w:tcBorders>
              <w:top w:val="doub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1667AC51">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磋商文件条目号</w:t>
            </w:r>
          </w:p>
        </w:tc>
        <w:tc>
          <w:tcPr>
            <w:tcW w:w="2084" w:type="dxa"/>
            <w:tcBorders>
              <w:top w:val="doub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4784DE8F">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采购规格/商务条款</w:t>
            </w:r>
          </w:p>
        </w:tc>
        <w:tc>
          <w:tcPr>
            <w:tcW w:w="2782" w:type="dxa"/>
            <w:tcBorders>
              <w:top w:val="doub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6C53941C">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响应文件的规格/商务条款</w:t>
            </w:r>
          </w:p>
        </w:tc>
        <w:tc>
          <w:tcPr>
            <w:tcW w:w="1298" w:type="dxa"/>
            <w:tcBorders>
              <w:top w:val="double" w:color="000000" w:sz="4"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7BE92C2F">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响应与偏离</w:t>
            </w:r>
          </w:p>
        </w:tc>
        <w:tc>
          <w:tcPr>
            <w:tcW w:w="707" w:type="dxa"/>
            <w:tcBorders>
              <w:top w:val="double" w:color="000000" w:sz="4" w:space="0"/>
              <w:left w:val="single" w:color="000000" w:sz="6" w:space="0"/>
              <w:bottom w:val="single" w:color="000000" w:sz="6" w:space="0"/>
              <w:right w:val="double" w:color="000000" w:sz="4" w:space="0"/>
            </w:tcBorders>
            <w:tcMar>
              <w:top w:w="0" w:type="dxa"/>
              <w:left w:w="28" w:type="dxa"/>
              <w:bottom w:w="0" w:type="dxa"/>
              <w:right w:w="28" w:type="dxa"/>
            </w:tcMar>
            <w:vAlign w:val="center"/>
          </w:tcPr>
          <w:p w14:paraId="5E58D463">
            <w:pPr>
              <w:snapToGrid w:val="0"/>
              <w:spacing w:line="360" w:lineRule="auto"/>
              <w:ind w:left="-88"/>
              <w:jc w:val="center"/>
              <w:rPr>
                <w:rFonts w:asciiTheme="minorEastAsia" w:hAnsiTheme="minorEastAsia" w:eastAsiaTheme="minorEastAsia"/>
                <w:color w:val="auto"/>
              </w:rPr>
            </w:pPr>
            <w:r>
              <w:rPr>
                <w:rFonts w:hint="eastAsia" w:asciiTheme="minorEastAsia" w:hAnsiTheme="minorEastAsia" w:eastAsiaTheme="minorEastAsia"/>
                <w:color w:val="auto"/>
              </w:rPr>
              <w:t>说明</w:t>
            </w:r>
          </w:p>
        </w:tc>
      </w:tr>
      <w:tr w14:paraId="27C6CF4C">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tcMar>
              <w:top w:w="0" w:type="dxa"/>
              <w:left w:w="28" w:type="dxa"/>
              <w:bottom w:w="0" w:type="dxa"/>
              <w:right w:w="28" w:type="dxa"/>
            </w:tcMar>
          </w:tcPr>
          <w:p w14:paraId="319B4312">
            <w:pPr>
              <w:snapToGrid w:val="0"/>
              <w:spacing w:line="360" w:lineRule="auto"/>
              <w:ind w:left="-88"/>
              <w:jc w:val="center"/>
              <w:rPr>
                <w:rFonts w:asciiTheme="minorEastAsia" w:hAnsiTheme="minorEastAsia" w:eastAsiaTheme="minorEastAsia"/>
                <w:color w:val="auto"/>
              </w:rPr>
            </w:pPr>
          </w:p>
        </w:tc>
        <w:tc>
          <w:tcPr>
            <w:tcW w:w="1803"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391C34CE">
            <w:pPr>
              <w:snapToGrid w:val="0"/>
              <w:spacing w:line="360" w:lineRule="auto"/>
              <w:ind w:left="-88"/>
              <w:jc w:val="center"/>
              <w:rPr>
                <w:rFonts w:asciiTheme="minorEastAsia" w:hAnsiTheme="minorEastAsia" w:eastAsiaTheme="minorEastAsia"/>
                <w:color w:val="auto"/>
              </w:rPr>
            </w:pPr>
          </w:p>
        </w:tc>
        <w:tc>
          <w:tcPr>
            <w:tcW w:w="2084"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2206823E">
            <w:pPr>
              <w:snapToGrid w:val="0"/>
              <w:spacing w:line="360" w:lineRule="auto"/>
              <w:ind w:left="-88"/>
              <w:jc w:val="center"/>
              <w:rPr>
                <w:rFonts w:asciiTheme="minorEastAsia" w:hAnsiTheme="minorEastAsia" w:eastAsiaTheme="minorEastAsia"/>
                <w:color w:val="auto"/>
              </w:rPr>
            </w:pPr>
          </w:p>
        </w:tc>
        <w:tc>
          <w:tcPr>
            <w:tcW w:w="2782"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0154523A">
            <w:pPr>
              <w:snapToGrid w:val="0"/>
              <w:spacing w:line="360" w:lineRule="auto"/>
              <w:ind w:left="-88"/>
              <w:jc w:val="center"/>
              <w:rPr>
                <w:rFonts w:asciiTheme="minorEastAsia" w:hAnsiTheme="minorEastAsia" w:eastAsiaTheme="minorEastAsia"/>
                <w:color w:val="auto"/>
              </w:rPr>
            </w:pPr>
          </w:p>
        </w:tc>
        <w:tc>
          <w:tcPr>
            <w:tcW w:w="129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39B4AB26">
            <w:pPr>
              <w:snapToGrid w:val="0"/>
              <w:spacing w:line="360" w:lineRule="auto"/>
              <w:ind w:left="-88"/>
              <w:jc w:val="center"/>
              <w:rPr>
                <w:rFonts w:asciiTheme="minorEastAsia" w:hAnsiTheme="minorEastAsia" w:eastAsiaTheme="minorEastAsia"/>
                <w:color w:val="auto"/>
              </w:rPr>
            </w:pPr>
          </w:p>
        </w:tc>
        <w:tc>
          <w:tcPr>
            <w:tcW w:w="707" w:type="dxa"/>
            <w:tcBorders>
              <w:top w:val="single" w:color="000000" w:sz="6" w:space="0"/>
              <w:left w:val="single" w:color="000000" w:sz="6" w:space="0"/>
              <w:bottom w:val="single" w:color="000000" w:sz="6" w:space="0"/>
              <w:right w:val="double" w:color="000000" w:sz="4" w:space="0"/>
            </w:tcBorders>
            <w:tcMar>
              <w:top w:w="0" w:type="dxa"/>
              <w:left w:w="28" w:type="dxa"/>
              <w:bottom w:w="0" w:type="dxa"/>
              <w:right w:w="28" w:type="dxa"/>
            </w:tcMar>
            <w:vAlign w:val="center"/>
          </w:tcPr>
          <w:p w14:paraId="1200C597">
            <w:pPr>
              <w:snapToGrid w:val="0"/>
              <w:spacing w:line="360" w:lineRule="auto"/>
              <w:ind w:left="-88"/>
              <w:jc w:val="center"/>
              <w:rPr>
                <w:rFonts w:asciiTheme="minorEastAsia" w:hAnsiTheme="minorEastAsia" w:eastAsiaTheme="minorEastAsia"/>
                <w:color w:val="auto"/>
              </w:rPr>
            </w:pPr>
          </w:p>
        </w:tc>
      </w:tr>
      <w:tr w14:paraId="2DCFCAB4">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tcMar>
              <w:top w:w="0" w:type="dxa"/>
              <w:left w:w="28" w:type="dxa"/>
              <w:bottom w:w="0" w:type="dxa"/>
              <w:right w:w="28" w:type="dxa"/>
            </w:tcMar>
          </w:tcPr>
          <w:p w14:paraId="78A15FC3">
            <w:pPr>
              <w:snapToGrid w:val="0"/>
              <w:spacing w:line="360" w:lineRule="auto"/>
              <w:ind w:left="-88"/>
              <w:jc w:val="center"/>
              <w:rPr>
                <w:rFonts w:asciiTheme="minorEastAsia" w:hAnsiTheme="minorEastAsia" w:eastAsiaTheme="minorEastAsia"/>
                <w:color w:val="auto"/>
              </w:rPr>
            </w:pPr>
          </w:p>
        </w:tc>
        <w:tc>
          <w:tcPr>
            <w:tcW w:w="1803"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51200C75">
            <w:pPr>
              <w:snapToGrid w:val="0"/>
              <w:spacing w:line="360" w:lineRule="auto"/>
              <w:ind w:left="-88"/>
              <w:jc w:val="center"/>
              <w:rPr>
                <w:rFonts w:asciiTheme="minorEastAsia" w:hAnsiTheme="minorEastAsia" w:eastAsiaTheme="minorEastAsia"/>
                <w:color w:val="auto"/>
              </w:rPr>
            </w:pPr>
          </w:p>
        </w:tc>
        <w:tc>
          <w:tcPr>
            <w:tcW w:w="2084"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5B93A9D1">
            <w:pPr>
              <w:snapToGrid w:val="0"/>
              <w:spacing w:line="360" w:lineRule="auto"/>
              <w:ind w:left="-88"/>
              <w:jc w:val="center"/>
              <w:rPr>
                <w:rFonts w:asciiTheme="minorEastAsia" w:hAnsiTheme="minorEastAsia" w:eastAsiaTheme="minorEastAsia"/>
                <w:color w:val="auto"/>
              </w:rPr>
            </w:pPr>
          </w:p>
        </w:tc>
        <w:tc>
          <w:tcPr>
            <w:tcW w:w="2782"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196D6923">
            <w:pPr>
              <w:snapToGrid w:val="0"/>
              <w:spacing w:line="360" w:lineRule="auto"/>
              <w:ind w:left="-88"/>
              <w:jc w:val="center"/>
              <w:rPr>
                <w:rFonts w:asciiTheme="minorEastAsia" w:hAnsiTheme="minorEastAsia" w:eastAsiaTheme="minorEastAsia"/>
                <w:color w:val="auto"/>
              </w:rPr>
            </w:pPr>
          </w:p>
        </w:tc>
        <w:tc>
          <w:tcPr>
            <w:tcW w:w="129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5A594222">
            <w:pPr>
              <w:snapToGrid w:val="0"/>
              <w:spacing w:line="360" w:lineRule="auto"/>
              <w:ind w:left="-88"/>
              <w:jc w:val="center"/>
              <w:rPr>
                <w:rFonts w:asciiTheme="minorEastAsia" w:hAnsiTheme="minorEastAsia" w:eastAsiaTheme="minorEastAsia"/>
                <w:color w:val="auto"/>
              </w:rPr>
            </w:pPr>
          </w:p>
        </w:tc>
        <w:tc>
          <w:tcPr>
            <w:tcW w:w="707" w:type="dxa"/>
            <w:tcBorders>
              <w:top w:val="single" w:color="000000" w:sz="6" w:space="0"/>
              <w:left w:val="single" w:color="000000" w:sz="6" w:space="0"/>
              <w:bottom w:val="single" w:color="000000" w:sz="6" w:space="0"/>
              <w:right w:val="double" w:color="000000" w:sz="4" w:space="0"/>
            </w:tcBorders>
            <w:tcMar>
              <w:top w:w="0" w:type="dxa"/>
              <w:left w:w="28" w:type="dxa"/>
              <w:bottom w:w="0" w:type="dxa"/>
              <w:right w:w="28" w:type="dxa"/>
            </w:tcMar>
            <w:vAlign w:val="center"/>
          </w:tcPr>
          <w:p w14:paraId="45B98F58">
            <w:pPr>
              <w:snapToGrid w:val="0"/>
              <w:spacing w:line="360" w:lineRule="auto"/>
              <w:ind w:left="-88"/>
              <w:jc w:val="center"/>
              <w:rPr>
                <w:rFonts w:asciiTheme="minorEastAsia" w:hAnsiTheme="minorEastAsia" w:eastAsiaTheme="minorEastAsia"/>
                <w:color w:val="auto"/>
              </w:rPr>
            </w:pPr>
          </w:p>
        </w:tc>
      </w:tr>
      <w:tr w14:paraId="3AB2F933">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tcMar>
              <w:top w:w="0" w:type="dxa"/>
              <w:left w:w="28" w:type="dxa"/>
              <w:bottom w:w="0" w:type="dxa"/>
              <w:right w:w="28" w:type="dxa"/>
            </w:tcMar>
          </w:tcPr>
          <w:p w14:paraId="56040AAA">
            <w:pPr>
              <w:snapToGrid w:val="0"/>
              <w:spacing w:line="360" w:lineRule="auto"/>
              <w:ind w:left="-88"/>
              <w:jc w:val="center"/>
              <w:rPr>
                <w:rFonts w:asciiTheme="minorEastAsia" w:hAnsiTheme="minorEastAsia" w:eastAsiaTheme="minorEastAsia"/>
                <w:color w:val="auto"/>
              </w:rPr>
            </w:pPr>
          </w:p>
        </w:tc>
        <w:tc>
          <w:tcPr>
            <w:tcW w:w="1803"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05C5CA6F">
            <w:pPr>
              <w:snapToGrid w:val="0"/>
              <w:spacing w:line="360" w:lineRule="auto"/>
              <w:ind w:left="-88"/>
              <w:jc w:val="center"/>
              <w:rPr>
                <w:rFonts w:asciiTheme="minorEastAsia" w:hAnsiTheme="minorEastAsia" w:eastAsiaTheme="minorEastAsia"/>
                <w:color w:val="auto"/>
              </w:rPr>
            </w:pPr>
          </w:p>
        </w:tc>
        <w:tc>
          <w:tcPr>
            <w:tcW w:w="2084"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15D1DEBB">
            <w:pPr>
              <w:snapToGrid w:val="0"/>
              <w:spacing w:line="360" w:lineRule="auto"/>
              <w:ind w:left="-88"/>
              <w:jc w:val="center"/>
              <w:rPr>
                <w:rFonts w:asciiTheme="minorEastAsia" w:hAnsiTheme="minorEastAsia" w:eastAsiaTheme="minorEastAsia"/>
                <w:color w:val="auto"/>
              </w:rPr>
            </w:pPr>
          </w:p>
        </w:tc>
        <w:tc>
          <w:tcPr>
            <w:tcW w:w="2782"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78CDAC3D">
            <w:pPr>
              <w:snapToGrid w:val="0"/>
              <w:spacing w:line="360" w:lineRule="auto"/>
              <w:ind w:left="-88"/>
              <w:jc w:val="center"/>
              <w:rPr>
                <w:rFonts w:asciiTheme="minorEastAsia" w:hAnsiTheme="minorEastAsia" w:eastAsiaTheme="minorEastAsia"/>
                <w:color w:val="auto"/>
              </w:rPr>
            </w:pPr>
          </w:p>
        </w:tc>
        <w:tc>
          <w:tcPr>
            <w:tcW w:w="129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73A933F3">
            <w:pPr>
              <w:snapToGrid w:val="0"/>
              <w:spacing w:line="360" w:lineRule="auto"/>
              <w:ind w:left="-88"/>
              <w:jc w:val="center"/>
              <w:rPr>
                <w:rFonts w:asciiTheme="minorEastAsia" w:hAnsiTheme="minorEastAsia" w:eastAsiaTheme="minorEastAsia"/>
                <w:color w:val="auto"/>
              </w:rPr>
            </w:pPr>
          </w:p>
        </w:tc>
        <w:tc>
          <w:tcPr>
            <w:tcW w:w="707" w:type="dxa"/>
            <w:tcBorders>
              <w:top w:val="single" w:color="000000" w:sz="6" w:space="0"/>
              <w:left w:val="single" w:color="000000" w:sz="6" w:space="0"/>
              <w:bottom w:val="single" w:color="000000" w:sz="6" w:space="0"/>
              <w:right w:val="double" w:color="000000" w:sz="4" w:space="0"/>
            </w:tcBorders>
            <w:tcMar>
              <w:top w:w="0" w:type="dxa"/>
              <w:left w:w="28" w:type="dxa"/>
              <w:bottom w:w="0" w:type="dxa"/>
              <w:right w:w="28" w:type="dxa"/>
            </w:tcMar>
            <w:vAlign w:val="center"/>
          </w:tcPr>
          <w:p w14:paraId="48D99D5B">
            <w:pPr>
              <w:snapToGrid w:val="0"/>
              <w:spacing w:line="360" w:lineRule="auto"/>
              <w:ind w:left="-88"/>
              <w:jc w:val="center"/>
              <w:rPr>
                <w:rFonts w:asciiTheme="minorEastAsia" w:hAnsiTheme="minorEastAsia" w:eastAsiaTheme="minorEastAsia"/>
                <w:color w:val="auto"/>
              </w:rPr>
            </w:pPr>
          </w:p>
        </w:tc>
      </w:tr>
      <w:tr w14:paraId="3A0FB53F">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single" w:color="000000" w:sz="6" w:space="0"/>
              <w:right w:val="single" w:color="000000" w:sz="6" w:space="0"/>
            </w:tcBorders>
            <w:tcMar>
              <w:top w:w="0" w:type="dxa"/>
              <w:left w:w="28" w:type="dxa"/>
              <w:bottom w:w="0" w:type="dxa"/>
              <w:right w:w="28" w:type="dxa"/>
            </w:tcMar>
          </w:tcPr>
          <w:p w14:paraId="739DB3FE">
            <w:pPr>
              <w:snapToGrid w:val="0"/>
              <w:spacing w:line="360" w:lineRule="auto"/>
              <w:ind w:left="-88"/>
              <w:jc w:val="center"/>
              <w:rPr>
                <w:rFonts w:asciiTheme="minorEastAsia" w:hAnsiTheme="minorEastAsia" w:eastAsiaTheme="minorEastAsia"/>
                <w:color w:val="auto"/>
              </w:rPr>
            </w:pPr>
          </w:p>
        </w:tc>
        <w:tc>
          <w:tcPr>
            <w:tcW w:w="1803"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387E9AD6">
            <w:pPr>
              <w:snapToGrid w:val="0"/>
              <w:spacing w:line="360" w:lineRule="auto"/>
              <w:ind w:left="-88"/>
              <w:jc w:val="center"/>
              <w:rPr>
                <w:rFonts w:asciiTheme="minorEastAsia" w:hAnsiTheme="minorEastAsia" w:eastAsiaTheme="minorEastAsia"/>
                <w:color w:val="auto"/>
              </w:rPr>
            </w:pPr>
          </w:p>
        </w:tc>
        <w:tc>
          <w:tcPr>
            <w:tcW w:w="2084"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1FD4289F">
            <w:pPr>
              <w:snapToGrid w:val="0"/>
              <w:spacing w:line="360" w:lineRule="auto"/>
              <w:ind w:left="-88"/>
              <w:jc w:val="center"/>
              <w:rPr>
                <w:rFonts w:asciiTheme="minorEastAsia" w:hAnsiTheme="minorEastAsia" w:eastAsiaTheme="minorEastAsia"/>
                <w:color w:val="auto"/>
              </w:rPr>
            </w:pPr>
          </w:p>
        </w:tc>
        <w:tc>
          <w:tcPr>
            <w:tcW w:w="2782"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4E713EC8">
            <w:pPr>
              <w:snapToGrid w:val="0"/>
              <w:spacing w:line="360" w:lineRule="auto"/>
              <w:ind w:left="-88"/>
              <w:jc w:val="center"/>
              <w:rPr>
                <w:rFonts w:asciiTheme="minorEastAsia" w:hAnsiTheme="minorEastAsia" w:eastAsiaTheme="minorEastAsia"/>
                <w:color w:val="auto"/>
              </w:rPr>
            </w:pPr>
          </w:p>
        </w:tc>
        <w:tc>
          <w:tcPr>
            <w:tcW w:w="1298" w:type="dxa"/>
            <w:tcBorders>
              <w:top w:val="single" w:color="000000" w:sz="6" w:space="0"/>
              <w:left w:val="single" w:color="000000" w:sz="6" w:space="0"/>
              <w:bottom w:val="single" w:color="000000" w:sz="6" w:space="0"/>
              <w:right w:val="single" w:color="000000" w:sz="6" w:space="0"/>
            </w:tcBorders>
            <w:tcMar>
              <w:top w:w="0" w:type="dxa"/>
              <w:left w:w="28" w:type="dxa"/>
              <w:bottom w:w="0" w:type="dxa"/>
              <w:right w:w="28" w:type="dxa"/>
            </w:tcMar>
            <w:vAlign w:val="center"/>
          </w:tcPr>
          <w:p w14:paraId="0605B1B9">
            <w:pPr>
              <w:snapToGrid w:val="0"/>
              <w:spacing w:line="360" w:lineRule="auto"/>
              <w:ind w:left="-88"/>
              <w:jc w:val="center"/>
              <w:rPr>
                <w:rFonts w:asciiTheme="minorEastAsia" w:hAnsiTheme="minorEastAsia" w:eastAsiaTheme="minorEastAsia"/>
                <w:color w:val="auto"/>
              </w:rPr>
            </w:pPr>
          </w:p>
        </w:tc>
        <w:tc>
          <w:tcPr>
            <w:tcW w:w="707" w:type="dxa"/>
            <w:tcBorders>
              <w:top w:val="single" w:color="000000" w:sz="6" w:space="0"/>
              <w:left w:val="single" w:color="000000" w:sz="6" w:space="0"/>
              <w:bottom w:val="single" w:color="000000" w:sz="6" w:space="0"/>
              <w:right w:val="double" w:color="000000" w:sz="4" w:space="0"/>
            </w:tcBorders>
            <w:tcMar>
              <w:top w:w="0" w:type="dxa"/>
              <w:left w:w="28" w:type="dxa"/>
              <w:bottom w:w="0" w:type="dxa"/>
              <w:right w:w="28" w:type="dxa"/>
            </w:tcMar>
            <w:vAlign w:val="center"/>
          </w:tcPr>
          <w:p w14:paraId="26B12855">
            <w:pPr>
              <w:snapToGrid w:val="0"/>
              <w:spacing w:line="360" w:lineRule="auto"/>
              <w:ind w:left="-88"/>
              <w:jc w:val="center"/>
              <w:rPr>
                <w:rFonts w:asciiTheme="minorEastAsia" w:hAnsiTheme="minorEastAsia" w:eastAsiaTheme="minorEastAsia"/>
                <w:color w:val="auto"/>
              </w:rPr>
            </w:pPr>
          </w:p>
        </w:tc>
      </w:tr>
      <w:tr w14:paraId="1E2A4529">
        <w:tblPrEx>
          <w:tblCellMar>
            <w:top w:w="0" w:type="dxa"/>
            <w:left w:w="0" w:type="dxa"/>
            <w:bottom w:w="0" w:type="dxa"/>
            <w:right w:w="0" w:type="dxa"/>
          </w:tblCellMar>
        </w:tblPrEx>
        <w:trPr>
          <w:trHeight w:val="505" w:hRule="atLeast"/>
          <w:jc w:val="center"/>
        </w:trPr>
        <w:tc>
          <w:tcPr>
            <w:tcW w:w="680" w:type="dxa"/>
            <w:tcBorders>
              <w:top w:val="single" w:color="000000" w:sz="6" w:space="0"/>
              <w:left w:val="double" w:color="000000" w:sz="4" w:space="0"/>
              <w:bottom w:val="double" w:color="000000" w:sz="4" w:space="0"/>
              <w:right w:val="single" w:color="000000" w:sz="6" w:space="0"/>
            </w:tcBorders>
            <w:tcMar>
              <w:top w:w="0" w:type="dxa"/>
              <w:left w:w="28" w:type="dxa"/>
              <w:bottom w:w="0" w:type="dxa"/>
              <w:right w:w="28" w:type="dxa"/>
            </w:tcMar>
          </w:tcPr>
          <w:p w14:paraId="7BDA03F3">
            <w:pPr>
              <w:snapToGrid w:val="0"/>
              <w:spacing w:line="360" w:lineRule="auto"/>
              <w:ind w:left="-88"/>
              <w:jc w:val="center"/>
              <w:rPr>
                <w:rFonts w:asciiTheme="minorEastAsia" w:hAnsiTheme="minorEastAsia" w:eastAsiaTheme="minorEastAsia"/>
                <w:color w:val="auto"/>
              </w:rPr>
            </w:pPr>
          </w:p>
        </w:tc>
        <w:tc>
          <w:tcPr>
            <w:tcW w:w="1803" w:type="dxa"/>
            <w:tcBorders>
              <w:top w:val="single" w:color="000000" w:sz="6" w:space="0"/>
              <w:left w:val="single" w:color="000000" w:sz="6" w:space="0"/>
              <w:bottom w:val="double" w:color="000000" w:sz="4" w:space="0"/>
              <w:right w:val="single" w:color="000000" w:sz="6" w:space="0"/>
            </w:tcBorders>
            <w:tcMar>
              <w:top w:w="0" w:type="dxa"/>
              <w:left w:w="28" w:type="dxa"/>
              <w:bottom w:w="0" w:type="dxa"/>
              <w:right w:w="28" w:type="dxa"/>
            </w:tcMar>
            <w:vAlign w:val="center"/>
          </w:tcPr>
          <w:p w14:paraId="1CF37AB1">
            <w:pPr>
              <w:snapToGrid w:val="0"/>
              <w:spacing w:line="360" w:lineRule="auto"/>
              <w:ind w:left="-88"/>
              <w:jc w:val="center"/>
              <w:rPr>
                <w:rFonts w:asciiTheme="minorEastAsia" w:hAnsiTheme="minorEastAsia" w:eastAsiaTheme="minorEastAsia"/>
                <w:color w:val="auto"/>
              </w:rPr>
            </w:pPr>
          </w:p>
        </w:tc>
        <w:tc>
          <w:tcPr>
            <w:tcW w:w="2084" w:type="dxa"/>
            <w:tcBorders>
              <w:top w:val="single" w:color="000000" w:sz="6" w:space="0"/>
              <w:left w:val="single" w:color="000000" w:sz="6" w:space="0"/>
              <w:bottom w:val="double" w:color="000000" w:sz="4" w:space="0"/>
              <w:right w:val="single" w:color="000000" w:sz="6" w:space="0"/>
            </w:tcBorders>
            <w:tcMar>
              <w:top w:w="0" w:type="dxa"/>
              <w:left w:w="28" w:type="dxa"/>
              <w:bottom w:w="0" w:type="dxa"/>
              <w:right w:w="28" w:type="dxa"/>
            </w:tcMar>
            <w:vAlign w:val="center"/>
          </w:tcPr>
          <w:p w14:paraId="35E1278F">
            <w:pPr>
              <w:snapToGrid w:val="0"/>
              <w:spacing w:line="360" w:lineRule="auto"/>
              <w:ind w:left="-88"/>
              <w:jc w:val="center"/>
              <w:rPr>
                <w:rFonts w:asciiTheme="minorEastAsia" w:hAnsiTheme="minorEastAsia" w:eastAsiaTheme="minorEastAsia"/>
                <w:color w:val="auto"/>
              </w:rPr>
            </w:pPr>
          </w:p>
        </w:tc>
        <w:tc>
          <w:tcPr>
            <w:tcW w:w="2782" w:type="dxa"/>
            <w:tcBorders>
              <w:top w:val="single" w:color="000000" w:sz="6" w:space="0"/>
              <w:left w:val="single" w:color="000000" w:sz="6" w:space="0"/>
              <w:bottom w:val="double" w:color="000000" w:sz="4" w:space="0"/>
              <w:right w:val="single" w:color="000000" w:sz="6" w:space="0"/>
            </w:tcBorders>
            <w:tcMar>
              <w:top w:w="0" w:type="dxa"/>
              <w:left w:w="28" w:type="dxa"/>
              <w:bottom w:w="0" w:type="dxa"/>
              <w:right w:w="28" w:type="dxa"/>
            </w:tcMar>
            <w:vAlign w:val="center"/>
          </w:tcPr>
          <w:p w14:paraId="077CA328">
            <w:pPr>
              <w:snapToGrid w:val="0"/>
              <w:spacing w:line="360" w:lineRule="auto"/>
              <w:ind w:left="-88"/>
              <w:jc w:val="center"/>
              <w:rPr>
                <w:rFonts w:asciiTheme="minorEastAsia" w:hAnsiTheme="minorEastAsia" w:eastAsiaTheme="minorEastAsia"/>
                <w:color w:val="auto"/>
              </w:rPr>
            </w:pPr>
          </w:p>
        </w:tc>
        <w:tc>
          <w:tcPr>
            <w:tcW w:w="1298" w:type="dxa"/>
            <w:tcBorders>
              <w:top w:val="single" w:color="000000" w:sz="6" w:space="0"/>
              <w:left w:val="single" w:color="000000" w:sz="6" w:space="0"/>
              <w:bottom w:val="double" w:color="000000" w:sz="4" w:space="0"/>
              <w:right w:val="single" w:color="000000" w:sz="6" w:space="0"/>
            </w:tcBorders>
            <w:tcMar>
              <w:top w:w="0" w:type="dxa"/>
              <w:left w:w="28" w:type="dxa"/>
              <w:bottom w:w="0" w:type="dxa"/>
              <w:right w:w="28" w:type="dxa"/>
            </w:tcMar>
            <w:vAlign w:val="center"/>
          </w:tcPr>
          <w:p w14:paraId="3B65B542">
            <w:pPr>
              <w:snapToGrid w:val="0"/>
              <w:spacing w:line="360" w:lineRule="auto"/>
              <w:ind w:left="-88"/>
              <w:jc w:val="center"/>
              <w:rPr>
                <w:rFonts w:asciiTheme="minorEastAsia" w:hAnsiTheme="minorEastAsia" w:eastAsiaTheme="minorEastAsia"/>
                <w:color w:val="auto"/>
              </w:rPr>
            </w:pPr>
          </w:p>
        </w:tc>
        <w:tc>
          <w:tcPr>
            <w:tcW w:w="707" w:type="dxa"/>
            <w:tcBorders>
              <w:top w:val="single" w:color="000000" w:sz="6" w:space="0"/>
              <w:left w:val="single" w:color="000000" w:sz="6" w:space="0"/>
              <w:bottom w:val="double" w:color="000000" w:sz="4" w:space="0"/>
              <w:right w:val="double" w:color="000000" w:sz="4" w:space="0"/>
            </w:tcBorders>
            <w:tcMar>
              <w:top w:w="0" w:type="dxa"/>
              <w:left w:w="28" w:type="dxa"/>
              <w:bottom w:w="0" w:type="dxa"/>
              <w:right w:w="28" w:type="dxa"/>
            </w:tcMar>
            <w:vAlign w:val="center"/>
          </w:tcPr>
          <w:p w14:paraId="3FCAE053">
            <w:pPr>
              <w:snapToGrid w:val="0"/>
              <w:spacing w:line="360" w:lineRule="auto"/>
              <w:ind w:left="-88"/>
              <w:jc w:val="center"/>
              <w:rPr>
                <w:rFonts w:asciiTheme="minorEastAsia" w:hAnsiTheme="minorEastAsia" w:eastAsiaTheme="minorEastAsia"/>
                <w:color w:val="auto"/>
              </w:rPr>
            </w:pPr>
          </w:p>
        </w:tc>
      </w:tr>
    </w:tbl>
    <w:p w14:paraId="0AC4AB67">
      <w:pPr>
        <w:snapToGrid w:val="0"/>
        <w:spacing w:line="360" w:lineRule="auto"/>
        <w:ind w:left="-88"/>
        <w:rPr>
          <w:rFonts w:asciiTheme="minorEastAsia" w:hAnsiTheme="minorEastAsia" w:eastAsiaTheme="minorEastAsia"/>
          <w:color w:val="auto"/>
        </w:rPr>
      </w:pPr>
      <w:r>
        <w:rPr>
          <w:rFonts w:hint="eastAsia" w:asciiTheme="minorEastAsia" w:hAnsiTheme="minorEastAsia" w:eastAsiaTheme="minorEastAsia"/>
          <w:color w:val="auto"/>
        </w:rPr>
        <w:t>说明：1、“响应与偏离”应注明“响应”或“偏离”。</w:t>
      </w:r>
    </w:p>
    <w:p w14:paraId="6574AFD8">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b/>
          <w:color w:val="auto"/>
        </w:rPr>
        <w:t xml:space="preserve">     </w:t>
      </w:r>
      <w:r>
        <w:rPr>
          <w:rFonts w:hint="eastAsia" w:asciiTheme="minorEastAsia" w:hAnsiTheme="minorEastAsia" w:eastAsiaTheme="minorEastAsia"/>
          <w:color w:val="auto"/>
        </w:rPr>
        <w:t>2、属磋商文件规定可能变动的内容在“说明”栏中注明。</w:t>
      </w:r>
    </w:p>
    <w:p w14:paraId="0B41019C">
      <w:pPr>
        <w:snapToGrid w:val="0"/>
        <w:spacing w:line="360" w:lineRule="auto"/>
        <w:rPr>
          <w:rFonts w:asciiTheme="minorEastAsia" w:hAnsiTheme="minorEastAsia" w:eastAsiaTheme="minorEastAsia"/>
          <w:color w:val="auto"/>
        </w:rPr>
      </w:pPr>
    </w:p>
    <w:p w14:paraId="054C5AA7">
      <w:pPr>
        <w:snapToGrid w:val="0"/>
        <w:spacing w:line="360" w:lineRule="auto"/>
        <w:rPr>
          <w:rFonts w:asciiTheme="minorEastAsia" w:hAnsiTheme="minorEastAsia" w:eastAsiaTheme="minorEastAsia"/>
          <w:color w:val="auto"/>
        </w:rPr>
      </w:pPr>
    </w:p>
    <w:p w14:paraId="44702040">
      <w:pPr>
        <w:snapToGrid w:val="0"/>
        <w:spacing w:line="360" w:lineRule="auto"/>
        <w:rPr>
          <w:rFonts w:asciiTheme="minorEastAsia" w:hAnsiTheme="minorEastAsia" w:eastAsiaTheme="minorEastAsia"/>
          <w:color w:val="auto"/>
        </w:rPr>
      </w:pPr>
    </w:p>
    <w:p w14:paraId="5BB1C812">
      <w:pPr>
        <w:snapToGrid w:val="0"/>
        <w:spacing w:line="360" w:lineRule="auto"/>
        <w:rPr>
          <w:rFonts w:asciiTheme="minorEastAsia" w:hAnsiTheme="minorEastAsia" w:eastAsiaTheme="minorEastAsia"/>
          <w:color w:val="auto"/>
        </w:rPr>
      </w:pPr>
    </w:p>
    <w:p w14:paraId="6D69B84B">
      <w:pPr>
        <w:snapToGrid w:val="0"/>
        <w:spacing w:line="360" w:lineRule="auto"/>
        <w:rPr>
          <w:rFonts w:asciiTheme="minorEastAsia" w:hAnsiTheme="minorEastAsia" w:eastAsiaTheme="minorEastAsia"/>
          <w:color w:val="auto"/>
        </w:rPr>
      </w:pPr>
    </w:p>
    <w:p w14:paraId="3B1B5529">
      <w:pPr>
        <w:snapToGrid w:val="0"/>
        <w:spacing w:line="360" w:lineRule="auto"/>
        <w:rPr>
          <w:rFonts w:asciiTheme="minorEastAsia" w:hAnsiTheme="minorEastAsia" w:eastAsiaTheme="minorEastAsia"/>
          <w:color w:val="auto"/>
        </w:rPr>
      </w:pPr>
    </w:p>
    <w:p w14:paraId="791E594A">
      <w:pPr>
        <w:snapToGrid w:val="0"/>
        <w:spacing w:line="360" w:lineRule="auto"/>
        <w:rPr>
          <w:rFonts w:asciiTheme="minorEastAsia" w:hAnsiTheme="minorEastAsia" w:eastAsiaTheme="minorEastAsia"/>
          <w:color w:val="auto"/>
        </w:rPr>
      </w:pPr>
    </w:p>
    <w:p w14:paraId="3FC4900E">
      <w:pPr>
        <w:snapToGrid w:val="0"/>
        <w:spacing w:line="360" w:lineRule="auto"/>
        <w:rPr>
          <w:rFonts w:asciiTheme="minorEastAsia" w:hAnsiTheme="minorEastAsia" w:eastAsiaTheme="minorEastAsia"/>
          <w:color w:val="auto"/>
        </w:rPr>
      </w:pPr>
      <w:r>
        <w:rPr>
          <w:rFonts w:asciiTheme="minorEastAsia" w:hAnsiTheme="minorEastAsia" w:eastAsiaTheme="minorEastAsia"/>
          <w:color w:val="auto"/>
        </w:rPr>
        <w:t>供应商名称：</w:t>
      </w:r>
      <w:r>
        <w:rPr>
          <w:rFonts w:asciiTheme="minorEastAsia" w:hAnsiTheme="minorEastAsia" w:eastAsiaTheme="minorEastAsia"/>
          <w:color w:val="auto"/>
          <w:u w:val="single"/>
        </w:rPr>
        <w:t xml:space="preserve">                   </w:t>
      </w:r>
    </w:p>
    <w:p w14:paraId="7AC15C73">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r>
        <w:rPr>
          <w:rFonts w:hint="eastAsia" w:asciiTheme="minorEastAsia" w:hAnsiTheme="minorEastAsia" w:eastAsiaTheme="minorEastAsia"/>
          <w:color w:val="auto"/>
          <w:u w:val="single"/>
        </w:rPr>
        <w:t xml:space="preserve">                   </w:t>
      </w:r>
    </w:p>
    <w:p w14:paraId="55687DD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日          期：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年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月 </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 xml:space="preserve"> 日</w:t>
      </w:r>
    </w:p>
    <w:p w14:paraId="72143DB7">
      <w:pPr>
        <w:snapToGrid w:val="0"/>
        <w:spacing w:line="360" w:lineRule="auto"/>
        <w:rPr>
          <w:rFonts w:asciiTheme="minorEastAsia" w:hAnsiTheme="minorEastAsia" w:eastAsiaTheme="minorEastAsia"/>
          <w:color w:val="auto"/>
        </w:rPr>
      </w:pPr>
    </w:p>
    <w:p w14:paraId="448676DC">
      <w:pPr>
        <w:tabs>
          <w:tab w:val="left" w:pos="3600"/>
        </w:tabs>
        <w:snapToGrid w:val="0"/>
        <w:spacing w:line="360" w:lineRule="auto"/>
        <w:jc w:val="center"/>
        <w:rPr>
          <w:rFonts w:asciiTheme="minorEastAsia" w:hAnsiTheme="minorEastAsia" w:eastAsiaTheme="minorEastAsia"/>
          <w:b/>
          <w:color w:val="auto"/>
          <w:sz w:val="32"/>
        </w:rPr>
      </w:pPr>
    </w:p>
    <w:p w14:paraId="15DDDBC7">
      <w:pPr>
        <w:tabs>
          <w:tab w:val="left" w:pos="3600"/>
        </w:tabs>
        <w:snapToGrid w:val="0"/>
        <w:spacing w:line="360" w:lineRule="auto"/>
        <w:jc w:val="center"/>
        <w:rPr>
          <w:rFonts w:asciiTheme="minorEastAsia" w:hAnsiTheme="minorEastAsia" w:eastAsiaTheme="minorEastAsia"/>
          <w:b/>
          <w:color w:val="auto"/>
          <w:sz w:val="32"/>
        </w:rPr>
      </w:pPr>
    </w:p>
    <w:p w14:paraId="0A3D644B">
      <w:pPr>
        <w:tabs>
          <w:tab w:val="left" w:pos="3600"/>
        </w:tabs>
        <w:snapToGrid w:val="0"/>
        <w:spacing w:line="360" w:lineRule="auto"/>
        <w:jc w:val="center"/>
        <w:rPr>
          <w:rFonts w:asciiTheme="minorEastAsia" w:hAnsiTheme="minorEastAsia" w:eastAsiaTheme="minorEastAsia"/>
          <w:b/>
          <w:color w:val="auto"/>
          <w:sz w:val="32"/>
        </w:rPr>
      </w:pPr>
    </w:p>
    <w:p w14:paraId="720C8412">
      <w:pPr>
        <w:tabs>
          <w:tab w:val="left" w:pos="3600"/>
        </w:tabs>
        <w:snapToGrid w:val="0"/>
        <w:spacing w:line="360" w:lineRule="auto"/>
        <w:jc w:val="center"/>
        <w:rPr>
          <w:rFonts w:asciiTheme="minorEastAsia" w:hAnsiTheme="minorEastAsia" w:eastAsiaTheme="minorEastAsia"/>
          <w:b/>
          <w:color w:val="auto"/>
          <w:sz w:val="32"/>
        </w:rPr>
      </w:pPr>
    </w:p>
    <w:p w14:paraId="7C5FBEA4">
      <w:pPr>
        <w:tabs>
          <w:tab w:val="left" w:pos="3600"/>
        </w:tabs>
        <w:snapToGrid w:val="0"/>
        <w:spacing w:line="360" w:lineRule="auto"/>
        <w:jc w:val="center"/>
        <w:rPr>
          <w:rFonts w:asciiTheme="minorEastAsia" w:hAnsiTheme="minorEastAsia" w:eastAsiaTheme="minorEastAsia"/>
          <w:b/>
          <w:color w:val="auto"/>
          <w:sz w:val="32"/>
        </w:rPr>
      </w:pPr>
    </w:p>
    <w:p w14:paraId="7AC08060">
      <w:pPr>
        <w:spacing w:line="360" w:lineRule="auto"/>
        <w:rPr>
          <w:rFonts w:asciiTheme="minorEastAsia" w:hAnsiTheme="minorEastAsia" w:eastAsiaTheme="minorEastAsia"/>
          <w:color w:val="auto"/>
          <w:sz w:val="20"/>
        </w:rPr>
      </w:pPr>
    </w:p>
    <w:p w14:paraId="3697337D">
      <w:pPr>
        <w:spacing w:line="360" w:lineRule="auto"/>
        <w:rPr>
          <w:rFonts w:asciiTheme="minorEastAsia" w:hAnsiTheme="minorEastAsia" w:eastAsiaTheme="minorEastAsia"/>
          <w:color w:val="auto"/>
          <w:sz w:val="20"/>
        </w:rPr>
      </w:pPr>
    </w:p>
    <w:p w14:paraId="0896C216">
      <w:pPr>
        <w:pStyle w:val="18"/>
        <w:rPr>
          <w:color w:val="auto"/>
        </w:rPr>
      </w:pPr>
    </w:p>
    <w:p w14:paraId="1642D35D">
      <w:pPr>
        <w:tabs>
          <w:tab w:val="left" w:pos="3600"/>
        </w:tabs>
        <w:snapToGrid w:val="0"/>
        <w:spacing w:line="360" w:lineRule="auto"/>
        <w:ind w:right="23"/>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六、提供政府采购政策产品等证明材料</w:t>
      </w:r>
    </w:p>
    <w:p w14:paraId="4C824F90">
      <w:pPr>
        <w:tabs>
          <w:tab w:val="left" w:pos="3600"/>
        </w:tabs>
        <w:snapToGrid w:val="0"/>
        <w:spacing w:line="360" w:lineRule="auto"/>
        <w:ind w:right="23"/>
        <w:rPr>
          <w:rFonts w:asciiTheme="minorEastAsia" w:hAnsiTheme="minorEastAsia" w:eastAsiaTheme="minorEastAsia"/>
          <w:b/>
          <w:color w:val="auto"/>
          <w:sz w:val="32"/>
        </w:rPr>
      </w:pPr>
    </w:p>
    <w:p w14:paraId="0F6F34FC">
      <w:pPr>
        <w:snapToGrid w:val="0"/>
        <w:spacing w:line="360" w:lineRule="auto"/>
        <w:ind w:right="23"/>
        <w:rPr>
          <w:rFonts w:asciiTheme="minorEastAsia" w:hAnsiTheme="minorEastAsia" w:eastAsiaTheme="minorEastAsia"/>
          <w:color w:val="auto"/>
          <w:sz w:val="24"/>
        </w:rPr>
      </w:pPr>
      <w:r>
        <w:rPr>
          <w:rFonts w:hint="eastAsia" w:asciiTheme="minorEastAsia" w:hAnsiTheme="minorEastAsia" w:eastAsiaTheme="minorEastAsia"/>
          <w:color w:val="auto"/>
          <w:sz w:val="24"/>
        </w:rPr>
        <w:t>附件9：</w:t>
      </w:r>
    </w:p>
    <w:p w14:paraId="0BC45852">
      <w:pPr>
        <w:widowControl/>
        <w:snapToGrid w:val="0"/>
        <w:spacing w:line="360" w:lineRule="auto"/>
        <w:jc w:val="center"/>
        <w:rPr>
          <w:rFonts w:asciiTheme="minorEastAsia" w:hAnsiTheme="minorEastAsia" w:eastAsiaTheme="minorEastAsia"/>
          <w:b/>
          <w:color w:val="auto"/>
          <w:spacing w:val="6"/>
          <w:sz w:val="28"/>
        </w:rPr>
      </w:pPr>
      <w:r>
        <w:rPr>
          <w:rFonts w:hint="eastAsia" w:asciiTheme="minorEastAsia" w:hAnsiTheme="minorEastAsia" w:eastAsiaTheme="minorEastAsia"/>
          <w:b/>
          <w:color w:val="auto"/>
          <w:spacing w:val="6"/>
          <w:sz w:val="28"/>
        </w:rPr>
        <w:t>中小企业声明函</w:t>
      </w:r>
      <w:r>
        <w:rPr>
          <w:rFonts w:hint="eastAsia" w:cs="宋体" w:asciiTheme="minorEastAsia" w:hAnsiTheme="minorEastAsia" w:eastAsiaTheme="minorEastAsia"/>
          <w:b/>
          <w:bCs/>
          <w:color w:val="auto"/>
          <w:sz w:val="27"/>
          <w:szCs w:val="27"/>
        </w:rPr>
        <w:t>（工程）</w:t>
      </w:r>
    </w:p>
    <w:p w14:paraId="457874A2">
      <w:pPr>
        <w:widowControl/>
        <w:snapToGrid w:val="0"/>
        <w:spacing w:line="360" w:lineRule="auto"/>
        <w:jc w:val="center"/>
        <w:rPr>
          <w:rFonts w:asciiTheme="minorEastAsia" w:hAnsiTheme="minorEastAsia" w:eastAsiaTheme="minorEastAsia"/>
          <w:b/>
          <w:color w:val="auto"/>
          <w:spacing w:val="6"/>
        </w:rPr>
      </w:pPr>
      <w:r>
        <w:rPr>
          <w:rFonts w:hint="eastAsia" w:asciiTheme="minorEastAsia" w:hAnsiTheme="minorEastAsia" w:eastAsiaTheme="minorEastAsia"/>
          <w:b/>
          <w:color w:val="auto"/>
          <w:spacing w:val="6"/>
        </w:rPr>
        <w:t>(不满足以下条件的无需填写)</w:t>
      </w:r>
    </w:p>
    <w:p w14:paraId="05D8DE93">
      <w:pPr>
        <w:pStyle w:val="25"/>
        <w:rPr>
          <w:rFonts w:asciiTheme="minorEastAsia" w:hAnsiTheme="minorEastAsia" w:eastAsiaTheme="minorEastAsia"/>
          <w:color w:val="auto"/>
        </w:rPr>
      </w:pPr>
    </w:p>
    <w:p w14:paraId="73B61484">
      <w:pPr>
        <w:widowControl/>
        <w:snapToGrid w:val="0"/>
        <w:spacing w:line="420" w:lineRule="exact"/>
        <w:ind w:firstLine="442"/>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rPr>
        <w:t>本公司（联合体）郑重声明，根据《政府采购促进中小企业发展管理办法》（财库﹝2020﹞46号）的规定，本公司（联合体）参加</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（单位名称）的</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项目名称）采购活动，工程的施工单位全部为符合政策要求的中小企业（或者：服务全部由符合政策要求的中小企业承接）。相关企业（含联合体中的中小企业、签订分包意向协议的中小企业）的具体情况如下：</w:t>
      </w:r>
    </w:p>
    <w:p w14:paraId="676FCF7B">
      <w:pPr>
        <w:widowControl/>
        <w:numPr>
          <w:ilvl w:val="0"/>
          <w:numId w:val="13"/>
        </w:numPr>
        <w:snapToGrid w:val="0"/>
        <w:spacing w:line="420" w:lineRule="exact"/>
        <w:ind w:firstLine="426"/>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（标的名称），属于</w:t>
      </w:r>
      <w:r>
        <w:rPr>
          <w:rFonts w:hint="eastAsia" w:asciiTheme="minorEastAsia" w:hAnsiTheme="minorEastAsia" w:eastAsiaTheme="minorEastAsia"/>
          <w:b/>
          <w:bCs/>
          <w:color w:val="auto"/>
          <w:spacing w:val="6"/>
          <w:szCs w:val="22"/>
        </w:rPr>
        <w:t>建筑业</w:t>
      </w:r>
      <w:r>
        <w:rPr>
          <w:rFonts w:hint="eastAsia" w:asciiTheme="minorEastAsia" w:hAnsiTheme="minorEastAsia" w:eastAsiaTheme="minorEastAsia"/>
          <w:color w:val="auto"/>
          <w:spacing w:val="6"/>
          <w:szCs w:val="22"/>
        </w:rPr>
        <w:t>（采购文件中明确的所属行业）；承建（承接）企业为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（企业名称），从业人员</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人，营业收入为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万元，资产总额为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万元，属于</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（中型企业、小型企业、微型企业）；</w:t>
      </w:r>
    </w:p>
    <w:p w14:paraId="3DEDB908">
      <w:pPr>
        <w:widowControl/>
        <w:numPr>
          <w:ilvl w:val="0"/>
          <w:numId w:val="13"/>
        </w:numPr>
        <w:snapToGrid w:val="0"/>
        <w:spacing w:line="420" w:lineRule="exact"/>
        <w:ind w:firstLine="442"/>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（标的名称），属于</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（采购文件中明确的所属行业）；承建（承接）企业为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（企业名称），从业人员</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人，营业收入为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 xml:space="preserve"> 万元，资产总额为</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万元，属于</w:t>
      </w:r>
      <w:r>
        <w:rPr>
          <w:rFonts w:hint="eastAsia" w:asciiTheme="minorEastAsia" w:hAnsiTheme="minorEastAsia" w:eastAsiaTheme="minorEastAsia"/>
          <w:color w:val="auto"/>
          <w:spacing w:val="6"/>
          <w:szCs w:val="22"/>
          <w:u w:val="single"/>
        </w:rPr>
        <w:t xml:space="preserve">       </w:t>
      </w:r>
      <w:r>
        <w:rPr>
          <w:rFonts w:hint="eastAsia" w:asciiTheme="minorEastAsia" w:hAnsiTheme="minorEastAsia" w:eastAsiaTheme="minorEastAsia"/>
          <w:color w:val="auto"/>
          <w:spacing w:val="6"/>
          <w:szCs w:val="22"/>
        </w:rPr>
        <w:t>（中型企业、小型企业、微型企业）；</w:t>
      </w:r>
    </w:p>
    <w:p w14:paraId="74AEDCF4">
      <w:pPr>
        <w:widowControl/>
        <w:snapToGrid w:val="0"/>
        <w:spacing w:line="420" w:lineRule="exact"/>
        <w:ind w:left="442"/>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rPr>
        <w:t>……</w:t>
      </w:r>
    </w:p>
    <w:p w14:paraId="13ED1155">
      <w:pPr>
        <w:widowControl/>
        <w:snapToGrid w:val="0"/>
        <w:spacing w:line="420" w:lineRule="exact"/>
        <w:ind w:firstLine="444" w:firstLineChars="200"/>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rPr>
        <w:t>以上企业，不属于大企业的分支机构，不存在控股股东为大企业的情形，也不存在与大企业的负责人为同一人的情形。</w:t>
      </w:r>
    </w:p>
    <w:p w14:paraId="5AFD6D23">
      <w:pPr>
        <w:widowControl/>
        <w:snapToGrid w:val="0"/>
        <w:spacing w:line="420" w:lineRule="exact"/>
        <w:ind w:firstLine="446" w:firstLineChars="200"/>
        <w:jc w:val="left"/>
        <w:rPr>
          <w:rFonts w:asciiTheme="minorEastAsia" w:hAnsiTheme="minorEastAsia" w:eastAsiaTheme="minorEastAsia"/>
          <w:b/>
          <w:color w:val="auto"/>
          <w:spacing w:val="6"/>
          <w:szCs w:val="22"/>
        </w:rPr>
      </w:pPr>
      <w:r>
        <w:rPr>
          <w:rFonts w:hint="eastAsia" w:asciiTheme="minorEastAsia" w:hAnsiTheme="minorEastAsia" w:eastAsiaTheme="minorEastAsia"/>
          <w:b/>
          <w:color w:val="auto"/>
          <w:spacing w:val="6"/>
          <w:szCs w:val="22"/>
        </w:rPr>
        <w:t>本企业对上述声明内容的真实性负责。如有虚假，将依法承担相应责任。</w:t>
      </w:r>
    </w:p>
    <w:p w14:paraId="79793368">
      <w:pPr>
        <w:widowControl/>
        <w:snapToGrid w:val="0"/>
        <w:spacing w:line="500" w:lineRule="exact"/>
        <w:ind w:left="5678" w:leftChars="2704"/>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rPr>
        <w:t>供应商名称（盖章）：</w:t>
      </w:r>
    </w:p>
    <w:p w14:paraId="578FCCD9">
      <w:pPr>
        <w:widowControl/>
        <w:snapToGrid w:val="0"/>
        <w:spacing w:line="500" w:lineRule="exact"/>
        <w:ind w:left="5678" w:leftChars="2704"/>
        <w:jc w:val="left"/>
        <w:rPr>
          <w:rFonts w:asciiTheme="minorEastAsia" w:hAnsiTheme="minorEastAsia" w:eastAsiaTheme="minorEastAsia"/>
          <w:color w:val="auto"/>
          <w:spacing w:val="6"/>
          <w:szCs w:val="22"/>
        </w:rPr>
      </w:pPr>
      <w:r>
        <w:rPr>
          <w:rFonts w:hint="eastAsia" w:asciiTheme="minorEastAsia" w:hAnsiTheme="minorEastAsia" w:eastAsiaTheme="minorEastAsia"/>
          <w:color w:val="auto"/>
          <w:spacing w:val="6"/>
          <w:szCs w:val="22"/>
        </w:rPr>
        <w:t xml:space="preserve">日期：  年  月   日 </w:t>
      </w:r>
    </w:p>
    <w:p w14:paraId="51C16C1B">
      <w:pPr>
        <w:wordWrap w:val="0"/>
        <w:adjustRightInd w:val="0"/>
        <w:snapToGrid w:val="0"/>
        <w:spacing w:line="360" w:lineRule="auto"/>
        <w:ind w:firstLine="444" w:firstLineChars="200"/>
        <w:rPr>
          <w:rFonts w:asciiTheme="minorEastAsia" w:hAnsiTheme="minorEastAsia" w:eastAsiaTheme="minorEastAsia"/>
          <w:color w:val="auto"/>
          <w:spacing w:val="6"/>
          <w:kern w:val="2"/>
          <w:szCs w:val="21"/>
        </w:rPr>
      </w:pPr>
    </w:p>
    <w:p w14:paraId="19A6E092">
      <w:pPr>
        <w:pStyle w:val="25"/>
        <w:spacing w:line="320" w:lineRule="exact"/>
        <w:ind w:left="0"/>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t>说明：1、填写前请认真阅读《工业和信息化部、国家统计局、国家发展和改革委员会、财政部关于印发中小企业划型标准规定的通知》（工信部联企业[2011]300号）和《财政部 工业和信息化部关于印发＜政府采购促进中小企业发展暂行办法＞的通知》(财库【2020】46号))相关规定。</w:t>
      </w:r>
    </w:p>
    <w:p w14:paraId="1B64EF6A">
      <w:pPr>
        <w:widowControl/>
        <w:snapToGrid w:val="0"/>
        <w:spacing w:line="320" w:lineRule="exact"/>
        <w:jc w:val="left"/>
        <w:rPr>
          <w:rFonts w:asciiTheme="minorEastAsia" w:hAnsiTheme="minorEastAsia" w:eastAsiaTheme="minorEastAsia"/>
          <w:b/>
          <w:color w:val="auto"/>
          <w:spacing w:val="6"/>
          <w:szCs w:val="21"/>
        </w:rPr>
      </w:pPr>
      <w:r>
        <w:rPr>
          <w:rFonts w:hint="eastAsia" w:asciiTheme="minorEastAsia" w:hAnsiTheme="minorEastAsia" w:eastAsiaTheme="minorEastAsia"/>
          <w:b/>
          <w:color w:val="auto"/>
          <w:spacing w:val="6"/>
          <w:szCs w:val="21"/>
        </w:rPr>
        <w:t>2、从业人员、营业收入、资产总额填报上一年度数据，无上一年度数据的新成立企业可不填报。</w:t>
      </w:r>
    </w:p>
    <w:p w14:paraId="5549E081">
      <w:pPr>
        <w:rPr>
          <w:rFonts w:asciiTheme="minorEastAsia" w:hAnsiTheme="minorEastAsia" w:eastAsiaTheme="minorEastAsia"/>
          <w:b/>
          <w:color w:val="auto"/>
          <w:szCs w:val="21"/>
        </w:rPr>
      </w:pPr>
      <w:r>
        <w:rPr>
          <w:rFonts w:hint="eastAsia" w:asciiTheme="minorEastAsia" w:hAnsiTheme="minorEastAsia" w:eastAsiaTheme="minorEastAsia"/>
          <w:b/>
          <w:color w:val="auto"/>
          <w:szCs w:val="21"/>
        </w:rPr>
        <w:br w:type="page"/>
      </w:r>
    </w:p>
    <w:p w14:paraId="29FE84DD">
      <w:pPr>
        <w:widowControl/>
        <w:wordWrap w:val="0"/>
        <w:spacing w:before="100" w:beforeAutospacing="1" w:after="100" w:afterAutospacing="1" w:line="360" w:lineRule="auto"/>
        <w:jc w:val="left"/>
        <w:rPr>
          <w:rFonts w:ascii="宋体" w:hAnsi="宋体"/>
          <w:color w:val="auto"/>
          <w:sz w:val="30"/>
          <w:szCs w:val="30"/>
        </w:rPr>
      </w:pPr>
      <w:r>
        <w:rPr>
          <w:rFonts w:hint="eastAsia" w:ascii="宋体" w:hAnsi="宋体"/>
          <w:color w:val="auto"/>
          <w:sz w:val="30"/>
          <w:szCs w:val="30"/>
        </w:rPr>
        <w:t>附件9-1</w:t>
      </w:r>
    </w:p>
    <w:p w14:paraId="39390AAC">
      <w:pPr>
        <w:adjustRightInd w:val="0"/>
        <w:snapToGrid w:val="0"/>
        <w:spacing w:before="120" w:beforeLines="50" w:after="120" w:afterLines="50" w:line="700" w:lineRule="exact"/>
        <w:jc w:val="center"/>
        <w:outlineLvl w:val="3"/>
        <w:rPr>
          <w:rFonts w:ascii="宋体" w:hAnsi="宋体"/>
          <w:b/>
          <w:color w:val="auto"/>
          <w:sz w:val="32"/>
          <w:szCs w:val="32"/>
        </w:rPr>
      </w:pPr>
      <w:r>
        <w:rPr>
          <w:rFonts w:hint="eastAsia" w:ascii="宋体" w:hAnsi="宋体"/>
          <w:b/>
          <w:color w:val="auto"/>
          <w:sz w:val="32"/>
          <w:szCs w:val="32"/>
        </w:rPr>
        <w:t>残疾人福利性单位声明函</w:t>
      </w:r>
    </w:p>
    <w:p w14:paraId="3A5DBFE3">
      <w:pPr>
        <w:widowControl/>
        <w:adjustRightInd w:val="0"/>
        <w:snapToGrid w:val="0"/>
        <w:spacing w:before="120" w:beforeLines="50" w:after="120" w:afterLines="50" w:line="600" w:lineRule="exact"/>
        <w:ind w:firstLine="506" w:firstLineChars="200"/>
        <w:jc w:val="center"/>
        <w:rPr>
          <w:rFonts w:ascii="宋体" w:hAnsi="宋体" w:cs="宋体"/>
          <w:b/>
          <w:bCs/>
          <w:color w:val="auto"/>
          <w:spacing w:val="6"/>
          <w:sz w:val="24"/>
        </w:rPr>
      </w:pPr>
      <w:r>
        <w:rPr>
          <w:rFonts w:hint="eastAsia" w:ascii="宋体" w:hAnsi="宋体" w:cs="宋体"/>
          <w:b/>
          <w:bCs/>
          <w:color w:val="auto"/>
          <w:spacing w:val="6"/>
          <w:sz w:val="24"/>
        </w:rPr>
        <w:t>(不属于残疾人福利性单位的无需填写)</w:t>
      </w:r>
    </w:p>
    <w:p w14:paraId="5B3AE9F2">
      <w:pPr>
        <w:adjustRightInd w:val="0"/>
        <w:snapToGrid w:val="0"/>
        <w:spacing w:line="360" w:lineRule="auto"/>
        <w:ind w:firstLine="444" w:firstLineChars="200"/>
        <w:rPr>
          <w:rFonts w:ascii="宋体" w:hAnsi="宋体"/>
          <w:color w:val="auto"/>
          <w:spacing w:val="6"/>
          <w:szCs w:val="21"/>
        </w:rPr>
      </w:pPr>
    </w:p>
    <w:p w14:paraId="7AB5BDB7">
      <w:pPr>
        <w:adjustRightInd w:val="0"/>
        <w:snapToGrid w:val="0"/>
        <w:spacing w:line="600" w:lineRule="exact"/>
        <w:ind w:firstLine="444" w:firstLineChars="200"/>
        <w:rPr>
          <w:rFonts w:ascii="宋体" w:hAnsi="宋体"/>
          <w:color w:val="auto"/>
          <w:spacing w:val="6"/>
          <w:szCs w:val="21"/>
        </w:rPr>
      </w:pPr>
      <w:r>
        <w:rPr>
          <w:rFonts w:hint="eastAsia" w:ascii="宋体" w:hAnsi="宋体"/>
          <w:color w:val="auto"/>
          <w:spacing w:val="6"/>
          <w:szCs w:val="21"/>
        </w:rPr>
        <w:t>本单位郑重声明，根据《财政部 民政部 中国残疾人联合会关于促进残疾人就业政府采购政策的通知》（财库</w:t>
      </w:r>
      <w:r>
        <w:rPr>
          <w:rFonts w:hint="eastAsia" w:ascii="宋体" w:hAnsi="宋体"/>
          <w:color w:val="auto"/>
          <w:szCs w:val="21"/>
        </w:rPr>
        <w:t>〔2017〕141</w:t>
      </w:r>
      <w:r>
        <w:rPr>
          <w:rFonts w:hint="eastAsia" w:ascii="宋体" w:hAnsi="宋体"/>
          <w:color w:val="auto"/>
          <w:spacing w:val="6"/>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F6800E9">
      <w:pPr>
        <w:adjustRightInd w:val="0"/>
        <w:snapToGrid w:val="0"/>
        <w:spacing w:line="600" w:lineRule="exact"/>
        <w:ind w:firstLine="444" w:firstLineChars="200"/>
        <w:rPr>
          <w:rFonts w:ascii="宋体" w:hAnsi="宋体"/>
          <w:color w:val="auto"/>
          <w:spacing w:val="6"/>
          <w:szCs w:val="21"/>
        </w:rPr>
      </w:pPr>
      <w:r>
        <w:rPr>
          <w:rFonts w:hint="eastAsia" w:ascii="宋体" w:hAnsi="宋体"/>
          <w:color w:val="auto"/>
          <w:spacing w:val="6"/>
          <w:szCs w:val="21"/>
        </w:rPr>
        <w:t>本单位对上述声明的真实性负责。如有虚假，将依法承担相应责任。</w:t>
      </w:r>
    </w:p>
    <w:p w14:paraId="0584DC40">
      <w:pPr>
        <w:adjustRightInd w:val="0"/>
        <w:snapToGrid w:val="0"/>
        <w:spacing w:line="600" w:lineRule="exact"/>
        <w:ind w:firstLine="444" w:firstLineChars="200"/>
        <w:rPr>
          <w:rFonts w:ascii="宋体" w:hAnsi="宋体"/>
          <w:color w:val="auto"/>
          <w:spacing w:val="6"/>
          <w:szCs w:val="21"/>
        </w:rPr>
      </w:pPr>
    </w:p>
    <w:p w14:paraId="1A7D0CB2">
      <w:pPr>
        <w:adjustRightInd w:val="0"/>
        <w:snapToGrid w:val="0"/>
        <w:spacing w:line="600" w:lineRule="exact"/>
        <w:ind w:firstLine="444" w:firstLineChars="200"/>
        <w:rPr>
          <w:rFonts w:ascii="宋体" w:hAnsi="宋体"/>
          <w:color w:val="auto"/>
          <w:spacing w:val="6"/>
          <w:szCs w:val="21"/>
        </w:rPr>
      </w:pPr>
    </w:p>
    <w:p w14:paraId="0EE32502">
      <w:pPr>
        <w:tabs>
          <w:tab w:val="left" w:pos="4860"/>
        </w:tabs>
        <w:adjustRightInd w:val="0"/>
        <w:snapToGrid w:val="0"/>
        <w:spacing w:line="600" w:lineRule="exact"/>
        <w:ind w:right="1560" w:firstLine="444" w:firstLineChars="200"/>
        <w:jc w:val="center"/>
        <w:rPr>
          <w:rFonts w:ascii="宋体" w:hAnsi="宋体"/>
          <w:color w:val="auto"/>
          <w:spacing w:val="6"/>
          <w:szCs w:val="21"/>
          <w:u w:val="single"/>
        </w:rPr>
      </w:pPr>
      <w:r>
        <w:rPr>
          <w:rFonts w:hint="eastAsia" w:ascii="宋体" w:hAnsi="宋体"/>
          <w:color w:val="auto"/>
          <w:spacing w:val="6"/>
          <w:szCs w:val="21"/>
        </w:rPr>
        <w:t xml:space="preserve">               单位名称（盖章）：</w:t>
      </w:r>
      <w:r>
        <w:rPr>
          <w:rFonts w:hint="eastAsia" w:ascii="宋体" w:hAnsi="宋体"/>
          <w:color w:val="auto"/>
          <w:spacing w:val="6"/>
          <w:szCs w:val="21"/>
          <w:u w:val="single"/>
        </w:rPr>
        <w:t xml:space="preserve">                    </w:t>
      </w:r>
    </w:p>
    <w:p w14:paraId="7524C333">
      <w:pPr>
        <w:tabs>
          <w:tab w:val="left" w:pos="4860"/>
        </w:tabs>
        <w:adjustRightInd w:val="0"/>
        <w:snapToGrid w:val="0"/>
        <w:spacing w:line="600" w:lineRule="exact"/>
        <w:ind w:right="1560" w:firstLine="444" w:firstLineChars="200"/>
        <w:jc w:val="center"/>
        <w:rPr>
          <w:rFonts w:ascii="宋体" w:hAnsi="宋体"/>
          <w:color w:val="auto"/>
          <w:spacing w:val="6"/>
          <w:szCs w:val="21"/>
          <w:u w:val="single"/>
        </w:rPr>
      </w:pPr>
      <w:r>
        <w:rPr>
          <w:rFonts w:hint="eastAsia" w:ascii="宋体" w:hAnsi="宋体"/>
          <w:color w:val="auto"/>
          <w:spacing w:val="6"/>
          <w:szCs w:val="21"/>
        </w:rPr>
        <w:t xml:space="preserve">       日  期：</w:t>
      </w:r>
      <w:r>
        <w:rPr>
          <w:rFonts w:hint="eastAsia" w:ascii="宋体" w:hAnsi="宋体"/>
          <w:color w:val="auto"/>
          <w:spacing w:val="6"/>
          <w:szCs w:val="21"/>
          <w:u w:val="single"/>
        </w:rPr>
        <w:t xml:space="preserve">                        </w:t>
      </w:r>
    </w:p>
    <w:p w14:paraId="4170F0D4">
      <w:pPr>
        <w:widowControl/>
        <w:adjustRightInd w:val="0"/>
        <w:snapToGrid w:val="0"/>
        <w:spacing w:line="360" w:lineRule="auto"/>
        <w:jc w:val="left"/>
        <w:rPr>
          <w:rFonts w:ascii="宋体" w:hAnsi="宋体" w:cs="宋体"/>
          <w:color w:val="auto"/>
          <w:szCs w:val="21"/>
        </w:rPr>
      </w:pPr>
    </w:p>
    <w:p w14:paraId="78517F9F">
      <w:pPr>
        <w:adjustRightInd w:val="0"/>
        <w:snapToGrid w:val="0"/>
        <w:rPr>
          <w:rFonts w:ascii="宋体" w:hAnsi="宋体"/>
          <w:color w:val="auto"/>
          <w:sz w:val="30"/>
          <w:szCs w:val="30"/>
        </w:rPr>
      </w:pPr>
      <w:r>
        <w:rPr>
          <w:rFonts w:hint="eastAsia" w:ascii="宋体" w:hAnsi="宋体" w:cs="宋体"/>
          <w:color w:val="auto"/>
          <w:szCs w:val="21"/>
        </w:rPr>
        <w:br w:type="page"/>
      </w:r>
    </w:p>
    <w:p w14:paraId="6BD99116">
      <w:pPr>
        <w:adjustRightInd w:val="0"/>
        <w:snapToGrid w:val="0"/>
        <w:rPr>
          <w:rFonts w:ascii="宋体" w:hAnsi="宋体"/>
          <w:color w:val="auto"/>
          <w:sz w:val="30"/>
          <w:szCs w:val="30"/>
        </w:rPr>
      </w:pPr>
      <w:r>
        <w:rPr>
          <w:rFonts w:hint="eastAsia" w:ascii="宋体" w:hAnsi="宋体"/>
          <w:color w:val="auto"/>
          <w:sz w:val="30"/>
          <w:szCs w:val="30"/>
        </w:rPr>
        <w:t>附件9-2</w:t>
      </w:r>
    </w:p>
    <w:p w14:paraId="39FD6056">
      <w:pPr>
        <w:adjustRightInd w:val="0"/>
        <w:snapToGrid w:val="0"/>
        <w:rPr>
          <w:rFonts w:ascii="宋体" w:hAnsi="宋体"/>
          <w:color w:val="auto"/>
          <w:sz w:val="30"/>
          <w:szCs w:val="30"/>
        </w:rPr>
      </w:pPr>
    </w:p>
    <w:p w14:paraId="6DD744BB">
      <w:pPr>
        <w:spacing w:before="120" w:beforeLines="50" w:after="120" w:afterLines="50" w:line="700" w:lineRule="exact"/>
        <w:jc w:val="center"/>
        <w:outlineLvl w:val="3"/>
        <w:rPr>
          <w:rFonts w:ascii="宋体" w:hAnsi="宋体"/>
          <w:b/>
          <w:color w:val="auto"/>
          <w:sz w:val="32"/>
          <w:szCs w:val="32"/>
        </w:rPr>
      </w:pPr>
      <w:r>
        <w:rPr>
          <w:rFonts w:hint="eastAsia" w:ascii="宋体" w:hAnsi="宋体"/>
          <w:b/>
          <w:color w:val="auto"/>
          <w:sz w:val="32"/>
          <w:szCs w:val="32"/>
        </w:rPr>
        <w:t>监狱企业证明资料</w:t>
      </w:r>
    </w:p>
    <w:p w14:paraId="76FD1B6E">
      <w:pPr>
        <w:widowControl/>
        <w:adjustRightInd w:val="0"/>
        <w:snapToGrid w:val="0"/>
        <w:spacing w:before="120" w:beforeLines="50" w:after="120" w:afterLines="50" w:line="600" w:lineRule="exact"/>
        <w:ind w:firstLine="506" w:firstLineChars="200"/>
        <w:jc w:val="center"/>
        <w:rPr>
          <w:rFonts w:ascii="宋体" w:hAnsi="宋体" w:cs="宋体"/>
          <w:b/>
          <w:bCs/>
          <w:color w:val="auto"/>
          <w:spacing w:val="6"/>
          <w:sz w:val="24"/>
        </w:rPr>
      </w:pPr>
      <w:r>
        <w:rPr>
          <w:rFonts w:hint="eastAsia" w:ascii="宋体" w:hAnsi="宋体" w:cs="宋体"/>
          <w:b/>
          <w:bCs/>
          <w:color w:val="auto"/>
          <w:spacing w:val="6"/>
          <w:sz w:val="24"/>
        </w:rPr>
        <w:t>(不属于监狱企业的无需提供)</w:t>
      </w:r>
    </w:p>
    <w:p w14:paraId="13936DBE">
      <w:pPr>
        <w:adjustRightInd w:val="0"/>
        <w:snapToGrid w:val="0"/>
        <w:spacing w:line="360" w:lineRule="auto"/>
        <w:rPr>
          <w:rFonts w:ascii="宋体" w:hAnsi="宋体"/>
          <w:color w:val="auto"/>
          <w:szCs w:val="21"/>
        </w:rPr>
      </w:pPr>
    </w:p>
    <w:p w14:paraId="67C9A157">
      <w:pPr>
        <w:adjustRightInd w:val="0"/>
        <w:snapToGrid w:val="0"/>
        <w:spacing w:line="360" w:lineRule="auto"/>
        <w:ind w:firstLine="444" w:firstLineChars="200"/>
        <w:rPr>
          <w:rFonts w:ascii="宋体" w:hAnsi="宋体"/>
          <w:color w:val="auto"/>
          <w:szCs w:val="21"/>
        </w:rPr>
      </w:pPr>
      <w:r>
        <w:rPr>
          <w:rFonts w:hint="eastAsia" w:ascii="宋体" w:hAnsi="宋体" w:cs="宋体"/>
          <w:bCs/>
          <w:color w:val="auto"/>
          <w:spacing w:val="6"/>
          <w:szCs w:val="21"/>
        </w:rPr>
        <w:t>备注：</w:t>
      </w:r>
      <w:r>
        <w:rPr>
          <w:rFonts w:hint="eastAsia" w:ascii="宋体" w:hAnsi="宋体"/>
          <w:color w:val="auto"/>
          <w:szCs w:val="21"/>
        </w:rPr>
        <w:t>按</w:t>
      </w:r>
      <w:r>
        <w:rPr>
          <w:rFonts w:hint="eastAsia" w:ascii="宋体" w:hAnsi="宋体"/>
          <w:color w:val="auto"/>
          <w:spacing w:val="6"/>
          <w:szCs w:val="21"/>
        </w:rPr>
        <w:t>《</w:t>
      </w:r>
      <w:r>
        <w:rPr>
          <w:rFonts w:hint="eastAsia" w:ascii="宋体" w:hAnsi="宋体"/>
          <w:color w:val="auto"/>
          <w:szCs w:val="21"/>
        </w:rPr>
        <w:t>财政部 司法部关于政府采购支持监狱企业发展有关问题的通知</w:t>
      </w:r>
      <w:r>
        <w:rPr>
          <w:rFonts w:hint="eastAsia" w:ascii="宋体" w:hAnsi="宋体"/>
          <w:color w:val="auto"/>
          <w:spacing w:val="6"/>
          <w:szCs w:val="21"/>
        </w:rPr>
        <w:t>》</w:t>
      </w:r>
      <w:r>
        <w:rPr>
          <w:rFonts w:hint="eastAsia" w:ascii="宋体" w:hAnsi="宋体"/>
          <w:color w:val="auto"/>
          <w:szCs w:val="21"/>
        </w:rPr>
        <w:t>(财库〔2014〕68号)文件规定提供证明文件（复印件）。</w:t>
      </w:r>
    </w:p>
    <w:p w14:paraId="7A0734BE">
      <w:pPr>
        <w:tabs>
          <w:tab w:val="left" w:pos="3600"/>
        </w:tabs>
        <w:wordWrap w:val="0"/>
        <w:adjustRightInd w:val="0"/>
        <w:snapToGrid w:val="0"/>
        <w:rPr>
          <w:rFonts w:ascii="黑体" w:eastAsia="黑体"/>
          <w:b/>
          <w:color w:val="auto"/>
          <w:sz w:val="32"/>
          <w:szCs w:val="32"/>
        </w:rPr>
      </w:pPr>
    </w:p>
    <w:p w14:paraId="04B1F07F">
      <w:pPr>
        <w:rPr>
          <w:color w:val="auto"/>
        </w:rPr>
      </w:pPr>
    </w:p>
    <w:p w14:paraId="6C8222AF">
      <w:pPr>
        <w:rPr>
          <w:rFonts w:asciiTheme="minorEastAsia" w:hAnsiTheme="minorEastAsia" w:eastAsiaTheme="minorEastAsia"/>
          <w:color w:val="auto"/>
        </w:rPr>
      </w:pPr>
      <w:r>
        <w:rPr>
          <w:rFonts w:asciiTheme="minorEastAsia" w:hAnsiTheme="minorEastAsia" w:eastAsiaTheme="minorEastAsia"/>
          <w:color w:val="auto"/>
        </w:rPr>
        <w:br w:type="page"/>
      </w:r>
    </w:p>
    <w:p w14:paraId="7469658F">
      <w:pPr>
        <w:pStyle w:val="18"/>
        <w:spacing w:line="360" w:lineRule="auto"/>
        <w:rPr>
          <w:rFonts w:asciiTheme="minorEastAsia" w:hAnsiTheme="minorEastAsia" w:eastAsiaTheme="minorEastAsia"/>
          <w:color w:val="auto"/>
        </w:rPr>
      </w:pPr>
    </w:p>
    <w:p w14:paraId="26559B3F">
      <w:pPr>
        <w:snapToGrid w:val="0"/>
        <w:spacing w:line="360" w:lineRule="auto"/>
        <w:ind w:right="23"/>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七、报价一览表及报价文件</w:t>
      </w:r>
    </w:p>
    <w:p w14:paraId="3968A8D6">
      <w:pPr>
        <w:snapToGrid w:val="0"/>
        <w:spacing w:line="360" w:lineRule="auto"/>
        <w:ind w:firstLine="480"/>
        <w:rPr>
          <w:rFonts w:asciiTheme="minorEastAsia" w:hAnsiTheme="minorEastAsia" w:eastAsiaTheme="minorEastAsia"/>
          <w:color w:val="auto"/>
          <w:sz w:val="28"/>
        </w:rPr>
      </w:pPr>
      <w:r>
        <w:rPr>
          <w:rFonts w:hint="eastAsia" w:asciiTheme="minorEastAsia" w:hAnsiTheme="minorEastAsia" w:eastAsiaTheme="minorEastAsia"/>
          <w:color w:val="auto"/>
          <w:sz w:val="24"/>
        </w:rPr>
        <w:t xml:space="preserve">附件10：    </w:t>
      </w:r>
      <w:r>
        <w:rPr>
          <w:rFonts w:hint="eastAsia" w:asciiTheme="minorEastAsia" w:hAnsiTheme="minorEastAsia" w:eastAsiaTheme="minorEastAsia"/>
          <w:b/>
          <w:color w:val="auto"/>
          <w:sz w:val="24"/>
        </w:rPr>
        <w:t xml:space="preserve">                 </w:t>
      </w:r>
      <w:r>
        <w:rPr>
          <w:rFonts w:hint="eastAsia" w:asciiTheme="minorEastAsia" w:hAnsiTheme="minorEastAsia" w:eastAsiaTheme="minorEastAsia"/>
          <w:color w:val="auto"/>
          <w:sz w:val="28"/>
        </w:rPr>
        <w:t>报价一览表</w:t>
      </w:r>
    </w:p>
    <w:tbl>
      <w:tblPr>
        <w:tblStyle w:val="19"/>
        <w:tblW w:w="0" w:type="auto"/>
        <w:tblInd w:w="108" w:type="dxa"/>
        <w:tblLayout w:type="fixed"/>
        <w:tblCellMar>
          <w:top w:w="0" w:type="dxa"/>
          <w:left w:w="0" w:type="dxa"/>
          <w:bottom w:w="0" w:type="dxa"/>
          <w:right w:w="0" w:type="dxa"/>
        </w:tblCellMar>
      </w:tblPr>
      <w:tblGrid>
        <w:gridCol w:w="1620"/>
        <w:gridCol w:w="3060"/>
        <w:gridCol w:w="1620"/>
        <w:gridCol w:w="2520"/>
      </w:tblGrid>
      <w:tr w14:paraId="70688AB7">
        <w:tblPrEx>
          <w:tblCellMar>
            <w:top w:w="0" w:type="dxa"/>
            <w:left w:w="0" w:type="dxa"/>
            <w:bottom w:w="0" w:type="dxa"/>
            <w:right w:w="0" w:type="dxa"/>
          </w:tblCellMar>
        </w:tblPrEx>
        <w:trPr>
          <w:trHeight w:val="449" w:hRule="atLeast"/>
        </w:trPr>
        <w:tc>
          <w:tcPr>
            <w:tcW w:w="1620" w:type="dxa"/>
            <w:vMerge w:val="restart"/>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ED63997">
            <w:pPr>
              <w:tabs>
                <w:tab w:val="left" w:pos="403"/>
                <w:tab w:val="center" w:pos="3781"/>
              </w:tabs>
              <w:snapToGrid w:val="0"/>
              <w:spacing w:line="360" w:lineRule="auto"/>
              <w:ind w:right="-5206" w:firstLine="210"/>
              <w:rPr>
                <w:rFonts w:asciiTheme="minorEastAsia" w:hAnsiTheme="minorEastAsia" w:eastAsiaTheme="minorEastAsia"/>
                <w:color w:val="auto"/>
              </w:rPr>
            </w:pPr>
            <w:r>
              <w:rPr>
                <w:rFonts w:asciiTheme="minorEastAsia" w:hAnsiTheme="minorEastAsia" w:eastAsiaTheme="minorEastAsia"/>
                <w:color w:val="auto"/>
              </w:rPr>
              <w:t>项目名称</w:t>
            </w:r>
            <w:r>
              <w:rPr>
                <w:rFonts w:asciiTheme="minorEastAsia" w:hAnsiTheme="minorEastAsia" w:eastAsiaTheme="minorEastAsia"/>
                <w:color w:val="auto"/>
              </w:rPr>
              <w:tab/>
            </w:r>
            <w:r>
              <w:rPr>
                <w:rFonts w:asciiTheme="minorEastAsia" w:hAnsiTheme="minorEastAsia" w:eastAsiaTheme="minorEastAsia"/>
                <w:color w:val="auto"/>
              </w:rPr>
              <w:t>项目名称</w:t>
            </w:r>
          </w:p>
        </w:tc>
        <w:tc>
          <w:tcPr>
            <w:tcW w:w="3060" w:type="dxa"/>
            <w:vMerge w:val="restart"/>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C9903DD">
            <w:pPr>
              <w:snapToGrid w:val="0"/>
              <w:spacing w:line="360" w:lineRule="auto"/>
              <w:jc w:val="center"/>
              <w:rPr>
                <w:rFonts w:asciiTheme="minorEastAsia" w:hAnsiTheme="minorEastAsia" w:eastAsiaTheme="minorEastAsia"/>
                <w:color w:val="auto"/>
              </w:rPr>
            </w:pPr>
          </w:p>
        </w:tc>
        <w:tc>
          <w:tcPr>
            <w:tcW w:w="1620"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C6EEB1D">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政府采购</w:t>
            </w:r>
            <w:r>
              <w:rPr>
                <w:rFonts w:asciiTheme="minorEastAsia" w:hAnsiTheme="minorEastAsia" w:eastAsiaTheme="minorEastAsia"/>
                <w:color w:val="auto"/>
              </w:rPr>
              <w:t>编号</w:t>
            </w:r>
          </w:p>
        </w:tc>
        <w:tc>
          <w:tcPr>
            <w:tcW w:w="2520"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F5CE3EA">
            <w:pPr>
              <w:snapToGrid w:val="0"/>
              <w:spacing w:line="360" w:lineRule="auto"/>
              <w:jc w:val="center"/>
              <w:rPr>
                <w:rFonts w:asciiTheme="minorEastAsia" w:hAnsiTheme="minorEastAsia" w:eastAsiaTheme="minorEastAsia"/>
                <w:color w:val="auto"/>
              </w:rPr>
            </w:pPr>
          </w:p>
        </w:tc>
      </w:tr>
      <w:tr w14:paraId="5F788044">
        <w:tblPrEx>
          <w:tblCellMar>
            <w:top w:w="0" w:type="dxa"/>
            <w:left w:w="0" w:type="dxa"/>
            <w:bottom w:w="0" w:type="dxa"/>
            <w:right w:w="0" w:type="dxa"/>
          </w:tblCellMar>
        </w:tblPrEx>
        <w:trPr>
          <w:trHeight w:val="456" w:hRule="atLeast"/>
        </w:trPr>
        <w:tc>
          <w:tcPr>
            <w:tcW w:w="1620" w:type="dxa"/>
            <w:vMerge w:val="continue"/>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2110B5ED">
            <w:pPr>
              <w:snapToGrid w:val="0"/>
              <w:spacing w:line="360" w:lineRule="auto"/>
              <w:jc w:val="center"/>
              <w:rPr>
                <w:rFonts w:asciiTheme="minorEastAsia" w:hAnsiTheme="minorEastAsia" w:eastAsiaTheme="minorEastAsia"/>
                <w:color w:val="auto"/>
              </w:rPr>
            </w:pPr>
          </w:p>
        </w:tc>
        <w:tc>
          <w:tcPr>
            <w:tcW w:w="3060" w:type="dxa"/>
            <w:vMerge w:val="continue"/>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51155A31">
            <w:pPr>
              <w:snapToGrid w:val="0"/>
              <w:spacing w:line="360" w:lineRule="auto"/>
              <w:jc w:val="center"/>
              <w:rPr>
                <w:rFonts w:asciiTheme="minorEastAsia" w:hAnsiTheme="minorEastAsia" w:eastAsiaTheme="minorEastAsia"/>
                <w:color w:val="auto"/>
              </w:rPr>
            </w:pPr>
          </w:p>
        </w:tc>
        <w:tc>
          <w:tcPr>
            <w:tcW w:w="162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0DBEDA3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采购代理</w:t>
            </w:r>
            <w:r>
              <w:rPr>
                <w:rFonts w:asciiTheme="minorEastAsia" w:hAnsiTheme="minorEastAsia" w:eastAsiaTheme="minorEastAsia"/>
                <w:color w:val="auto"/>
              </w:rPr>
              <w:t>编号</w:t>
            </w:r>
          </w:p>
        </w:tc>
        <w:tc>
          <w:tcPr>
            <w:tcW w:w="252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F04D3B7">
            <w:pPr>
              <w:snapToGrid w:val="0"/>
              <w:spacing w:line="360" w:lineRule="auto"/>
              <w:jc w:val="center"/>
              <w:rPr>
                <w:rFonts w:asciiTheme="minorEastAsia" w:hAnsiTheme="minorEastAsia" w:eastAsiaTheme="minorEastAsia"/>
                <w:color w:val="auto"/>
              </w:rPr>
            </w:pPr>
          </w:p>
        </w:tc>
      </w:tr>
      <w:tr w14:paraId="37A8222D">
        <w:tblPrEx>
          <w:tblCellMar>
            <w:top w:w="0" w:type="dxa"/>
            <w:left w:w="0" w:type="dxa"/>
            <w:bottom w:w="0" w:type="dxa"/>
            <w:right w:w="0" w:type="dxa"/>
          </w:tblCellMar>
        </w:tblPrEx>
        <w:trPr>
          <w:trHeight w:val="603"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03BE859B">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工程范围</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810BD72">
            <w:pPr>
              <w:snapToGrid w:val="0"/>
              <w:spacing w:line="360" w:lineRule="auto"/>
              <w:rPr>
                <w:rFonts w:asciiTheme="minorEastAsia" w:hAnsiTheme="minorEastAsia" w:eastAsiaTheme="minorEastAsia"/>
                <w:color w:val="auto"/>
              </w:rPr>
            </w:pPr>
          </w:p>
        </w:tc>
      </w:tr>
      <w:tr w14:paraId="0F664ADB">
        <w:tblPrEx>
          <w:tblCellMar>
            <w:top w:w="0" w:type="dxa"/>
            <w:left w:w="0" w:type="dxa"/>
            <w:bottom w:w="0" w:type="dxa"/>
            <w:right w:w="0" w:type="dxa"/>
          </w:tblCellMar>
        </w:tblPrEx>
        <w:trPr>
          <w:trHeight w:val="603"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719E5B4E">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磋商</w:t>
            </w:r>
            <w:r>
              <w:rPr>
                <w:rFonts w:asciiTheme="minorEastAsia" w:hAnsiTheme="minorEastAsia" w:eastAsiaTheme="minorEastAsia"/>
                <w:color w:val="auto"/>
              </w:rPr>
              <w:t>报价</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5DFDC38E">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大写：</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元人民币整</w:t>
            </w:r>
          </w:p>
          <w:p w14:paraId="35D7E84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小写：</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元人民币整</w:t>
            </w:r>
          </w:p>
          <w:p w14:paraId="06DB086F">
            <w:pPr>
              <w:snapToGrid w:val="0"/>
              <w:spacing w:line="360" w:lineRule="auto"/>
              <w:rPr>
                <w:rFonts w:asciiTheme="minorEastAsia" w:hAnsiTheme="minorEastAsia" w:eastAsiaTheme="minorEastAsia"/>
                <w:color w:val="auto"/>
                <w:sz w:val="20"/>
              </w:rPr>
            </w:pPr>
            <w:r>
              <w:rPr>
                <w:rFonts w:hint="eastAsia" w:asciiTheme="minorEastAsia" w:hAnsiTheme="minorEastAsia" w:eastAsiaTheme="minorEastAsia"/>
                <w:color w:val="auto"/>
                <w:sz w:val="20"/>
              </w:rPr>
              <w:t>（磋商报价优惠率为：       %）保留小数点后两位</w:t>
            </w:r>
          </w:p>
        </w:tc>
      </w:tr>
      <w:tr w14:paraId="70F901CB">
        <w:tblPrEx>
          <w:tblCellMar>
            <w:top w:w="0" w:type="dxa"/>
            <w:left w:w="0" w:type="dxa"/>
            <w:bottom w:w="0" w:type="dxa"/>
            <w:right w:w="0" w:type="dxa"/>
          </w:tblCellMar>
        </w:tblPrEx>
        <w:trPr>
          <w:trHeight w:val="455" w:hRule="atLeast"/>
        </w:trPr>
        <w:tc>
          <w:tcPr>
            <w:tcW w:w="16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42CE8AE2">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工期</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13F73A3F">
            <w:pPr>
              <w:snapToGrid w:val="0"/>
              <w:spacing w:line="360" w:lineRule="auto"/>
              <w:rPr>
                <w:rFonts w:asciiTheme="minorEastAsia" w:hAnsiTheme="minorEastAsia" w:eastAsiaTheme="minorEastAsia"/>
                <w:color w:val="auto"/>
              </w:rPr>
            </w:pPr>
          </w:p>
        </w:tc>
      </w:tr>
      <w:tr w14:paraId="3DABC4E8">
        <w:tblPrEx>
          <w:tblCellMar>
            <w:top w:w="0" w:type="dxa"/>
            <w:left w:w="0" w:type="dxa"/>
            <w:bottom w:w="0" w:type="dxa"/>
            <w:right w:w="0" w:type="dxa"/>
          </w:tblCellMar>
        </w:tblPrEx>
        <w:trPr>
          <w:trHeight w:val="447" w:hRule="atLeast"/>
        </w:trPr>
        <w:tc>
          <w:tcPr>
            <w:tcW w:w="16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1DD50A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项目负责人</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81D2169">
            <w:pPr>
              <w:snapToGrid w:val="0"/>
              <w:spacing w:line="360" w:lineRule="auto"/>
              <w:ind w:firstLine="210"/>
              <w:rPr>
                <w:rFonts w:asciiTheme="minorEastAsia" w:hAnsiTheme="minorEastAsia" w:eastAsiaTheme="minorEastAsia"/>
                <w:color w:val="auto"/>
              </w:rPr>
            </w:pPr>
          </w:p>
        </w:tc>
      </w:tr>
      <w:tr w14:paraId="4F2FE6DF">
        <w:tblPrEx>
          <w:tblCellMar>
            <w:top w:w="0" w:type="dxa"/>
            <w:left w:w="0" w:type="dxa"/>
            <w:bottom w:w="0" w:type="dxa"/>
            <w:right w:w="0" w:type="dxa"/>
          </w:tblCellMar>
        </w:tblPrEx>
        <w:trPr>
          <w:trHeight w:val="374"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3DB1D9D5">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质量承诺</w:t>
            </w:r>
          </w:p>
        </w:tc>
        <w:tc>
          <w:tcPr>
            <w:tcW w:w="7200" w:type="dxa"/>
            <w:gridSpan w:val="3"/>
            <w:tcBorders>
              <w:top w:val="single" w:color="000000" w:sz="6" w:space="0"/>
              <w:left w:val="single" w:color="000000" w:sz="6" w:space="0"/>
              <w:bottom w:val="single" w:color="000000" w:sz="4" w:space="0"/>
              <w:right w:val="double" w:color="000000" w:sz="4" w:space="0"/>
            </w:tcBorders>
            <w:tcMar>
              <w:top w:w="0" w:type="dxa"/>
              <w:left w:w="108" w:type="dxa"/>
              <w:bottom w:w="0" w:type="dxa"/>
              <w:right w:w="108" w:type="dxa"/>
            </w:tcMar>
            <w:vAlign w:val="center"/>
          </w:tcPr>
          <w:p w14:paraId="3165BBC0">
            <w:pPr>
              <w:snapToGrid w:val="0"/>
              <w:spacing w:line="360" w:lineRule="auto"/>
              <w:rPr>
                <w:rFonts w:asciiTheme="minorEastAsia" w:hAnsiTheme="minorEastAsia" w:eastAsiaTheme="minorEastAsia"/>
                <w:color w:val="auto"/>
              </w:rPr>
            </w:pPr>
          </w:p>
        </w:tc>
      </w:tr>
      <w:tr w14:paraId="02571898">
        <w:tblPrEx>
          <w:tblCellMar>
            <w:top w:w="0" w:type="dxa"/>
            <w:left w:w="0" w:type="dxa"/>
            <w:bottom w:w="0" w:type="dxa"/>
            <w:right w:w="0" w:type="dxa"/>
          </w:tblCellMar>
        </w:tblPrEx>
        <w:trPr>
          <w:trHeight w:val="262" w:hRule="atLeast"/>
        </w:trPr>
        <w:tc>
          <w:tcPr>
            <w:tcW w:w="1620" w:type="dxa"/>
            <w:tcBorders>
              <w:top w:val="single" w:color="000000" w:sz="4"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1C12BE6C">
            <w:pPr>
              <w:snapToGrid w:val="0"/>
              <w:spacing w:line="360" w:lineRule="auto"/>
              <w:jc w:val="center"/>
              <w:rPr>
                <w:rFonts w:asciiTheme="minorEastAsia" w:hAnsiTheme="minorEastAsia" w:eastAsiaTheme="minorEastAsia"/>
                <w:color w:val="auto"/>
              </w:rPr>
            </w:pPr>
            <w:r>
              <w:rPr>
                <w:rFonts w:hint="eastAsia" w:asciiTheme="minorEastAsia" w:hAnsiTheme="minorEastAsia" w:eastAsiaTheme="minorEastAsia"/>
                <w:color w:val="auto"/>
              </w:rPr>
              <w:t>保修承诺</w:t>
            </w:r>
          </w:p>
        </w:tc>
        <w:tc>
          <w:tcPr>
            <w:tcW w:w="7200" w:type="dxa"/>
            <w:gridSpan w:val="3"/>
            <w:tcBorders>
              <w:top w:val="single" w:color="000000" w:sz="4" w:space="0"/>
              <w:left w:val="single" w:color="000000" w:sz="6" w:space="0"/>
              <w:bottom w:val="single" w:color="000000" w:sz="4" w:space="0"/>
              <w:right w:val="double" w:color="000000" w:sz="4" w:space="0"/>
            </w:tcBorders>
            <w:tcMar>
              <w:top w:w="0" w:type="dxa"/>
              <w:left w:w="108" w:type="dxa"/>
              <w:bottom w:w="0" w:type="dxa"/>
              <w:right w:w="108" w:type="dxa"/>
            </w:tcMar>
            <w:vAlign w:val="center"/>
          </w:tcPr>
          <w:p w14:paraId="566CD69F">
            <w:pPr>
              <w:snapToGrid w:val="0"/>
              <w:spacing w:line="360" w:lineRule="auto"/>
              <w:rPr>
                <w:rFonts w:asciiTheme="minorEastAsia" w:hAnsiTheme="minorEastAsia" w:eastAsiaTheme="minorEastAsia"/>
                <w:color w:val="auto"/>
              </w:rPr>
            </w:pPr>
          </w:p>
        </w:tc>
      </w:tr>
      <w:tr w14:paraId="7D9AFE2C">
        <w:tblPrEx>
          <w:tblCellMar>
            <w:top w:w="0" w:type="dxa"/>
            <w:left w:w="0" w:type="dxa"/>
            <w:bottom w:w="0" w:type="dxa"/>
            <w:right w:w="0" w:type="dxa"/>
          </w:tblCellMar>
        </w:tblPrEx>
        <w:trPr>
          <w:trHeight w:val="327" w:hRule="atLeast"/>
        </w:trPr>
        <w:tc>
          <w:tcPr>
            <w:tcW w:w="1620" w:type="dxa"/>
            <w:tcBorders>
              <w:top w:val="single" w:color="000000" w:sz="4"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20281492">
            <w:pPr>
              <w:snapToGrid w:val="0"/>
              <w:spacing w:line="360" w:lineRule="auto"/>
              <w:jc w:val="center"/>
              <w:rPr>
                <w:rFonts w:asciiTheme="minorEastAsia" w:hAnsiTheme="minorEastAsia" w:eastAsiaTheme="minorEastAsia"/>
                <w:color w:val="auto"/>
              </w:rPr>
            </w:pPr>
            <w:r>
              <w:rPr>
                <w:rFonts w:asciiTheme="minorEastAsia" w:hAnsiTheme="minorEastAsia" w:eastAsiaTheme="minorEastAsia"/>
                <w:color w:val="auto"/>
              </w:rPr>
              <w:t>备  注</w:t>
            </w:r>
          </w:p>
        </w:tc>
        <w:tc>
          <w:tcPr>
            <w:tcW w:w="7200" w:type="dxa"/>
            <w:gridSpan w:val="3"/>
            <w:tcBorders>
              <w:top w:val="single" w:color="000000" w:sz="4"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37592ACF">
            <w:pPr>
              <w:pStyle w:val="25"/>
              <w:spacing w:line="360" w:lineRule="auto"/>
              <w:ind w:left="0"/>
              <w:rPr>
                <w:rFonts w:asciiTheme="minorEastAsia" w:hAnsiTheme="minorEastAsia" w:eastAsiaTheme="minorEastAsia"/>
                <w:color w:val="auto"/>
              </w:rPr>
            </w:pPr>
            <w:r>
              <w:rPr>
                <w:rFonts w:hint="eastAsia" w:asciiTheme="minorEastAsia" w:hAnsiTheme="minorEastAsia" w:eastAsiaTheme="minorEastAsia"/>
                <w:color w:val="auto"/>
              </w:rPr>
              <w:t>1、</w:t>
            </w:r>
            <w:r>
              <w:rPr>
                <w:rFonts w:hint="eastAsia" w:ascii="宋体"/>
                <w:b/>
                <w:bCs/>
                <w:color w:val="auto"/>
              </w:rPr>
              <w:t>磋商报价中的绿色施工安全防护措施项目费、安全责任险、环境保护税需保持费率与招标控制价对应项目费率一致，不优惠；不可预见费金额需保持与招标控制价中不可预见费金额一致，不优惠。</w:t>
            </w:r>
          </w:p>
          <w:p w14:paraId="1907B8CF">
            <w:pPr>
              <w:pStyle w:val="25"/>
              <w:spacing w:line="360" w:lineRule="auto"/>
              <w:ind w:left="0"/>
              <w:rPr>
                <w:rFonts w:asciiTheme="minorEastAsia" w:hAnsiTheme="minorEastAsia" w:eastAsiaTheme="minorEastAsia"/>
                <w:color w:val="auto"/>
              </w:rPr>
            </w:pPr>
            <w:r>
              <w:rPr>
                <w:rFonts w:hint="eastAsia" w:asciiTheme="minorEastAsia" w:hAnsiTheme="minorEastAsia" w:eastAsiaTheme="minorEastAsia"/>
                <w:color w:val="auto"/>
              </w:rPr>
              <w:t>2、磋商报价优惠率=[1-（磋商报价中的分部分项工程费+单价措施项目费+总价措施项目费）/（招标控制价中的分部分项工程费+单价措施项目费+总价措施项目费）]*100%。</w:t>
            </w:r>
          </w:p>
          <w:p w14:paraId="10D1B1E5">
            <w:pPr>
              <w:spacing w:line="360" w:lineRule="auto"/>
              <w:rPr>
                <w:rFonts w:asciiTheme="minorEastAsia" w:hAnsiTheme="minorEastAsia" w:eastAsiaTheme="minorEastAsia"/>
                <w:color w:val="auto"/>
                <w:szCs w:val="21"/>
              </w:rPr>
            </w:pPr>
            <w:r>
              <w:rPr>
                <w:rFonts w:hint="eastAsia" w:asciiTheme="minorEastAsia" w:hAnsiTheme="minorEastAsia" w:eastAsiaTheme="minorEastAsia"/>
                <w:color w:val="auto"/>
                <w:szCs w:val="21"/>
              </w:rPr>
              <w:t>3、设置最高磋商限价：</w:t>
            </w:r>
            <w:r>
              <w:rPr>
                <w:rFonts w:hint="eastAsia" w:asciiTheme="minorEastAsia" w:hAnsiTheme="minorEastAsia" w:eastAsiaTheme="minorEastAsia"/>
                <w:b/>
                <w:color w:val="auto"/>
              </w:rPr>
              <w:t>3172243.82元</w:t>
            </w:r>
            <w:r>
              <w:rPr>
                <w:rFonts w:hint="eastAsia" w:asciiTheme="minorEastAsia" w:hAnsiTheme="minorEastAsia" w:eastAsiaTheme="minorEastAsia"/>
                <w:color w:val="auto"/>
                <w:szCs w:val="21"/>
              </w:rPr>
              <w:t xml:space="preserve"> ；磋商报价大于或等于最高磋商限价的，按不合格供应商处理。</w:t>
            </w:r>
          </w:p>
          <w:p w14:paraId="357CB65B">
            <w:pPr>
              <w:spacing w:line="360" w:lineRule="auto"/>
              <w:rPr>
                <w:rFonts w:ascii="宋体"/>
                <w:color w:val="auto"/>
                <w:szCs w:val="21"/>
              </w:rPr>
            </w:pPr>
            <w:r>
              <w:rPr>
                <w:rFonts w:hint="eastAsia" w:asciiTheme="minorEastAsia" w:hAnsiTheme="minorEastAsia" w:eastAsiaTheme="minorEastAsia"/>
                <w:color w:val="auto"/>
                <w:szCs w:val="21"/>
              </w:rPr>
              <w:t>4、</w:t>
            </w:r>
            <w:r>
              <w:rPr>
                <w:rFonts w:hint="eastAsia" w:ascii="宋体"/>
                <w:b/>
                <w:bCs/>
                <w:color w:val="auto"/>
                <w:szCs w:val="21"/>
              </w:rPr>
              <w:t>投标报价</w:t>
            </w:r>
            <w:bookmarkStart w:id="44" w:name="EBa308d5cf6e774cd1846fa521ebf5677e"/>
            <w:r>
              <w:rPr>
                <w:rFonts w:hint="eastAsia" w:ascii="宋体"/>
                <w:b/>
                <w:bCs/>
                <w:color w:val="auto"/>
                <w:szCs w:val="21"/>
              </w:rPr>
              <w:t>按磋商文件要求进行报价,且投标报价单价不得超过磋商文件中公布的综合单价</w:t>
            </w:r>
            <w:r>
              <w:rPr>
                <w:rFonts w:hint="eastAsia" w:asciiTheme="minorEastAsia" w:hAnsiTheme="minorEastAsia" w:eastAsiaTheme="minorEastAsia"/>
                <w:b/>
                <w:bCs/>
                <w:color w:val="auto"/>
                <w:szCs w:val="21"/>
              </w:rPr>
              <w:t>，否则按不合格供应商处理</w:t>
            </w:r>
            <w:r>
              <w:rPr>
                <w:rFonts w:hint="eastAsia" w:ascii="宋体"/>
                <w:b/>
                <w:bCs/>
                <w:color w:val="auto"/>
                <w:szCs w:val="21"/>
              </w:rPr>
              <w:t>。</w:t>
            </w:r>
            <w:bookmarkEnd w:id="44"/>
          </w:p>
          <w:p w14:paraId="373CC40C">
            <w:pPr>
              <w:spacing w:line="360" w:lineRule="auto"/>
              <w:rPr>
                <w:rFonts w:asciiTheme="minorEastAsia" w:hAnsiTheme="minorEastAsia" w:eastAsiaTheme="minorEastAsia"/>
                <w:color w:val="auto"/>
                <w:sz w:val="20"/>
              </w:rPr>
            </w:pPr>
            <w:r>
              <w:rPr>
                <w:rFonts w:hint="eastAsia" w:ascii="宋体"/>
                <w:color w:val="auto"/>
                <w:szCs w:val="21"/>
              </w:rPr>
              <w:t>5、以上报价均需四舍五入保留两位小数点。</w:t>
            </w:r>
          </w:p>
        </w:tc>
      </w:tr>
    </w:tbl>
    <w:p w14:paraId="73879FD3">
      <w:pPr>
        <w:snapToGrid w:val="0"/>
        <w:spacing w:line="360" w:lineRule="auto"/>
        <w:ind w:right="23"/>
        <w:rPr>
          <w:rFonts w:asciiTheme="minorEastAsia" w:hAnsiTheme="minorEastAsia" w:eastAsiaTheme="minorEastAsia"/>
          <w:color w:val="auto"/>
          <w:sz w:val="24"/>
        </w:rPr>
      </w:pPr>
    </w:p>
    <w:p w14:paraId="4C841E85">
      <w:pPr>
        <w:snapToGrid w:val="0"/>
        <w:spacing w:line="360" w:lineRule="auto"/>
        <w:ind w:right="23"/>
        <w:jc w:val="right"/>
        <w:rPr>
          <w:rFonts w:asciiTheme="minorEastAsia" w:hAnsiTheme="minorEastAsia" w:eastAsiaTheme="minorEastAsia"/>
          <w:color w:val="auto"/>
        </w:rPr>
      </w:pPr>
    </w:p>
    <w:p w14:paraId="06080540">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供应商（盖单位章）：</w:t>
      </w:r>
    </w:p>
    <w:p w14:paraId="0A0A910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r>
        <w:rPr>
          <w:rFonts w:hint="eastAsia" w:asciiTheme="minorEastAsia" w:hAnsiTheme="minorEastAsia" w:eastAsiaTheme="minorEastAsia"/>
          <w:color w:val="auto"/>
          <w:u w:val="single"/>
        </w:rPr>
        <w:t xml:space="preserve">            </w:t>
      </w:r>
    </w:p>
    <w:p w14:paraId="118CF65B">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0A918E4E">
      <w:pPr>
        <w:snapToGrid w:val="0"/>
        <w:spacing w:line="360" w:lineRule="auto"/>
        <w:rPr>
          <w:rFonts w:asciiTheme="minorEastAsia" w:hAnsiTheme="minorEastAsia" w:eastAsiaTheme="minorEastAsia"/>
          <w:color w:val="auto"/>
        </w:rPr>
      </w:pPr>
      <w:r>
        <w:rPr>
          <w:rFonts w:asciiTheme="minorEastAsia" w:hAnsiTheme="minorEastAsia" w:eastAsiaTheme="minorEastAsia"/>
          <w:color w:val="auto"/>
        </w:rPr>
        <w:br w:type="page"/>
      </w:r>
    </w:p>
    <w:p w14:paraId="66719862">
      <w:pPr>
        <w:snapToGrid w:val="0"/>
        <w:spacing w:line="360" w:lineRule="auto"/>
        <w:ind w:firstLine="560"/>
        <w:jc w:val="center"/>
        <w:rPr>
          <w:rFonts w:asciiTheme="minorEastAsia" w:hAnsiTheme="minorEastAsia" w:eastAsiaTheme="minorEastAsia"/>
          <w:color w:val="auto"/>
        </w:rPr>
      </w:pPr>
      <w:r>
        <w:rPr>
          <w:rFonts w:hint="eastAsia" w:asciiTheme="minorEastAsia" w:hAnsiTheme="minorEastAsia" w:eastAsiaTheme="minorEastAsia"/>
          <w:color w:val="auto"/>
          <w:sz w:val="28"/>
        </w:rPr>
        <w:t>（二）报价文件</w:t>
      </w:r>
    </w:p>
    <w:p w14:paraId="36474D29">
      <w:pPr>
        <w:keepNext/>
        <w:keepLines/>
        <w:snapToGrid w:val="0"/>
        <w:spacing w:before="280" w:after="290" w:line="360" w:lineRule="auto"/>
        <w:rPr>
          <w:rFonts w:asciiTheme="minorEastAsia" w:hAnsiTheme="minorEastAsia" w:eastAsiaTheme="minorEastAsia"/>
          <w:color w:val="auto"/>
          <w:sz w:val="24"/>
        </w:rPr>
      </w:pPr>
      <w:r>
        <w:rPr>
          <w:rFonts w:asciiTheme="minorEastAsia" w:hAnsiTheme="minorEastAsia" w:eastAsiaTheme="minorEastAsia"/>
          <w:color w:val="auto"/>
          <w:sz w:val="24"/>
        </w:rPr>
        <w:t>磋商报价编制说明</w:t>
      </w:r>
    </w:p>
    <w:p w14:paraId="070CF284">
      <w:pPr>
        <w:snapToGrid w:val="0"/>
        <w:spacing w:after="240" w:line="360" w:lineRule="auto"/>
        <w:jc w:val="center"/>
        <w:rPr>
          <w:rFonts w:asciiTheme="minorEastAsia" w:hAnsiTheme="minorEastAsia" w:eastAsiaTheme="minorEastAsia"/>
          <w:color w:val="auto"/>
          <w:sz w:val="28"/>
        </w:rPr>
      </w:pPr>
      <w:r>
        <w:rPr>
          <w:rFonts w:hint="eastAsia" w:asciiTheme="minorEastAsia" w:hAnsiTheme="minorEastAsia" w:eastAsiaTheme="minorEastAsia"/>
          <w:color w:val="auto"/>
          <w:sz w:val="28"/>
        </w:rPr>
        <w:t>编 制 说 明</w:t>
      </w:r>
    </w:p>
    <w:p w14:paraId="7A158D32">
      <w:pPr>
        <w:snapToGrid w:val="0"/>
        <w:spacing w:after="120" w:line="360" w:lineRule="auto"/>
        <w:rPr>
          <w:rFonts w:asciiTheme="minorEastAsia" w:hAnsiTheme="minorEastAsia" w:eastAsiaTheme="minorEastAsia"/>
          <w:color w:val="auto"/>
          <w:sz w:val="24"/>
        </w:rPr>
      </w:pPr>
      <w:r>
        <w:rPr>
          <w:rFonts w:hint="eastAsia" w:asciiTheme="minorEastAsia" w:hAnsiTheme="minorEastAsia" w:eastAsiaTheme="minorEastAsia"/>
          <w:color w:val="auto"/>
        </w:rPr>
        <w:t xml:space="preserve">    工程名称：                                                         第  页 共  页</w:t>
      </w:r>
    </w:p>
    <w:tbl>
      <w:tblPr>
        <w:tblStyle w:val="19"/>
        <w:tblW w:w="0" w:type="auto"/>
        <w:jc w:val="center"/>
        <w:tblLayout w:type="fixed"/>
        <w:tblCellMar>
          <w:top w:w="0" w:type="dxa"/>
          <w:left w:w="0" w:type="dxa"/>
          <w:bottom w:w="0" w:type="dxa"/>
          <w:right w:w="0" w:type="dxa"/>
        </w:tblCellMar>
      </w:tblPr>
      <w:tblGrid>
        <w:gridCol w:w="9076"/>
      </w:tblGrid>
      <w:tr w14:paraId="271200BA">
        <w:tblPrEx>
          <w:tblCellMar>
            <w:top w:w="0" w:type="dxa"/>
            <w:left w:w="0" w:type="dxa"/>
            <w:bottom w:w="0" w:type="dxa"/>
            <w:right w:w="0" w:type="dxa"/>
          </w:tblCellMar>
        </w:tblPrEx>
        <w:trPr>
          <w:trHeight w:val="3880" w:hRule="atLeast"/>
          <w:jc w:val="center"/>
        </w:trPr>
        <w:tc>
          <w:tcPr>
            <w:tcW w:w="9076" w:type="dxa"/>
            <w:tcBorders>
              <w:top w:val="single" w:color="000000" w:sz="12" w:space="0"/>
              <w:left w:val="single" w:color="000000" w:sz="12" w:space="0"/>
              <w:bottom w:val="single" w:color="000000" w:sz="12" w:space="0"/>
              <w:right w:val="single" w:color="000000" w:sz="12" w:space="0"/>
            </w:tcBorders>
            <w:tcMar>
              <w:top w:w="0" w:type="dxa"/>
              <w:left w:w="108" w:type="dxa"/>
              <w:bottom w:w="0" w:type="dxa"/>
              <w:right w:w="108" w:type="dxa"/>
            </w:tcMar>
          </w:tcPr>
          <w:p w14:paraId="671ABC27">
            <w:pPr>
              <w:snapToGrid w:val="0"/>
              <w:spacing w:line="360" w:lineRule="auto"/>
              <w:ind w:firstLine="422"/>
              <w:rPr>
                <w:rFonts w:asciiTheme="minorEastAsia" w:hAnsiTheme="minorEastAsia" w:eastAsiaTheme="minorEastAsia"/>
                <w:b/>
                <w:color w:val="auto"/>
              </w:rPr>
            </w:pPr>
          </w:p>
        </w:tc>
      </w:tr>
    </w:tbl>
    <w:p w14:paraId="08978235">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 xml:space="preserve">    </w:t>
      </w:r>
    </w:p>
    <w:p w14:paraId="4A767431">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供应商（盖单位章）：</w:t>
      </w:r>
    </w:p>
    <w:p w14:paraId="28676118">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r>
        <w:rPr>
          <w:rFonts w:hint="eastAsia" w:asciiTheme="minorEastAsia" w:hAnsiTheme="minorEastAsia" w:eastAsiaTheme="minorEastAsia"/>
          <w:color w:val="auto"/>
          <w:u w:val="single"/>
        </w:rPr>
        <w:t xml:space="preserve">            </w:t>
      </w:r>
    </w:p>
    <w:p w14:paraId="1EA401C9">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0A696B0F">
      <w:pPr>
        <w:snapToGrid w:val="0"/>
        <w:spacing w:line="360" w:lineRule="auto"/>
        <w:rPr>
          <w:rFonts w:asciiTheme="minorEastAsia" w:hAnsiTheme="minorEastAsia" w:eastAsiaTheme="minorEastAsia"/>
          <w:color w:val="auto"/>
        </w:rPr>
        <w:sectPr>
          <w:headerReference r:id="rId7" w:type="default"/>
          <w:footerReference r:id="rId8" w:type="default"/>
          <w:pgSz w:w="11906" w:h="16838"/>
          <w:pgMar w:top="1440" w:right="1531" w:bottom="1440" w:left="1531" w:header="851" w:footer="992" w:gutter="0"/>
          <w:cols w:space="720" w:num="1"/>
          <w:docGrid w:linePitch="360" w:charSpace="0"/>
        </w:sectPr>
      </w:pPr>
    </w:p>
    <w:p w14:paraId="7321FCE9">
      <w:pPr>
        <w:snapToGrid w:val="0"/>
        <w:spacing w:line="360" w:lineRule="auto"/>
        <w:rPr>
          <w:rFonts w:asciiTheme="minorEastAsia" w:hAnsiTheme="minorEastAsia" w:eastAsiaTheme="minorEastAsia"/>
          <w:color w:val="auto"/>
        </w:rPr>
      </w:pPr>
    </w:p>
    <w:p w14:paraId="48BC8343">
      <w:pPr>
        <w:keepNext/>
        <w:keepLines/>
        <w:snapToGrid w:val="0"/>
        <w:spacing w:before="280" w:after="290" w:line="360" w:lineRule="auto"/>
        <w:rPr>
          <w:rFonts w:asciiTheme="minorEastAsia" w:hAnsiTheme="minorEastAsia" w:eastAsiaTheme="minorEastAsia"/>
          <w:b/>
          <w:color w:val="auto"/>
          <w:sz w:val="28"/>
        </w:rPr>
      </w:pPr>
      <w:r>
        <w:rPr>
          <w:rFonts w:asciiTheme="minorEastAsia" w:hAnsiTheme="minorEastAsia" w:eastAsiaTheme="minorEastAsia"/>
          <w:color w:val="auto"/>
          <w:sz w:val="24"/>
        </w:rPr>
        <w:t>磋商报价汇总表</w:t>
      </w:r>
    </w:p>
    <w:p w14:paraId="7D33A88F">
      <w:pPr>
        <w:snapToGrid w:val="0"/>
        <w:spacing w:after="120" w:line="380" w:lineRule="exact"/>
        <w:rPr>
          <w:rFonts w:asciiTheme="minorEastAsia" w:hAnsiTheme="minorEastAsia" w:eastAsiaTheme="minorEastAsia"/>
          <w:color w:val="auto"/>
        </w:rPr>
      </w:pPr>
      <w:r>
        <w:rPr>
          <w:rFonts w:hint="eastAsia" w:asciiTheme="minorEastAsia" w:hAnsiTheme="minorEastAsia" w:eastAsiaTheme="minorEastAsia"/>
          <w:color w:val="auto"/>
        </w:rPr>
        <w:t>工程名称：                                                   第  页  共  页</w:t>
      </w:r>
    </w:p>
    <w:tbl>
      <w:tblPr>
        <w:tblStyle w:val="19"/>
        <w:tblW w:w="14000" w:type="dxa"/>
        <w:tblInd w:w="0" w:type="dxa"/>
        <w:tblLayout w:type="fixed"/>
        <w:tblCellMar>
          <w:top w:w="0" w:type="dxa"/>
          <w:left w:w="0" w:type="dxa"/>
          <w:bottom w:w="0" w:type="dxa"/>
          <w:right w:w="0" w:type="dxa"/>
        </w:tblCellMar>
      </w:tblPr>
      <w:tblGrid>
        <w:gridCol w:w="2660"/>
        <w:gridCol w:w="2268"/>
        <w:gridCol w:w="1070"/>
        <w:gridCol w:w="1341"/>
        <w:gridCol w:w="1225"/>
        <w:gridCol w:w="2317"/>
        <w:gridCol w:w="1418"/>
        <w:gridCol w:w="1701"/>
      </w:tblGrid>
      <w:tr w14:paraId="756CE876">
        <w:tblPrEx>
          <w:tblCellMar>
            <w:top w:w="0" w:type="dxa"/>
            <w:left w:w="0" w:type="dxa"/>
            <w:bottom w:w="0" w:type="dxa"/>
            <w:right w:w="0" w:type="dxa"/>
          </w:tblCellMar>
        </w:tblPrEx>
        <w:trPr>
          <w:trHeight w:val="595" w:hRule="atLeast"/>
        </w:trPr>
        <w:tc>
          <w:tcPr>
            <w:tcW w:w="2660" w:type="dxa"/>
            <w:vMerge w:val="restart"/>
            <w:tcBorders>
              <w:top w:val="single" w:color="000000" w:sz="12" w:space="0"/>
              <w:left w:val="single" w:color="000000" w:sz="12" w:space="0"/>
              <w:bottom w:val="single" w:color="000000" w:sz="4" w:space="0"/>
              <w:right w:val="single" w:color="000000" w:sz="4" w:space="0"/>
            </w:tcBorders>
            <w:tcMar>
              <w:top w:w="0" w:type="dxa"/>
              <w:left w:w="108" w:type="dxa"/>
              <w:bottom w:w="0" w:type="dxa"/>
              <w:right w:w="108" w:type="dxa"/>
            </w:tcMar>
            <w:vAlign w:val="center"/>
          </w:tcPr>
          <w:p w14:paraId="251FF80C">
            <w:pPr>
              <w:snapToGrid w:val="0"/>
              <w:spacing w:after="120" w:line="38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工程名称</w:t>
            </w:r>
          </w:p>
        </w:tc>
        <w:tc>
          <w:tcPr>
            <w:tcW w:w="2268" w:type="dxa"/>
            <w:vMerge w:val="restart"/>
            <w:tcBorders>
              <w:top w:val="single" w:color="000000" w:sz="12"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360F8F0E">
            <w:pPr>
              <w:snapToGrid w:val="0"/>
              <w:spacing w:after="120" w:line="38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总价金额</w:t>
            </w:r>
          </w:p>
          <w:p w14:paraId="1394BEE4">
            <w:pPr>
              <w:snapToGrid w:val="0"/>
              <w:spacing w:after="120" w:line="38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（元）</w:t>
            </w:r>
          </w:p>
        </w:tc>
        <w:tc>
          <w:tcPr>
            <w:tcW w:w="9072" w:type="dxa"/>
            <w:gridSpan w:val="6"/>
            <w:tcBorders>
              <w:top w:val="single" w:color="000000" w:sz="12" w:space="0"/>
              <w:left w:val="single" w:color="000000" w:sz="4" w:space="0"/>
              <w:bottom w:val="single" w:color="000000" w:sz="4" w:space="0"/>
              <w:right w:val="single" w:color="000000" w:sz="12" w:space="0"/>
            </w:tcBorders>
            <w:tcMar>
              <w:top w:w="0" w:type="dxa"/>
              <w:left w:w="108" w:type="dxa"/>
              <w:bottom w:w="0" w:type="dxa"/>
              <w:right w:w="108" w:type="dxa"/>
            </w:tcMar>
            <w:vAlign w:val="center"/>
          </w:tcPr>
          <w:p w14:paraId="6F3F7F82">
            <w:pPr>
              <w:snapToGrid w:val="0"/>
              <w:spacing w:after="120" w:line="38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其  中（元）</w:t>
            </w:r>
          </w:p>
        </w:tc>
      </w:tr>
      <w:tr w14:paraId="58CD55F3">
        <w:tblPrEx>
          <w:tblCellMar>
            <w:top w:w="0" w:type="dxa"/>
            <w:left w:w="0" w:type="dxa"/>
            <w:bottom w:w="0" w:type="dxa"/>
            <w:right w:w="0" w:type="dxa"/>
          </w:tblCellMar>
        </w:tblPrEx>
        <w:trPr>
          <w:trHeight w:val="595" w:hRule="atLeast"/>
        </w:trPr>
        <w:tc>
          <w:tcPr>
            <w:tcW w:w="2660" w:type="dxa"/>
            <w:vMerge w:val="continue"/>
            <w:tcBorders>
              <w:top w:val="single" w:color="000000" w:sz="12" w:space="0"/>
              <w:left w:val="single" w:color="000000" w:sz="12" w:space="0"/>
              <w:bottom w:val="single" w:color="000000" w:sz="4" w:space="0"/>
              <w:right w:val="single" w:color="000000" w:sz="4" w:space="0"/>
            </w:tcBorders>
            <w:tcMar>
              <w:top w:w="0" w:type="dxa"/>
              <w:left w:w="108" w:type="dxa"/>
              <w:bottom w:w="0" w:type="dxa"/>
              <w:right w:w="108" w:type="dxa"/>
            </w:tcMar>
            <w:vAlign w:val="center"/>
          </w:tcPr>
          <w:p w14:paraId="53A49ED1">
            <w:pPr>
              <w:snapToGrid w:val="0"/>
              <w:spacing w:after="120" w:line="380" w:lineRule="exact"/>
              <w:jc w:val="center"/>
              <w:rPr>
                <w:rFonts w:asciiTheme="minorEastAsia" w:hAnsiTheme="minorEastAsia" w:eastAsiaTheme="minorEastAsia"/>
                <w:color w:val="auto"/>
                <w:kern w:val="2"/>
                <w:szCs w:val="24"/>
              </w:rPr>
            </w:pPr>
          </w:p>
        </w:tc>
        <w:tc>
          <w:tcPr>
            <w:tcW w:w="2268" w:type="dxa"/>
            <w:vMerge w:val="continue"/>
            <w:tcBorders>
              <w:top w:val="single" w:color="000000" w:sz="12"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4AE67D24">
            <w:pPr>
              <w:snapToGrid w:val="0"/>
              <w:spacing w:after="120" w:line="380" w:lineRule="exact"/>
              <w:jc w:val="center"/>
              <w:rPr>
                <w:rFonts w:asciiTheme="minorEastAsia" w:hAnsiTheme="minorEastAsia" w:eastAsiaTheme="minorEastAsia"/>
                <w:color w:val="auto"/>
                <w:kern w:val="2"/>
                <w:szCs w:val="24"/>
              </w:rPr>
            </w:pPr>
          </w:p>
        </w:tc>
        <w:tc>
          <w:tcPr>
            <w:tcW w:w="1070" w:type="dxa"/>
            <w:tcBorders>
              <w:top w:val="single" w:color="000000"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4ADC1508">
            <w:pPr>
              <w:snapToGrid w:val="0"/>
              <w:spacing w:line="300" w:lineRule="exact"/>
              <w:jc w:val="center"/>
              <w:rPr>
                <w:rFonts w:asciiTheme="minorEastAsia" w:hAnsiTheme="minorEastAsia" w:eastAsiaTheme="minorEastAsia"/>
                <w:color w:val="auto"/>
                <w:kern w:val="2"/>
                <w:szCs w:val="24"/>
              </w:rPr>
            </w:pPr>
            <w:r>
              <w:rPr>
                <w:rFonts w:asciiTheme="minorEastAsia" w:hAnsiTheme="minorEastAsia" w:eastAsiaTheme="minorEastAsia"/>
                <w:color w:val="auto"/>
                <w:kern w:val="2"/>
                <w:szCs w:val="24"/>
              </w:rPr>
              <w:t>分部分项工程费</w:t>
            </w:r>
          </w:p>
        </w:tc>
        <w:tc>
          <w:tcPr>
            <w:tcW w:w="1341" w:type="dxa"/>
            <w:tcBorders>
              <w:top w:val="single" w:color="000000"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5DD2245B">
            <w:pPr>
              <w:snapToGrid w:val="0"/>
              <w:spacing w:line="30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单价措施项目费</w:t>
            </w:r>
          </w:p>
        </w:tc>
        <w:tc>
          <w:tcPr>
            <w:tcW w:w="1225" w:type="dxa"/>
            <w:tcBorders>
              <w:top w:val="single" w:color="000000"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2408B1D2">
            <w:pPr>
              <w:snapToGrid w:val="0"/>
              <w:spacing w:line="300" w:lineRule="exact"/>
              <w:jc w:val="center"/>
              <w:rPr>
                <w:rFonts w:asciiTheme="minorEastAsia" w:hAnsiTheme="minorEastAsia" w:eastAsiaTheme="minorEastAsia"/>
                <w:color w:val="auto"/>
                <w:kern w:val="2"/>
                <w:szCs w:val="24"/>
              </w:rPr>
            </w:pPr>
            <w:r>
              <w:rPr>
                <w:rFonts w:asciiTheme="minorEastAsia" w:hAnsiTheme="minorEastAsia" w:eastAsiaTheme="minorEastAsia"/>
                <w:color w:val="auto"/>
                <w:kern w:val="2"/>
                <w:szCs w:val="24"/>
              </w:rPr>
              <w:t>总价措施项目费</w:t>
            </w:r>
          </w:p>
        </w:tc>
        <w:tc>
          <w:tcPr>
            <w:tcW w:w="2317" w:type="dxa"/>
            <w:tcBorders>
              <w:top w:val="single" w:color="000000"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1FE12E2E">
            <w:pPr>
              <w:snapToGrid w:val="0"/>
              <w:spacing w:line="30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绿色施工安全防护措施项目费</w:t>
            </w:r>
          </w:p>
        </w:tc>
        <w:tc>
          <w:tcPr>
            <w:tcW w:w="1418" w:type="dxa"/>
            <w:tcBorders>
              <w:top w:val="single" w:color="000000"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73D4B99A">
            <w:pPr>
              <w:snapToGrid w:val="0"/>
              <w:spacing w:line="300" w:lineRule="exact"/>
              <w:jc w:val="center"/>
              <w:rPr>
                <w:rFonts w:asciiTheme="minorEastAsia" w:hAnsiTheme="minorEastAsia" w:eastAsiaTheme="minorEastAsia"/>
                <w:color w:val="auto"/>
                <w:kern w:val="2"/>
                <w:szCs w:val="24"/>
              </w:rPr>
            </w:pPr>
            <w:r>
              <w:rPr>
                <w:rFonts w:asciiTheme="minorEastAsia" w:hAnsiTheme="minorEastAsia" w:eastAsiaTheme="minorEastAsia"/>
                <w:color w:val="auto"/>
                <w:kern w:val="2"/>
                <w:szCs w:val="24"/>
              </w:rPr>
              <w:t>其他项目费</w:t>
            </w:r>
          </w:p>
        </w:tc>
        <w:tc>
          <w:tcPr>
            <w:tcW w:w="1701" w:type="dxa"/>
            <w:tcBorders>
              <w:top w:val="single" w:color="000000" w:sz="4" w:space="0"/>
              <w:left w:val="single" w:color="auto" w:sz="4" w:space="0"/>
              <w:bottom w:val="single" w:color="000000" w:sz="4" w:space="0"/>
              <w:right w:val="single" w:color="000000" w:sz="12" w:space="0"/>
            </w:tcBorders>
            <w:tcMar>
              <w:top w:w="0" w:type="dxa"/>
              <w:left w:w="108" w:type="dxa"/>
              <w:bottom w:w="0" w:type="dxa"/>
              <w:right w:w="108" w:type="dxa"/>
            </w:tcMar>
            <w:vAlign w:val="center"/>
          </w:tcPr>
          <w:p w14:paraId="4EB2F5FF">
            <w:pPr>
              <w:snapToGrid w:val="0"/>
              <w:spacing w:line="30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销项税额</w:t>
            </w:r>
          </w:p>
        </w:tc>
      </w:tr>
      <w:tr w14:paraId="2E34A324">
        <w:tblPrEx>
          <w:tblCellMar>
            <w:top w:w="0" w:type="dxa"/>
            <w:left w:w="0" w:type="dxa"/>
            <w:bottom w:w="0" w:type="dxa"/>
            <w:right w:w="0" w:type="dxa"/>
          </w:tblCellMar>
        </w:tblPrEx>
        <w:trPr>
          <w:trHeight w:val="408" w:hRule="atLeast"/>
        </w:trPr>
        <w:tc>
          <w:tcPr>
            <w:tcW w:w="2660" w:type="dxa"/>
            <w:vMerge w:val="restart"/>
            <w:tcBorders>
              <w:top w:val="single" w:color="000000" w:sz="4" w:space="0"/>
              <w:left w:val="single" w:color="000000" w:sz="12" w:space="0"/>
              <w:right w:val="single" w:color="000000" w:sz="4" w:space="0"/>
            </w:tcBorders>
            <w:tcMar>
              <w:top w:w="0" w:type="dxa"/>
              <w:left w:w="108" w:type="dxa"/>
              <w:bottom w:w="0" w:type="dxa"/>
              <w:right w:w="108" w:type="dxa"/>
            </w:tcMar>
            <w:vAlign w:val="center"/>
          </w:tcPr>
          <w:p w14:paraId="6CD1ACD6">
            <w:pPr>
              <w:snapToGrid w:val="0"/>
              <w:spacing w:after="120"/>
              <w:jc w:val="center"/>
              <w:rPr>
                <w:rFonts w:asciiTheme="minorEastAsia" w:hAnsiTheme="minorEastAsia" w:eastAsiaTheme="minorEastAsia"/>
                <w:color w:val="auto"/>
                <w:kern w:val="2"/>
                <w:szCs w:val="24"/>
              </w:rPr>
            </w:pPr>
          </w:p>
        </w:tc>
        <w:tc>
          <w:tcPr>
            <w:tcW w:w="2268"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638AA675">
            <w:pPr>
              <w:snapToGrid w:val="0"/>
              <w:spacing w:after="120" w:line="380" w:lineRule="exact"/>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大写：</w:t>
            </w:r>
          </w:p>
        </w:tc>
        <w:tc>
          <w:tcPr>
            <w:tcW w:w="1070"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46D82347">
            <w:pPr>
              <w:snapToGrid w:val="0"/>
              <w:spacing w:after="120"/>
              <w:jc w:val="center"/>
              <w:rPr>
                <w:rFonts w:asciiTheme="minorEastAsia" w:hAnsiTheme="minorEastAsia" w:eastAsiaTheme="minorEastAsia"/>
                <w:color w:val="auto"/>
                <w:kern w:val="2"/>
                <w:szCs w:val="24"/>
              </w:rPr>
            </w:pPr>
          </w:p>
        </w:tc>
        <w:tc>
          <w:tcPr>
            <w:tcW w:w="1341" w:type="dxa"/>
            <w:tcBorders>
              <w:top w:val="single" w:color="000000" w:sz="4" w:space="0"/>
              <w:left w:val="single" w:color="auto" w:sz="4" w:space="0"/>
              <w:bottom w:val="single" w:color="auto" w:sz="4" w:space="0"/>
              <w:right w:val="single" w:color="000000" w:sz="4" w:space="0"/>
            </w:tcBorders>
            <w:tcMar>
              <w:top w:w="0" w:type="dxa"/>
              <w:left w:w="108" w:type="dxa"/>
              <w:bottom w:w="0" w:type="dxa"/>
              <w:right w:w="108" w:type="dxa"/>
            </w:tcMar>
            <w:vAlign w:val="center"/>
          </w:tcPr>
          <w:p w14:paraId="1F71DCEE">
            <w:pPr>
              <w:snapToGrid w:val="0"/>
              <w:spacing w:after="120"/>
              <w:jc w:val="center"/>
              <w:rPr>
                <w:rFonts w:asciiTheme="minorEastAsia" w:hAnsiTheme="minorEastAsia" w:eastAsiaTheme="minorEastAsia"/>
                <w:color w:val="auto"/>
                <w:kern w:val="2"/>
                <w:szCs w:val="24"/>
              </w:rPr>
            </w:pPr>
          </w:p>
        </w:tc>
        <w:tc>
          <w:tcPr>
            <w:tcW w:w="1225"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45A77C47">
            <w:pPr>
              <w:snapToGrid w:val="0"/>
              <w:spacing w:after="120"/>
              <w:jc w:val="center"/>
              <w:rPr>
                <w:rFonts w:asciiTheme="minorEastAsia" w:hAnsiTheme="minorEastAsia" w:eastAsiaTheme="minorEastAsia"/>
                <w:color w:val="auto"/>
                <w:kern w:val="2"/>
                <w:szCs w:val="24"/>
              </w:rPr>
            </w:pPr>
          </w:p>
        </w:tc>
        <w:tc>
          <w:tcPr>
            <w:tcW w:w="2317" w:type="dxa"/>
            <w:tcBorders>
              <w:top w:val="single" w:color="000000" w:sz="4" w:space="0"/>
              <w:left w:val="single" w:color="auto" w:sz="4" w:space="0"/>
              <w:bottom w:val="single" w:color="auto" w:sz="4" w:space="0"/>
              <w:right w:val="single" w:color="000000" w:sz="4" w:space="0"/>
            </w:tcBorders>
            <w:tcMar>
              <w:top w:w="0" w:type="dxa"/>
              <w:left w:w="108" w:type="dxa"/>
              <w:bottom w:w="0" w:type="dxa"/>
              <w:right w:w="108" w:type="dxa"/>
            </w:tcMar>
            <w:vAlign w:val="center"/>
          </w:tcPr>
          <w:p w14:paraId="3413A6DA">
            <w:pPr>
              <w:snapToGrid w:val="0"/>
              <w:spacing w:after="120"/>
              <w:jc w:val="center"/>
              <w:rPr>
                <w:rFonts w:asciiTheme="minorEastAsia" w:hAnsiTheme="minorEastAsia" w:eastAsiaTheme="minorEastAsia"/>
                <w:color w:val="auto"/>
                <w:kern w:val="2"/>
                <w:szCs w:val="24"/>
              </w:rPr>
            </w:pPr>
          </w:p>
        </w:tc>
        <w:tc>
          <w:tcPr>
            <w:tcW w:w="1418"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3193B87F">
            <w:pPr>
              <w:snapToGrid w:val="0"/>
              <w:spacing w:after="120"/>
              <w:jc w:val="center"/>
              <w:rPr>
                <w:rFonts w:asciiTheme="minorEastAsia" w:hAnsiTheme="minorEastAsia" w:eastAsiaTheme="minorEastAsia"/>
                <w:color w:val="auto"/>
                <w:kern w:val="2"/>
                <w:szCs w:val="24"/>
              </w:rPr>
            </w:pPr>
          </w:p>
        </w:tc>
        <w:tc>
          <w:tcPr>
            <w:tcW w:w="1701" w:type="dxa"/>
            <w:tcBorders>
              <w:top w:val="single" w:color="000000" w:sz="4" w:space="0"/>
              <w:left w:val="single" w:color="auto" w:sz="4" w:space="0"/>
              <w:bottom w:val="single" w:color="auto" w:sz="4" w:space="0"/>
              <w:right w:val="single" w:color="000000" w:sz="12" w:space="0"/>
            </w:tcBorders>
            <w:tcMar>
              <w:top w:w="0" w:type="dxa"/>
              <w:left w:w="108" w:type="dxa"/>
              <w:bottom w:w="0" w:type="dxa"/>
              <w:right w:w="108" w:type="dxa"/>
            </w:tcMar>
            <w:vAlign w:val="center"/>
          </w:tcPr>
          <w:p w14:paraId="7E7CD9C6">
            <w:pPr>
              <w:snapToGrid w:val="0"/>
              <w:spacing w:after="120"/>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 xml:space="preserve"> </w:t>
            </w:r>
          </w:p>
        </w:tc>
      </w:tr>
      <w:tr w14:paraId="5D840833">
        <w:tblPrEx>
          <w:tblCellMar>
            <w:top w:w="0" w:type="dxa"/>
            <w:left w:w="0" w:type="dxa"/>
            <w:bottom w:w="0" w:type="dxa"/>
            <w:right w:w="0" w:type="dxa"/>
          </w:tblCellMar>
        </w:tblPrEx>
        <w:trPr>
          <w:trHeight w:val="458" w:hRule="atLeast"/>
        </w:trPr>
        <w:tc>
          <w:tcPr>
            <w:tcW w:w="2660" w:type="dxa"/>
            <w:vMerge w:val="continue"/>
            <w:tcBorders>
              <w:left w:val="single" w:color="000000" w:sz="12" w:space="0"/>
              <w:bottom w:val="single" w:color="000000" w:sz="4" w:space="0"/>
              <w:right w:val="single" w:color="000000" w:sz="4" w:space="0"/>
            </w:tcBorders>
            <w:tcMar>
              <w:top w:w="0" w:type="dxa"/>
              <w:left w:w="108" w:type="dxa"/>
              <w:bottom w:w="0" w:type="dxa"/>
              <w:right w:w="108" w:type="dxa"/>
            </w:tcMar>
            <w:vAlign w:val="center"/>
          </w:tcPr>
          <w:p w14:paraId="7DC7CE01">
            <w:pPr>
              <w:snapToGrid w:val="0"/>
              <w:spacing w:after="120"/>
              <w:jc w:val="center"/>
              <w:rPr>
                <w:rFonts w:asciiTheme="minorEastAsia" w:hAnsiTheme="minorEastAsia" w:eastAsiaTheme="minorEastAsia"/>
                <w:color w:val="auto"/>
                <w:kern w:val="2"/>
                <w:szCs w:val="24"/>
              </w:rPr>
            </w:pPr>
          </w:p>
        </w:tc>
        <w:tc>
          <w:tcPr>
            <w:tcW w:w="2268"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0885DBEA">
            <w:pPr>
              <w:snapToGrid w:val="0"/>
              <w:spacing w:after="120"/>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小写：</w:t>
            </w:r>
          </w:p>
        </w:tc>
        <w:tc>
          <w:tcPr>
            <w:tcW w:w="1070"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73633A4A">
            <w:pPr>
              <w:snapToGrid w:val="0"/>
              <w:spacing w:after="120"/>
              <w:jc w:val="center"/>
              <w:rPr>
                <w:rFonts w:asciiTheme="minorEastAsia" w:hAnsiTheme="minorEastAsia" w:eastAsiaTheme="minorEastAsia"/>
                <w:color w:val="auto"/>
                <w:kern w:val="2"/>
                <w:szCs w:val="24"/>
              </w:rPr>
            </w:pPr>
          </w:p>
        </w:tc>
        <w:tc>
          <w:tcPr>
            <w:tcW w:w="1341" w:type="dxa"/>
            <w:tcBorders>
              <w:top w:val="single" w:color="auto"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531FBA6A">
            <w:pPr>
              <w:snapToGrid w:val="0"/>
              <w:spacing w:after="120"/>
              <w:jc w:val="center"/>
              <w:rPr>
                <w:rFonts w:asciiTheme="minorEastAsia" w:hAnsiTheme="minorEastAsia" w:eastAsiaTheme="minorEastAsia"/>
                <w:color w:val="auto"/>
                <w:kern w:val="2"/>
                <w:szCs w:val="24"/>
              </w:rPr>
            </w:pPr>
          </w:p>
        </w:tc>
        <w:tc>
          <w:tcPr>
            <w:tcW w:w="1225"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179F50C4">
            <w:pPr>
              <w:snapToGrid w:val="0"/>
              <w:spacing w:after="120"/>
              <w:jc w:val="center"/>
              <w:rPr>
                <w:rFonts w:asciiTheme="minorEastAsia" w:hAnsiTheme="minorEastAsia" w:eastAsiaTheme="minorEastAsia"/>
                <w:color w:val="auto"/>
                <w:kern w:val="2"/>
                <w:szCs w:val="24"/>
              </w:rPr>
            </w:pPr>
          </w:p>
        </w:tc>
        <w:tc>
          <w:tcPr>
            <w:tcW w:w="2317" w:type="dxa"/>
            <w:tcBorders>
              <w:top w:val="single" w:color="auto"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1B7E7458">
            <w:pPr>
              <w:snapToGrid w:val="0"/>
              <w:spacing w:after="120"/>
              <w:jc w:val="center"/>
              <w:rPr>
                <w:rFonts w:asciiTheme="minorEastAsia" w:hAnsiTheme="minorEastAsia" w:eastAsiaTheme="minorEastAsia"/>
                <w:color w:val="auto"/>
                <w:kern w:val="2"/>
                <w:szCs w:val="24"/>
              </w:rPr>
            </w:pPr>
          </w:p>
        </w:tc>
        <w:tc>
          <w:tcPr>
            <w:tcW w:w="1418"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364EA72C">
            <w:pPr>
              <w:snapToGrid w:val="0"/>
              <w:spacing w:after="120"/>
              <w:jc w:val="center"/>
              <w:rPr>
                <w:rFonts w:asciiTheme="minorEastAsia" w:hAnsiTheme="minorEastAsia" w:eastAsiaTheme="minorEastAsia"/>
                <w:color w:val="auto"/>
                <w:kern w:val="2"/>
                <w:szCs w:val="24"/>
              </w:rPr>
            </w:pPr>
          </w:p>
        </w:tc>
        <w:tc>
          <w:tcPr>
            <w:tcW w:w="1701" w:type="dxa"/>
            <w:tcBorders>
              <w:top w:val="single" w:color="auto" w:sz="4" w:space="0"/>
              <w:left w:val="single" w:color="auto" w:sz="4" w:space="0"/>
              <w:bottom w:val="single" w:color="000000" w:sz="4" w:space="0"/>
              <w:right w:val="single" w:color="000000" w:sz="12" w:space="0"/>
            </w:tcBorders>
            <w:tcMar>
              <w:top w:w="0" w:type="dxa"/>
              <w:left w:w="108" w:type="dxa"/>
              <w:bottom w:w="0" w:type="dxa"/>
              <w:right w:w="108" w:type="dxa"/>
            </w:tcMar>
            <w:vAlign w:val="center"/>
          </w:tcPr>
          <w:p w14:paraId="74EB2767">
            <w:pPr>
              <w:snapToGrid w:val="0"/>
              <w:spacing w:after="120"/>
              <w:jc w:val="center"/>
              <w:rPr>
                <w:rFonts w:asciiTheme="minorEastAsia" w:hAnsiTheme="minorEastAsia" w:eastAsiaTheme="minorEastAsia"/>
                <w:color w:val="auto"/>
                <w:kern w:val="2"/>
                <w:szCs w:val="24"/>
              </w:rPr>
            </w:pPr>
          </w:p>
        </w:tc>
      </w:tr>
      <w:tr w14:paraId="15D5A1F4">
        <w:tblPrEx>
          <w:tblCellMar>
            <w:top w:w="0" w:type="dxa"/>
            <w:left w:w="0" w:type="dxa"/>
            <w:bottom w:w="0" w:type="dxa"/>
            <w:right w:w="0" w:type="dxa"/>
          </w:tblCellMar>
        </w:tblPrEx>
        <w:trPr>
          <w:trHeight w:val="516" w:hRule="atLeast"/>
        </w:trPr>
        <w:tc>
          <w:tcPr>
            <w:tcW w:w="2660" w:type="dxa"/>
            <w:vMerge w:val="restart"/>
            <w:tcBorders>
              <w:top w:val="single" w:color="000000" w:sz="4" w:space="0"/>
              <w:left w:val="single" w:color="000000" w:sz="12" w:space="0"/>
              <w:right w:val="single" w:color="000000" w:sz="4" w:space="0"/>
            </w:tcBorders>
            <w:tcMar>
              <w:top w:w="0" w:type="dxa"/>
              <w:left w:w="108" w:type="dxa"/>
              <w:bottom w:w="0" w:type="dxa"/>
              <w:right w:w="108" w:type="dxa"/>
            </w:tcMar>
            <w:vAlign w:val="center"/>
          </w:tcPr>
          <w:p w14:paraId="246E0782">
            <w:pPr>
              <w:snapToGrid w:val="0"/>
              <w:spacing w:after="120" w:line="380" w:lineRule="exact"/>
              <w:jc w:val="center"/>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合 计</w:t>
            </w:r>
          </w:p>
        </w:tc>
        <w:tc>
          <w:tcPr>
            <w:tcW w:w="2268" w:type="dxa"/>
            <w:tcBorders>
              <w:top w:val="single" w:color="000000" w:sz="4" w:space="0"/>
              <w:left w:val="single" w:color="000000" w:sz="4" w:space="0"/>
              <w:bottom w:val="single" w:color="auto" w:sz="4" w:space="0"/>
              <w:right w:val="single" w:color="000000" w:sz="4" w:space="0"/>
            </w:tcBorders>
            <w:tcMar>
              <w:top w:w="0" w:type="dxa"/>
              <w:left w:w="108" w:type="dxa"/>
              <w:bottom w:w="0" w:type="dxa"/>
              <w:right w:w="108" w:type="dxa"/>
            </w:tcMar>
            <w:vAlign w:val="center"/>
          </w:tcPr>
          <w:p w14:paraId="7AAB162F">
            <w:pPr>
              <w:snapToGrid w:val="0"/>
              <w:spacing w:after="120" w:line="380" w:lineRule="exact"/>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大写：</w:t>
            </w:r>
          </w:p>
        </w:tc>
        <w:tc>
          <w:tcPr>
            <w:tcW w:w="1070"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42FFADDF">
            <w:pPr>
              <w:snapToGrid w:val="0"/>
              <w:spacing w:after="120"/>
              <w:jc w:val="center"/>
              <w:rPr>
                <w:rFonts w:asciiTheme="minorEastAsia" w:hAnsiTheme="minorEastAsia" w:eastAsiaTheme="minorEastAsia"/>
                <w:color w:val="auto"/>
                <w:kern w:val="2"/>
                <w:szCs w:val="24"/>
              </w:rPr>
            </w:pPr>
          </w:p>
        </w:tc>
        <w:tc>
          <w:tcPr>
            <w:tcW w:w="1341" w:type="dxa"/>
            <w:tcBorders>
              <w:top w:val="single" w:color="000000" w:sz="4" w:space="0"/>
              <w:left w:val="single" w:color="auto" w:sz="4" w:space="0"/>
              <w:bottom w:val="single" w:color="auto" w:sz="4" w:space="0"/>
              <w:right w:val="single" w:color="000000" w:sz="4" w:space="0"/>
            </w:tcBorders>
            <w:tcMar>
              <w:top w:w="0" w:type="dxa"/>
              <w:left w:w="108" w:type="dxa"/>
              <w:bottom w:w="0" w:type="dxa"/>
              <w:right w:w="108" w:type="dxa"/>
            </w:tcMar>
            <w:vAlign w:val="center"/>
          </w:tcPr>
          <w:p w14:paraId="0A4F96F1">
            <w:pPr>
              <w:snapToGrid w:val="0"/>
              <w:spacing w:after="120"/>
              <w:jc w:val="center"/>
              <w:rPr>
                <w:rFonts w:asciiTheme="minorEastAsia" w:hAnsiTheme="minorEastAsia" w:eastAsiaTheme="minorEastAsia"/>
                <w:color w:val="auto"/>
                <w:kern w:val="2"/>
                <w:szCs w:val="24"/>
              </w:rPr>
            </w:pPr>
          </w:p>
        </w:tc>
        <w:tc>
          <w:tcPr>
            <w:tcW w:w="1225"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230C86E0">
            <w:pPr>
              <w:snapToGrid w:val="0"/>
              <w:spacing w:after="120"/>
              <w:jc w:val="center"/>
              <w:rPr>
                <w:rFonts w:asciiTheme="minorEastAsia" w:hAnsiTheme="minorEastAsia" w:eastAsiaTheme="minorEastAsia"/>
                <w:color w:val="auto"/>
                <w:kern w:val="2"/>
                <w:szCs w:val="24"/>
              </w:rPr>
            </w:pPr>
          </w:p>
        </w:tc>
        <w:tc>
          <w:tcPr>
            <w:tcW w:w="2317" w:type="dxa"/>
            <w:tcBorders>
              <w:top w:val="single" w:color="000000" w:sz="4" w:space="0"/>
              <w:left w:val="single" w:color="auto" w:sz="4" w:space="0"/>
              <w:bottom w:val="single" w:color="auto" w:sz="4" w:space="0"/>
              <w:right w:val="single" w:color="000000" w:sz="4" w:space="0"/>
            </w:tcBorders>
            <w:tcMar>
              <w:top w:w="0" w:type="dxa"/>
              <w:left w:w="108" w:type="dxa"/>
              <w:bottom w:w="0" w:type="dxa"/>
              <w:right w:w="108" w:type="dxa"/>
            </w:tcMar>
            <w:vAlign w:val="center"/>
          </w:tcPr>
          <w:p w14:paraId="34A007F6">
            <w:pPr>
              <w:snapToGrid w:val="0"/>
              <w:spacing w:after="120"/>
              <w:jc w:val="center"/>
              <w:rPr>
                <w:rFonts w:asciiTheme="minorEastAsia" w:hAnsiTheme="minorEastAsia" w:eastAsiaTheme="minorEastAsia"/>
                <w:color w:val="auto"/>
                <w:kern w:val="2"/>
                <w:szCs w:val="24"/>
              </w:rPr>
            </w:pPr>
          </w:p>
        </w:tc>
        <w:tc>
          <w:tcPr>
            <w:tcW w:w="1418" w:type="dxa"/>
            <w:tcBorders>
              <w:top w:val="single" w:color="000000" w:sz="4" w:space="0"/>
              <w:left w:val="single" w:color="000000" w:sz="4" w:space="0"/>
              <w:bottom w:val="single" w:color="auto" w:sz="4" w:space="0"/>
              <w:right w:val="single" w:color="auto" w:sz="4" w:space="0"/>
            </w:tcBorders>
            <w:tcMar>
              <w:top w:w="0" w:type="dxa"/>
              <w:left w:w="108" w:type="dxa"/>
              <w:bottom w:w="0" w:type="dxa"/>
              <w:right w:w="108" w:type="dxa"/>
            </w:tcMar>
            <w:vAlign w:val="center"/>
          </w:tcPr>
          <w:p w14:paraId="02764BB8">
            <w:pPr>
              <w:snapToGrid w:val="0"/>
              <w:spacing w:after="120"/>
              <w:jc w:val="center"/>
              <w:rPr>
                <w:rFonts w:asciiTheme="minorEastAsia" w:hAnsiTheme="minorEastAsia" w:eastAsiaTheme="minorEastAsia"/>
                <w:color w:val="auto"/>
                <w:kern w:val="2"/>
                <w:szCs w:val="24"/>
              </w:rPr>
            </w:pPr>
          </w:p>
        </w:tc>
        <w:tc>
          <w:tcPr>
            <w:tcW w:w="1701" w:type="dxa"/>
            <w:tcBorders>
              <w:top w:val="single" w:color="000000" w:sz="4" w:space="0"/>
              <w:left w:val="single" w:color="auto" w:sz="4" w:space="0"/>
              <w:bottom w:val="single" w:color="auto" w:sz="4" w:space="0"/>
              <w:right w:val="single" w:color="000000" w:sz="12" w:space="0"/>
            </w:tcBorders>
            <w:tcMar>
              <w:top w:w="0" w:type="dxa"/>
              <w:left w:w="108" w:type="dxa"/>
              <w:bottom w:w="0" w:type="dxa"/>
              <w:right w:w="108" w:type="dxa"/>
            </w:tcMar>
            <w:vAlign w:val="center"/>
          </w:tcPr>
          <w:p w14:paraId="69E63B84">
            <w:pPr>
              <w:snapToGrid w:val="0"/>
              <w:spacing w:after="120"/>
              <w:jc w:val="center"/>
              <w:rPr>
                <w:rFonts w:asciiTheme="minorEastAsia" w:hAnsiTheme="minorEastAsia" w:eastAsiaTheme="minorEastAsia"/>
                <w:color w:val="auto"/>
                <w:kern w:val="2"/>
                <w:szCs w:val="24"/>
              </w:rPr>
            </w:pPr>
          </w:p>
        </w:tc>
      </w:tr>
      <w:tr w14:paraId="4DDB30B5">
        <w:tblPrEx>
          <w:tblCellMar>
            <w:top w:w="0" w:type="dxa"/>
            <w:left w:w="0" w:type="dxa"/>
            <w:bottom w:w="0" w:type="dxa"/>
            <w:right w:w="0" w:type="dxa"/>
          </w:tblCellMar>
        </w:tblPrEx>
        <w:trPr>
          <w:trHeight w:val="457" w:hRule="atLeast"/>
        </w:trPr>
        <w:tc>
          <w:tcPr>
            <w:tcW w:w="2660" w:type="dxa"/>
            <w:vMerge w:val="continue"/>
            <w:tcBorders>
              <w:left w:val="single" w:color="000000" w:sz="12" w:space="0"/>
              <w:bottom w:val="single" w:color="000000" w:sz="4" w:space="0"/>
              <w:right w:val="single" w:color="000000" w:sz="4" w:space="0"/>
            </w:tcBorders>
            <w:tcMar>
              <w:top w:w="0" w:type="dxa"/>
              <w:left w:w="108" w:type="dxa"/>
              <w:bottom w:w="0" w:type="dxa"/>
              <w:right w:w="108" w:type="dxa"/>
            </w:tcMar>
            <w:vAlign w:val="center"/>
          </w:tcPr>
          <w:p w14:paraId="18CE209C">
            <w:pPr>
              <w:snapToGrid w:val="0"/>
              <w:spacing w:after="120" w:line="380" w:lineRule="exact"/>
              <w:jc w:val="center"/>
              <w:rPr>
                <w:rFonts w:asciiTheme="minorEastAsia" w:hAnsiTheme="minorEastAsia" w:eastAsiaTheme="minorEastAsia"/>
                <w:color w:val="auto"/>
                <w:kern w:val="2"/>
                <w:szCs w:val="24"/>
              </w:rPr>
            </w:pPr>
          </w:p>
        </w:tc>
        <w:tc>
          <w:tcPr>
            <w:tcW w:w="2268" w:type="dxa"/>
            <w:tcBorders>
              <w:top w:val="single" w:color="auto" w:sz="4" w:space="0"/>
              <w:left w:val="single" w:color="000000" w:sz="4" w:space="0"/>
              <w:bottom w:val="single" w:color="000000" w:sz="4" w:space="0"/>
              <w:right w:val="single" w:color="000000" w:sz="4" w:space="0"/>
            </w:tcBorders>
            <w:tcMar>
              <w:top w:w="0" w:type="dxa"/>
              <w:left w:w="108" w:type="dxa"/>
              <w:bottom w:w="0" w:type="dxa"/>
              <w:right w:w="108" w:type="dxa"/>
            </w:tcMar>
            <w:vAlign w:val="center"/>
          </w:tcPr>
          <w:p w14:paraId="58682B7A">
            <w:pPr>
              <w:snapToGrid w:val="0"/>
              <w:spacing w:after="120" w:line="380" w:lineRule="exact"/>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小写：</w:t>
            </w:r>
          </w:p>
        </w:tc>
        <w:tc>
          <w:tcPr>
            <w:tcW w:w="1070"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2CA20DA5">
            <w:pPr>
              <w:snapToGrid w:val="0"/>
              <w:spacing w:after="120"/>
              <w:jc w:val="center"/>
              <w:rPr>
                <w:rFonts w:asciiTheme="minorEastAsia" w:hAnsiTheme="minorEastAsia" w:eastAsiaTheme="minorEastAsia"/>
                <w:color w:val="auto"/>
                <w:kern w:val="2"/>
                <w:szCs w:val="24"/>
              </w:rPr>
            </w:pPr>
          </w:p>
        </w:tc>
        <w:tc>
          <w:tcPr>
            <w:tcW w:w="1341" w:type="dxa"/>
            <w:tcBorders>
              <w:top w:val="single" w:color="auto"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31D95EE3">
            <w:pPr>
              <w:snapToGrid w:val="0"/>
              <w:spacing w:after="120"/>
              <w:jc w:val="center"/>
              <w:rPr>
                <w:rFonts w:asciiTheme="minorEastAsia" w:hAnsiTheme="minorEastAsia" w:eastAsiaTheme="minorEastAsia"/>
                <w:color w:val="auto"/>
                <w:kern w:val="2"/>
                <w:szCs w:val="24"/>
              </w:rPr>
            </w:pPr>
          </w:p>
        </w:tc>
        <w:tc>
          <w:tcPr>
            <w:tcW w:w="1225"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2C372129">
            <w:pPr>
              <w:snapToGrid w:val="0"/>
              <w:spacing w:after="120"/>
              <w:jc w:val="center"/>
              <w:rPr>
                <w:rFonts w:asciiTheme="minorEastAsia" w:hAnsiTheme="minorEastAsia" w:eastAsiaTheme="minorEastAsia"/>
                <w:color w:val="auto"/>
                <w:kern w:val="2"/>
                <w:szCs w:val="24"/>
              </w:rPr>
            </w:pPr>
          </w:p>
        </w:tc>
        <w:tc>
          <w:tcPr>
            <w:tcW w:w="2317" w:type="dxa"/>
            <w:tcBorders>
              <w:top w:val="single" w:color="auto" w:sz="4" w:space="0"/>
              <w:left w:val="single" w:color="auto" w:sz="4" w:space="0"/>
              <w:bottom w:val="single" w:color="000000" w:sz="4" w:space="0"/>
              <w:right w:val="single" w:color="000000" w:sz="4" w:space="0"/>
            </w:tcBorders>
            <w:tcMar>
              <w:top w:w="0" w:type="dxa"/>
              <w:left w:w="108" w:type="dxa"/>
              <w:bottom w:w="0" w:type="dxa"/>
              <w:right w:w="108" w:type="dxa"/>
            </w:tcMar>
            <w:vAlign w:val="center"/>
          </w:tcPr>
          <w:p w14:paraId="4F7F5A17">
            <w:pPr>
              <w:snapToGrid w:val="0"/>
              <w:spacing w:after="120"/>
              <w:jc w:val="center"/>
              <w:rPr>
                <w:rFonts w:asciiTheme="minorEastAsia" w:hAnsiTheme="minorEastAsia" w:eastAsiaTheme="minorEastAsia"/>
                <w:color w:val="auto"/>
                <w:kern w:val="2"/>
                <w:szCs w:val="24"/>
              </w:rPr>
            </w:pPr>
          </w:p>
        </w:tc>
        <w:tc>
          <w:tcPr>
            <w:tcW w:w="1418" w:type="dxa"/>
            <w:tcBorders>
              <w:top w:val="single" w:color="auto" w:sz="4" w:space="0"/>
              <w:left w:val="single" w:color="000000" w:sz="4" w:space="0"/>
              <w:bottom w:val="single" w:color="000000" w:sz="4" w:space="0"/>
              <w:right w:val="single" w:color="auto" w:sz="4" w:space="0"/>
            </w:tcBorders>
            <w:tcMar>
              <w:top w:w="0" w:type="dxa"/>
              <w:left w:w="108" w:type="dxa"/>
              <w:bottom w:w="0" w:type="dxa"/>
              <w:right w:w="108" w:type="dxa"/>
            </w:tcMar>
            <w:vAlign w:val="center"/>
          </w:tcPr>
          <w:p w14:paraId="53A615AE">
            <w:pPr>
              <w:snapToGrid w:val="0"/>
              <w:spacing w:after="120"/>
              <w:jc w:val="center"/>
              <w:rPr>
                <w:rFonts w:asciiTheme="minorEastAsia" w:hAnsiTheme="minorEastAsia" w:eastAsiaTheme="minorEastAsia"/>
                <w:color w:val="auto"/>
                <w:kern w:val="2"/>
                <w:szCs w:val="24"/>
              </w:rPr>
            </w:pPr>
          </w:p>
        </w:tc>
        <w:tc>
          <w:tcPr>
            <w:tcW w:w="1701" w:type="dxa"/>
            <w:tcBorders>
              <w:top w:val="single" w:color="auto" w:sz="4" w:space="0"/>
              <w:left w:val="single" w:color="auto" w:sz="4" w:space="0"/>
              <w:bottom w:val="single" w:color="000000" w:sz="4" w:space="0"/>
              <w:right w:val="single" w:color="000000" w:sz="12" w:space="0"/>
            </w:tcBorders>
            <w:tcMar>
              <w:top w:w="0" w:type="dxa"/>
              <w:left w:w="108" w:type="dxa"/>
              <w:bottom w:w="0" w:type="dxa"/>
              <w:right w:w="108" w:type="dxa"/>
            </w:tcMar>
            <w:vAlign w:val="center"/>
          </w:tcPr>
          <w:p w14:paraId="52BA6E78">
            <w:pPr>
              <w:snapToGrid w:val="0"/>
              <w:spacing w:after="120"/>
              <w:jc w:val="center"/>
              <w:rPr>
                <w:rFonts w:asciiTheme="minorEastAsia" w:hAnsiTheme="minorEastAsia" w:eastAsiaTheme="minorEastAsia"/>
                <w:color w:val="auto"/>
                <w:kern w:val="2"/>
                <w:szCs w:val="24"/>
              </w:rPr>
            </w:pPr>
          </w:p>
        </w:tc>
      </w:tr>
      <w:tr w14:paraId="273B7AC4">
        <w:tblPrEx>
          <w:tblCellMar>
            <w:top w:w="0" w:type="dxa"/>
            <w:left w:w="0" w:type="dxa"/>
            <w:bottom w:w="0" w:type="dxa"/>
            <w:right w:w="0" w:type="dxa"/>
          </w:tblCellMar>
        </w:tblPrEx>
        <w:trPr>
          <w:trHeight w:val="298" w:hRule="atLeast"/>
        </w:trPr>
        <w:tc>
          <w:tcPr>
            <w:tcW w:w="14000" w:type="dxa"/>
            <w:gridSpan w:val="8"/>
            <w:tcBorders>
              <w:top w:val="single" w:color="000000" w:sz="4" w:space="0"/>
              <w:left w:val="single" w:color="000000" w:sz="12" w:space="0"/>
              <w:bottom w:val="single" w:color="000000" w:sz="12" w:space="0"/>
              <w:right w:val="single" w:color="000000" w:sz="12" w:space="0"/>
            </w:tcBorders>
            <w:tcMar>
              <w:top w:w="0" w:type="dxa"/>
              <w:left w:w="108" w:type="dxa"/>
              <w:bottom w:w="0" w:type="dxa"/>
              <w:right w:w="108" w:type="dxa"/>
            </w:tcMar>
            <w:vAlign w:val="center"/>
          </w:tcPr>
          <w:p w14:paraId="2671129C">
            <w:pPr>
              <w:snapToGrid w:val="0"/>
              <w:spacing w:line="300" w:lineRule="exact"/>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说明：</w:t>
            </w:r>
          </w:p>
          <w:p w14:paraId="37F89C3C">
            <w:pPr>
              <w:snapToGrid w:val="0"/>
              <w:spacing w:line="300" w:lineRule="exact"/>
              <w:ind w:firstLine="630" w:firstLineChars="300"/>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1、</w:t>
            </w:r>
            <w:r>
              <w:rPr>
                <w:rFonts w:hint="eastAsia" w:ascii="宋体"/>
                <w:b/>
                <w:bCs/>
                <w:color w:val="auto"/>
              </w:rPr>
              <w:t>磋商报价中的绿色施工安全防护措施项目费、安全责任险、环境保护税需保持费率与招标控制价对应项目费率一致，不优惠；不可预见费金额需保持与招标控制价中不可预见费金额一致，不优惠。</w:t>
            </w:r>
          </w:p>
          <w:p w14:paraId="37B788BA">
            <w:pPr>
              <w:snapToGrid w:val="0"/>
              <w:ind w:firstLine="630"/>
              <w:rPr>
                <w:rFonts w:asciiTheme="minorEastAsia" w:hAnsiTheme="minorEastAsia" w:eastAsiaTheme="minorEastAsia"/>
                <w:color w:val="auto"/>
                <w:kern w:val="2"/>
                <w:szCs w:val="24"/>
              </w:rPr>
            </w:pPr>
            <w:r>
              <w:rPr>
                <w:rFonts w:hint="eastAsia" w:asciiTheme="minorEastAsia" w:hAnsiTheme="minorEastAsia" w:eastAsiaTheme="minorEastAsia"/>
                <w:color w:val="auto"/>
                <w:kern w:val="2"/>
                <w:szCs w:val="24"/>
              </w:rPr>
              <w:t>2、此表严禁修改，未按要求填写或者填写错误的，均视为自动放弃响应磋商文件。</w:t>
            </w:r>
          </w:p>
        </w:tc>
      </w:tr>
    </w:tbl>
    <w:p w14:paraId="5DF4E167">
      <w:pPr>
        <w:snapToGrid w:val="0"/>
        <w:rPr>
          <w:rFonts w:asciiTheme="minorEastAsia" w:hAnsiTheme="minorEastAsia" w:eastAsiaTheme="minorEastAsia"/>
          <w:color w:val="auto"/>
        </w:rPr>
      </w:pPr>
      <w:r>
        <w:rPr>
          <w:rFonts w:hint="eastAsia" w:asciiTheme="minorEastAsia" w:hAnsiTheme="minorEastAsia" w:eastAsiaTheme="minorEastAsia"/>
          <w:color w:val="auto"/>
        </w:rPr>
        <w:t xml:space="preserve">  </w:t>
      </w:r>
    </w:p>
    <w:p w14:paraId="29061CEF">
      <w:pPr>
        <w:snapToGrid w:val="0"/>
        <w:rPr>
          <w:rFonts w:asciiTheme="minorEastAsia" w:hAnsiTheme="minorEastAsia" w:eastAsiaTheme="minorEastAsia"/>
          <w:color w:val="auto"/>
        </w:rPr>
      </w:pPr>
    </w:p>
    <w:p w14:paraId="2E7D59B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供应商（盖单位章）：</w:t>
      </w:r>
    </w:p>
    <w:p w14:paraId="014FA301">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法定代表人或其委托代理人签字：</w:t>
      </w:r>
      <w:r>
        <w:rPr>
          <w:rFonts w:hint="eastAsia" w:asciiTheme="minorEastAsia" w:hAnsiTheme="minorEastAsia" w:eastAsiaTheme="minorEastAsia"/>
          <w:color w:val="auto"/>
          <w:u w:val="single"/>
        </w:rPr>
        <w:t xml:space="preserve">            </w:t>
      </w:r>
    </w:p>
    <w:p w14:paraId="37A0D8EA">
      <w:pPr>
        <w:snapToGrid w:val="0"/>
        <w:spacing w:line="360" w:lineRule="auto"/>
        <w:rPr>
          <w:rFonts w:asciiTheme="minorEastAsia" w:hAnsiTheme="minorEastAsia" w:eastAsiaTheme="minorEastAsia"/>
          <w:color w:val="auto"/>
        </w:rPr>
      </w:pPr>
      <w:r>
        <w:rPr>
          <w:rFonts w:hint="eastAsia" w:asciiTheme="minorEastAsia" w:hAnsiTheme="minorEastAsia" w:eastAsiaTheme="minorEastAsia"/>
          <w:color w:val="auto"/>
        </w:rPr>
        <w:t>日期：</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年</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月</w:t>
      </w:r>
      <w:r>
        <w:rPr>
          <w:rFonts w:hint="eastAsia" w:asciiTheme="minorEastAsia" w:hAnsiTheme="minorEastAsia" w:eastAsiaTheme="minorEastAsia"/>
          <w:color w:val="auto"/>
          <w:u w:val="single"/>
        </w:rPr>
        <w:t xml:space="preserve">       </w:t>
      </w:r>
      <w:r>
        <w:rPr>
          <w:rFonts w:hint="eastAsia" w:asciiTheme="minorEastAsia" w:hAnsiTheme="minorEastAsia" w:eastAsiaTheme="minorEastAsia"/>
          <w:color w:val="auto"/>
        </w:rPr>
        <w:t>日</w:t>
      </w:r>
    </w:p>
    <w:p w14:paraId="60B4C362">
      <w:pPr>
        <w:snapToGrid w:val="0"/>
        <w:spacing w:line="300" w:lineRule="auto"/>
        <w:ind w:firstLine="525"/>
        <w:rPr>
          <w:rFonts w:ascii="宋体"/>
          <w:b/>
          <w:color w:val="auto"/>
        </w:rPr>
      </w:pPr>
    </w:p>
    <w:p w14:paraId="6665D2A7">
      <w:pPr>
        <w:pStyle w:val="25"/>
        <w:ind w:left="0"/>
        <w:rPr>
          <w:rFonts w:asciiTheme="minorEastAsia" w:hAnsiTheme="minorEastAsia" w:eastAsiaTheme="minorEastAsia"/>
          <w:color w:val="auto"/>
          <w:sz w:val="20"/>
        </w:rPr>
      </w:pPr>
    </w:p>
    <w:p w14:paraId="470D909C">
      <w:pPr>
        <w:snapToGrid w:val="0"/>
        <w:rPr>
          <w:rFonts w:asciiTheme="minorEastAsia" w:hAnsiTheme="minorEastAsia" w:eastAsiaTheme="minorEastAsia"/>
          <w:color w:val="auto"/>
        </w:rPr>
        <w:sectPr>
          <w:pgSz w:w="16838" w:h="11906" w:orient="landscape"/>
          <w:pgMar w:top="1531" w:right="1440" w:bottom="1531" w:left="1440" w:header="851" w:footer="992" w:gutter="0"/>
          <w:cols w:space="0" w:num="1"/>
          <w:docGrid w:linePitch="360" w:charSpace="0"/>
        </w:sectPr>
      </w:pPr>
      <w:r>
        <w:rPr>
          <w:rFonts w:asciiTheme="minorEastAsia" w:hAnsiTheme="minorEastAsia" w:eastAsiaTheme="minorEastAsia"/>
          <w:b/>
          <w:color w:val="auto"/>
          <w:sz w:val="24"/>
        </w:rPr>
        <w:br w:type="page"/>
      </w:r>
    </w:p>
    <w:p w14:paraId="4D653887">
      <w:pPr>
        <w:keepNext/>
        <w:keepLines/>
        <w:snapToGrid w:val="0"/>
        <w:spacing w:before="280" w:after="290" w:line="360" w:lineRule="auto"/>
        <w:rPr>
          <w:b/>
          <w:bCs/>
          <w:color w:val="auto"/>
        </w:rPr>
      </w:pPr>
      <w:r>
        <w:rPr>
          <w:rFonts w:hint="eastAsia" w:asciiTheme="minorEastAsia" w:hAnsiTheme="minorEastAsia" w:eastAsiaTheme="minorEastAsia"/>
          <w:b/>
          <w:bCs/>
          <w:color w:val="auto"/>
          <w:sz w:val="24"/>
        </w:rPr>
        <w:t>报价表格包括但不限于下列表格：</w:t>
      </w:r>
    </w:p>
    <w:p w14:paraId="0163F70A">
      <w:pPr>
        <w:pStyle w:val="11"/>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单位工程磋商报价汇总表</w:t>
      </w:r>
    </w:p>
    <w:p w14:paraId="2A0F0411">
      <w:pPr>
        <w:snapToGrid w:val="0"/>
        <w:spacing w:before="120" w:after="120"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分部分项工程项目清单与措施项目清单计价表</w:t>
      </w:r>
    </w:p>
    <w:p w14:paraId="5AFE4A94">
      <w:pPr>
        <w:snapToGrid w:val="0"/>
        <w:spacing w:before="120" w:after="120"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总价措施项目清单计价表 </w:t>
      </w:r>
    </w:p>
    <w:p w14:paraId="6A2EF89E">
      <w:pPr>
        <w:snapToGrid w:val="0"/>
        <w:spacing w:before="120" w:after="120"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绿色施工安全防护措施项目清单计价表 </w:t>
      </w:r>
    </w:p>
    <w:p w14:paraId="735610C7">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其他项目清单与计价汇总表</w:t>
      </w:r>
    </w:p>
    <w:p w14:paraId="7DC1BD8D">
      <w:pPr>
        <w:pStyle w:val="11"/>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暂列金额明细表</w:t>
      </w:r>
    </w:p>
    <w:p w14:paraId="7BCA53A1">
      <w:pPr>
        <w:pStyle w:val="11"/>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材料暂估单价及调整表</w:t>
      </w:r>
    </w:p>
    <w:p w14:paraId="5AD11900">
      <w:pPr>
        <w:rPr>
          <w:rFonts w:asciiTheme="minorEastAsia" w:hAnsiTheme="minorEastAsia" w:eastAsiaTheme="minorEastAsia"/>
          <w:b/>
          <w:color w:val="auto"/>
          <w:sz w:val="32"/>
        </w:rPr>
      </w:pPr>
      <w:r>
        <w:rPr>
          <w:rFonts w:hint="eastAsia" w:asciiTheme="minorEastAsia" w:hAnsiTheme="minorEastAsia" w:eastAsiaTheme="minorEastAsia"/>
          <w:b/>
          <w:color w:val="auto"/>
          <w:sz w:val="32"/>
        </w:rPr>
        <w:br w:type="page"/>
      </w:r>
    </w:p>
    <w:p w14:paraId="6905B01C">
      <w:pPr>
        <w:snapToGrid w:val="0"/>
        <w:spacing w:line="360" w:lineRule="auto"/>
        <w:ind w:firstLine="157" w:firstLineChars="49"/>
        <w:jc w:val="center"/>
        <w:rPr>
          <w:rFonts w:asciiTheme="minorEastAsia" w:hAnsiTheme="minorEastAsia" w:eastAsiaTheme="minorEastAsia"/>
          <w:b/>
          <w:color w:val="auto"/>
          <w:sz w:val="32"/>
        </w:rPr>
      </w:pPr>
    </w:p>
    <w:p w14:paraId="3FDF7AB5">
      <w:pPr>
        <w:snapToGrid w:val="0"/>
        <w:spacing w:line="360" w:lineRule="auto"/>
        <w:ind w:firstLine="157" w:firstLineChars="49"/>
        <w:jc w:val="center"/>
        <w:rPr>
          <w:rFonts w:asciiTheme="minorEastAsia" w:hAnsiTheme="minorEastAsia" w:eastAsiaTheme="minorEastAsia"/>
          <w:b/>
          <w:color w:val="auto"/>
          <w:sz w:val="32"/>
        </w:rPr>
        <w:sectPr>
          <w:pgSz w:w="11906" w:h="16838"/>
          <w:pgMar w:top="1440" w:right="1531" w:bottom="1440" w:left="1531" w:header="851" w:footer="992" w:gutter="0"/>
          <w:cols w:space="0" w:num="1"/>
          <w:docGrid w:linePitch="360" w:charSpace="0"/>
        </w:sectPr>
      </w:pPr>
      <w:r>
        <w:rPr>
          <w:rFonts w:hint="eastAsia" w:asciiTheme="minorEastAsia" w:hAnsiTheme="minorEastAsia" w:eastAsiaTheme="minorEastAsia"/>
          <w:b/>
          <w:color w:val="auto"/>
          <w:sz w:val="32"/>
        </w:rPr>
        <w:t>八、供应商认为需要提供的其它资料</w:t>
      </w:r>
    </w:p>
    <w:p w14:paraId="6B192FF5">
      <w:pPr>
        <w:snapToGrid w:val="0"/>
        <w:spacing w:before="157" w:line="360" w:lineRule="auto"/>
        <w:jc w:val="center"/>
        <w:rPr>
          <w:rFonts w:asciiTheme="minorEastAsia" w:hAnsiTheme="minorEastAsia" w:eastAsiaTheme="minorEastAsia"/>
          <w:b/>
          <w:color w:val="auto"/>
          <w:sz w:val="32"/>
        </w:rPr>
      </w:pPr>
      <w:r>
        <w:rPr>
          <w:rFonts w:hint="eastAsia" w:asciiTheme="minorEastAsia" w:hAnsiTheme="minorEastAsia" w:eastAsiaTheme="minorEastAsia"/>
          <w:b/>
          <w:color w:val="auto"/>
          <w:sz w:val="32"/>
        </w:rPr>
        <w:t>九、最后报价</w:t>
      </w:r>
    </w:p>
    <w:p w14:paraId="7F315842">
      <w:pPr>
        <w:spacing w:before="120" w:beforeLines="50" w:after="120" w:afterLines="50"/>
        <w:jc w:val="center"/>
        <w:rPr>
          <w:rFonts w:ascii="宋体" w:cs="宋体"/>
          <w:b/>
          <w:bCs/>
          <w:color w:val="auto"/>
          <w:sz w:val="32"/>
          <w:szCs w:val="32"/>
        </w:rPr>
      </w:pPr>
      <w:r>
        <w:rPr>
          <w:rFonts w:hint="eastAsia" w:ascii="宋体" w:hAnsi="宋体" w:cs="宋体"/>
          <w:b/>
          <w:bCs/>
          <w:color w:val="auto"/>
          <w:sz w:val="32"/>
          <w:szCs w:val="32"/>
        </w:rPr>
        <w:t>最后报价</w:t>
      </w:r>
    </w:p>
    <w:tbl>
      <w:tblPr>
        <w:tblStyle w:val="19"/>
        <w:tblW w:w="0" w:type="auto"/>
        <w:tblInd w:w="108" w:type="dxa"/>
        <w:tblLayout w:type="fixed"/>
        <w:tblCellMar>
          <w:top w:w="0" w:type="dxa"/>
          <w:left w:w="0" w:type="dxa"/>
          <w:bottom w:w="0" w:type="dxa"/>
          <w:right w:w="0" w:type="dxa"/>
        </w:tblCellMar>
      </w:tblPr>
      <w:tblGrid>
        <w:gridCol w:w="1620"/>
        <w:gridCol w:w="3060"/>
        <w:gridCol w:w="1620"/>
        <w:gridCol w:w="2520"/>
      </w:tblGrid>
      <w:tr w14:paraId="1FC7AAEF">
        <w:tblPrEx>
          <w:tblCellMar>
            <w:top w:w="0" w:type="dxa"/>
            <w:left w:w="0" w:type="dxa"/>
            <w:bottom w:w="0" w:type="dxa"/>
            <w:right w:w="0" w:type="dxa"/>
          </w:tblCellMar>
        </w:tblPrEx>
        <w:trPr>
          <w:trHeight w:val="449" w:hRule="atLeast"/>
        </w:trPr>
        <w:tc>
          <w:tcPr>
            <w:tcW w:w="1620" w:type="dxa"/>
            <w:vMerge w:val="restart"/>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7128FA20">
            <w:pPr>
              <w:tabs>
                <w:tab w:val="left" w:pos="403"/>
                <w:tab w:val="center" w:pos="3781"/>
              </w:tabs>
              <w:snapToGrid w:val="0"/>
              <w:spacing w:line="360" w:lineRule="auto"/>
              <w:ind w:right="-5206" w:firstLine="210"/>
              <w:rPr>
                <w:rFonts w:ascii="宋体" w:hAnsi="宋体"/>
                <w:color w:val="auto"/>
              </w:rPr>
            </w:pPr>
            <w:r>
              <w:rPr>
                <w:rFonts w:ascii="宋体" w:hAnsi="宋体"/>
                <w:color w:val="auto"/>
              </w:rPr>
              <w:t>项目名称</w:t>
            </w:r>
            <w:r>
              <w:rPr>
                <w:rFonts w:ascii="宋体" w:hAnsi="宋体"/>
                <w:color w:val="auto"/>
              </w:rPr>
              <w:tab/>
            </w:r>
            <w:r>
              <w:rPr>
                <w:rFonts w:ascii="宋体" w:hAnsi="宋体"/>
                <w:color w:val="auto"/>
              </w:rPr>
              <w:t>项目名称</w:t>
            </w:r>
          </w:p>
        </w:tc>
        <w:tc>
          <w:tcPr>
            <w:tcW w:w="3060" w:type="dxa"/>
            <w:vMerge w:val="restart"/>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6E43599C">
            <w:pPr>
              <w:snapToGrid w:val="0"/>
              <w:spacing w:line="360" w:lineRule="auto"/>
              <w:jc w:val="center"/>
              <w:rPr>
                <w:rFonts w:ascii="宋体" w:hAnsi="宋体"/>
                <w:color w:val="auto"/>
              </w:rPr>
            </w:pPr>
            <w:r>
              <w:rPr>
                <w:rFonts w:hint="eastAsia" w:ascii="宋体" w:hAnsi="宋体" w:cs="宋体"/>
                <w:color w:val="auto"/>
              </w:rPr>
              <w:t>长沙经开区果园江湾学校分布式光伏电站及充电桩项目</w:t>
            </w:r>
          </w:p>
        </w:tc>
        <w:tc>
          <w:tcPr>
            <w:tcW w:w="1620" w:type="dxa"/>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2ED5BC55">
            <w:pPr>
              <w:snapToGrid w:val="0"/>
              <w:spacing w:line="360" w:lineRule="auto"/>
              <w:jc w:val="center"/>
              <w:rPr>
                <w:rFonts w:ascii="宋体" w:hAnsi="宋体"/>
                <w:color w:val="auto"/>
              </w:rPr>
            </w:pPr>
            <w:r>
              <w:rPr>
                <w:rFonts w:hint="eastAsia" w:ascii="宋体" w:hAnsi="宋体"/>
                <w:color w:val="auto"/>
              </w:rPr>
              <w:t>政府采购</w:t>
            </w:r>
            <w:r>
              <w:rPr>
                <w:rFonts w:ascii="宋体" w:hAnsi="宋体"/>
                <w:color w:val="auto"/>
              </w:rPr>
              <w:t>编号</w:t>
            </w:r>
          </w:p>
        </w:tc>
        <w:tc>
          <w:tcPr>
            <w:tcW w:w="2520" w:type="dxa"/>
            <w:tcBorders>
              <w:top w:val="double" w:color="000000" w:sz="4"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6213387">
            <w:pPr>
              <w:snapToGrid w:val="0"/>
              <w:spacing w:line="360" w:lineRule="auto"/>
              <w:jc w:val="center"/>
              <w:rPr>
                <w:rFonts w:ascii="宋体" w:hAnsi="宋体"/>
                <w:color w:val="auto"/>
              </w:rPr>
            </w:pPr>
          </w:p>
        </w:tc>
      </w:tr>
      <w:tr w14:paraId="4F02D455">
        <w:tblPrEx>
          <w:tblCellMar>
            <w:top w:w="0" w:type="dxa"/>
            <w:left w:w="0" w:type="dxa"/>
            <w:bottom w:w="0" w:type="dxa"/>
            <w:right w:w="0" w:type="dxa"/>
          </w:tblCellMar>
        </w:tblPrEx>
        <w:trPr>
          <w:trHeight w:val="456" w:hRule="atLeast"/>
        </w:trPr>
        <w:tc>
          <w:tcPr>
            <w:tcW w:w="1620" w:type="dxa"/>
            <w:vMerge w:val="continue"/>
            <w:tcBorders>
              <w:top w:val="double" w:color="000000" w:sz="4"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1E330D4B">
            <w:pPr>
              <w:snapToGrid w:val="0"/>
              <w:spacing w:line="360" w:lineRule="auto"/>
              <w:jc w:val="center"/>
              <w:rPr>
                <w:rFonts w:ascii="宋体" w:hAnsi="宋体"/>
                <w:color w:val="auto"/>
              </w:rPr>
            </w:pPr>
          </w:p>
        </w:tc>
        <w:tc>
          <w:tcPr>
            <w:tcW w:w="3060" w:type="dxa"/>
            <w:vMerge w:val="continue"/>
            <w:tcBorders>
              <w:top w:val="double" w:color="000000" w:sz="4"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1D5F519">
            <w:pPr>
              <w:snapToGrid w:val="0"/>
              <w:spacing w:line="360" w:lineRule="auto"/>
              <w:jc w:val="center"/>
              <w:rPr>
                <w:rFonts w:ascii="宋体" w:hAnsi="宋体"/>
                <w:color w:val="auto"/>
              </w:rPr>
            </w:pPr>
          </w:p>
        </w:tc>
        <w:tc>
          <w:tcPr>
            <w:tcW w:w="1620" w:type="dxa"/>
            <w:tcBorders>
              <w:top w:val="single" w:color="000000" w:sz="6" w:space="0"/>
              <w:left w:val="single" w:color="000000" w:sz="6" w:space="0"/>
              <w:bottom w:val="single" w:color="000000" w:sz="6" w:space="0"/>
              <w:right w:val="single" w:color="000000" w:sz="6" w:space="0"/>
            </w:tcBorders>
            <w:tcMar>
              <w:top w:w="0" w:type="dxa"/>
              <w:left w:w="108" w:type="dxa"/>
              <w:bottom w:w="0" w:type="dxa"/>
              <w:right w:w="108" w:type="dxa"/>
            </w:tcMar>
            <w:vAlign w:val="center"/>
          </w:tcPr>
          <w:p w14:paraId="10EB5F87">
            <w:pPr>
              <w:snapToGrid w:val="0"/>
              <w:spacing w:line="360" w:lineRule="auto"/>
              <w:jc w:val="center"/>
              <w:rPr>
                <w:rFonts w:ascii="宋体" w:hAnsi="宋体"/>
                <w:color w:val="auto"/>
              </w:rPr>
            </w:pPr>
            <w:r>
              <w:rPr>
                <w:rFonts w:hint="eastAsia" w:ascii="宋体" w:hAnsi="宋体"/>
                <w:color w:val="auto"/>
              </w:rPr>
              <w:t>采购代理</w:t>
            </w:r>
            <w:r>
              <w:rPr>
                <w:rFonts w:ascii="宋体" w:hAnsi="宋体"/>
                <w:color w:val="auto"/>
              </w:rPr>
              <w:t>编号</w:t>
            </w:r>
          </w:p>
        </w:tc>
        <w:tc>
          <w:tcPr>
            <w:tcW w:w="2520" w:type="dxa"/>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B93B805">
            <w:pPr>
              <w:snapToGrid w:val="0"/>
              <w:spacing w:line="360" w:lineRule="auto"/>
              <w:jc w:val="center"/>
              <w:rPr>
                <w:rFonts w:ascii="宋体" w:hAnsi="宋体"/>
                <w:color w:val="auto"/>
              </w:rPr>
            </w:pPr>
          </w:p>
        </w:tc>
      </w:tr>
      <w:tr w14:paraId="561BB3BE">
        <w:tblPrEx>
          <w:tblCellMar>
            <w:top w:w="0" w:type="dxa"/>
            <w:left w:w="0" w:type="dxa"/>
            <w:bottom w:w="0" w:type="dxa"/>
            <w:right w:w="0" w:type="dxa"/>
          </w:tblCellMar>
        </w:tblPrEx>
        <w:trPr>
          <w:trHeight w:val="603"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4DE30EA8">
            <w:pPr>
              <w:snapToGrid w:val="0"/>
              <w:spacing w:line="360" w:lineRule="auto"/>
              <w:jc w:val="center"/>
              <w:rPr>
                <w:rFonts w:ascii="宋体" w:hAnsi="宋体"/>
                <w:color w:val="auto"/>
              </w:rPr>
            </w:pPr>
            <w:r>
              <w:rPr>
                <w:rFonts w:hint="eastAsia" w:ascii="宋体" w:hAnsi="宋体"/>
                <w:color w:val="auto"/>
              </w:rPr>
              <w:t>工程范围</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206A995D">
            <w:pPr>
              <w:snapToGrid w:val="0"/>
              <w:spacing w:line="360" w:lineRule="auto"/>
              <w:rPr>
                <w:rFonts w:ascii="宋体" w:hAnsi="宋体"/>
                <w:color w:val="auto"/>
              </w:rPr>
            </w:pPr>
          </w:p>
        </w:tc>
      </w:tr>
      <w:tr w14:paraId="4B2A9801">
        <w:tblPrEx>
          <w:tblCellMar>
            <w:top w:w="0" w:type="dxa"/>
            <w:left w:w="0" w:type="dxa"/>
            <w:bottom w:w="0" w:type="dxa"/>
            <w:right w:w="0" w:type="dxa"/>
          </w:tblCellMar>
        </w:tblPrEx>
        <w:trPr>
          <w:trHeight w:val="603"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36DC22DC">
            <w:pPr>
              <w:snapToGrid w:val="0"/>
              <w:spacing w:line="360" w:lineRule="auto"/>
              <w:jc w:val="center"/>
              <w:rPr>
                <w:rFonts w:ascii="宋体" w:hAnsi="宋体"/>
                <w:color w:val="auto"/>
              </w:rPr>
            </w:pPr>
            <w:r>
              <w:rPr>
                <w:rFonts w:hint="eastAsia" w:ascii="宋体" w:hAnsi="宋体"/>
                <w:color w:val="auto"/>
              </w:rPr>
              <w:t>磋商</w:t>
            </w:r>
            <w:r>
              <w:rPr>
                <w:rFonts w:ascii="宋体" w:hAnsi="宋体"/>
                <w:color w:val="auto"/>
              </w:rPr>
              <w:t>报价</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3021233">
            <w:pPr>
              <w:snapToGrid w:val="0"/>
              <w:spacing w:line="360" w:lineRule="auto"/>
              <w:rPr>
                <w:rFonts w:ascii="宋体" w:hAnsi="宋体"/>
                <w:color w:val="auto"/>
              </w:rPr>
            </w:pPr>
            <w:r>
              <w:rPr>
                <w:rFonts w:hint="eastAsia" w:ascii="宋体" w:hAnsi="宋体"/>
                <w:color w:val="auto"/>
              </w:rPr>
              <w:t>大写：</w:t>
            </w:r>
            <w:r>
              <w:rPr>
                <w:rFonts w:hint="eastAsia" w:ascii="宋体" w:hAnsi="宋体"/>
                <w:color w:val="auto"/>
                <w:u w:val="single"/>
              </w:rPr>
              <w:t xml:space="preserve">                    </w:t>
            </w:r>
            <w:r>
              <w:rPr>
                <w:rFonts w:hint="eastAsia" w:ascii="宋体" w:hAnsi="宋体"/>
                <w:color w:val="auto"/>
              </w:rPr>
              <w:t>元人民币整</w:t>
            </w:r>
          </w:p>
          <w:p w14:paraId="2636F61C">
            <w:pPr>
              <w:snapToGrid w:val="0"/>
              <w:spacing w:line="360" w:lineRule="auto"/>
              <w:rPr>
                <w:rFonts w:ascii="宋体" w:hAnsi="宋体"/>
                <w:color w:val="auto"/>
              </w:rPr>
            </w:pPr>
            <w:r>
              <w:rPr>
                <w:rFonts w:hint="eastAsia" w:ascii="宋体" w:hAnsi="宋体"/>
                <w:color w:val="auto"/>
              </w:rPr>
              <w:t>小写：</w:t>
            </w:r>
            <w:r>
              <w:rPr>
                <w:rFonts w:hint="eastAsia" w:ascii="宋体" w:hAnsi="宋体"/>
                <w:color w:val="auto"/>
                <w:u w:val="single"/>
              </w:rPr>
              <w:t xml:space="preserve">                    </w:t>
            </w:r>
            <w:r>
              <w:rPr>
                <w:rFonts w:hint="eastAsia" w:ascii="宋体" w:hAnsi="宋体"/>
                <w:color w:val="auto"/>
              </w:rPr>
              <w:t>元人民币整</w:t>
            </w:r>
          </w:p>
          <w:p w14:paraId="4767831D">
            <w:pPr>
              <w:snapToGrid w:val="0"/>
              <w:spacing w:line="360" w:lineRule="auto"/>
              <w:rPr>
                <w:rFonts w:ascii="宋体" w:hAnsi="宋体"/>
                <w:color w:val="auto"/>
                <w:sz w:val="20"/>
              </w:rPr>
            </w:pPr>
            <w:r>
              <w:rPr>
                <w:rFonts w:hint="eastAsia" w:ascii="宋体" w:hAnsi="宋体"/>
                <w:color w:val="auto"/>
                <w:sz w:val="20"/>
              </w:rPr>
              <w:t>（磋商报价优惠率为：       %）保留小数点后两位</w:t>
            </w:r>
          </w:p>
        </w:tc>
      </w:tr>
      <w:tr w14:paraId="54F0AB7A">
        <w:tblPrEx>
          <w:tblCellMar>
            <w:top w:w="0" w:type="dxa"/>
            <w:left w:w="0" w:type="dxa"/>
            <w:bottom w:w="0" w:type="dxa"/>
            <w:right w:w="0" w:type="dxa"/>
          </w:tblCellMar>
        </w:tblPrEx>
        <w:trPr>
          <w:trHeight w:val="455" w:hRule="atLeast"/>
        </w:trPr>
        <w:tc>
          <w:tcPr>
            <w:tcW w:w="16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E2152BB">
            <w:pPr>
              <w:snapToGrid w:val="0"/>
              <w:spacing w:line="360" w:lineRule="auto"/>
              <w:jc w:val="center"/>
              <w:rPr>
                <w:rFonts w:ascii="宋体" w:hAnsi="宋体"/>
                <w:color w:val="auto"/>
              </w:rPr>
            </w:pPr>
            <w:r>
              <w:rPr>
                <w:rFonts w:hint="eastAsia" w:ascii="宋体" w:hAnsi="宋体"/>
                <w:color w:val="auto"/>
              </w:rPr>
              <w:t>工期</w:t>
            </w:r>
            <w:r>
              <w:rPr>
                <w:rFonts w:hint="eastAsia" w:ascii="宋体" w:hAnsi="宋体" w:cs="宋体"/>
                <w:color w:val="auto"/>
              </w:rPr>
              <w:t>（日历天）</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0568F40">
            <w:pPr>
              <w:snapToGrid w:val="0"/>
              <w:spacing w:line="360" w:lineRule="auto"/>
              <w:rPr>
                <w:rFonts w:ascii="宋体" w:hAnsi="宋体"/>
                <w:color w:val="auto"/>
              </w:rPr>
            </w:pPr>
          </w:p>
        </w:tc>
      </w:tr>
      <w:tr w14:paraId="4A91F262">
        <w:tblPrEx>
          <w:tblCellMar>
            <w:top w:w="0" w:type="dxa"/>
            <w:left w:w="0" w:type="dxa"/>
            <w:bottom w:w="0" w:type="dxa"/>
            <w:right w:w="0" w:type="dxa"/>
          </w:tblCellMar>
        </w:tblPrEx>
        <w:trPr>
          <w:trHeight w:val="447" w:hRule="atLeast"/>
        </w:trPr>
        <w:tc>
          <w:tcPr>
            <w:tcW w:w="1620" w:type="dxa"/>
            <w:tcBorders>
              <w:top w:val="single" w:color="000000" w:sz="6" w:space="0"/>
              <w:left w:val="double" w:color="000000" w:sz="4" w:space="0"/>
              <w:bottom w:val="single" w:color="000000" w:sz="6" w:space="0"/>
              <w:right w:val="single" w:color="000000" w:sz="6" w:space="0"/>
            </w:tcBorders>
            <w:tcMar>
              <w:top w:w="0" w:type="dxa"/>
              <w:left w:w="108" w:type="dxa"/>
              <w:bottom w:w="0" w:type="dxa"/>
              <w:right w:w="108" w:type="dxa"/>
            </w:tcMar>
            <w:vAlign w:val="center"/>
          </w:tcPr>
          <w:p w14:paraId="6D754F10">
            <w:pPr>
              <w:snapToGrid w:val="0"/>
              <w:spacing w:line="360" w:lineRule="auto"/>
              <w:jc w:val="center"/>
              <w:rPr>
                <w:rFonts w:ascii="宋体" w:hAnsi="宋体"/>
                <w:color w:val="auto"/>
              </w:rPr>
            </w:pPr>
            <w:r>
              <w:rPr>
                <w:rFonts w:hint="eastAsia" w:ascii="宋体" w:hAnsi="宋体"/>
                <w:color w:val="auto"/>
              </w:rPr>
              <w:t>项目负责人</w:t>
            </w:r>
          </w:p>
        </w:tc>
        <w:tc>
          <w:tcPr>
            <w:tcW w:w="7200" w:type="dxa"/>
            <w:gridSpan w:val="3"/>
            <w:tcBorders>
              <w:top w:val="single" w:color="000000" w:sz="6" w:space="0"/>
              <w:left w:val="single" w:color="000000" w:sz="6" w:space="0"/>
              <w:bottom w:val="single" w:color="000000" w:sz="6" w:space="0"/>
              <w:right w:val="double" w:color="000000" w:sz="4" w:space="0"/>
            </w:tcBorders>
            <w:tcMar>
              <w:top w:w="0" w:type="dxa"/>
              <w:left w:w="108" w:type="dxa"/>
              <w:bottom w:w="0" w:type="dxa"/>
              <w:right w:w="108" w:type="dxa"/>
            </w:tcMar>
            <w:vAlign w:val="center"/>
          </w:tcPr>
          <w:p w14:paraId="499892D7">
            <w:pPr>
              <w:snapToGrid w:val="0"/>
              <w:spacing w:line="360" w:lineRule="auto"/>
              <w:ind w:firstLine="210"/>
              <w:rPr>
                <w:rFonts w:ascii="宋体" w:hAnsi="宋体"/>
                <w:color w:val="auto"/>
              </w:rPr>
            </w:pPr>
          </w:p>
        </w:tc>
      </w:tr>
      <w:tr w14:paraId="0C77EE94">
        <w:tblPrEx>
          <w:tblCellMar>
            <w:top w:w="0" w:type="dxa"/>
            <w:left w:w="0" w:type="dxa"/>
            <w:bottom w:w="0" w:type="dxa"/>
            <w:right w:w="0" w:type="dxa"/>
          </w:tblCellMar>
        </w:tblPrEx>
        <w:trPr>
          <w:trHeight w:val="374" w:hRule="atLeast"/>
        </w:trPr>
        <w:tc>
          <w:tcPr>
            <w:tcW w:w="1620" w:type="dxa"/>
            <w:tcBorders>
              <w:top w:val="single" w:color="000000" w:sz="6"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7EC25123">
            <w:pPr>
              <w:snapToGrid w:val="0"/>
              <w:spacing w:line="360" w:lineRule="auto"/>
              <w:jc w:val="center"/>
              <w:rPr>
                <w:rFonts w:ascii="宋体" w:hAnsi="宋体"/>
                <w:color w:val="auto"/>
              </w:rPr>
            </w:pPr>
            <w:r>
              <w:rPr>
                <w:rFonts w:hint="eastAsia" w:ascii="宋体" w:hAnsi="宋体"/>
                <w:color w:val="auto"/>
              </w:rPr>
              <w:t>质量承诺</w:t>
            </w:r>
          </w:p>
        </w:tc>
        <w:tc>
          <w:tcPr>
            <w:tcW w:w="7200" w:type="dxa"/>
            <w:gridSpan w:val="3"/>
            <w:tcBorders>
              <w:top w:val="single" w:color="000000" w:sz="6" w:space="0"/>
              <w:left w:val="single" w:color="000000" w:sz="6" w:space="0"/>
              <w:bottom w:val="single" w:color="000000" w:sz="4" w:space="0"/>
              <w:right w:val="double" w:color="000000" w:sz="4" w:space="0"/>
            </w:tcBorders>
            <w:tcMar>
              <w:top w:w="0" w:type="dxa"/>
              <w:left w:w="108" w:type="dxa"/>
              <w:bottom w:w="0" w:type="dxa"/>
              <w:right w:w="108" w:type="dxa"/>
            </w:tcMar>
            <w:vAlign w:val="center"/>
          </w:tcPr>
          <w:p w14:paraId="17BD74B5">
            <w:pPr>
              <w:snapToGrid w:val="0"/>
              <w:spacing w:line="360" w:lineRule="auto"/>
              <w:rPr>
                <w:rFonts w:ascii="宋体" w:hAnsi="宋体"/>
                <w:color w:val="auto"/>
              </w:rPr>
            </w:pPr>
          </w:p>
        </w:tc>
      </w:tr>
      <w:tr w14:paraId="45270A1F">
        <w:tblPrEx>
          <w:tblCellMar>
            <w:top w:w="0" w:type="dxa"/>
            <w:left w:w="0" w:type="dxa"/>
            <w:bottom w:w="0" w:type="dxa"/>
            <w:right w:w="0" w:type="dxa"/>
          </w:tblCellMar>
        </w:tblPrEx>
        <w:trPr>
          <w:trHeight w:val="262" w:hRule="atLeast"/>
        </w:trPr>
        <w:tc>
          <w:tcPr>
            <w:tcW w:w="1620" w:type="dxa"/>
            <w:tcBorders>
              <w:top w:val="single" w:color="000000" w:sz="4" w:space="0"/>
              <w:left w:val="double" w:color="000000" w:sz="4" w:space="0"/>
              <w:bottom w:val="single" w:color="000000" w:sz="4" w:space="0"/>
              <w:right w:val="single" w:color="000000" w:sz="6" w:space="0"/>
            </w:tcBorders>
            <w:tcMar>
              <w:top w:w="0" w:type="dxa"/>
              <w:left w:w="108" w:type="dxa"/>
              <w:bottom w:w="0" w:type="dxa"/>
              <w:right w:w="108" w:type="dxa"/>
            </w:tcMar>
            <w:vAlign w:val="center"/>
          </w:tcPr>
          <w:p w14:paraId="0296A676">
            <w:pPr>
              <w:snapToGrid w:val="0"/>
              <w:spacing w:line="360" w:lineRule="auto"/>
              <w:jc w:val="center"/>
              <w:rPr>
                <w:rFonts w:ascii="宋体" w:hAnsi="宋体"/>
                <w:color w:val="auto"/>
              </w:rPr>
            </w:pPr>
            <w:r>
              <w:rPr>
                <w:rFonts w:hint="eastAsia" w:ascii="宋体" w:hAnsi="宋体"/>
                <w:color w:val="auto"/>
              </w:rPr>
              <w:t>保修承诺</w:t>
            </w:r>
          </w:p>
        </w:tc>
        <w:tc>
          <w:tcPr>
            <w:tcW w:w="7200" w:type="dxa"/>
            <w:gridSpan w:val="3"/>
            <w:tcBorders>
              <w:top w:val="single" w:color="000000" w:sz="4" w:space="0"/>
              <w:left w:val="single" w:color="000000" w:sz="6" w:space="0"/>
              <w:bottom w:val="single" w:color="000000" w:sz="4" w:space="0"/>
              <w:right w:val="double" w:color="000000" w:sz="4" w:space="0"/>
            </w:tcBorders>
            <w:tcMar>
              <w:top w:w="0" w:type="dxa"/>
              <w:left w:w="108" w:type="dxa"/>
              <w:bottom w:w="0" w:type="dxa"/>
              <w:right w:w="108" w:type="dxa"/>
            </w:tcMar>
            <w:vAlign w:val="center"/>
          </w:tcPr>
          <w:p w14:paraId="013E76A8">
            <w:pPr>
              <w:snapToGrid w:val="0"/>
              <w:spacing w:line="360" w:lineRule="auto"/>
              <w:rPr>
                <w:rFonts w:ascii="宋体" w:hAnsi="宋体"/>
                <w:color w:val="auto"/>
              </w:rPr>
            </w:pPr>
          </w:p>
        </w:tc>
      </w:tr>
      <w:tr w14:paraId="7CFA9C1C">
        <w:tblPrEx>
          <w:tblCellMar>
            <w:top w:w="0" w:type="dxa"/>
            <w:left w:w="0" w:type="dxa"/>
            <w:bottom w:w="0" w:type="dxa"/>
            <w:right w:w="0" w:type="dxa"/>
          </w:tblCellMar>
        </w:tblPrEx>
        <w:trPr>
          <w:trHeight w:val="327" w:hRule="atLeast"/>
        </w:trPr>
        <w:tc>
          <w:tcPr>
            <w:tcW w:w="1620" w:type="dxa"/>
            <w:tcBorders>
              <w:top w:val="single" w:color="000000" w:sz="4" w:space="0"/>
              <w:left w:val="double" w:color="000000" w:sz="4" w:space="0"/>
              <w:bottom w:val="double" w:color="000000" w:sz="4" w:space="0"/>
              <w:right w:val="single" w:color="000000" w:sz="6" w:space="0"/>
            </w:tcBorders>
            <w:tcMar>
              <w:top w:w="0" w:type="dxa"/>
              <w:left w:w="108" w:type="dxa"/>
              <w:bottom w:w="0" w:type="dxa"/>
              <w:right w:w="108" w:type="dxa"/>
            </w:tcMar>
            <w:vAlign w:val="center"/>
          </w:tcPr>
          <w:p w14:paraId="7CB6AD76">
            <w:pPr>
              <w:snapToGrid w:val="0"/>
              <w:spacing w:line="360" w:lineRule="auto"/>
              <w:jc w:val="center"/>
              <w:rPr>
                <w:rFonts w:ascii="宋体" w:hAnsi="宋体"/>
                <w:color w:val="auto"/>
              </w:rPr>
            </w:pPr>
            <w:r>
              <w:rPr>
                <w:rFonts w:ascii="宋体" w:hAnsi="宋体"/>
                <w:color w:val="auto"/>
              </w:rPr>
              <w:t>备  注</w:t>
            </w:r>
          </w:p>
        </w:tc>
        <w:tc>
          <w:tcPr>
            <w:tcW w:w="7200" w:type="dxa"/>
            <w:gridSpan w:val="3"/>
            <w:tcBorders>
              <w:top w:val="single" w:color="000000" w:sz="4" w:space="0"/>
              <w:left w:val="single" w:color="000000" w:sz="6" w:space="0"/>
              <w:bottom w:val="double" w:color="000000" w:sz="4" w:space="0"/>
              <w:right w:val="double" w:color="000000" w:sz="4" w:space="0"/>
            </w:tcBorders>
            <w:tcMar>
              <w:top w:w="0" w:type="dxa"/>
              <w:left w:w="108" w:type="dxa"/>
              <w:bottom w:w="0" w:type="dxa"/>
              <w:right w:w="108" w:type="dxa"/>
            </w:tcMar>
            <w:vAlign w:val="center"/>
          </w:tcPr>
          <w:p w14:paraId="1B6F1B62">
            <w:pPr>
              <w:spacing w:line="360" w:lineRule="auto"/>
              <w:rPr>
                <w:rFonts w:ascii="宋体" w:hAnsi="宋体"/>
                <w:color w:val="auto"/>
              </w:rPr>
            </w:pPr>
            <w:r>
              <w:rPr>
                <w:rFonts w:hint="eastAsia" w:ascii="宋体" w:hAnsi="宋体"/>
                <w:color w:val="auto"/>
              </w:rPr>
              <w:t>1、</w:t>
            </w:r>
            <w:r>
              <w:rPr>
                <w:rFonts w:hint="eastAsia" w:ascii="宋体"/>
                <w:b/>
                <w:bCs/>
                <w:color w:val="auto"/>
              </w:rPr>
              <w:t>磋商报价中的绿色施工安全防护措施项目费、安全责任险、环境保护税需保持费率与招标控制价对应项目费率一致，不优惠。</w:t>
            </w:r>
          </w:p>
          <w:p w14:paraId="6979A67A">
            <w:pPr>
              <w:spacing w:line="360" w:lineRule="auto"/>
              <w:rPr>
                <w:rFonts w:ascii="宋体" w:hAnsi="宋体"/>
                <w:color w:val="auto"/>
              </w:rPr>
            </w:pPr>
            <w:r>
              <w:rPr>
                <w:rFonts w:hint="eastAsia" w:ascii="宋体" w:hAnsi="宋体"/>
                <w:color w:val="auto"/>
              </w:rPr>
              <w:t>2、磋商报价优惠率=[1-（磋商报价中的分部分项工程费+单价措施项目费+总价措施项目费）/（招标控制价中的分部分项工程费+单价措施项目费+总价措施项目费）]*100%。</w:t>
            </w:r>
          </w:p>
          <w:p w14:paraId="542D632A">
            <w:pPr>
              <w:snapToGrid w:val="0"/>
              <w:spacing w:line="360" w:lineRule="exact"/>
              <w:rPr>
                <w:rFonts w:ascii="宋体" w:hAnsi="宋体"/>
                <w:color w:val="auto"/>
                <w:szCs w:val="21"/>
              </w:rPr>
            </w:pPr>
            <w:r>
              <w:rPr>
                <w:rFonts w:hint="eastAsia" w:ascii="宋体" w:hAnsi="宋体" w:cs="宋体"/>
                <w:color w:val="auto"/>
                <w:szCs w:val="21"/>
              </w:rPr>
              <w:t>3</w:t>
            </w:r>
            <w:r>
              <w:rPr>
                <w:rFonts w:ascii="宋体" w:hAnsi="宋体" w:cs="宋体"/>
                <w:color w:val="auto"/>
                <w:szCs w:val="21"/>
              </w:rPr>
              <w:t>.</w:t>
            </w:r>
            <w:r>
              <w:rPr>
                <w:rFonts w:hint="eastAsia" w:ascii="宋体"/>
                <w:b/>
                <w:bCs/>
                <w:color w:val="auto"/>
              </w:rPr>
              <w:t xml:space="preserve"> 供应商最后报价须提供胶装的工程量清单，封面、骑缝加盖供应商单位公章。</w:t>
            </w:r>
          </w:p>
        </w:tc>
      </w:tr>
    </w:tbl>
    <w:p w14:paraId="6C1BAD11">
      <w:pPr>
        <w:adjustRightInd w:val="0"/>
        <w:snapToGrid w:val="0"/>
        <w:jc w:val="right"/>
        <w:rPr>
          <w:rFonts w:ascii="宋体" w:cs="宋体"/>
          <w:color w:val="auto"/>
          <w:szCs w:val="21"/>
        </w:rPr>
      </w:pPr>
    </w:p>
    <w:p w14:paraId="586E4973">
      <w:pPr>
        <w:pStyle w:val="25"/>
        <w:rPr>
          <w:color w:val="auto"/>
        </w:rPr>
      </w:pPr>
    </w:p>
    <w:p w14:paraId="0745EF90">
      <w:pPr>
        <w:adjustRightInd w:val="0"/>
        <w:snapToGrid w:val="0"/>
        <w:spacing w:line="360" w:lineRule="auto"/>
        <w:rPr>
          <w:rFonts w:ascii="宋体" w:cs="宋体"/>
          <w:color w:val="auto"/>
          <w:szCs w:val="21"/>
        </w:rPr>
      </w:pPr>
      <w:r>
        <w:rPr>
          <w:rFonts w:hint="eastAsia" w:ascii="宋体" w:hAnsi="宋体" w:cs="宋体"/>
          <w:color w:val="auto"/>
          <w:szCs w:val="21"/>
        </w:rPr>
        <w:t>说明：</w:t>
      </w:r>
    </w:p>
    <w:p w14:paraId="7302959D">
      <w:pPr>
        <w:adjustRightInd w:val="0"/>
        <w:snapToGrid w:val="0"/>
        <w:spacing w:line="360" w:lineRule="auto"/>
        <w:ind w:firstLine="525" w:firstLineChars="250"/>
        <w:rPr>
          <w:rFonts w:ascii="宋体" w:cs="宋体"/>
          <w:color w:val="auto"/>
          <w:szCs w:val="21"/>
        </w:rPr>
      </w:pPr>
      <w:r>
        <w:rPr>
          <w:rFonts w:ascii="宋体" w:hAnsi="宋体" w:cs="宋体"/>
          <w:color w:val="auto"/>
          <w:szCs w:val="21"/>
        </w:rPr>
        <w:t xml:space="preserve">1. </w:t>
      </w:r>
      <w:r>
        <w:rPr>
          <w:rFonts w:hint="eastAsia" w:ascii="宋体" w:hAnsi="宋体" w:cs="宋体"/>
          <w:b/>
          <w:color w:val="auto"/>
          <w:szCs w:val="21"/>
        </w:rPr>
        <w:t>此报价不放在响应文件中，磋商现场根据磋商小组的要求提供。</w:t>
      </w:r>
    </w:p>
    <w:p w14:paraId="404A1975">
      <w:pPr>
        <w:adjustRightInd w:val="0"/>
        <w:snapToGrid w:val="0"/>
        <w:spacing w:line="360" w:lineRule="auto"/>
        <w:ind w:firstLine="525" w:firstLineChars="250"/>
        <w:rPr>
          <w:rFonts w:ascii="宋体" w:hAnsi="宋体" w:cs="宋体"/>
          <w:color w:val="auto"/>
          <w:szCs w:val="21"/>
        </w:rPr>
      </w:pPr>
      <w:r>
        <w:rPr>
          <w:rFonts w:ascii="宋体" w:hAnsi="宋体" w:cs="宋体"/>
          <w:color w:val="auto"/>
          <w:szCs w:val="21"/>
        </w:rPr>
        <w:t xml:space="preserve">2. </w:t>
      </w:r>
      <w:r>
        <w:rPr>
          <w:rFonts w:hint="eastAsia" w:ascii="宋体" w:hAnsi="宋体" w:cs="宋体"/>
          <w:b/>
          <w:bCs/>
          <w:color w:val="auto"/>
          <w:szCs w:val="21"/>
        </w:rPr>
        <w:t>磋商文件未发生改变，最后报价不得高于上一轮的报价</w:t>
      </w:r>
      <w:r>
        <w:rPr>
          <w:rFonts w:hint="eastAsia" w:ascii="宋体" w:hAnsi="宋体" w:cs="宋体"/>
          <w:color w:val="auto"/>
          <w:szCs w:val="21"/>
        </w:rPr>
        <w:t>。</w:t>
      </w:r>
    </w:p>
    <w:p w14:paraId="052B2B12">
      <w:pPr>
        <w:adjustRightInd w:val="0"/>
        <w:snapToGrid w:val="0"/>
        <w:spacing w:line="360" w:lineRule="auto"/>
        <w:ind w:firstLine="514" w:firstLineChars="245"/>
        <w:rPr>
          <w:rFonts w:ascii="宋体" w:cs="宋体"/>
          <w:color w:val="auto"/>
          <w:szCs w:val="21"/>
        </w:rPr>
      </w:pPr>
      <w:r>
        <w:rPr>
          <w:rFonts w:ascii="宋体" w:hAnsi="宋体" w:cs="宋体"/>
          <w:color w:val="auto"/>
          <w:szCs w:val="21"/>
        </w:rPr>
        <w:t xml:space="preserve">3. </w:t>
      </w:r>
      <w:r>
        <w:rPr>
          <w:rFonts w:hint="eastAsia" w:ascii="宋体" w:hAnsi="宋体" w:cs="宋体"/>
          <w:color w:val="auto"/>
          <w:szCs w:val="21"/>
        </w:rPr>
        <w:t>本报价一式两份，可打印或用不退色墨水书写。</w:t>
      </w:r>
    </w:p>
    <w:p w14:paraId="2CBA0789">
      <w:pPr>
        <w:adjustRightInd w:val="0"/>
        <w:snapToGrid w:val="0"/>
        <w:spacing w:line="360" w:lineRule="auto"/>
        <w:ind w:firstLine="514" w:firstLineChars="245"/>
        <w:rPr>
          <w:rFonts w:ascii="宋体" w:cs="宋体"/>
          <w:color w:val="auto"/>
          <w:szCs w:val="21"/>
        </w:rPr>
      </w:pPr>
      <w:r>
        <w:rPr>
          <w:rFonts w:ascii="宋体" w:hAnsi="宋体" w:cs="宋体"/>
          <w:color w:val="auto"/>
          <w:szCs w:val="21"/>
        </w:rPr>
        <w:t xml:space="preserve">4. </w:t>
      </w:r>
      <w:r>
        <w:rPr>
          <w:rFonts w:hint="eastAsia" w:ascii="宋体" w:hAnsi="宋体" w:cs="宋体"/>
          <w:color w:val="auto"/>
          <w:szCs w:val="21"/>
        </w:rPr>
        <w:t>本报价文件递交给代理机构后不得修改，否则视为无效文件。</w:t>
      </w:r>
    </w:p>
    <w:p w14:paraId="125FF613">
      <w:pPr>
        <w:adjustRightInd w:val="0"/>
        <w:snapToGrid w:val="0"/>
        <w:spacing w:line="360" w:lineRule="auto"/>
        <w:rPr>
          <w:rFonts w:ascii="宋体" w:cs="宋体"/>
          <w:color w:val="auto"/>
        </w:rPr>
      </w:pPr>
    </w:p>
    <w:p w14:paraId="548149C5">
      <w:pPr>
        <w:adjustRightInd w:val="0"/>
        <w:snapToGrid w:val="0"/>
        <w:spacing w:line="360" w:lineRule="auto"/>
        <w:rPr>
          <w:rFonts w:ascii="宋体" w:cs="宋体"/>
          <w:color w:val="auto"/>
        </w:rPr>
      </w:pPr>
      <w:r>
        <w:rPr>
          <w:rFonts w:hint="eastAsia" w:ascii="宋体" w:hAnsi="宋体" w:cs="宋体"/>
          <w:color w:val="auto"/>
        </w:rPr>
        <w:t>供应商名称：</w:t>
      </w:r>
    </w:p>
    <w:p w14:paraId="17C7A7E2">
      <w:pPr>
        <w:adjustRightInd w:val="0"/>
        <w:snapToGrid w:val="0"/>
        <w:spacing w:line="360" w:lineRule="auto"/>
        <w:rPr>
          <w:rFonts w:ascii="宋体" w:cs="宋体"/>
          <w:color w:val="auto"/>
        </w:rPr>
      </w:pPr>
      <w:r>
        <w:rPr>
          <w:rFonts w:hint="eastAsia" w:ascii="宋体" w:hAnsi="宋体" w:cs="宋体"/>
          <w:color w:val="auto"/>
        </w:rPr>
        <w:t>法定代表人或其授权代表签字：</w:t>
      </w:r>
    </w:p>
    <w:p w14:paraId="2B062DB7">
      <w:pPr>
        <w:rPr>
          <w:color w:val="auto"/>
        </w:rPr>
      </w:pPr>
      <w:r>
        <w:rPr>
          <w:rFonts w:hint="eastAsia" w:ascii="宋体" w:hAnsi="宋体" w:cs="宋体"/>
          <w:color w:val="auto"/>
        </w:rPr>
        <w:t>日期：年   月   日</w:t>
      </w:r>
    </w:p>
    <w:bookmarkEnd w:id="45"/>
    <w:sectPr>
      <w:headerReference r:id="rId9" w:type="default"/>
      <w:footerReference r:id="rId10" w:type="default"/>
      <w:pgSz w:w="11906" w:h="16838"/>
      <w:pgMar w:top="1440" w:right="1531" w:bottom="1440" w:left="1531" w:header="851" w:footer="992" w:gutter="0"/>
      <w:cols w:space="0" w:num="1"/>
      <w:docGrid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Arail">
    <w:altName w:val="Times New Roman"/>
    <w:panose1 w:val="00000000000000000000"/>
    <w:charset w:val="00"/>
    <w:family w:val="roman"/>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73301">
    <w:pPr>
      <w:tabs>
        <w:tab w:val="center" w:pos="4153"/>
        <w:tab w:val="center" w:pos="4242"/>
        <w:tab w:val="right" w:pos="8306"/>
      </w:tabs>
      <w:snapToGrid w:val="0"/>
      <w:ind w:right="360"/>
      <w:jc w:val="left"/>
      <w:rPr>
        <w:sz w:val="18"/>
      </w:rPr>
    </w:pPr>
    <w:r>
      <w:rPr>
        <w:rFonts w:hint="eastAsia"/>
        <w:sz w:val="18"/>
      </w:rPr>
      <w:t>湖南昊坤工程咨询有限公司</w:t>
    </w:r>
    <w:r>
      <w:rPr>
        <w:sz w:val="18"/>
      </w:rPr>
      <w:tab/>
    </w:r>
    <w:r>
      <w:rPr>
        <w:rFonts w:hint="eastAsia"/>
        <w:sz w:val="18"/>
      </w:rPr>
      <w:t xml:space="preserve">      </w:t>
    </w:r>
    <w:r>
      <w:rPr>
        <w:sz w:val="18"/>
      </w:rPr>
      <w:fldChar w:fldCharType="begin"/>
    </w:r>
    <w:r>
      <w:rPr>
        <w:sz w:val="18"/>
      </w:rPr>
      <w:instrText xml:space="preserve">PAGE   \* MERGEFORMAT</w:instrText>
    </w:r>
    <w:r>
      <w:rPr>
        <w:sz w:val="18"/>
      </w:rPr>
      <w:fldChar w:fldCharType="separate"/>
    </w:r>
    <w:r>
      <w:rPr>
        <w:sz w:val="18"/>
        <w:lang w:val="zh-CN"/>
      </w:rPr>
      <w:t>12</w:t>
    </w:r>
    <w:r>
      <w:rPr>
        <w:sz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95F39">
    <w:pPr>
      <w:tabs>
        <w:tab w:val="center" w:pos="4153"/>
        <w:tab w:val="center" w:pos="4242"/>
        <w:tab w:val="right" w:pos="8306"/>
      </w:tabs>
      <w:snapToGrid w:val="0"/>
      <w:ind w:right="360"/>
      <w:rPr>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911AECC">
                          <w:pPr>
                            <w:snapToGrid w:val="0"/>
                            <w:jc w:val="left"/>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103</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141</w:t>
                          </w:r>
                          <w:r>
                            <w:rPr>
                              <w:sz w:val="18"/>
                            </w:rPr>
                            <w:fldChar w:fldCharType="end"/>
                          </w:r>
                          <w:r>
                            <w:rPr>
                              <w:sz w:val="18"/>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5911AECC">
                    <w:pPr>
                      <w:snapToGrid w:val="0"/>
                      <w:jc w:val="left"/>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103</w:t>
                    </w:r>
                    <w:r>
                      <w:rPr>
                        <w:sz w:val="18"/>
                      </w:rPr>
                      <w:fldChar w:fldCharType="end"/>
                    </w:r>
                    <w:r>
                      <w:rPr>
                        <w:sz w:val="18"/>
                      </w:rPr>
                      <w:t xml:space="preserve"> 页 共 </w:t>
                    </w:r>
                    <w:r>
                      <w:rPr>
                        <w:sz w:val="18"/>
                      </w:rPr>
                      <w:fldChar w:fldCharType="begin"/>
                    </w:r>
                    <w:r>
                      <w:rPr>
                        <w:sz w:val="18"/>
                      </w:rPr>
                      <w:instrText xml:space="preserve"> NUMPAGES  \* MERGEFORMAT </w:instrText>
                    </w:r>
                    <w:r>
                      <w:rPr>
                        <w:sz w:val="18"/>
                      </w:rPr>
                      <w:fldChar w:fldCharType="separate"/>
                    </w:r>
                    <w:r>
                      <w:rPr>
                        <w:sz w:val="18"/>
                      </w:rPr>
                      <w:t>141</w:t>
                    </w:r>
                    <w:r>
                      <w:rPr>
                        <w:sz w:val="18"/>
                      </w:rPr>
                      <w:fldChar w:fldCharType="end"/>
                    </w:r>
                    <w:r>
                      <w:rPr>
                        <w:sz w:val="18"/>
                      </w:rP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637F2">
    <w:pPr>
      <w:tabs>
        <w:tab w:val="center" w:pos="4153"/>
        <w:tab w:val="center" w:pos="4242"/>
        <w:tab w:val="right" w:pos="8306"/>
      </w:tabs>
      <w:snapToGrid w:val="0"/>
      <w:ind w:right="360"/>
      <w:rPr>
        <w:sz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8EB9040">
                          <w:pPr>
                            <w:pStyle w:val="13"/>
                          </w:pPr>
                          <w:r>
                            <w:t xml:space="preserve">第 </w:t>
                          </w:r>
                          <w:r>
                            <w:fldChar w:fldCharType="begin"/>
                          </w:r>
                          <w:r>
                            <w:instrText xml:space="preserve"> PAGE  \* MERGEFORMAT </w:instrText>
                          </w:r>
                          <w:r>
                            <w:fldChar w:fldCharType="separate"/>
                          </w:r>
                          <w:r>
                            <w:t>130</w:t>
                          </w:r>
                          <w:r>
                            <w:fldChar w:fldCharType="end"/>
                          </w:r>
                          <w:r>
                            <w:t xml:space="preserve"> 页 共 </w:t>
                          </w:r>
                          <w:r>
                            <w:fldChar w:fldCharType="begin"/>
                          </w:r>
                          <w:r>
                            <w:instrText xml:space="preserve"> NUMPAGES  \* MERGEFORMAT </w:instrText>
                          </w:r>
                          <w:r>
                            <w:fldChar w:fldCharType="separate"/>
                          </w:r>
                          <w:r>
                            <w:t>141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08EB9040">
                    <w:pPr>
                      <w:pStyle w:val="13"/>
                    </w:pPr>
                    <w:r>
                      <w:t xml:space="preserve">第 </w:t>
                    </w:r>
                    <w:r>
                      <w:fldChar w:fldCharType="begin"/>
                    </w:r>
                    <w:r>
                      <w:instrText xml:space="preserve"> PAGE  \* MERGEFORMAT </w:instrText>
                    </w:r>
                    <w:r>
                      <w:fldChar w:fldCharType="separate"/>
                    </w:r>
                    <w:r>
                      <w:t>130</w:t>
                    </w:r>
                    <w:r>
                      <w:fldChar w:fldCharType="end"/>
                    </w:r>
                    <w:r>
                      <w:t xml:space="preserve"> 页 共 </w:t>
                    </w:r>
                    <w:r>
                      <w:fldChar w:fldCharType="begin"/>
                    </w:r>
                    <w:r>
                      <w:instrText xml:space="preserve"> NUMPAGES  \* MERGEFORMAT </w:instrText>
                    </w:r>
                    <w:r>
                      <w:fldChar w:fldCharType="separate"/>
                    </w:r>
                    <w:r>
                      <w:t>141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B6219">
    <w:pPr>
      <w:tabs>
        <w:tab w:val="center" w:pos="4153"/>
        <w:tab w:val="right" w:pos="8306"/>
      </w:tabs>
      <w:snapToGrid w:val="0"/>
      <w:ind w:right="360"/>
      <w:jc w:val="left"/>
      <w:rPr>
        <w:rFonts w:ascii="宋体" w:hAnsi="宋体"/>
        <w:sz w:val="15"/>
        <w:szCs w:val="15"/>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72085" cy="131445"/>
              <wp:effectExtent l="0" t="0" r="0" b="0"/>
              <wp:wrapNone/>
              <wp:docPr id="1"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72085" cy="131445"/>
                      </a:xfrm>
                      <a:prstGeom prst="rect">
                        <a:avLst/>
                      </a:prstGeom>
                      <a:noFill/>
                      <a:ln>
                        <a:noFill/>
                      </a:ln>
                    </wps:spPr>
                    <wps:txbx>
                      <w:txbxContent>
                        <w:p w14:paraId="07874D3C">
                          <w:pPr>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140</w:t>
                          </w:r>
                          <w:r>
                            <w:rPr>
                              <w:sz w:val="18"/>
                            </w:rPr>
                            <w:fldChar w:fldCharType="end"/>
                          </w: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0.35pt;width:13.55pt;mso-position-horizontal:center;mso-position-horizontal-relative:margin;mso-wrap-style:none;z-index:251660288;mso-width-relative:page;mso-height-relative:page;" filled="f" stroked="f" coordsize="21600,21600" o:gfxdata="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JXQ5c8AAAADAQAADwAAAAAAAAABACAAAAAiAAAAZHJzL2Rv&#10;d25yZXYueG1sUEsBAhQAFAAAAAgAh07iQI59yzUKAgAAAgQAAA4AAAAAAAAAAQAgAAAAHgEAAGRy&#10;cy9lMm9Eb2MueG1sUEsFBgAAAAAGAAYAWQEAAJoFAAAAAA==&#10;">
              <v:fill on="f" focussize="0,0"/>
              <v:stroke on="f"/>
              <v:imagedata o:title=""/>
              <o:lock v:ext="edit" aspectratio="f"/>
              <v:textbox inset="0mm,0mm,0mm,0mm" style="mso-fit-shape-to-text:t;">
                <w:txbxContent>
                  <w:p w14:paraId="07874D3C">
                    <w:pPr>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140</w:t>
                    </w:r>
                    <w:r>
                      <w:rPr>
                        <w:sz w:val="18"/>
                      </w:rPr>
                      <w:fldChar w:fldCharType="end"/>
                    </w:r>
                  </w:p>
                </w:txbxContent>
              </v:textbox>
            </v:shape>
          </w:pict>
        </mc:Fallback>
      </mc:AlternateContent>
    </w:r>
    <w:r>
      <w:rPr>
        <w:rFonts w:hint="eastAsia"/>
        <w:sz w:val="18"/>
      </w:rPr>
      <w:t>湖南昊坤工程咨询有限公司</w:t>
    </w:r>
    <w:r>
      <w:rPr>
        <w:rFonts w:ascii="宋体" w:hAnsi="宋体"/>
        <w:sz w:val="15"/>
        <w:szCs w:val="15"/>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E7DA1">
    <w:pPr>
      <w:pStyle w:val="14"/>
      <w:pBdr>
        <w:bottom w:val="single" w:color="auto" w:sz="4" w:space="1"/>
      </w:pBdr>
      <w:jc w:val="left"/>
    </w:pPr>
    <w:r>
      <w:rPr>
        <w:rFonts w:hint="eastAsia"/>
      </w:rPr>
      <w:t xml:space="preserve">长沙经开区果园江湾学校分布式光伏电站及充电桩项目         竞争性磋商文件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9C3FF">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01402">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C5C6E">
    <w:pPr>
      <w:pStyle w:val="14"/>
      <w:pBdr>
        <w:bottom w:val="single" w:color="auto" w:sz="4" w:space="1"/>
      </w:pBdr>
      <w:jc w:val="left"/>
    </w:pPr>
    <w:r>
      <w:rPr>
        <w:rFonts w:hint="eastAsia"/>
      </w:rPr>
      <w:t xml:space="preserve">长沙经开区果园江湾学校分布式光伏电站及充电桩项目                竞争性磋商文件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C49689"/>
    <w:multiLevelType w:val="singleLevel"/>
    <w:tmpl w:val="8DC49689"/>
    <w:lvl w:ilvl="0" w:tentative="0">
      <w:start w:val="1"/>
      <w:numFmt w:val="decimal"/>
      <w:suff w:val="nothing"/>
      <w:lvlText w:val="%1、"/>
      <w:lvlJc w:val="left"/>
    </w:lvl>
  </w:abstractNum>
  <w:abstractNum w:abstractNumId="1">
    <w:nsid w:val="8DED22DF"/>
    <w:multiLevelType w:val="singleLevel"/>
    <w:tmpl w:val="8DED22DF"/>
    <w:lvl w:ilvl="0" w:tentative="0">
      <w:start w:val="3"/>
      <w:numFmt w:val="decimal"/>
      <w:suff w:val="nothing"/>
      <w:lvlText w:val="%1、"/>
      <w:lvlJc w:val="left"/>
    </w:lvl>
  </w:abstractNum>
  <w:abstractNum w:abstractNumId="2">
    <w:nsid w:val="A54CA5A5"/>
    <w:multiLevelType w:val="singleLevel"/>
    <w:tmpl w:val="A54CA5A5"/>
    <w:lvl w:ilvl="0" w:tentative="0">
      <w:start w:val="1"/>
      <w:numFmt w:val="decimal"/>
      <w:suff w:val="space"/>
      <w:lvlText w:val="%1."/>
      <w:lvlJc w:val="left"/>
    </w:lvl>
  </w:abstractNum>
  <w:abstractNum w:abstractNumId="3">
    <w:nsid w:val="D99EF2A5"/>
    <w:multiLevelType w:val="singleLevel"/>
    <w:tmpl w:val="D99EF2A5"/>
    <w:lvl w:ilvl="0" w:tentative="0">
      <w:start w:val="1"/>
      <w:numFmt w:val="decimal"/>
      <w:suff w:val="nothing"/>
      <w:lvlText w:val="%1、"/>
      <w:lvlJc w:val="left"/>
    </w:lvl>
  </w:abstractNum>
  <w:abstractNum w:abstractNumId="4">
    <w:nsid w:val="D9FE79AC"/>
    <w:multiLevelType w:val="singleLevel"/>
    <w:tmpl w:val="D9FE79AC"/>
    <w:lvl w:ilvl="0" w:tentative="0">
      <w:start w:val="1"/>
      <w:numFmt w:val="decimal"/>
      <w:suff w:val="nothing"/>
      <w:lvlText w:val="（%1）"/>
      <w:lvlJc w:val="left"/>
    </w:lvl>
  </w:abstractNum>
  <w:abstractNum w:abstractNumId="5">
    <w:nsid w:val="F51FE9DB"/>
    <w:multiLevelType w:val="singleLevel"/>
    <w:tmpl w:val="F51FE9DB"/>
    <w:lvl w:ilvl="0" w:tentative="0">
      <w:start w:val="1"/>
      <w:numFmt w:val="decimal"/>
      <w:suff w:val="nothing"/>
      <w:lvlText w:val="%1、"/>
      <w:lvlJc w:val="left"/>
    </w:lvl>
  </w:abstractNum>
  <w:abstractNum w:abstractNumId="6">
    <w:nsid w:val="4D214AB2"/>
    <w:multiLevelType w:val="singleLevel"/>
    <w:tmpl w:val="4D214AB2"/>
    <w:lvl w:ilvl="0" w:tentative="0">
      <w:start w:val="1"/>
      <w:numFmt w:val="decimal"/>
      <w:suff w:val="nothing"/>
      <w:lvlText w:val="%1、"/>
      <w:lvlJc w:val="left"/>
    </w:lvl>
  </w:abstractNum>
  <w:abstractNum w:abstractNumId="7">
    <w:nsid w:val="53E1A7EC"/>
    <w:multiLevelType w:val="multilevel"/>
    <w:tmpl w:val="53E1A7EC"/>
    <w:lvl w:ilvl="0" w:tentative="0">
      <w:start w:val="10"/>
      <w:numFmt w:val="decimal"/>
      <w:suff w:val="nothing"/>
      <w:lvlText w:val="%1."/>
      <w:lvlJc w:val="left"/>
      <w:pPr>
        <w:ind w:left="0" w:firstLine="0"/>
      </w:pPr>
      <w:rPr>
        <w:strike w:val="0"/>
        <w:dstrike w:val="0"/>
        <w:u w:val="none"/>
      </w:rPr>
    </w:lvl>
    <w:lvl w:ilvl="1" w:tentative="0">
      <w:start w:val="1"/>
      <w:numFmt w:val="decimal"/>
      <w:lvlText w:val=""/>
      <w:lvlJc w:val="left"/>
      <w:pPr>
        <w:ind w:left="0" w:firstLine="0"/>
      </w:pPr>
      <w:rPr>
        <w:strike w:val="0"/>
        <w:dstrike w:val="0"/>
        <w:u w:val="none"/>
      </w:rPr>
    </w:lvl>
    <w:lvl w:ilvl="2" w:tentative="0">
      <w:start w:val="1"/>
      <w:numFmt w:val="decimal"/>
      <w:lvlText w:val=""/>
      <w:lvlJc w:val="left"/>
      <w:pPr>
        <w:ind w:left="0" w:firstLine="0"/>
      </w:pPr>
      <w:rPr>
        <w:strike w:val="0"/>
        <w:dstrike w:val="0"/>
        <w:u w:val="none"/>
      </w:rPr>
    </w:lvl>
    <w:lvl w:ilvl="3" w:tentative="0">
      <w:start w:val="1"/>
      <w:numFmt w:val="decimal"/>
      <w:lvlText w:val=""/>
      <w:lvlJc w:val="left"/>
      <w:pPr>
        <w:ind w:left="0" w:firstLine="0"/>
      </w:pPr>
      <w:rPr>
        <w:strike w:val="0"/>
        <w:dstrike w:val="0"/>
        <w:u w:val="none"/>
      </w:rPr>
    </w:lvl>
    <w:lvl w:ilvl="4" w:tentative="0">
      <w:start w:val="1"/>
      <w:numFmt w:val="decimal"/>
      <w:lvlText w:val=""/>
      <w:lvlJc w:val="left"/>
      <w:pPr>
        <w:ind w:left="0" w:firstLine="0"/>
      </w:pPr>
      <w:rPr>
        <w:strike w:val="0"/>
        <w:dstrike w:val="0"/>
        <w:u w:val="none"/>
      </w:rPr>
    </w:lvl>
    <w:lvl w:ilvl="5" w:tentative="0">
      <w:start w:val="1"/>
      <w:numFmt w:val="decimal"/>
      <w:lvlText w:val=""/>
      <w:lvlJc w:val="left"/>
      <w:pPr>
        <w:ind w:left="0" w:firstLine="0"/>
      </w:pPr>
      <w:rPr>
        <w:strike w:val="0"/>
        <w:dstrike w:val="0"/>
        <w:u w:val="none"/>
      </w:rPr>
    </w:lvl>
    <w:lvl w:ilvl="6" w:tentative="0">
      <w:start w:val="1"/>
      <w:numFmt w:val="decimal"/>
      <w:lvlText w:val=""/>
      <w:lvlJc w:val="left"/>
      <w:pPr>
        <w:ind w:left="0" w:firstLine="0"/>
      </w:pPr>
      <w:rPr>
        <w:strike w:val="0"/>
        <w:dstrike w:val="0"/>
        <w:u w:val="none"/>
      </w:rPr>
    </w:lvl>
    <w:lvl w:ilvl="7" w:tentative="0">
      <w:start w:val="1"/>
      <w:numFmt w:val="decimal"/>
      <w:lvlText w:val=""/>
      <w:lvlJc w:val="left"/>
      <w:pPr>
        <w:ind w:left="0" w:firstLine="0"/>
      </w:pPr>
      <w:rPr>
        <w:strike w:val="0"/>
        <w:dstrike w:val="0"/>
        <w:u w:val="none"/>
      </w:rPr>
    </w:lvl>
    <w:lvl w:ilvl="8" w:tentative="0">
      <w:start w:val="1"/>
      <w:numFmt w:val="decimal"/>
      <w:lvlText w:val=""/>
      <w:lvlJc w:val="left"/>
      <w:pPr>
        <w:ind w:left="0" w:firstLine="0"/>
      </w:pPr>
      <w:rPr>
        <w:strike w:val="0"/>
        <w:dstrike w:val="0"/>
        <w:u w:val="none"/>
      </w:rPr>
    </w:lvl>
  </w:abstractNum>
  <w:abstractNum w:abstractNumId="8">
    <w:nsid w:val="53E1EE81"/>
    <w:multiLevelType w:val="multilevel"/>
    <w:tmpl w:val="53E1EE81"/>
    <w:lvl w:ilvl="0" w:tentative="0">
      <w:start w:val="5"/>
      <w:numFmt w:val="decimal"/>
      <w:suff w:val="nothing"/>
      <w:lvlText w:val="（%1）"/>
      <w:lvlJc w:val="left"/>
      <w:pPr>
        <w:ind w:left="0" w:firstLine="0"/>
      </w:pPr>
      <w:rPr>
        <w:strike w:val="0"/>
        <w:dstrike w:val="0"/>
        <w:u w:val="none"/>
      </w:rPr>
    </w:lvl>
    <w:lvl w:ilvl="1" w:tentative="0">
      <w:start w:val="1"/>
      <w:numFmt w:val="decimal"/>
      <w:lvlText w:val=""/>
      <w:lvlJc w:val="left"/>
      <w:pPr>
        <w:ind w:left="0" w:firstLine="0"/>
      </w:pPr>
      <w:rPr>
        <w:strike w:val="0"/>
        <w:dstrike w:val="0"/>
        <w:u w:val="none"/>
      </w:rPr>
    </w:lvl>
    <w:lvl w:ilvl="2" w:tentative="0">
      <w:start w:val="1"/>
      <w:numFmt w:val="decimal"/>
      <w:lvlText w:val=""/>
      <w:lvlJc w:val="left"/>
      <w:pPr>
        <w:ind w:left="0" w:firstLine="0"/>
      </w:pPr>
      <w:rPr>
        <w:strike w:val="0"/>
        <w:dstrike w:val="0"/>
        <w:u w:val="none"/>
      </w:rPr>
    </w:lvl>
    <w:lvl w:ilvl="3" w:tentative="0">
      <w:start w:val="1"/>
      <w:numFmt w:val="decimal"/>
      <w:lvlText w:val=""/>
      <w:lvlJc w:val="left"/>
      <w:pPr>
        <w:ind w:left="0" w:firstLine="0"/>
      </w:pPr>
      <w:rPr>
        <w:strike w:val="0"/>
        <w:dstrike w:val="0"/>
        <w:u w:val="none"/>
      </w:rPr>
    </w:lvl>
    <w:lvl w:ilvl="4" w:tentative="0">
      <w:start w:val="1"/>
      <w:numFmt w:val="decimal"/>
      <w:lvlText w:val=""/>
      <w:lvlJc w:val="left"/>
      <w:pPr>
        <w:ind w:left="0" w:firstLine="0"/>
      </w:pPr>
      <w:rPr>
        <w:strike w:val="0"/>
        <w:dstrike w:val="0"/>
        <w:u w:val="none"/>
      </w:rPr>
    </w:lvl>
    <w:lvl w:ilvl="5" w:tentative="0">
      <w:start w:val="1"/>
      <w:numFmt w:val="decimal"/>
      <w:lvlText w:val=""/>
      <w:lvlJc w:val="left"/>
      <w:pPr>
        <w:ind w:left="0" w:firstLine="0"/>
      </w:pPr>
      <w:rPr>
        <w:strike w:val="0"/>
        <w:dstrike w:val="0"/>
        <w:u w:val="none"/>
      </w:rPr>
    </w:lvl>
    <w:lvl w:ilvl="6" w:tentative="0">
      <w:start w:val="1"/>
      <w:numFmt w:val="decimal"/>
      <w:lvlText w:val=""/>
      <w:lvlJc w:val="left"/>
      <w:pPr>
        <w:ind w:left="0" w:firstLine="0"/>
      </w:pPr>
      <w:rPr>
        <w:strike w:val="0"/>
        <w:dstrike w:val="0"/>
        <w:u w:val="none"/>
      </w:rPr>
    </w:lvl>
    <w:lvl w:ilvl="7" w:tentative="0">
      <w:start w:val="1"/>
      <w:numFmt w:val="decimal"/>
      <w:lvlText w:val=""/>
      <w:lvlJc w:val="left"/>
      <w:pPr>
        <w:ind w:left="0" w:firstLine="0"/>
      </w:pPr>
      <w:rPr>
        <w:strike w:val="0"/>
        <w:dstrike w:val="0"/>
        <w:u w:val="none"/>
      </w:rPr>
    </w:lvl>
    <w:lvl w:ilvl="8" w:tentative="0">
      <w:start w:val="1"/>
      <w:numFmt w:val="decimal"/>
      <w:lvlText w:val=""/>
      <w:lvlJc w:val="left"/>
      <w:pPr>
        <w:ind w:left="0" w:firstLine="0"/>
      </w:pPr>
      <w:rPr>
        <w:strike w:val="0"/>
        <w:dstrike w:val="0"/>
        <w:u w:val="none"/>
      </w:rPr>
    </w:lvl>
  </w:abstractNum>
  <w:abstractNum w:abstractNumId="9">
    <w:nsid w:val="588B42A2"/>
    <w:multiLevelType w:val="singleLevel"/>
    <w:tmpl w:val="588B42A2"/>
    <w:lvl w:ilvl="0" w:tentative="0">
      <w:start w:val="5"/>
      <w:numFmt w:val="decimal"/>
      <w:suff w:val="nothing"/>
      <w:lvlText w:val="（%1）"/>
      <w:lvlJc w:val="left"/>
    </w:lvl>
  </w:abstractNum>
  <w:abstractNum w:abstractNumId="10">
    <w:nsid w:val="698E279A"/>
    <w:multiLevelType w:val="multilevel"/>
    <w:tmpl w:val="698E279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6DD95CA5"/>
    <w:multiLevelType w:val="singleLevel"/>
    <w:tmpl w:val="6DD95CA5"/>
    <w:lvl w:ilvl="0" w:tentative="0">
      <w:start w:val="2"/>
      <w:numFmt w:val="decimal"/>
      <w:suff w:val="nothing"/>
      <w:lvlText w:val="%1、"/>
      <w:lvlJc w:val="left"/>
    </w:lvl>
  </w:abstractNum>
  <w:abstractNum w:abstractNumId="12">
    <w:nsid w:val="778ACBB6"/>
    <w:multiLevelType w:val="multilevel"/>
    <w:tmpl w:val="778ACBB6"/>
    <w:lvl w:ilvl="0" w:tentative="0">
      <w:start w:val="1"/>
      <w:numFmt w:val="decimal"/>
      <w:suff w:val="nothing"/>
      <w:lvlText w:val="%1、"/>
      <w:lvlJc w:val="left"/>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9"/>
  </w:num>
  <w:num w:numId="2">
    <w:abstractNumId w:val="1"/>
  </w:num>
  <w:num w:numId="3">
    <w:abstractNumId w:val="4"/>
  </w:num>
  <w:num w:numId="4">
    <w:abstractNumId w:val="3"/>
  </w:num>
  <w:num w:numId="5">
    <w:abstractNumId w:val="12"/>
  </w:num>
  <w:num w:numId="6">
    <w:abstractNumId w:val="5"/>
  </w:num>
  <w:num w:numId="7">
    <w:abstractNumId w:val="6"/>
  </w:num>
  <w:num w:numId="8">
    <w:abstractNumId w:val="0"/>
  </w:num>
  <w:num w:numId="9">
    <w:abstractNumId w:val="10"/>
  </w:num>
  <w:num w:numId="10">
    <w:abstractNumId w:val="7"/>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30"/>
  <w:embedSystemFonts/>
  <w:bordersDoNotSurroundHeader w:val="1"/>
  <w:bordersDoNotSurroundFooter w:val="1"/>
  <w:hideSpellingError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k1NzUyMGIwOTY5YmEwNzNmNWRhM2E4OGZlNDBiYmMifQ=="/>
  </w:docVars>
  <w:rsids>
    <w:rsidRoot w:val="57ED209E"/>
    <w:rsid w:val="00176BB1"/>
    <w:rsid w:val="001F1D2C"/>
    <w:rsid w:val="00222349"/>
    <w:rsid w:val="007A0076"/>
    <w:rsid w:val="00966649"/>
    <w:rsid w:val="00B125F1"/>
    <w:rsid w:val="00C92D30"/>
    <w:rsid w:val="00CF3641"/>
    <w:rsid w:val="00DC19CB"/>
    <w:rsid w:val="00E5663A"/>
    <w:rsid w:val="00EA185B"/>
    <w:rsid w:val="00F45C11"/>
    <w:rsid w:val="01174D11"/>
    <w:rsid w:val="018E258E"/>
    <w:rsid w:val="01E74243"/>
    <w:rsid w:val="034712EC"/>
    <w:rsid w:val="03B33CD5"/>
    <w:rsid w:val="04112685"/>
    <w:rsid w:val="05BB42A5"/>
    <w:rsid w:val="068641EB"/>
    <w:rsid w:val="076F5347"/>
    <w:rsid w:val="087B7D1C"/>
    <w:rsid w:val="08AA6685"/>
    <w:rsid w:val="08C72594"/>
    <w:rsid w:val="08EB2A9D"/>
    <w:rsid w:val="0B386F97"/>
    <w:rsid w:val="0BCF0DF9"/>
    <w:rsid w:val="0BFB34E7"/>
    <w:rsid w:val="0CCD3CE8"/>
    <w:rsid w:val="0D4D13D5"/>
    <w:rsid w:val="0E641F89"/>
    <w:rsid w:val="0E975183"/>
    <w:rsid w:val="0E994FC0"/>
    <w:rsid w:val="0EDA02D8"/>
    <w:rsid w:val="0F4C41C0"/>
    <w:rsid w:val="0FAC7F8F"/>
    <w:rsid w:val="0FAD754B"/>
    <w:rsid w:val="10072DFF"/>
    <w:rsid w:val="114B3F22"/>
    <w:rsid w:val="11C955BB"/>
    <w:rsid w:val="12053590"/>
    <w:rsid w:val="12674858"/>
    <w:rsid w:val="12816876"/>
    <w:rsid w:val="13147343"/>
    <w:rsid w:val="13707A49"/>
    <w:rsid w:val="13D80718"/>
    <w:rsid w:val="14A449C1"/>
    <w:rsid w:val="14BF29AF"/>
    <w:rsid w:val="159D0211"/>
    <w:rsid w:val="15DB4623"/>
    <w:rsid w:val="16B169EA"/>
    <w:rsid w:val="172E7EC2"/>
    <w:rsid w:val="174925F5"/>
    <w:rsid w:val="174954BB"/>
    <w:rsid w:val="179130B8"/>
    <w:rsid w:val="17F93F61"/>
    <w:rsid w:val="19F23B9D"/>
    <w:rsid w:val="1BB22853"/>
    <w:rsid w:val="1C512C50"/>
    <w:rsid w:val="1C6D20FE"/>
    <w:rsid w:val="1CB3587E"/>
    <w:rsid w:val="1D0E4FC8"/>
    <w:rsid w:val="1DE008F5"/>
    <w:rsid w:val="1DEA3522"/>
    <w:rsid w:val="1E453702"/>
    <w:rsid w:val="1EDF6DFF"/>
    <w:rsid w:val="1F9951FF"/>
    <w:rsid w:val="20124FB2"/>
    <w:rsid w:val="215A4B6E"/>
    <w:rsid w:val="2181419D"/>
    <w:rsid w:val="221D7DA2"/>
    <w:rsid w:val="22A702AB"/>
    <w:rsid w:val="22AD1173"/>
    <w:rsid w:val="233349E3"/>
    <w:rsid w:val="233829F3"/>
    <w:rsid w:val="23E43BD1"/>
    <w:rsid w:val="245C2990"/>
    <w:rsid w:val="247D4BDD"/>
    <w:rsid w:val="267A6E2E"/>
    <w:rsid w:val="26BC06A2"/>
    <w:rsid w:val="27475AB7"/>
    <w:rsid w:val="27AD45EA"/>
    <w:rsid w:val="28370309"/>
    <w:rsid w:val="29117D0B"/>
    <w:rsid w:val="29151373"/>
    <w:rsid w:val="29166B39"/>
    <w:rsid w:val="29BD3F19"/>
    <w:rsid w:val="2A211288"/>
    <w:rsid w:val="2A7802A0"/>
    <w:rsid w:val="2BB33C86"/>
    <w:rsid w:val="2BFD6E8F"/>
    <w:rsid w:val="2C1C26F1"/>
    <w:rsid w:val="2C5A3F68"/>
    <w:rsid w:val="2C9C2318"/>
    <w:rsid w:val="2CAA34BC"/>
    <w:rsid w:val="2CC94498"/>
    <w:rsid w:val="2EE43FBD"/>
    <w:rsid w:val="2F2F348A"/>
    <w:rsid w:val="2F5E5DC9"/>
    <w:rsid w:val="308710A4"/>
    <w:rsid w:val="30CE14CF"/>
    <w:rsid w:val="30D81900"/>
    <w:rsid w:val="315E0057"/>
    <w:rsid w:val="31CB29E3"/>
    <w:rsid w:val="324F1B22"/>
    <w:rsid w:val="32BA12BD"/>
    <w:rsid w:val="345D1E7E"/>
    <w:rsid w:val="35E00869"/>
    <w:rsid w:val="365B6516"/>
    <w:rsid w:val="370A5D67"/>
    <w:rsid w:val="37180CA8"/>
    <w:rsid w:val="371A057C"/>
    <w:rsid w:val="383C0F43"/>
    <w:rsid w:val="394E0714"/>
    <w:rsid w:val="3A0B18EC"/>
    <w:rsid w:val="3A310ECD"/>
    <w:rsid w:val="3B555854"/>
    <w:rsid w:val="3B5E2A01"/>
    <w:rsid w:val="3BC767F9"/>
    <w:rsid w:val="3BC9416E"/>
    <w:rsid w:val="3C001C8D"/>
    <w:rsid w:val="3C672EE3"/>
    <w:rsid w:val="3C683B38"/>
    <w:rsid w:val="3C7145AA"/>
    <w:rsid w:val="3D116D49"/>
    <w:rsid w:val="3D247631"/>
    <w:rsid w:val="3D943F74"/>
    <w:rsid w:val="3EC84D62"/>
    <w:rsid w:val="3ED82DBD"/>
    <w:rsid w:val="3EEC4EF4"/>
    <w:rsid w:val="3EF5509B"/>
    <w:rsid w:val="3F5E5951"/>
    <w:rsid w:val="409420DA"/>
    <w:rsid w:val="4138247D"/>
    <w:rsid w:val="41804E65"/>
    <w:rsid w:val="41AC3071"/>
    <w:rsid w:val="42C41308"/>
    <w:rsid w:val="43682F59"/>
    <w:rsid w:val="448636F5"/>
    <w:rsid w:val="45B605F5"/>
    <w:rsid w:val="461C7FEF"/>
    <w:rsid w:val="462D194E"/>
    <w:rsid w:val="46892791"/>
    <w:rsid w:val="469026AA"/>
    <w:rsid w:val="46B7400D"/>
    <w:rsid w:val="47501D98"/>
    <w:rsid w:val="47507743"/>
    <w:rsid w:val="4795777D"/>
    <w:rsid w:val="48030160"/>
    <w:rsid w:val="482D3E87"/>
    <w:rsid w:val="48CE6DF1"/>
    <w:rsid w:val="499F2B63"/>
    <w:rsid w:val="49CA63F8"/>
    <w:rsid w:val="49D51C57"/>
    <w:rsid w:val="4A1C75EF"/>
    <w:rsid w:val="4A305083"/>
    <w:rsid w:val="4A7E7653"/>
    <w:rsid w:val="4A9A1C0C"/>
    <w:rsid w:val="4B3C2D5F"/>
    <w:rsid w:val="4BD25472"/>
    <w:rsid w:val="4BD521F8"/>
    <w:rsid w:val="4C4753CA"/>
    <w:rsid w:val="4C6267F5"/>
    <w:rsid w:val="4D084C1C"/>
    <w:rsid w:val="4D523461"/>
    <w:rsid w:val="4D720CBA"/>
    <w:rsid w:val="4FBA6948"/>
    <w:rsid w:val="507054CE"/>
    <w:rsid w:val="516947B0"/>
    <w:rsid w:val="51BF1FF4"/>
    <w:rsid w:val="51D93FE8"/>
    <w:rsid w:val="51E87F5A"/>
    <w:rsid w:val="533162CF"/>
    <w:rsid w:val="536611E1"/>
    <w:rsid w:val="53C702A3"/>
    <w:rsid w:val="53DD49B3"/>
    <w:rsid w:val="555D0256"/>
    <w:rsid w:val="55B63EEE"/>
    <w:rsid w:val="56E46254"/>
    <w:rsid w:val="56F65422"/>
    <w:rsid w:val="57027CD2"/>
    <w:rsid w:val="57193F55"/>
    <w:rsid w:val="57ED209E"/>
    <w:rsid w:val="57EF313A"/>
    <w:rsid w:val="58380DEE"/>
    <w:rsid w:val="585B2011"/>
    <w:rsid w:val="58CA165C"/>
    <w:rsid w:val="598976A2"/>
    <w:rsid w:val="59C97EB4"/>
    <w:rsid w:val="5C0905AB"/>
    <w:rsid w:val="5C58569E"/>
    <w:rsid w:val="5C6E4D42"/>
    <w:rsid w:val="5D733088"/>
    <w:rsid w:val="5DF44F2B"/>
    <w:rsid w:val="5DFD637E"/>
    <w:rsid w:val="5E525AE1"/>
    <w:rsid w:val="5E895323"/>
    <w:rsid w:val="5EB91404"/>
    <w:rsid w:val="5EDF5A20"/>
    <w:rsid w:val="5F553FB5"/>
    <w:rsid w:val="6013369D"/>
    <w:rsid w:val="6070010A"/>
    <w:rsid w:val="60996106"/>
    <w:rsid w:val="60A1795D"/>
    <w:rsid w:val="615F2933"/>
    <w:rsid w:val="61D63B93"/>
    <w:rsid w:val="6228595F"/>
    <w:rsid w:val="626B0FDA"/>
    <w:rsid w:val="62CA25A7"/>
    <w:rsid w:val="62CF1CB5"/>
    <w:rsid w:val="62D32808"/>
    <w:rsid w:val="62E71676"/>
    <w:rsid w:val="62F67840"/>
    <w:rsid w:val="63500BAD"/>
    <w:rsid w:val="63AC7EFE"/>
    <w:rsid w:val="63BD56FF"/>
    <w:rsid w:val="6460175B"/>
    <w:rsid w:val="64B01820"/>
    <w:rsid w:val="65921AA2"/>
    <w:rsid w:val="65B043D2"/>
    <w:rsid w:val="66611EB4"/>
    <w:rsid w:val="67070FD0"/>
    <w:rsid w:val="67670D0C"/>
    <w:rsid w:val="683E7CBF"/>
    <w:rsid w:val="689618A9"/>
    <w:rsid w:val="69DD3507"/>
    <w:rsid w:val="6A44056D"/>
    <w:rsid w:val="6A6B0B13"/>
    <w:rsid w:val="6A961CE3"/>
    <w:rsid w:val="6B2A7EF2"/>
    <w:rsid w:val="6B512465"/>
    <w:rsid w:val="6BBC03E0"/>
    <w:rsid w:val="6C841A18"/>
    <w:rsid w:val="6CFA5B29"/>
    <w:rsid w:val="6D7F6FE9"/>
    <w:rsid w:val="6E893DDE"/>
    <w:rsid w:val="70676C85"/>
    <w:rsid w:val="71791D68"/>
    <w:rsid w:val="723D7110"/>
    <w:rsid w:val="725E2D0C"/>
    <w:rsid w:val="734E5569"/>
    <w:rsid w:val="738B46BD"/>
    <w:rsid w:val="73EB6821"/>
    <w:rsid w:val="740C0C71"/>
    <w:rsid w:val="74623627"/>
    <w:rsid w:val="746D6107"/>
    <w:rsid w:val="750E1D81"/>
    <w:rsid w:val="75A90F84"/>
    <w:rsid w:val="75B80E25"/>
    <w:rsid w:val="76977A06"/>
    <w:rsid w:val="77370954"/>
    <w:rsid w:val="775D6F12"/>
    <w:rsid w:val="786A1C4A"/>
    <w:rsid w:val="78916D8B"/>
    <w:rsid w:val="78CD2714"/>
    <w:rsid w:val="791434AF"/>
    <w:rsid w:val="7988058F"/>
    <w:rsid w:val="79927E6B"/>
    <w:rsid w:val="79B60B54"/>
    <w:rsid w:val="79EB17DF"/>
    <w:rsid w:val="7A232871"/>
    <w:rsid w:val="7AC878BC"/>
    <w:rsid w:val="7ADA6E60"/>
    <w:rsid w:val="7AF24A6D"/>
    <w:rsid w:val="7C584880"/>
    <w:rsid w:val="7C772237"/>
    <w:rsid w:val="7D1E3617"/>
    <w:rsid w:val="7DD345AE"/>
    <w:rsid w:val="7DEB5D9B"/>
    <w:rsid w:val="7E2D1F10"/>
    <w:rsid w:val="7E493E84"/>
    <w:rsid w:val="7E6F5FE6"/>
    <w:rsid w:val="7EEA0AA5"/>
    <w:rsid w:val="7F565D15"/>
    <w:rsid w:val="7FB56726"/>
    <w:rsid w:val="7FE674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sz w:val="21"/>
      <w:lang w:val="en-US" w:eastAsia="zh-CN" w:bidi="ar-SA"/>
    </w:rPr>
  </w:style>
  <w:style w:type="paragraph" w:styleId="2">
    <w:name w:val="heading 3"/>
    <w:basedOn w:val="1"/>
    <w:next w:val="1"/>
    <w:autoRedefine/>
    <w:qFormat/>
    <w:uiPriority w:val="0"/>
    <w:pPr>
      <w:spacing w:before="260" w:after="260" w:line="416" w:lineRule="auto"/>
      <w:outlineLvl w:val="2"/>
    </w:pPr>
    <w:rPr>
      <w:b/>
      <w:sz w:val="32"/>
    </w:rPr>
  </w:style>
  <w:style w:type="paragraph" w:styleId="3">
    <w:name w:val="heading 4"/>
    <w:basedOn w:val="1"/>
    <w:next w:val="1"/>
    <w:autoRedefine/>
    <w:qFormat/>
    <w:uiPriority w:val="0"/>
    <w:pPr>
      <w:spacing w:before="280" w:after="290" w:line="376" w:lineRule="auto"/>
      <w:outlineLvl w:val="3"/>
    </w:pPr>
    <w:rPr>
      <w:rFonts w:ascii="Arial" w:eastAsia="黑体"/>
      <w:b/>
      <w:sz w:val="28"/>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4">
    <w:name w:val="Normal Indent"/>
    <w:basedOn w:val="1"/>
    <w:next w:val="1"/>
    <w:autoRedefine/>
    <w:qFormat/>
    <w:uiPriority w:val="0"/>
    <w:pPr>
      <w:wordWrap w:val="0"/>
      <w:ind w:left="3400"/>
    </w:pPr>
  </w:style>
  <w:style w:type="paragraph" w:styleId="5">
    <w:name w:val="index 5"/>
    <w:basedOn w:val="1"/>
    <w:next w:val="1"/>
    <w:autoRedefine/>
    <w:qFormat/>
    <w:uiPriority w:val="0"/>
    <w:pPr>
      <w:ind w:left="1680"/>
    </w:pPr>
  </w:style>
  <w:style w:type="paragraph" w:styleId="6">
    <w:name w:val="Document Map"/>
    <w:basedOn w:val="1"/>
    <w:next w:val="7"/>
    <w:autoRedefine/>
    <w:qFormat/>
    <w:uiPriority w:val="0"/>
    <w:pPr>
      <w:shd w:val="clear" w:color="000000" w:fill="000080"/>
    </w:pPr>
    <w:rPr>
      <w:sz w:val="20"/>
    </w:rPr>
  </w:style>
  <w:style w:type="paragraph" w:customStyle="1" w:styleId="7">
    <w:name w:val="目录 21"/>
    <w:basedOn w:val="1"/>
    <w:next w:val="1"/>
    <w:autoRedefine/>
    <w:qFormat/>
    <w:uiPriority w:val="0"/>
    <w:pPr>
      <w:ind w:left="420"/>
    </w:pPr>
  </w:style>
  <w:style w:type="paragraph" w:styleId="8">
    <w:name w:val="annotation text"/>
    <w:basedOn w:val="1"/>
    <w:autoRedefine/>
    <w:qFormat/>
    <w:uiPriority w:val="0"/>
    <w:rPr>
      <w:sz w:val="20"/>
    </w:rPr>
  </w:style>
  <w:style w:type="paragraph" w:styleId="9">
    <w:name w:val="Body Text"/>
    <w:autoRedefine/>
    <w:qFormat/>
    <w:uiPriority w:val="1"/>
    <w:pPr>
      <w:widowControl w:val="0"/>
      <w:spacing w:after="120"/>
      <w:jc w:val="both"/>
    </w:pPr>
    <w:rPr>
      <w:rFonts w:ascii="Times New Roman" w:hAnsi="Times New Roman" w:eastAsia="宋体" w:cs="Times New Roman"/>
      <w:lang w:val="en-US" w:eastAsia="zh-CN" w:bidi="ar-SA"/>
    </w:rPr>
  </w:style>
  <w:style w:type="paragraph" w:styleId="10">
    <w:name w:val="Body Text Indent"/>
    <w:basedOn w:val="1"/>
    <w:autoRedefine/>
    <w:qFormat/>
    <w:uiPriority w:val="0"/>
    <w:pPr>
      <w:spacing w:after="120"/>
      <w:ind w:left="420"/>
    </w:pPr>
    <w:rPr>
      <w:sz w:val="20"/>
    </w:rPr>
  </w:style>
  <w:style w:type="paragraph" w:styleId="11">
    <w:name w:val="Plain Text"/>
    <w:basedOn w:val="1"/>
    <w:next w:val="1"/>
    <w:autoRedefine/>
    <w:qFormat/>
    <w:uiPriority w:val="0"/>
    <w:rPr>
      <w:rFonts w:ascii="宋体"/>
      <w:sz w:val="20"/>
    </w:rPr>
  </w:style>
  <w:style w:type="paragraph" w:styleId="12">
    <w:name w:val="Balloon Text"/>
    <w:basedOn w:val="1"/>
    <w:link w:val="59"/>
    <w:qFormat/>
    <w:uiPriority w:val="0"/>
    <w:rPr>
      <w:sz w:val="18"/>
      <w:szCs w:val="18"/>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header"/>
    <w:basedOn w:val="1"/>
    <w:next w:val="1"/>
    <w:autoRedefine/>
    <w:qFormat/>
    <w:uiPriority w:val="0"/>
    <w:pPr>
      <w:jc w:val="center"/>
    </w:pPr>
    <w:rPr>
      <w:sz w:val="18"/>
    </w:rPr>
  </w:style>
  <w:style w:type="paragraph" w:styleId="15">
    <w:name w:val="toc 1"/>
    <w:basedOn w:val="1"/>
    <w:next w:val="1"/>
    <w:autoRedefine/>
    <w:qFormat/>
    <w:uiPriority w:val="0"/>
    <w:pPr>
      <w:widowControl/>
      <w:ind w:left="180"/>
    </w:pPr>
    <w:rPr>
      <w:b/>
      <w:caps/>
      <w:sz w:val="20"/>
    </w:rPr>
  </w:style>
  <w:style w:type="paragraph" w:styleId="16">
    <w:name w:val="Normal (Web)"/>
    <w:basedOn w:val="1"/>
    <w:autoRedefine/>
    <w:qFormat/>
    <w:uiPriority w:val="99"/>
    <w:pPr>
      <w:widowControl/>
      <w:spacing w:before="280" w:after="280"/>
    </w:pPr>
    <w:rPr>
      <w:rFonts w:ascii="宋体"/>
      <w:sz w:val="24"/>
    </w:rPr>
  </w:style>
  <w:style w:type="paragraph" w:styleId="17">
    <w:name w:val="annotation subject"/>
    <w:basedOn w:val="8"/>
    <w:next w:val="1"/>
    <w:autoRedefine/>
    <w:qFormat/>
    <w:uiPriority w:val="0"/>
    <w:rPr>
      <w:b/>
    </w:rPr>
  </w:style>
  <w:style w:type="paragraph" w:styleId="18">
    <w:name w:val="Body Text First Indent 2"/>
    <w:basedOn w:val="10"/>
    <w:autoRedefine/>
    <w:qFormat/>
    <w:uiPriority w:val="0"/>
    <w:pPr>
      <w:autoSpaceDE w:val="0"/>
      <w:autoSpaceDN w:val="0"/>
      <w:adjustRightInd w:val="0"/>
      <w:ind w:firstLine="420"/>
      <w:jc w:val="left"/>
    </w:pPr>
    <w:rPr>
      <w:rFonts w:ascii="Calibri" w:hAnsi="Calibri"/>
    </w:rPr>
  </w:style>
  <w:style w:type="character" w:styleId="21">
    <w:name w:val="FollowedHyperlink"/>
    <w:basedOn w:val="20"/>
    <w:autoRedefine/>
    <w:qFormat/>
    <w:uiPriority w:val="0"/>
    <w:rPr>
      <w:color w:val="333333"/>
      <w:u w:val="none"/>
    </w:rPr>
  </w:style>
  <w:style w:type="character" w:styleId="22">
    <w:name w:val="Hyperlink"/>
    <w:basedOn w:val="20"/>
    <w:autoRedefine/>
    <w:qFormat/>
    <w:uiPriority w:val="0"/>
    <w:rPr>
      <w:color w:val="333333"/>
      <w:u w:val="none"/>
    </w:rPr>
  </w:style>
  <w:style w:type="character" w:styleId="23">
    <w:name w:val="annotation reference"/>
    <w:autoRedefine/>
    <w:qFormat/>
    <w:uiPriority w:val="0"/>
    <w:rPr>
      <w:sz w:val="21"/>
      <w:szCs w:val="21"/>
    </w:rPr>
  </w:style>
  <w:style w:type="paragraph" w:customStyle="1" w:styleId="24">
    <w:name w:val="列出段落1"/>
    <w:autoRedefine/>
    <w:qFormat/>
    <w:uiPriority w:val="34"/>
    <w:pPr>
      <w:widowControl w:val="0"/>
      <w:ind w:firstLine="420" w:firstLineChars="200"/>
      <w:jc w:val="both"/>
    </w:pPr>
    <w:rPr>
      <w:rFonts w:ascii="仿宋_GB2312" w:hAnsi="Times New Roman" w:eastAsia="仿宋_GB2312" w:cs="Times New Roman"/>
      <w:kern w:val="2"/>
      <w:sz w:val="32"/>
      <w:lang w:val="en-US" w:eastAsia="zh-CN" w:bidi="ar-SA"/>
    </w:rPr>
  </w:style>
  <w:style w:type="paragraph" w:customStyle="1" w:styleId="25">
    <w:name w:val="目录 81"/>
    <w:basedOn w:val="1"/>
    <w:next w:val="1"/>
    <w:autoRedefine/>
    <w:qFormat/>
    <w:uiPriority w:val="0"/>
    <w:pPr>
      <w:ind w:left="2940"/>
    </w:pPr>
    <w:rPr>
      <w:rFonts w:ascii="Calibri"/>
    </w:rPr>
  </w:style>
  <w:style w:type="paragraph" w:customStyle="1" w:styleId="26">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27">
    <w:name w:val="Char Char2211"/>
    <w:autoRedefine/>
    <w:qFormat/>
    <w:uiPriority w:val="0"/>
    <w:rPr>
      <w:b/>
      <w:sz w:val="20"/>
    </w:rPr>
  </w:style>
  <w:style w:type="paragraph" w:customStyle="1" w:styleId="28">
    <w:name w:val="Style10"/>
    <w:basedOn w:val="1"/>
    <w:autoRedefine/>
    <w:qFormat/>
    <w:uiPriority w:val="0"/>
    <w:pPr>
      <w:spacing w:line="538" w:lineRule="exact"/>
    </w:pPr>
  </w:style>
  <w:style w:type="paragraph" w:customStyle="1" w:styleId="29">
    <w:name w:val="Style80"/>
    <w:basedOn w:val="1"/>
    <w:next w:val="30"/>
    <w:autoRedefine/>
    <w:qFormat/>
    <w:uiPriority w:val="0"/>
  </w:style>
  <w:style w:type="paragraph" w:customStyle="1" w:styleId="30">
    <w:name w:val="表格"/>
    <w:basedOn w:val="1"/>
    <w:next w:val="31"/>
    <w:autoRedefine/>
    <w:qFormat/>
    <w:uiPriority w:val="0"/>
    <w:pPr>
      <w:widowControl/>
      <w:jc w:val="center"/>
    </w:pPr>
    <w:rPr>
      <w:rFonts w:ascii="华文细黑"/>
    </w:rPr>
  </w:style>
  <w:style w:type="paragraph" w:customStyle="1" w:styleId="31">
    <w:name w:val="Style72"/>
    <w:basedOn w:val="1"/>
    <w:next w:val="32"/>
    <w:autoRedefine/>
    <w:qFormat/>
    <w:uiPriority w:val="0"/>
  </w:style>
  <w:style w:type="paragraph" w:customStyle="1" w:styleId="32">
    <w:name w:val="Style26"/>
    <w:basedOn w:val="1"/>
    <w:next w:val="16"/>
    <w:autoRedefine/>
    <w:qFormat/>
    <w:uiPriority w:val="0"/>
  </w:style>
  <w:style w:type="paragraph" w:customStyle="1" w:styleId="33">
    <w:name w:val="_Style 6"/>
    <w:basedOn w:val="1"/>
    <w:autoRedefine/>
    <w:qFormat/>
    <w:uiPriority w:val="0"/>
    <w:pPr>
      <w:ind w:firstLine="420" w:firstLineChars="200"/>
    </w:pPr>
    <w:rPr>
      <w:kern w:val="2"/>
      <w:szCs w:val="24"/>
    </w:rPr>
  </w:style>
  <w:style w:type="character" w:customStyle="1" w:styleId="34">
    <w:name w:val="Font Style94"/>
    <w:autoRedefine/>
    <w:qFormat/>
    <w:uiPriority w:val="0"/>
    <w:rPr>
      <w:sz w:val="20"/>
    </w:rPr>
  </w:style>
  <w:style w:type="character" w:customStyle="1" w:styleId="35">
    <w:name w:val="Font Style124"/>
    <w:autoRedefine/>
    <w:qFormat/>
    <w:uiPriority w:val="0"/>
    <w:rPr>
      <w:sz w:val="20"/>
    </w:rPr>
  </w:style>
  <w:style w:type="paragraph" w:customStyle="1" w:styleId="36">
    <w:name w:val="List Paragraph1"/>
    <w:basedOn w:val="1"/>
    <w:autoRedefine/>
    <w:qFormat/>
    <w:uiPriority w:val="0"/>
    <w:pPr>
      <w:ind w:firstLine="420"/>
    </w:pPr>
    <w:rPr>
      <w:color w:val="000000"/>
      <w:kern w:val="2"/>
      <w:szCs w:val="24"/>
    </w:rPr>
  </w:style>
  <w:style w:type="paragraph" w:customStyle="1" w:styleId="37">
    <w:name w:val="Style9"/>
    <w:basedOn w:val="1"/>
    <w:autoRedefine/>
    <w:qFormat/>
    <w:uiPriority w:val="0"/>
  </w:style>
  <w:style w:type="paragraph" w:customStyle="1" w:styleId="38">
    <w:name w:val="p0"/>
    <w:basedOn w:val="1"/>
    <w:autoRedefine/>
    <w:qFormat/>
    <w:uiPriority w:val="0"/>
    <w:pPr>
      <w:widowControl/>
    </w:pPr>
    <w:rPr>
      <w:sz w:val="20"/>
    </w:rPr>
  </w:style>
  <w:style w:type="paragraph" w:customStyle="1" w:styleId="39">
    <w:name w:val="Style74"/>
    <w:basedOn w:val="1"/>
    <w:next w:val="6"/>
    <w:autoRedefine/>
    <w:qFormat/>
    <w:uiPriority w:val="0"/>
    <w:pPr>
      <w:spacing w:line="437" w:lineRule="exact"/>
    </w:pPr>
  </w:style>
  <w:style w:type="paragraph" w:customStyle="1" w:styleId="40">
    <w:name w:val="Body text|1"/>
    <w:basedOn w:val="1"/>
    <w:autoRedefine/>
    <w:qFormat/>
    <w:uiPriority w:val="0"/>
    <w:pPr>
      <w:spacing w:line="360" w:lineRule="auto"/>
      <w:ind w:firstLine="400"/>
    </w:pPr>
    <w:rPr>
      <w:rFonts w:ascii="宋体" w:hAnsi="宋体" w:cs="宋体"/>
      <w:sz w:val="30"/>
      <w:szCs w:val="30"/>
      <w:lang w:val="zh-TW" w:eastAsia="zh-TW" w:bidi="zh-TW"/>
    </w:rPr>
  </w:style>
  <w:style w:type="character" w:customStyle="1" w:styleId="41">
    <w:name w:val="first-child"/>
    <w:basedOn w:val="20"/>
    <w:autoRedefine/>
    <w:qFormat/>
    <w:uiPriority w:val="0"/>
  </w:style>
  <w:style w:type="character" w:customStyle="1" w:styleId="42">
    <w:name w:val="hover6"/>
    <w:basedOn w:val="20"/>
    <w:autoRedefine/>
    <w:qFormat/>
    <w:uiPriority w:val="0"/>
    <w:rPr>
      <w:color w:val="FFFFFF"/>
    </w:rPr>
  </w:style>
  <w:style w:type="character" w:customStyle="1" w:styleId="43">
    <w:name w:val="hover7"/>
    <w:basedOn w:val="20"/>
    <w:autoRedefine/>
    <w:qFormat/>
    <w:uiPriority w:val="0"/>
    <w:rPr>
      <w:color w:val="5FB878"/>
    </w:rPr>
  </w:style>
  <w:style w:type="character" w:customStyle="1" w:styleId="44">
    <w:name w:val="hover8"/>
    <w:basedOn w:val="20"/>
    <w:autoRedefine/>
    <w:qFormat/>
    <w:uiPriority w:val="0"/>
    <w:rPr>
      <w:color w:val="5FB878"/>
    </w:rPr>
  </w:style>
  <w:style w:type="character" w:customStyle="1" w:styleId="45">
    <w:name w:val="nth-child(1)5"/>
    <w:basedOn w:val="20"/>
    <w:autoRedefine/>
    <w:qFormat/>
    <w:uiPriority w:val="0"/>
    <w:rPr>
      <w:color w:val="111111"/>
      <w:sz w:val="24"/>
      <w:szCs w:val="24"/>
    </w:rPr>
  </w:style>
  <w:style w:type="character" w:customStyle="1" w:styleId="46">
    <w:name w:val="last-child"/>
    <w:basedOn w:val="20"/>
    <w:autoRedefine/>
    <w:qFormat/>
    <w:uiPriority w:val="0"/>
    <w:rPr>
      <w:color w:val="777777"/>
    </w:rPr>
  </w:style>
  <w:style w:type="character" w:customStyle="1" w:styleId="47">
    <w:name w:val="nth-child(2)4"/>
    <w:basedOn w:val="20"/>
    <w:autoRedefine/>
    <w:qFormat/>
    <w:uiPriority w:val="0"/>
    <w:rPr>
      <w:color w:val="4D4D4D"/>
      <w:sz w:val="18"/>
      <w:szCs w:val="18"/>
    </w:rPr>
  </w:style>
  <w:style w:type="character" w:customStyle="1" w:styleId="48">
    <w:name w:val="layui-this2"/>
    <w:basedOn w:val="20"/>
    <w:autoRedefine/>
    <w:qFormat/>
    <w:uiPriority w:val="0"/>
    <w:rPr>
      <w:bdr w:val="single" w:color="EEEEEE" w:sz="6" w:space="0"/>
      <w:shd w:val="clear" w:color="auto" w:fill="FFFFFF"/>
    </w:rPr>
  </w:style>
  <w:style w:type="character" w:customStyle="1" w:styleId="49">
    <w:name w:val="flatpickr-weekday2"/>
    <w:basedOn w:val="20"/>
    <w:autoRedefine/>
    <w:qFormat/>
    <w:uiPriority w:val="0"/>
    <w:rPr>
      <w:b/>
      <w:bCs/>
      <w:sz w:val="21"/>
      <w:szCs w:val="21"/>
    </w:rPr>
  </w:style>
  <w:style w:type="character" w:customStyle="1" w:styleId="50">
    <w:name w:val="flatpickr-day2"/>
    <w:basedOn w:val="20"/>
    <w:autoRedefine/>
    <w:qFormat/>
    <w:uiPriority w:val="0"/>
  </w:style>
  <w:style w:type="character" w:customStyle="1" w:styleId="51">
    <w:name w:val="hover"/>
    <w:basedOn w:val="20"/>
    <w:autoRedefine/>
    <w:qFormat/>
    <w:uiPriority w:val="0"/>
    <w:rPr>
      <w:color w:val="5FB878"/>
    </w:rPr>
  </w:style>
  <w:style w:type="character" w:customStyle="1" w:styleId="52">
    <w:name w:val="hover1"/>
    <w:basedOn w:val="20"/>
    <w:autoRedefine/>
    <w:qFormat/>
    <w:uiPriority w:val="0"/>
    <w:rPr>
      <w:color w:val="5FB878"/>
    </w:rPr>
  </w:style>
  <w:style w:type="character" w:customStyle="1" w:styleId="53">
    <w:name w:val="hover2"/>
    <w:basedOn w:val="20"/>
    <w:autoRedefine/>
    <w:qFormat/>
    <w:uiPriority w:val="0"/>
    <w:rPr>
      <w:color w:val="FFFFFF"/>
    </w:rPr>
  </w:style>
  <w:style w:type="character" w:customStyle="1" w:styleId="54">
    <w:name w:val="nth-child(1)6"/>
    <w:basedOn w:val="20"/>
    <w:autoRedefine/>
    <w:qFormat/>
    <w:uiPriority w:val="0"/>
    <w:rPr>
      <w:color w:val="111111"/>
      <w:sz w:val="24"/>
      <w:szCs w:val="24"/>
    </w:rPr>
  </w:style>
  <w:style w:type="character" w:customStyle="1" w:styleId="55">
    <w:name w:val="nth-child(1)"/>
    <w:basedOn w:val="20"/>
    <w:autoRedefine/>
    <w:qFormat/>
    <w:uiPriority w:val="0"/>
    <w:rPr>
      <w:color w:val="111111"/>
      <w:sz w:val="24"/>
      <w:szCs w:val="24"/>
    </w:rPr>
  </w:style>
  <w:style w:type="paragraph" w:customStyle="1" w:styleId="56">
    <w:name w:val="Normal_0_0"/>
    <w:autoRedefine/>
    <w:qFormat/>
    <w:uiPriority w:val="0"/>
    <w:rPr>
      <w:rFonts w:ascii="Times New Roman" w:hAnsi="Times New Roman" w:eastAsia="宋体" w:cs="Times New Roman"/>
      <w:sz w:val="24"/>
      <w:szCs w:val="24"/>
      <w:lang w:val="en-US" w:eastAsia="zh-CN" w:bidi="ar-SA"/>
    </w:rPr>
  </w:style>
  <w:style w:type="paragraph" w:customStyle="1" w:styleId="57">
    <w:name w:val="Normal_0"/>
    <w:autoRedefine/>
    <w:qFormat/>
    <w:uiPriority w:val="0"/>
    <w:rPr>
      <w:rFonts w:ascii="Times New Roman" w:hAnsi="Times New Roman" w:eastAsia="宋体" w:cs="Times New Roman"/>
      <w:sz w:val="24"/>
      <w:szCs w:val="24"/>
      <w:lang w:val="en-US" w:eastAsia="zh-CN" w:bidi="ar-SA"/>
    </w:rPr>
  </w:style>
  <w:style w:type="paragraph" w:customStyle="1" w:styleId="58">
    <w:name w:val="列表段落1"/>
    <w:autoRedefine/>
    <w:qFormat/>
    <w:uiPriority w:val="0"/>
    <w:pPr>
      <w:widowControl w:val="0"/>
      <w:ind w:firstLine="420" w:firstLineChars="200"/>
      <w:jc w:val="both"/>
    </w:pPr>
    <w:rPr>
      <w:rFonts w:ascii="Calibri" w:hAnsi="Calibri" w:eastAsia="宋体" w:cs="Times New Roman"/>
      <w:kern w:val="2"/>
      <w:sz w:val="21"/>
      <w:szCs w:val="21"/>
      <w:lang w:val="en-US" w:eastAsia="zh-CN" w:bidi="ar-SA"/>
    </w:rPr>
  </w:style>
  <w:style w:type="character" w:customStyle="1" w:styleId="59">
    <w:name w:val="批注框文本 字符"/>
    <w:basedOn w:val="20"/>
    <w:link w:val="12"/>
    <w:qFormat/>
    <w:uiPriority w:val="0"/>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wmf"/><Relationship Id="rId12" Type="http://schemas.openxmlformats.org/officeDocument/2006/relationships/oleObject" Target="embeddings/oleObject1.bin"/><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140</Pages>
  <Words>5284</Words>
  <Characters>5670</Characters>
  <Lines>861</Lines>
  <Paragraphs>242</Paragraphs>
  <TotalTime>6</TotalTime>
  <ScaleCrop>false</ScaleCrop>
  <LinksUpToDate>false</LinksUpToDate>
  <CharactersWithSpaces>5761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2023-05-16T07:20:00Z</dcterms:created>
  <dc:creator>Administrator</dc:creator>
  <cp:lastModifiedBy>梨花</cp:lastModifiedBy>
  <cp:lastPrinted>2025-03-20T02:25:00Z</cp:lastPrinted>
  <dcterms:modified xsi:type="dcterms:W3CDTF">2025-03-20T09:04:07Z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D2E2654BC8164C618A3765E4D105DF26_13</vt:lpwstr>
  </property>
  <property fmtid="{D5CDD505-2E9C-101B-9397-08002B2CF9AE}" pid="4" name="KSOTemplateDocerSaveRecord">
    <vt:lpwstr>eyJoZGlkIjoiNjEzMjY0ZjZiNTJkN2M0YTczYzU1NjAyYWJhNTM1NjAiLCJ1c2VySWQiOiI1NDU5ODMzMjkifQ==</vt:lpwstr>
  </property>
</Properties>
</file>