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海南省“十五五”高新技术产业发展规划</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[HNHXY]20250300001[CS]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海南省工业和信息化厅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海南省工业和信息化厅</w:t>
      </w:r>
      <w:r>
        <w:rPr>
          <w:rFonts w:ascii="仿宋_GB2312" w:hAnsi="仿宋_GB2312" w:cs="仿宋_GB2312" w:eastAsia="仿宋_GB2312"/>
        </w:rPr>
        <w:t xml:space="preserve"> 的委托，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海南省“十五五”高新技术产业发展规划</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[HNHXY]20250300001[CS]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海南省“十五五”高新技术产业发展规划</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服务期为合同签订之日起至2026年7月30日。服务期内，中标（成交）供应商应配合采购方完成各类规划评审及重要会议上的审议工作，并按采购方要求持续对规划报告文本进行优化完善，直至服务期结束。</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1.采购项目需落实的政府采购政策：本项目支持政府采购促进中小企业发展政策、政府采购支持监狱企业发展政策、促进残 疾人就业政府采购政策、政府采购 优先采购节能产品政策、政府采购优先采购环境标志产品政策、扶持不发达地区和少数民 族地区等相关政策。2.请投标人（供应商）详阅本文件中《政府采购电子招标投标活动须知》，并自行在海南省政府采购智慧云平台-下载专 区查看相应的系统操作指南，严格按照操作指南要求进行系统操作。 3.本项目采购信息指定发布媒体为： （1）中国政府采 购网，网址www.ccgp.gov.cn。 （2）中国政府采购网海南分网（海南省政府采购智慧云平台），网址https://ccgp?hainan.gov.cn/。 （3）全国公共资源交易平台，网址https://ggzy.hainan.gov.cn/ggzyjy/ ※若出现上述指定媒体信息不一 致情形，应以中国政府采购网海南分网（海南省政府采购智慧云平台）发布的为准。 4.有关本项目招标文件的补遗、澄清及 变更信息以上述网站公告与下载为准，采购代理机构不再另行通知，招标文件与更正公告的内容相互矛盾时，以最后发出的更 正公告内容为准。 5.供应商使用交易系统遇到问题可致电技术支持：0898- 66220881/0898-66220882。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海南省工业和信息化厅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陈评</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65337370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黄显丰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代理服务费收费标准：招标代理服务费参照国家发展计划委员会计价格[2002]1980号的《招标代理服务收费管理暂行办法》标准收取代理费用，招标代理服务费用为26000.00元（人民币贰万陆仟元整）。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地址：海南省海口市美兰区蓝天路12-1号国机中洋公馆2号楼2-1101房</w:t>
      </w:r>
    </w:p>
    <w:p>
      <w:pPr>
        <w:pStyle w:val="null3"/>
        <w:jc w:val="left"/>
      </w:pPr>
      <w:r>
        <w:rPr>
          <w:rFonts w:ascii="仿宋_GB2312" w:hAnsi="仿宋_GB2312" w:cs="仿宋_GB2312" w:eastAsia="仿宋_GB2312"/>
        </w:rPr>
        <w:t>邮编：572030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b/>
        </w:rPr>
        <w:t>项目名称：海南省</w:t>
      </w:r>
      <w:r>
        <w:rPr>
          <w:rFonts w:ascii="仿宋_GB2312" w:hAnsi="仿宋_GB2312" w:cs="仿宋_GB2312" w:eastAsia="仿宋_GB2312"/>
          <w:sz w:val="32"/>
          <w:b/>
        </w:rPr>
        <w:t>“十五五”高新技术产业发展规划编制服务政府采购项目</w:t>
      </w:r>
    </w:p>
    <w:p>
      <w:pPr>
        <w:pStyle w:val="null3"/>
        <w:ind w:firstLine="640"/>
        <w:jc w:val="both"/>
      </w:pPr>
      <w:r>
        <w:rPr>
          <w:rFonts w:ascii="仿宋_GB2312" w:hAnsi="仿宋_GB2312" w:cs="仿宋_GB2312" w:eastAsia="仿宋_GB2312"/>
          <w:sz w:val="32"/>
        </w:rPr>
        <w:t>项目预算：</w:t>
      </w:r>
      <w:r>
        <w:rPr>
          <w:rFonts w:ascii="仿宋_GB2312" w:hAnsi="仿宋_GB2312" w:cs="仿宋_GB2312" w:eastAsia="仿宋_GB2312"/>
          <w:sz w:val="32"/>
        </w:rPr>
        <w:t>3000000.00元（人民币叁佰万元整）</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C23080100-行业规划服务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C23080100-行业规划服务</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标的名称：C23080100-行业规划服务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21"/>
              </w:rPr>
              <w:t>一、项目名称</w:t>
            </w:r>
          </w:p>
          <w:p>
            <w:pPr>
              <w:pStyle w:val="null3"/>
              <w:ind w:firstLine="643"/>
              <w:jc w:val="both"/>
            </w:pPr>
            <w:r>
              <w:rPr>
                <w:rFonts w:ascii="仿宋_GB2312" w:hAnsi="仿宋_GB2312" w:cs="仿宋_GB2312" w:eastAsia="仿宋_GB2312"/>
                <w:sz w:val="21"/>
                <w:b/>
              </w:rPr>
              <w:t>海南省</w:t>
            </w:r>
            <w:r>
              <w:rPr>
                <w:rFonts w:ascii="仿宋_GB2312" w:hAnsi="仿宋_GB2312" w:cs="仿宋_GB2312" w:eastAsia="仿宋_GB2312"/>
                <w:sz w:val="21"/>
                <w:b/>
              </w:rPr>
              <w:t>“十五五”高新技术产业发展规划编制服务政府采购项目</w:t>
            </w:r>
          </w:p>
          <w:p>
            <w:pPr>
              <w:pStyle w:val="null3"/>
              <w:ind w:firstLine="640"/>
              <w:jc w:val="both"/>
            </w:pPr>
            <w:r>
              <w:rPr>
                <w:rFonts w:ascii="仿宋_GB2312" w:hAnsi="仿宋_GB2312" w:cs="仿宋_GB2312" w:eastAsia="仿宋_GB2312"/>
                <w:sz w:val="21"/>
              </w:rPr>
              <w:t>项目预算：</w:t>
            </w:r>
            <w:r>
              <w:rPr>
                <w:rFonts w:ascii="仿宋_GB2312" w:hAnsi="仿宋_GB2312" w:cs="仿宋_GB2312" w:eastAsia="仿宋_GB2312"/>
                <w:sz w:val="21"/>
              </w:rPr>
              <w:t>3000000.00元（人民币叁佰万元整）</w:t>
            </w:r>
          </w:p>
          <w:p>
            <w:pPr>
              <w:pStyle w:val="null3"/>
              <w:ind w:firstLine="640"/>
              <w:jc w:val="both"/>
            </w:pPr>
            <w:r>
              <w:rPr>
                <w:rFonts w:ascii="仿宋_GB2312" w:hAnsi="仿宋_GB2312" w:cs="仿宋_GB2312" w:eastAsia="仿宋_GB2312"/>
                <w:sz w:val="21"/>
              </w:rPr>
              <w:t>二、成果要求</w:t>
            </w:r>
          </w:p>
          <w:p>
            <w:pPr>
              <w:pStyle w:val="null3"/>
              <w:ind w:firstLine="640"/>
              <w:jc w:val="both"/>
            </w:pPr>
            <w:r>
              <w:rPr>
                <w:rFonts w:ascii="仿宋_GB2312" w:hAnsi="仿宋_GB2312" w:cs="仿宋_GB2312" w:eastAsia="仿宋_GB2312"/>
                <w:sz w:val="21"/>
              </w:rPr>
              <w:t>（一）</w:t>
            </w:r>
            <w:r>
              <w:rPr>
                <w:rFonts w:ascii="仿宋_GB2312" w:hAnsi="仿宋_GB2312" w:cs="仿宋_GB2312" w:eastAsia="仿宋_GB2312"/>
                <w:sz w:val="21"/>
              </w:rPr>
              <w:t>完成规划报告文本</w:t>
            </w:r>
            <w:r>
              <w:rPr>
                <w:rFonts w:ascii="仿宋_GB2312" w:hAnsi="仿宋_GB2312" w:cs="仿宋_GB2312" w:eastAsia="仿宋_GB2312"/>
                <w:sz w:val="21"/>
              </w:rPr>
              <w:t>2篇（含完整版、精简版、PPT汇报</w:t>
            </w:r>
            <w:r>
              <w:rPr>
                <w:rFonts w:ascii="仿宋_GB2312" w:hAnsi="仿宋_GB2312" w:cs="仿宋_GB2312" w:eastAsia="仿宋_GB2312"/>
                <w:sz w:val="21"/>
              </w:rPr>
              <w:t>版、</w:t>
            </w:r>
            <w:r>
              <w:rPr>
                <w:rFonts w:ascii="仿宋_GB2312" w:hAnsi="仿宋_GB2312" w:cs="仿宋_GB2312" w:eastAsia="仿宋_GB2312"/>
                <w:sz w:val="21"/>
              </w:rPr>
              <w:t>一图解读版、</w:t>
            </w:r>
            <w:r>
              <w:rPr>
                <w:rFonts w:ascii="仿宋_GB2312" w:hAnsi="仿宋_GB2312" w:cs="仿宋_GB2312" w:eastAsia="仿宋_GB2312"/>
                <w:sz w:val="21"/>
              </w:rPr>
              <w:t>公开印刷版）</w:t>
            </w:r>
            <w:r>
              <w:rPr>
                <w:rFonts w:ascii="仿宋_GB2312" w:hAnsi="仿宋_GB2312" w:cs="仿宋_GB2312" w:eastAsia="仿宋_GB2312"/>
                <w:sz w:val="21"/>
              </w:rPr>
              <w:t>，总册《海南省</w:t>
            </w:r>
            <w:r>
              <w:rPr>
                <w:rFonts w:ascii="仿宋_GB2312" w:hAnsi="仿宋_GB2312" w:cs="仿宋_GB2312" w:eastAsia="仿宋_GB2312"/>
                <w:sz w:val="21"/>
              </w:rPr>
              <w:t>“十五五”高新技术产业发展规划》+分册《海南省“十五五”数字经济产业发展规划》</w:t>
            </w:r>
            <w:r>
              <w:rPr>
                <w:rFonts w:ascii="仿宋_GB2312" w:hAnsi="仿宋_GB2312" w:cs="仿宋_GB2312" w:eastAsia="仿宋_GB2312"/>
                <w:sz w:val="21"/>
              </w:rPr>
              <w:t>。</w:t>
            </w:r>
          </w:p>
          <w:p>
            <w:pPr>
              <w:pStyle w:val="null3"/>
              <w:ind w:firstLine="643"/>
              <w:jc w:val="both"/>
            </w:pPr>
            <w:r>
              <w:rPr>
                <w:rFonts w:ascii="仿宋_GB2312" w:hAnsi="仿宋_GB2312" w:cs="仿宋_GB2312" w:eastAsia="仿宋_GB2312"/>
                <w:sz w:val="21"/>
                <w:b/>
              </w:rPr>
              <w:t>1.关于海南省“十五五”高新技术产业发展规划（总册）</w:t>
            </w:r>
          </w:p>
          <w:p>
            <w:pPr>
              <w:pStyle w:val="null3"/>
              <w:ind w:firstLine="643"/>
              <w:jc w:val="both"/>
            </w:pPr>
            <w:r>
              <w:rPr>
                <w:rFonts w:ascii="仿宋_GB2312" w:hAnsi="仿宋_GB2312" w:cs="仿宋_GB2312" w:eastAsia="仿宋_GB2312"/>
                <w:sz w:val="21"/>
                <w:b/>
              </w:rPr>
              <w:t>编制要求：</w:t>
            </w:r>
            <w:r>
              <w:rPr>
                <w:rFonts w:ascii="仿宋_GB2312" w:hAnsi="仿宋_GB2312" w:cs="仿宋_GB2312" w:eastAsia="仿宋_GB2312"/>
                <w:sz w:val="21"/>
              </w:rPr>
              <w:t>总结海南省</w:t>
            </w:r>
            <w:r>
              <w:rPr>
                <w:rFonts w:ascii="仿宋_GB2312" w:hAnsi="仿宋_GB2312" w:cs="仿宋_GB2312" w:eastAsia="仿宋_GB2312"/>
                <w:sz w:val="21"/>
              </w:rPr>
              <w:t>“十四五”期间高新技术产业发展成绩及存在问题；</w:t>
            </w:r>
            <w:r>
              <w:rPr>
                <w:rFonts w:ascii="仿宋_GB2312" w:hAnsi="仿宋_GB2312" w:cs="仿宋_GB2312" w:eastAsia="仿宋_GB2312"/>
                <w:sz w:val="21"/>
              </w:rPr>
              <w:t>结合</w:t>
            </w:r>
            <w:r>
              <w:rPr>
                <w:rFonts w:ascii="仿宋_GB2312" w:hAnsi="仿宋_GB2312" w:cs="仿宋_GB2312" w:eastAsia="仿宋_GB2312"/>
                <w:sz w:val="21"/>
              </w:rPr>
              <w:t>“十五五”时期国际国内环境的变化趋势及海南自由贸易港封关后，科学研判海南省高新技术产业发展的战略机遇和风险挑战；结合现有产业发展基础，研究提出“十五五”期间海南省高新技术产业高质量发展的指导思想、基本原则、主要目标等，提出重点产业发展方向、实现路径、重点任务以及梳理一批契合规划发展重点的产业项目</w:t>
            </w:r>
            <w:r>
              <w:rPr>
                <w:rFonts w:ascii="仿宋_GB2312" w:hAnsi="仿宋_GB2312" w:cs="仿宋_GB2312" w:eastAsia="仿宋_GB2312"/>
                <w:sz w:val="21"/>
              </w:rPr>
              <w:t>（需附项目清单）</w:t>
            </w:r>
            <w:r>
              <w:rPr>
                <w:rFonts w:ascii="仿宋_GB2312" w:hAnsi="仿宋_GB2312" w:cs="仿宋_GB2312" w:eastAsia="仿宋_GB2312"/>
                <w:sz w:val="21"/>
              </w:rPr>
              <w:t>，提出支撑产业的重要园区载体、要素资源配套等需求，从省级层面统筹规划市县区域的产业定位和发展目标，从统筹机制、政策支撑、要素保障、产业协同、开放合作、人才建设等方面提出保障举措。</w:t>
            </w:r>
            <w:r>
              <w:rPr>
                <w:rFonts w:ascii="仿宋_GB2312" w:hAnsi="仿宋_GB2312" w:cs="仿宋_GB2312" w:eastAsia="仿宋_GB2312"/>
                <w:sz w:val="21"/>
              </w:rPr>
              <w:t>可根据国家或省级综合规划或专项规划要求进行动态调整。</w:t>
            </w:r>
          </w:p>
          <w:p>
            <w:pPr>
              <w:pStyle w:val="null3"/>
              <w:ind w:firstLine="640"/>
              <w:jc w:val="both"/>
            </w:pPr>
            <w:r>
              <w:rPr>
                <w:rFonts w:ascii="仿宋_GB2312" w:hAnsi="仿宋_GB2312" w:cs="仿宋_GB2312" w:eastAsia="仿宋_GB2312"/>
                <w:sz w:val="21"/>
              </w:rPr>
              <w:t>开展下列</w:t>
            </w:r>
            <w:r>
              <w:rPr>
                <w:rFonts w:ascii="仿宋_GB2312" w:hAnsi="仿宋_GB2312" w:cs="仿宋_GB2312" w:eastAsia="仿宋_GB2312"/>
                <w:sz w:val="21"/>
              </w:rPr>
              <w:t>“十五五”规划相关研究，</w:t>
            </w:r>
            <w:r>
              <w:rPr>
                <w:rFonts w:ascii="仿宋_GB2312" w:hAnsi="仿宋_GB2312" w:cs="仿宋_GB2312" w:eastAsia="仿宋_GB2312"/>
                <w:sz w:val="21"/>
              </w:rPr>
              <w:t>研究成果纳入《海南省</w:t>
            </w:r>
            <w:r>
              <w:rPr>
                <w:rFonts w:ascii="仿宋_GB2312" w:hAnsi="仿宋_GB2312" w:cs="仿宋_GB2312" w:eastAsia="仿宋_GB2312"/>
                <w:sz w:val="21"/>
              </w:rPr>
              <w:t>“十五五”高新技术产业发展规划》《海南省“十五五”数字经济产业发展规划》草案文本，并从结合</w:t>
            </w:r>
            <w:r>
              <w:rPr>
                <w:rFonts w:ascii="仿宋_GB2312" w:hAnsi="仿宋_GB2312" w:cs="仿宋_GB2312" w:eastAsia="仿宋_GB2312"/>
                <w:sz w:val="21"/>
              </w:rPr>
              <w:t>研究内容</w:t>
            </w:r>
            <w:r>
              <w:rPr>
                <w:rFonts w:ascii="仿宋_GB2312" w:hAnsi="仿宋_GB2312" w:cs="仿宋_GB2312" w:eastAsia="仿宋_GB2312"/>
                <w:sz w:val="21"/>
              </w:rPr>
              <w:t>提炼政策亮点建议</w:t>
            </w:r>
            <w:r>
              <w:rPr>
                <w:rFonts w:ascii="仿宋_GB2312" w:hAnsi="仿宋_GB2312" w:cs="仿宋_GB2312" w:eastAsia="仿宋_GB2312"/>
                <w:sz w:val="21"/>
              </w:rPr>
              <w:t>，提交相应研究成果。重点开展</w:t>
            </w:r>
            <w:r>
              <w:rPr>
                <w:rFonts w:ascii="仿宋_GB2312" w:hAnsi="仿宋_GB2312" w:cs="仿宋_GB2312" w:eastAsia="仿宋_GB2312"/>
                <w:sz w:val="21"/>
              </w:rPr>
              <w:t>海南省</w:t>
            </w:r>
            <w:r>
              <w:rPr>
                <w:rFonts w:ascii="仿宋_GB2312" w:hAnsi="仿宋_GB2312" w:cs="仿宋_GB2312" w:eastAsia="仿宋_GB2312"/>
                <w:sz w:val="21"/>
              </w:rPr>
              <w:t>“十五五”高新技术产业发展规划主要指标目标及测算研究</w:t>
            </w:r>
            <w:r>
              <w:rPr>
                <w:rFonts w:ascii="仿宋_GB2312" w:hAnsi="仿宋_GB2312" w:cs="仿宋_GB2312" w:eastAsia="仿宋_GB2312"/>
                <w:sz w:val="21"/>
              </w:rPr>
              <w:t>（研究提出海南省</w:t>
            </w:r>
            <w:r>
              <w:rPr>
                <w:rFonts w:ascii="仿宋_GB2312" w:hAnsi="仿宋_GB2312" w:cs="仿宋_GB2312" w:eastAsia="仿宋_GB2312"/>
                <w:sz w:val="21"/>
              </w:rPr>
              <w:t>“十五五”时期高新技术产业发展主要目标和指标体系设置建议，前瞻性分析主要目标5-10年的发展预期值，科学测算主要指标2030年目标值）、</w:t>
            </w:r>
            <w:r>
              <w:rPr>
                <w:rFonts w:ascii="仿宋_GB2312" w:hAnsi="仿宋_GB2312" w:cs="仿宋_GB2312" w:eastAsia="仿宋_GB2312"/>
                <w:sz w:val="21"/>
              </w:rPr>
              <w:t>海南自由贸易港封关后高新技术产业发展面临挑战和对策</w:t>
            </w:r>
            <w:r>
              <w:rPr>
                <w:rFonts w:ascii="仿宋_GB2312" w:hAnsi="仿宋_GB2312" w:cs="仿宋_GB2312" w:eastAsia="仿宋_GB2312"/>
                <w:sz w:val="21"/>
              </w:rPr>
              <w:t>（重点研判海南自贸港正式封关后，高新技术产业发展面临的战略机遇和风险挑战，以及应对思路和关键举措）、</w:t>
            </w:r>
            <w:r>
              <w:rPr>
                <w:rFonts w:ascii="仿宋_GB2312" w:hAnsi="仿宋_GB2312" w:cs="仿宋_GB2312" w:eastAsia="仿宋_GB2312"/>
                <w:sz w:val="21"/>
              </w:rPr>
              <w:t>海南省高新技术产业区域布局分析及发展规划</w:t>
            </w:r>
            <w:r>
              <w:rPr>
                <w:rFonts w:ascii="仿宋_GB2312" w:hAnsi="仿宋_GB2312" w:cs="仿宋_GB2312" w:eastAsia="仿宋_GB2312"/>
                <w:sz w:val="21"/>
              </w:rPr>
              <w:t>（结合海南省</w:t>
            </w:r>
            <w:r>
              <w:rPr>
                <w:rFonts w:ascii="仿宋_GB2312" w:hAnsi="仿宋_GB2312" w:cs="仿宋_GB2312" w:eastAsia="仿宋_GB2312"/>
                <w:sz w:val="21"/>
              </w:rPr>
              <w:t>“十五五”高新技术产业发展规划主要指标目标的设置，从市县落实层面对主要指标进行量化任务分解，提出构建“因地制宜、特色互补”高新技术产业空间格局的规划建议）。结合</w:t>
            </w:r>
            <w:r>
              <w:rPr>
                <w:rFonts w:ascii="仿宋_GB2312" w:hAnsi="仿宋_GB2312" w:cs="仿宋_GB2312" w:eastAsia="仿宋_GB2312"/>
                <w:sz w:val="21"/>
              </w:rPr>
              <w:t>海南省高新技术产业</w:t>
            </w:r>
            <w:r>
              <w:rPr>
                <w:rFonts w:ascii="仿宋_GB2312" w:hAnsi="仿宋_GB2312" w:cs="仿宋_GB2312" w:eastAsia="仿宋_GB2312"/>
                <w:sz w:val="21"/>
              </w:rPr>
              <w:t>发展现状调研，总结</w:t>
            </w:r>
            <w:r>
              <w:rPr>
                <w:rFonts w:ascii="仿宋_GB2312" w:hAnsi="仿宋_GB2312" w:cs="仿宋_GB2312" w:eastAsia="仿宋_GB2312"/>
                <w:sz w:val="21"/>
              </w:rPr>
              <w:t>“十四五”发展规划</w:t>
            </w:r>
            <w:r>
              <w:rPr>
                <w:rFonts w:ascii="仿宋_GB2312" w:hAnsi="仿宋_GB2312" w:cs="仿宋_GB2312" w:eastAsia="仿宋_GB2312"/>
                <w:sz w:val="21"/>
              </w:rPr>
              <w:t>完成情况，支撑开展海南省高新技术产业</w:t>
            </w:r>
            <w:r>
              <w:rPr>
                <w:rFonts w:ascii="仿宋_GB2312" w:hAnsi="仿宋_GB2312" w:cs="仿宋_GB2312" w:eastAsia="仿宋_GB2312"/>
                <w:sz w:val="21"/>
              </w:rPr>
              <w:t>“十四五”规划</w:t>
            </w:r>
            <w:r>
              <w:rPr>
                <w:rFonts w:ascii="仿宋_GB2312" w:hAnsi="仿宋_GB2312" w:cs="仿宋_GB2312" w:eastAsia="仿宋_GB2312"/>
                <w:sz w:val="21"/>
              </w:rPr>
              <w:t>终期评估</w:t>
            </w:r>
            <w:r>
              <w:rPr>
                <w:rFonts w:ascii="仿宋_GB2312" w:hAnsi="仿宋_GB2312" w:cs="仿宋_GB2312" w:eastAsia="仿宋_GB2312"/>
                <w:sz w:val="21"/>
              </w:rPr>
              <w:t>工作。结合</w:t>
            </w:r>
            <w:r>
              <w:rPr>
                <w:rFonts w:ascii="仿宋_GB2312" w:hAnsi="仿宋_GB2312" w:cs="仿宋_GB2312" w:eastAsia="仿宋_GB2312"/>
                <w:sz w:val="21"/>
              </w:rPr>
              <w:t>海南省未来产业</w:t>
            </w:r>
            <w:r>
              <w:rPr>
                <w:rFonts w:ascii="仿宋_GB2312" w:hAnsi="仿宋_GB2312" w:cs="仿宋_GB2312" w:eastAsia="仿宋_GB2312"/>
                <w:sz w:val="21"/>
              </w:rPr>
              <w:t>、生物医药等重点产业布局，研提海南适宜发展的细分领域方向、发展路径、具体举措和政策建议等。</w:t>
            </w:r>
          </w:p>
          <w:p>
            <w:pPr>
              <w:pStyle w:val="null3"/>
              <w:ind w:firstLine="643"/>
              <w:jc w:val="both"/>
            </w:pPr>
            <w:r>
              <w:rPr>
                <w:rFonts w:ascii="仿宋_GB2312" w:hAnsi="仿宋_GB2312" w:cs="仿宋_GB2312" w:eastAsia="仿宋_GB2312"/>
                <w:sz w:val="21"/>
                <w:b/>
              </w:rPr>
              <w:t>2.关于海南省“十五五”数字经济产业发展规划（分册）</w:t>
            </w:r>
          </w:p>
          <w:p>
            <w:pPr>
              <w:pStyle w:val="null3"/>
              <w:ind w:firstLine="643"/>
              <w:jc w:val="both"/>
            </w:pPr>
            <w:r>
              <w:rPr>
                <w:rFonts w:ascii="仿宋_GB2312" w:hAnsi="仿宋_GB2312" w:cs="仿宋_GB2312" w:eastAsia="仿宋_GB2312"/>
                <w:sz w:val="21"/>
                <w:b/>
              </w:rPr>
              <w:t>编制要求：</w:t>
            </w:r>
            <w:r>
              <w:rPr>
                <w:rFonts w:ascii="仿宋_GB2312" w:hAnsi="仿宋_GB2312" w:cs="仿宋_GB2312" w:eastAsia="仿宋_GB2312"/>
                <w:sz w:val="21"/>
              </w:rPr>
              <w:t>总结十四五实际发展情况和问题，研究提出十五五战略定位和具体量化发展目标；明确重点产业方向和实施路径，提出特色亮点建议；明确包括新型基础设施、政策创新和制度保障，研发平台、产业载体、人才引育等创新生态构建的发展关键支撑体系；以及开放合作与区域协调思路。</w:t>
            </w:r>
            <w:r>
              <w:rPr>
                <w:rFonts w:ascii="仿宋_GB2312" w:hAnsi="仿宋_GB2312" w:cs="仿宋_GB2312" w:eastAsia="仿宋_GB2312"/>
                <w:sz w:val="21"/>
              </w:rPr>
              <w:t>可根据国家或省级综合规划或专项规划要求进行动态调整。</w:t>
            </w:r>
          </w:p>
          <w:p>
            <w:pPr>
              <w:pStyle w:val="null3"/>
              <w:ind w:firstLine="640"/>
              <w:jc w:val="both"/>
            </w:pPr>
            <w:r>
              <w:rPr>
                <w:rFonts w:ascii="仿宋_GB2312" w:hAnsi="仿宋_GB2312" w:cs="仿宋_GB2312" w:eastAsia="仿宋_GB2312"/>
                <w:sz w:val="21"/>
              </w:rPr>
              <w:t>（二）</w:t>
            </w:r>
            <w:r>
              <w:rPr>
                <w:rFonts w:ascii="仿宋_GB2312" w:hAnsi="仿宋_GB2312" w:cs="仿宋_GB2312" w:eastAsia="仿宋_GB2312"/>
                <w:sz w:val="21"/>
              </w:rPr>
              <w:t>配合完成总册《海南省</w:t>
            </w:r>
            <w:r>
              <w:rPr>
                <w:rFonts w:ascii="仿宋_GB2312" w:hAnsi="仿宋_GB2312" w:cs="仿宋_GB2312" w:eastAsia="仿宋_GB2312"/>
                <w:sz w:val="21"/>
              </w:rPr>
              <w:t>“十五五”高新技术产业发展规划》+分册《海南省“十五五”数字经济产业发展规划》的重大行政决策风险评估、社会稳定性评估、舆情风险评估、政策取向一致性评估等报告合规合法性自评估审查。</w:t>
            </w:r>
          </w:p>
          <w:p>
            <w:pPr>
              <w:pStyle w:val="null3"/>
              <w:ind w:firstLine="643"/>
              <w:jc w:val="both"/>
            </w:pPr>
            <w:r>
              <w:rPr>
                <w:rFonts w:ascii="仿宋_GB2312" w:hAnsi="仿宋_GB2312" w:cs="仿宋_GB2312" w:eastAsia="仿宋_GB2312"/>
                <w:sz w:val="21"/>
                <w:b/>
              </w:rPr>
              <w:t>三、工作要求</w:t>
            </w:r>
          </w:p>
          <w:p>
            <w:pPr>
              <w:pStyle w:val="null3"/>
              <w:ind w:firstLine="640"/>
              <w:jc w:val="both"/>
            </w:pPr>
            <w:r>
              <w:rPr>
                <w:rFonts w:ascii="仿宋_GB2312" w:hAnsi="仿宋_GB2312" w:cs="仿宋_GB2312" w:eastAsia="仿宋_GB2312"/>
                <w:sz w:val="21"/>
              </w:rPr>
              <w:t>1.中标（成交）供应商应编制项目实施方案，做好编制任务的组织实施，按质按量开展规划编制有关工作。</w:t>
            </w:r>
          </w:p>
          <w:p>
            <w:pPr>
              <w:pStyle w:val="null3"/>
              <w:ind w:firstLine="640"/>
              <w:jc w:val="both"/>
            </w:pPr>
            <w:r>
              <w:rPr>
                <w:rFonts w:ascii="仿宋_GB2312" w:hAnsi="仿宋_GB2312" w:cs="仿宋_GB2312" w:eastAsia="仿宋_GB2312"/>
                <w:sz w:val="21"/>
              </w:rPr>
              <w:t>2.中标（成交）供应商应结合项目实施需求，拟定调研计划，有序开展实地调研。并结合规划编制过程中所征集到的修改意见</w:t>
            </w:r>
            <w:r>
              <w:rPr>
                <w:rFonts w:ascii="仿宋_GB2312" w:hAnsi="仿宋_GB2312" w:cs="仿宋_GB2312" w:eastAsia="仿宋_GB2312"/>
                <w:sz w:val="21"/>
              </w:rPr>
              <w:t>或评审会、专题会要求</w:t>
            </w:r>
            <w:r>
              <w:rPr>
                <w:rFonts w:ascii="仿宋_GB2312" w:hAnsi="仿宋_GB2312" w:cs="仿宋_GB2312" w:eastAsia="仿宋_GB2312"/>
                <w:sz w:val="21"/>
              </w:rPr>
              <w:t>，适时开展补充调研。</w:t>
            </w:r>
          </w:p>
          <w:p>
            <w:pPr>
              <w:pStyle w:val="null3"/>
              <w:ind w:firstLine="640"/>
              <w:jc w:val="both"/>
            </w:pPr>
            <w:r>
              <w:rPr>
                <w:rFonts w:ascii="仿宋_GB2312" w:hAnsi="仿宋_GB2312" w:cs="仿宋_GB2312" w:eastAsia="仿宋_GB2312"/>
                <w:sz w:val="21"/>
              </w:rPr>
              <w:t>3.中标（成交）供应商应</w:t>
            </w:r>
            <w:r>
              <w:rPr>
                <w:rFonts w:ascii="仿宋_GB2312" w:hAnsi="仿宋_GB2312" w:cs="仿宋_GB2312" w:eastAsia="仿宋_GB2312"/>
                <w:sz w:val="21"/>
              </w:rPr>
              <w:t>按照行业规范，适时组织专家论证会或专家评审会等，确保规划编制的总体质量。</w:t>
            </w:r>
          </w:p>
          <w:p>
            <w:pPr>
              <w:pStyle w:val="null3"/>
              <w:ind w:firstLine="640"/>
              <w:jc w:val="both"/>
            </w:pPr>
            <w:r>
              <w:rPr>
                <w:rFonts w:ascii="仿宋_GB2312" w:hAnsi="仿宋_GB2312" w:cs="仿宋_GB2312" w:eastAsia="仿宋_GB2312"/>
                <w:sz w:val="21"/>
              </w:rPr>
              <w:t>4.</w:t>
            </w:r>
            <w:r>
              <w:rPr>
                <w:rFonts w:ascii="仿宋_GB2312" w:hAnsi="仿宋_GB2312" w:cs="仿宋_GB2312" w:eastAsia="仿宋_GB2312"/>
                <w:sz w:val="21"/>
              </w:rPr>
              <w:t>中标（成交）供应商应配合采购方开展规划编制过程中的汇报、评审</w:t>
            </w:r>
            <w:r>
              <w:rPr>
                <w:rFonts w:ascii="仿宋_GB2312" w:hAnsi="仿宋_GB2312" w:cs="仿宋_GB2312" w:eastAsia="仿宋_GB2312"/>
                <w:sz w:val="21"/>
              </w:rPr>
              <w:t>及规划解读</w:t>
            </w:r>
            <w:r>
              <w:rPr>
                <w:rFonts w:ascii="仿宋_GB2312" w:hAnsi="仿宋_GB2312" w:cs="仿宋_GB2312" w:eastAsia="仿宋_GB2312"/>
                <w:sz w:val="21"/>
              </w:rPr>
              <w:t>等工作。</w:t>
            </w:r>
          </w:p>
          <w:p>
            <w:pPr>
              <w:pStyle w:val="null3"/>
              <w:ind w:firstLine="640"/>
              <w:jc w:val="both"/>
            </w:pPr>
            <w:r>
              <w:rPr>
                <w:rFonts w:ascii="仿宋_GB2312" w:hAnsi="仿宋_GB2312" w:cs="仿宋_GB2312" w:eastAsia="仿宋_GB2312"/>
                <w:sz w:val="21"/>
              </w:rPr>
              <w:t>5.</w:t>
            </w:r>
            <w:r>
              <w:rPr>
                <w:rFonts w:ascii="仿宋_GB2312" w:hAnsi="仿宋_GB2312" w:cs="仿宋_GB2312" w:eastAsia="仿宋_GB2312"/>
                <w:sz w:val="21"/>
              </w:rPr>
              <w:t>中标（成交）供应商应</w:t>
            </w:r>
            <w:r>
              <w:rPr>
                <w:rFonts w:ascii="仿宋_GB2312" w:hAnsi="仿宋_GB2312" w:cs="仿宋_GB2312" w:eastAsia="仿宋_GB2312"/>
                <w:sz w:val="21"/>
              </w:rPr>
              <w:t>按采购方要求持续做好规划文本和专项研究的</w:t>
            </w:r>
            <w:r>
              <w:rPr>
                <w:rFonts w:ascii="仿宋_GB2312" w:hAnsi="仿宋_GB2312" w:cs="仿宋_GB2312" w:eastAsia="仿宋_GB2312"/>
                <w:sz w:val="21"/>
              </w:rPr>
              <w:t>成果改进。包括但不限于框架结构、文本内容、项目清单及规划解读材料等。</w:t>
            </w:r>
          </w:p>
          <w:p>
            <w:pPr>
              <w:pStyle w:val="null3"/>
              <w:ind w:firstLine="640"/>
              <w:jc w:val="both"/>
            </w:pPr>
            <w:r>
              <w:rPr>
                <w:rFonts w:ascii="仿宋_GB2312" w:hAnsi="仿宋_GB2312" w:cs="仿宋_GB2312" w:eastAsia="仿宋_GB2312"/>
                <w:sz w:val="21"/>
              </w:rPr>
              <w:t>四、人员响应要求</w:t>
            </w:r>
          </w:p>
          <w:p>
            <w:pPr>
              <w:pStyle w:val="null3"/>
              <w:ind w:firstLine="640"/>
              <w:jc w:val="both"/>
            </w:pPr>
            <w:r>
              <w:rPr>
                <w:rFonts w:ascii="仿宋_GB2312" w:hAnsi="仿宋_GB2312" w:cs="仿宋_GB2312" w:eastAsia="仿宋_GB2312"/>
                <w:sz w:val="21"/>
              </w:rPr>
              <w:t>1.本次编制任务必须以课题组形式，课题组由中标（成交）供应商组织。编制任务需经课题组负责人所在单位同意，以单位形式申报，不接受以个人名义申报。</w:t>
            </w:r>
          </w:p>
          <w:p>
            <w:pPr>
              <w:pStyle w:val="null3"/>
              <w:ind w:firstLine="640"/>
              <w:jc w:val="both"/>
            </w:pPr>
            <w:r>
              <w:rPr>
                <w:rFonts w:ascii="仿宋_GB2312" w:hAnsi="仿宋_GB2312" w:cs="仿宋_GB2312" w:eastAsia="仿宋_GB2312"/>
                <w:sz w:val="21"/>
              </w:rPr>
              <w:t>2.课题负责人具备较强的组织和协调能力，具有较高的理论素养和分析解决问题的能力。课题组负责人必须是该课题研究全过程中的真正组织者和指导者，并担负实质性研究和规划编写工作，挂名或不担负实质性研究工作的，不得作为课题组负责人。课题负责人</w:t>
            </w:r>
            <w:r>
              <w:rPr>
                <w:rFonts w:ascii="仿宋_GB2312" w:hAnsi="仿宋_GB2312" w:cs="仿宋_GB2312" w:eastAsia="仿宋_GB2312"/>
                <w:sz w:val="21"/>
              </w:rPr>
              <w:t>应</w:t>
            </w:r>
            <w:r>
              <w:rPr>
                <w:rFonts w:ascii="仿宋_GB2312" w:hAnsi="仿宋_GB2312" w:cs="仿宋_GB2312" w:eastAsia="仿宋_GB2312"/>
                <w:sz w:val="21"/>
              </w:rPr>
              <w:t>参加采购方的成果汇报及评审会，并汇报课题研究成果。根据需要，视情配合采购方完成省政府专题会汇报。</w:t>
            </w:r>
            <w:r>
              <w:rPr>
                <w:rFonts w:ascii="仿宋_GB2312" w:hAnsi="仿宋_GB2312" w:cs="仿宋_GB2312" w:eastAsia="仿宋_GB2312"/>
                <w:sz w:val="21"/>
              </w:rPr>
              <w:t>课题负责人原则上不能更换，确需更换项目负责人的，应经过采购方同意。</w:t>
            </w:r>
          </w:p>
          <w:p>
            <w:pPr>
              <w:pStyle w:val="null3"/>
              <w:ind w:firstLine="640"/>
              <w:jc w:val="both"/>
            </w:pPr>
            <w:r>
              <w:rPr>
                <w:rFonts w:ascii="仿宋_GB2312" w:hAnsi="仿宋_GB2312" w:cs="仿宋_GB2312" w:eastAsia="仿宋_GB2312"/>
                <w:sz w:val="21"/>
              </w:rPr>
              <w:t>3.</w:t>
            </w:r>
            <w:r>
              <w:rPr>
                <w:rFonts w:ascii="仿宋_GB2312" w:hAnsi="仿宋_GB2312" w:cs="仿宋_GB2312" w:eastAsia="仿宋_GB2312"/>
                <w:sz w:val="21"/>
              </w:rPr>
              <w:t>项目执行过程中</w:t>
            </w:r>
            <w:r>
              <w:rPr>
                <w:rFonts w:ascii="仿宋_GB2312" w:hAnsi="仿宋_GB2312" w:cs="仿宋_GB2312" w:eastAsia="仿宋_GB2312"/>
                <w:sz w:val="21"/>
              </w:rPr>
              <w:t>，中标（成交）供应商应安排编制团队至少</w:t>
            </w:r>
            <w:r>
              <w:rPr>
                <w:rFonts w:ascii="仿宋_GB2312" w:hAnsi="仿宋_GB2312" w:cs="仿宋_GB2312" w:eastAsia="仿宋_GB2312"/>
                <w:sz w:val="21"/>
              </w:rPr>
              <w:t>1名核心人员在海南全程驻点开展工作；若因工作安排，涉及人员调整时需经采购方同意。</w:t>
            </w:r>
          </w:p>
          <w:p>
            <w:pPr>
              <w:pStyle w:val="null3"/>
              <w:ind w:firstLine="640"/>
              <w:jc w:val="both"/>
            </w:pPr>
            <w:r>
              <w:rPr>
                <w:rFonts w:ascii="仿宋_GB2312" w:hAnsi="仿宋_GB2312" w:cs="仿宋_GB2312" w:eastAsia="仿宋_GB2312"/>
                <w:sz w:val="21"/>
              </w:rPr>
              <w:t>注：用户需求书的内容全为实质性响应条款，投标人须全部响应，如不响应按无效投标处理</w:t>
            </w:r>
            <w:r>
              <w:rPr>
                <w:rFonts w:ascii="仿宋_GB2312" w:hAnsi="仿宋_GB2312" w:cs="仿宋_GB2312" w:eastAsia="仿宋_GB2312"/>
                <w:sz w:val="21"/>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21"/>
              </w:rPr>
              <w:t>一、服务时间及进度要求</w:t>
            </w:r>
          </w:p>
          <w:p>
            <w:pPr>
              <w:pStyle w:val="null3"/>
              <w:ind w:firstLine="640"/>
              <w:jc w:val="both"/>
            </w:pPr>
            <w:r>
              <w:rPr>
                <w:rFonts w:ascii="仿宋_GB2312" w:hAnsi="仿宋_GB2312" w:cs="仿宋_GB2312" w:eastAsia="仿宋_GB2312"/>
                <w:sz w:val="21"/>
              </w:rPr>
              <w:t>1.服务期为合同签订之日起至2026年</w:t>
            </w:r>
            <w:r>
              <w:rPr>
                <w:rFonts w:ascii="仿宋_GB2312" w:hAnsi="仿宋_GB2312" w:cs="仿宋_GB2312" w:eastAsia="仿宋_GB2312"/>
                <w:sz w:val="21"/>
              </w:rPr>
              <w:t>7</w:t>
            </w:r>
            <w:r>
              <w:rPr>
                <w:rFonts w:ascii="仿宋_GB2312" w:hAnsi="仿宋_GB2312" w:cs="仿宋_GB2312" w:eastAsia="仿宋_GB2312"/>
                <w:sz w:val="21"/>
              </w:rPr>
              <w:t>月</w:t>
            </w:r>
            <w:r>
              <w:rPr>
                <w:rFonts w:ascii="仿宋_GB2312" w:hAnsi="仿宋_GB2312" w:cs="仿宋_GB2312" w:eastAsia="仿宋_GB2312"/>
                <w:sz w:val="21"/>
              </w:rPr>
              <w:t>3</w:t>
            </w:r>
            <w:r>
              <w:rPr>
                <w:rFonts w:ascii="仿宋_GB2312" w:hAnsi="仿宋_GB2312" w:cs="仿宋_GB2312" w:eastAsia="仿宋_GB2312"/>
                <w:sz w:val="21"/>
              </w:rPr>
              <w:t>0日。服务期内，中标（成交）供应商应配合采购方完成各类规划评审及重要会议上的审议工作，并按采购方要求持续对规划报告文本进行优化完善，直至服务期结束。</w:t>
            </w:r>
          </w:p>
          <w:p>
            <w:pPr>
              <w:pStyle w:val="null3"/>
              <w:ind w:firstLine="640"/>
              <w:jc w:val="both"/>
            </w:pPr>
            <w:r>
              <w:rPr>
                <w:rFonts w:ascii="仿宋_GB2312" w:hAnsi="仿宋_GB2312" w:cs="仿宋_GB2312" w:eastAsia="仿宋_GB2312"/>
                <w:sz w:val="21"/>
              </w:rPr>
              <w:t>2.关键时间节点要求：合同签订后，中标（成交）供应商应立即组织人员开展资料整理、现场调研及报告编写工作。中标（成交）供应商应严格按采购方要求时间节点完成相关工作，其中，</w:t>
            </w:r>
            <w:r>
              <w:rPr>
                <w:rFonts w:ascii="仿宋_GB2312" w:hAnsi="仿宋_GB2312" w:cs="仿宋_GB2312" w:eastAsia="仿宋_GB2312"/>
                <w:sz w:val="21"/>
              </w:rPr>
              <w:t>《海南省</w:t>
            </w:r>
            <w:r>
              <w:rPr>
                <w:rFonts w:ascii="仿宋_GB2312" w:hAnsi="仿宋_GB2312" w:cs="仿宋_GB2312" w:eastAsia="仿宋_GB2312"/>
                <w:sz w:val="21"/>
              </w:rPr>
              <w:t>“十五五”高新技术产业发展规划》（总册）须于2025年5月底前形成完整版初稿</w:t>
            </w:r>
            <w:r>
              <w:rPr>
                <w:rFonts w:ascii="仿宋_GB2312" w:hAnsi="仿宋_GB2312" w:cs="仿宋_GB2312" w:eastAsia="仿宋_GB2312"/>
                <w:sz w:val="21"/>
              </w:rPr>
              <w:t>，</w:t>
            </w:r>
            <w:r>
              <w:rPr>
                <w:rFonts w:ascii="仿宋_GB2312" w:hAnsi="仿宋_GB2312" w:cs="仿宋_GB2312" w:eastAsia="仿宋_GB2312"/>
                <w:sz w:val="21"/>
              </w:rPr>
              <w:t>于</w:t>
            </w:r>
            <w:r>
              <w:rPr>
                <w:rFonts w:ascii="仿宋_GB2312" w:hAnsi="仿宋_GB2312" w:cs="仿宋_GB2312" w:eastAsia="仿宋_GB2312"/>
                <w:sz w:val="21"/>
              </w:rPr>
              <w:t>2025年11月底前形成完整版送审稿</w:t>
            </w:r>
            <w:r>
              <w:rPr>
                <w:rFonts w:ascii="仿宋_GB2312" w:hAnsi="仿宋_GB2312" w:cs="仿宋_GB2312" w:eastAsia="仿宋_GB2312"/>
                <w:sz w:val="21"/>
              </w:rPr>
              <w:t>；</w:t>
            </w:r>
            <w:r>
              <w:rPr>
                <w:rFonts w:ascii="仿宋_GB2312" w:hAnsi="仿宋_GB2312" w:cs="仿宋_GB2312" w:eastAsia="仿宋_GB2312"/>
                <w:sz w:val="21"/>
              </w:rPr>
              <w:t>《海南省</w:t>
            </w:r>
            <w:r>
              <w:rPr>
                <w:rFonts w:ascii="仿宋_GB2312" w:hAnsi="仿宋_GB2312" w:cs="仿宋_GB2312" w:eastAsia="仿宋_GB2312"/>
                <w:sz w:val="21"/>
              </w:rPr>
              <w:t>“十五五”高新技术产业发展规划》</w:t>
            </w:r>
            <w:r>
              <w:rPr>
                <w:rFonts w:ascii="仿宋_GB2312" w:hAnsi="仿宋_GB2312" w:cs="仿宋_GB2312" w:eastAsia="仿宋_GB2312"/>
                <w:sz w:val="21"/>
              </w:rPr>
              <w:t>（</w:t>
            </w:r>
            <w:r>
              <w:rPr>
                <w:rFonts w:ascii="仿宋_GB2312" w:hAnsi="仿宋_GB2312" w:cs="仿宋_GB2312" w:eastAsia="仿宋_GB2312"/>
                <w:sz w:val="21"/>
              </w:rPr>
              <w:t>总册</w:t>
            </w:r>
            <w:r>
              <w:rPr>
                <w:rFonts w:ascii="仿宋_GB2312" w:hAnsi="仿宋_GB2312" w:cs="仿宋_GB2312" w:eastAsia="仿宋_GB2312"/>
                <w:sz w:val="21"/>
              </w:rPr>
              <w:t>）</w:t>
            </w:r>
            <w:r>
              <w:rPr>
                <w:rFonts w:ascii="仿宋_GB2312" w:hAnsi="仿宋_GB2312" w:cs="仿宋_GB2312" w:eastAsia="仿宋_GB2312"/>
                <w:sz w:val="21"/>
              </w:rPr>
              <w:t>+《海南省“十五五”数字经济产业发展规划》</w:t>
            </w:r>
            <w:r>
              <w:rPr>
                <w:rFonts w:ascii="仿宋_GB2312" w:hAnsi="仿宋_GB2312" w:cs="仿宋_GB2312" w:eastAsia="仿宋_GB2312"/>
                <w:sz w:val="21"/>
              </w:rPr>
              <w:t>（</w:t>
            </w:r>
            <w:r>
              <w:rPr>
                <w:rFonts w:ascii="仿宋_GB2312" w:hAnsi="仿宋_GB2312" w:cs="仿宋_GB2312" w:eastAsia="仿宋_GB2312"/>
                <w:sz w:val="21"/>
              </w:rPr>
              <w:t>分册</w:t>
            </w:r>
            <w:r>
              <w:rPr>
                <w:rFonts w:ascii="仿宋_GB2312" w:hAnsi="仿宋_GB2312" w:cs="仿宋_GB2312" w:eastAsia="仿宋_GB2312"/>
                <w:sz w:val="21"/>
              </w:rPr>
              <w:t>）</w:t>
            </w:r>
            <w:r>
              <w:rPr>
                <w:rFonts w:ascii="仿宋_GB2312" w:hAnsi="仿宋_GB2312" w:cs="仿宋_GB2312" w:eastAsia="仿宋_GB2312"/>
                <w:sz w:val="21"/>
              </w:rPr>
              <w:t>于</w:t>
            </w:r>
            <w:r>
              <w:rPr>
                <w:rFonts w:ascii="仿宋_GB2312" w:hAnsi="仿宋_GB2312" w:cs="仿宋_GB2312" w:eastAsia="仿宋_GB2312"/>
                <w:sz w:val="21"/>
              </w:rPr>
              <w:t>2026年</w:t>
            </w:r>
            <w:r>
              <w:rPr>
                <w:rFonts w:ascii="仿宋_GB2312" w:hAnsi="仿宋_GB2312" w:cs="仿宋_GB2312" w:eastAsia="仿宋_GB2312"/>
                <w:sz w:val="21"/>
              </w:rPr>
              <w:t>7</w:t>
            </w:r>
            <w:r>
              <w:rPr>
                <w:rFonts w:ascii="仿宋_GB2312" w:hAnsi="仿宋_GB2312" w:cs="仿宋_GB2312" w:eastAsia="仿宋_GB2312"/>
                <w:sz w:val="21"/>
              </w:rPr>
              <w:t>月前形成完整版和精简版正式稿、印发稿。</w:t>
            </w:r>
          </w:p>
          <w:p>
            <w:pPr>
              <w:pStyle w:val="null3"/>
              <w:ind w:firstLine="640"/>
              <w:jc w:val="both"/>
            </w:pPr>
            <w:r>
              <w:rPr>
                <w:rFonts w:ascii="仿宋_GB2312" w:hAnsi="仿宋_GB2312" w:cs="仿宋_GB2312" w:eastAsia="仿宋_GB2312"/>
                <w:sz w:val="21"/>
              </w:rPr>
              <w:t>3.结合</w:t>
            </w:r>
            <w:r>
              <w:rPr>
                <w:rFonts w:ascii="仿宋_GB2312" w:hAnsi="仿宋_GB2312" w:cs="仿宋_GB2312" w:eastAsia="仿宋_GB2312"/>
                <w:sz w:val="21"/>
              </w:rPr>
              <w:t>“十五五”规划</w:t>
            </w:r>
            <w:r>
              <w:rPr>
                <w:rFonts w:ascii="仿宋_GB2312" w:hAnsi="仿宋_GB2312" w:cs="仿宋_GB2312" w:eastAsia="仿宋_GB2312"/>
                <w:sz w:val="21"/>
              </w:rPr>
              <w:t>调研</w:t>
            </w:r>
            <w:r>
              <w:rPr>
                <w:rFonts w:ascii="仿宋_GB2312" w:hAnsi="仿宋_GB2312" w:cs="仿宋_GB2312" w:eastAsia="仿宋_GB2312"/>
                <w:sz w:val="21"/>
              </w:rPr>
              <w:t>内容</w:t>
            </w:r>
            <w:r>
              <w:rPr>
                <w:rFonts w:ascii="仿宋_GB2312" w:hAnsi="仿宋_GB2312" w:cs="仿宋_GB2312" w:eastAsia="仿宋_GB2312"/>
                <w:sz w:val="21"/>
              </w:rPr>
              <w:t>，分别于</w:t>
            </w:r>
            <w:r>
              <w:rPr>
                <w:rFonts w:ascii="仿宋_GB2312" w:hAnsi="仿宋_GB2312" w:cs="仿宋_GB2312" w:eastAsia="仿宋_GB2312"/>
                <w:sz w:val="21"/>
              </w:rPr>
              <w:t>2025年</w:t>
            </w:r>
            <w:r>
              <w:rPr>
                <w:rFonts w:ascii="仿宋_GB2312" w:hAnsi="仿宋_GB2312" w:cs="仿宋_GB2312" w:eastAsia="仿宋_GB2312"/>
                <w:sz w:val="21"/>
              </w:rPr>
              <w:t>7</w:t>
            </w:r>
            <w:r>
              <w:rPr>
                <w:rFonts w:ascii="仿宋_GB2312" w:hAnsi="仿宋_GB2312" w:cs="仿宋_GB2312" w:eastAsia="仿宋_GB2312"/>
                <w:sz w:val="21"/>
              </w:rPr>
              <w:t>月、</w:t>
            </w:r>
            <w:r>
              <w:rPr>
                <w:rFonts w:ascii="仿宋_GB2312" w:hAnsi="仿宋_GB2312" w:cs="仿宋_GB2312" w:eastAsia="仿宋_GB2312"/>
                <w:sz w:val="21"/>
              </w:rPr>
              <w:t>9月、12月前</w:t>
            </w:r>
            <w:r>
              <w:rPr>
                <w:rFonts w:ascii="仿宋_GB2312" w:hAnsi="仿宋_GB2312" w:cs="仿宋_GB2312" w:eastAsia="仿宋_GB2312"/>
                <w:sz w:val="21"/>
              </w:rPr>
              <w:t>研提</w:t>
            </w:r>
            <w:r>
              <w:rPr>
                <w:rFonts w:ascii="仿宋_GB2312" w:hAnsi="仿宋_GB2312" w:cs="仿宋_GB2312" w:eastAsia="仿宋_GB2312"/>
                <w:sz w:val="21"/>
              </w:rPr>
              <w:t>一篇</w:t>
            </w:r>
            <w:r>
              <w:rPr>
                <w:rFonts w:ascii="仿宋_GB2312" w:hAnsi="仿宋_GB2312" w:cs="仿宋_GB2312" w:eastAsia="仿宋_GB2312"/>
                <w:sz w:val="21"/>
              </w:rPr>
              <w:t>政策建议</w:t>
            </w:r>
            <w:r>
              <w:rPr>
                <w:rFonts w:ascii="仿宋_GB2312" w:hAnsi="仿宋_GB2312" w:cs="仿宋_GB2312" w:eastAsia="仿宋_GB2312"/>
                <w:sz w:val="21"/>
              </w:rPr>
              <w:t>或政务信息</w:t>
            </w:r>
            <w:r>
              <w:rPr>
                <w:rFonts w:ascii="仿宋_GB2312" w:hAnsi="仿宋_GB2312" w:cs="仿宋_GB2312" w:eastAsia="仿宋_GB2312"/>
                <w:sz w:val="21"/>
              </w:rPr>
              <w:t>的研究素材报告</w:t>
            </w:r>
            <w:r>
              <w:rPr>
                <w:rFonts w:ascii="仿宋_GB2312" w:hAnsi="仿宋_GB2312" w:cs="仿宋_GB2312" w:eastAsia="仿宋_GB2312"/>
                <w:sz w:val="21"/>
              </w:rPr>
              <w:t>。</w:t>
            </w:r>
          </w:p>
          <w:p>
            <w:pPr>
              <w:pStyle w:val="null3"/>
              <w:ind w:firstLine="640"/>
              <w:jc w:val="both"/>
            </w:pPr>
            <w:r>
              <w:rPr>
                <w:rFonts w:ascii="仿宋_GB2312" w:hAnsi="仿宋_GB2312" w:cs="仿宋_GB2312" w:eastAsia="仿宋_GB2312"/>
                <w:sz w:val="21"/>
              </w:rPr>
              <w:t>4.中标（成交）供应商应每月向采购方报告课题研究推进</w:t>
            </w:r>
            <w:r>
              <w:rPr>
                <w:rFonts w:ascii="仿宋_GB2312" w:hAnsi="仿宋_GB2312" w:cs="仿宋_GB2312" w:eastAsia="仿宋_GB2312"/>
                <w:sz w:val="21"/>
              </w:rPr>
              <w:t>情况。</w:t>
            </w:r>
          </w:p>
          <w:p>
            <w:pPr>
              <w:pStyle w:val="null3"/>
              <w:ind w:firstLine="640"/>
              <w:jc w:val="both"/>
            </w:pPr>
            <w:r>
              <w:rPr>
                <w:rFonts w:ascii="仿宋_GB2312" w:hAnsi="仿宋_GB2312" w:cs="仿宋_GB2312" w:eastAsia="仿宋_GB2312"/>
                <w:sz w:val="21"/>
              </w:rPr>
              <w:t>二、支付方式</w:t>
            </w:r>
          </w:p>
          <w:p>
            <w:pPr>
              <w:pStyle w:val="null3"/>
              <w:ind w:firstLine="640"/>
              <w:jc w:val="both"/>
            </w:pPr>
            <w:r>
              <w:rPr>
                <w:rFonts w:ascii="仿宋_GB2312" w:hAnsi="仿宋_GB2312" w:cs="仿宋_GB2312" w:eastAsia="仿宋_GB2312"/>
                <w:sz w:val="21"/>
              </w:rPr>
              <w:t>规划编制费用由采购方分</w:t>
            </w:r>
            <w:r>
              <w:rPr>
                <w:rFonts w:ascii="仿宋_GB2312" w:hAnsi="仿宋_GB2312" w:cs="仿宋_GB2312" w:eastAsia="仿宋_GB2312"/>
                <w:sz w:val="21"/>
              </w:rPr>
              <w:t>3次支付课题中标（成交）供应商。</w:t>
            </w:r>
          </w:p>
          <w:p>
            <w:pPr>
              <w:pStyle w:val="null3"/>
              <w:ind w:firstLine="640"/>
              <w:jc w:val="both"/>
            </w:pPr>
            <w:r>
              <w:rPr>
                <w:rFonts w:ascii="仿宋_GB2312" w:hAnsi="仿宋_GB2312" w:cs="仿宋_GB2312" w:eastAsia="仿宋_GB2312"/>
                <w:sz w:val="21"/>
              </w:rPr>
              <w:t>具体支付方式和时间如下：</w:t>
            </w:r>
          </w:p>
          <w:p>
            <w:pPr>
              <w:pStyle w:val="null3"/>
              <w:ind w:firstLine="640"/>
              <w:jc w:val="both"/>
            </w:pPr>
            <w:r>
              <w:rPr>
                <w:rFonts w:ascii="仿宋_GB2312" w:hAnsi="仿宋_GB2312" w:cs="仿宋_GB2312" w:eastAsia="仿宋_GB2312"/>
                <w:sz w:val="21"/>
              </w:rPr>
              <w:t>1.采购合同签订后10个工作日内，采购方支付中标（成交）供应商合同费用40%。</w:t>
            </w:r>
          </w:p>
          <w:p>
            <w:pPr>
              <w:pStyle w:val="null3"/>
              <w:ind w:firstLine="640"/>
              <w:jc w:val="both"/>
            </w:pPr>
            <w:r>
              <w:rPr>
                <w:rFonts w:ascii="仿宋_GB2312" w:hAnsi="仿宋_GB2312" w:cs="仿宋_GB2312" w:eastAsia="仿宋_GB2312"/>
                <w:sz w:val="21"/>
              </w:rPr>
              <w:t>2.中标（成交）供应商完成上述规划报告和专项调研报告，并配合采购方完成规划文本（送审稿）提交省政府有关专题会研究后，根据会议研提意见修改完善并经采购方认可后10个工作日内，采购方支付中标（成交）供应商合同费50%。</w:t>
            </w:r>
          </w:p>
          <w:p>
            <w:pPr>
              <w:pStyle w:val="null3"/>
              <w:ind w:firstLine="640"/>
              <w:jc w:val="both"/>
            </w:pPr>
            <w:r>
              <w:rPr>
                <w:rFonts w:ascii="仿宋_GB2312" w:hAnsi="仿宋_GB2312" w:cs="仿宋_GB2312" w:eastAsia="仿宋_GB2312"/>
                <w:sz w:val="21"/>
              </w:rPr>
              <w:t>3.中标（成交）供应商在服务期内根据采购方需求对各类研究成果进行优化完善，研究成果支撑采购方完成关于海南省高新技术产业“十五五”发展规划编制的总体任务，经采购方认可且完成规划文本正式印发后10个工作日内，采购方支付中标（成交）供应商合同费10%，结清课题全部费用。</w:t>
            </w:r>
          </w:p>
          <w:p>
            <w:pPr>
              <w:pStyle w:val="null3"/>
              <w:ind w:firstLine="640"/>
              <w:jc w:val="both"/>
            </w:pPr>
            <w:r>
              <w:rPr>
                <w:rFonts w:ascii="仿宋_GB2312" w:hAnsi="仿宋_GB2312" w:cs="仿宋_GB2312" w:eastAsia="仿宋_GB2312"/>
                <w:sz w:val="21"/>
              </w:rPr>
              <w:t>三、知识产权与保密要求</w:t>
            </w:r>
          </w:p>
          <w:p>
            <w:pPr>
              <w:pStyle w:val="null3"/>
              <w:ind w:firstLine="640"/>
              <w:jc w:val="both"/>
            </w:pPr>
            <w:r>
              <w:rPr>
                <w:rFonts w:ascii="仿宋_GB2312" w:hAnsi="仿宋_GB2312" w:cs="仿宋_GB2312" w:eastAsia="仿宋_GB2312"/>
                <w:sz w:val="21"/>
              </w:rPr>
              <w:t>1.在本项目中形成的工作成果和技术成果归采购方所有。</w:t>
            </w:r>
          </w:p>
          <w:p>
            <w:pPr>
              <w:pStyle w:val="null3"/>
              <w:ind w:firstLine="640"/>
              <w:jc w:val="both"/>
            </w:pPr>
            <w:r>
              <w:rPr>
                <w:rFonts w:ascii="仿宋_GB2312" w:hAnsi="仿宋_GB2312" w:cs="仿宋_GB2312" w:eastAsia="仿宋_GB2312"/>
                <w:sz w:val="21"/>
              </w:rPr>
              <w:t>2.中标（成交）供应商应严格遵守国家信息安全方面的规定，自觉保守信息资源秘密。项目成果没有正式发布前，任务单位和个人都不得擅自公开、使用项目实施过程中所产生的资料、文档、数据、相关附属品。非经采购方书面许可，中标（成交）供应商不得以任何形式泄漏以上材料，因中标（成交）供应商原因导致上述资料、文档、数据安全受到威胁的，采购方有权要求中标（成交）供应商采取措施消除影响，并赔偿相应损失。</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中小企业声明函 残疾人福利性单位声明函 供应商应提交的相关证明材料 自觉抵制政府采购领域商业贿赂行为承诺书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商务应答表 资格承诺函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资格承诺函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项目需求理解</w:t>
            </w:r>
          </w:p>
        </w:tc>
        <w:tc>
          <w:tcPr>
            <w:tcW w:type="dxa" w:w="2492"/>
          </w:tcPr>
          <w:p>
            <w:pPr>
              <w:pStyle w:val="null3"/>
              <w:jc w:val="left"/>
            </w:pPr>
            <w:r>
              <w:rPr>
                <w:rFonts w:ascii="仿宋_GB2312" w:hAnsi="仿宋_GB2312" w:cs="仿宋_GB2312" w:eastAsia="仿宋_GB2312"/>
              </w:rPr>
              <w:t>结合用户需求制定项目总体理解包括但不限于项目需求理解、响应计划、工作服务方案等，进行综合评分： 1.投标人对项目需求理解清楚、响应计划匹配性较好、工作服务方案完整且具有较强针对性，对采购方需求把握全面、深入，得10分； 2.投标人对项目需求理解比较清楚、响应计划基本匹配、工作服务方案相对完整，对采购方需求把握比较全面，得6分； 3.投标人对项目需求理解基本清楚、响应计划匹配性一般、工作服务方案完整性一般，得2分；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项目技术方案</w:t>
            </w:r>
          </w:p>
        </w:tc>
        <w:tc>
          <w:tcPr>
            <w:tcW w:type="dxa" w:w="2492"/>
          </w:tcPr>
          <w:p>
            <w:pPr>
              <w:pStyle w:val="null3"/>
              <w:jc w:val="left"/>
            </w:pPr>
            <w:r>
              <w:rPr>
                <w:rFonts w:ascii="仿宋_GB2312" w:hAnsi="仿宋_GB2312" w:cs="仿宋_GB2312" w:eastAsia="仿宋_GB2312"/>
              </w:rPr>
              <w:t>对投标人结合用户需求提出的项目总体设计、工作思路、技术路线分析以及是否能实现落地可执行的建设目标等，进行综合评分： 1.投标人对国家和海南省省委省政府最新战略部署理解深刻，对本项目提出的总体设计、工作思路、技术路线分析以及是否能实现落地可执行的建设目标等内容专业精准、科学合理，得15分； 2.投标人对国家和海南省省委省政府最新战略部署比较理解，对本项目提出的总体设计、工作思路、技术路线分析以及是否能实现落地可执行的建设目标等内容具备一定科学合理性但针对性一般，得10分； 3.投标人对国家和海南省省委省政府最新战略部署有一定理解，对本项目提出的总体设计、工作思路、技术路线分析以及是否能实现落地可执行的建设目标等内容科学合理性、针对性较差，得得5分。 4.不提供不得分。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工作重点、难点及其解决措施</w:t>
            </w:r>
          </w:p>
        </w:tc>
        <w:tc>
          <w:tcPr>
            <w:tcW w:type="dxa" w:w="2492"/>
          </w:tcPr>
          <w:p>
            <w:pPr>
              <w:pStyle w:val="null3"/>
              <w:jc w:val="left"/>
            </w:pPr>
            <w:r>
              <w:rPr>
                <w:rFonts w:ascii="仿宋_GB2312" w:hAnsi="仿宋_GB2312" w:cs="仿宋_GB2312" w:eastAsia="仿宋_GB2312"/>
              </w:rPr>
              <w:t>综合评价投标人对项目实施过程中遇到的重点、难点问题理解把握程度以及解决措施合理性、可行性、针对性等： 1.投标人对本项目的重点、难点问题理解深刻，并提出科学合理客观可行且针对性强的解决措施，得15分； 2.投标人对本项目的重点、难点问题基本理解，并提出基本可行的解决措施，得10分； 3.投标人对本项目的重点、难点问题有一定理解，并提出相应解决措施，得5分； 4.不提供不得分。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工作进度计划安排及保障措施</w:t>
            </w:r>
          </w:p>
        </w:tc>
        <w:tc>
          <w:tcPr>
            <w:tcW w:type="dxa" w:w="2492"/>
          </w:tcPr>
          <w:p>
            <w:pPr>
              <w:pStyle w:val="null3"/>
              <w:jc w:val="left"/>
            </w:pPr>
            <w:r>
              <w:rPr>
                <w:rFonts w:ascii="仿宋_GB2312" w:hAnsi="仿宋_GB2312" w:cs="仿宋_GB2312" w:eastAsia="仿宋_GB2312"/>
              </w:rPr>
              <w:t>综合评价投标人的工作进度计划安排及保障措施情况： 1.工作进度计划安排及保障措施适用性强，质量管理制度完善，实施过程务实，完成方案编制的时间、进度计划高度契合项目需求的，得10分； 2.工作进度计划安排及保障措施适用性较强，有一定的质量管理内容，完成方案编制的时间，进度计划基本满足项目需要，得6分； 3.工作进度计划安排及保障措施适用性差，完成方案编制的时间，进度计划不满足项目需求的，得2分；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投标人 综合实力</w:t>
            </w:r>
          </w:p>
        </w:tc>
        <w:tc>
          <w:tcPr>
            <w:tcW w:type="dxa" w:w="2492"/>
          </w:tcPr>
          <w:p>
            <w:pPr>
              <w:pStyle w:val="null3"/>
              <w:jc w:val="left"/>
            </w:pPr>
            <w:r>
              <w:rPr>
                <w:rFonts w:ascii="仿宋_GB2312" w:hAnsi="仿宋_GB2312" w:cs="仿宋_GB2312" w:eastAsia="仿宋_GB2312"/>
              </w:rPr>
              <w:t>1.投标人具有中国工程咨询协会颁发的工程咨询专业资信（甲级）得2分。 2.投标人2020年1月1日（含）至今获得过省级（及以上）优秀工程咨询成果奖项。每提供一项得2分，最多得8分。 证明材料：提供相关证书复印件加盖公章，不提供不得分。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投标人具备相关类似省（部）级项目规划的编制经验，每提供一个项目业绩得2分。满分10分。 证明材料：提供合同复印件并加盖公章，不提供不得分。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项目负责人业绩</w:t>
            </w:r>
          </w:p>
        </w:tc>
        <w:tc>
          <w:tcPr>
            <w:tcW w:type="dxa" w:w="2492"/>
          </w:tcPr>
          <w:p>
            <w:pPr>
              <w:pStyle w:val="null3"/>
              <w:jc w:val="left"/>
            </w:pPr>
            <w:r>
              <w:rPr>
                <w:rFonts w:ascii="仿宋_GB2312" w:hAnsi="仿宋_GB2312" w:cs="仿宋_GB2312" w:eastAsia="仿宋_GB2312"/>
              </w:rPr>
              <w:t>1.课题负责人应具有正高级（或相当于正高级）专业技术职称，得2分。 2.课题负责人具备相关类似省级项目规划编制经验，每提供一个项目业绩得1分，最多得3分。 证明材料：提供相关的有效证明材料并加盖公章。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项目人员整体配置情况</w:t>
            </w:r>
          </w:p>
        </w:tc>
        <w:tc>
          <w:tcPr>
            <w:tcW w:type="dxa" w:w="2492"/>
          </w:tcPr>
          <w:p>
            <w:pPr>
              <w:pStyle w:val="null3"/>
              <w:jc w:val="left"/>
            </w:pPr>
            <w:r>
              <w:rPr>
                <w:rFonts w:ascii="仿宋_GB2312" w:hAnsi="仿宋_GB2312" w:cs="仿宋_GB2312" w:eastAsia="仿宋_GB2312"/>
              </w:rPr>
              <w:t>满足申报要求中课题组人员配置基础上，综合评价组织机构、编制团队构成、人员编制经验、人员力量配备、分工情况等（以上所指人员必须均为投标人所在单位的在职职工），满分12分。 1.组织机构完善，实施团队人数合理，人员配置较优（中高级职称比例高），具备副高及以上专业技术支撑，团队人员经验丰富，分工合理，职责清晰，得15分； 2.组织机构较为完善，实施团队人数相对合理，人员配置较优（中高级职称比例适中），团队人员经验丰富，分工具有一定合理性，职责较为清晰，得10分； 3.组织机构完善程度有所欠缺，实施团队人数在合理区间，人员配置一般（中高级职称比例较低），团队人员经验不足，分工不够合理，职责不太清晰，得5分； 4.不提供不得分。 证明材料：提供人员任职证明材料及相关证书复印件并加盖公章。还应提供人员构成表及分工情况等。</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详见附件：附件：海南省“十五五”高新技术产业发展规划编制委托合同.docx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[HNHXY]20250300001[CS]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海南省“十五五”高新技术产业发展规划</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海南省“十五五”高新技术产业发展规划</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C23080100-行业规划服务</w:t>
            </w:r>
          </w:p>
        </w:tc>
        <w:tc>
          <w:tcPr>
            <w:tcW w:type="dxa" w:w="1038"/>
          </w:tcPr>
          <w:p>
            <w:pPr>
              <w:pStyle w:val="null3"/>
              <w:jc w:val="left"/>
            </w:pPr>
            <w:r>
              <w:rPr>
                <w:rFonts w:ascii="仿宋_GB2312" w:hAnsi="仿宋_GB2312" w:cs="仿宋_GB2312" w:eastAsia="仿宋_GB2312"/>
              </w:rPr>
              <w:t xml:space="preserve"> 1.00个/套</w:t>
            </w:r>
          </w:p>
        </w:tc>
        <w:tc>
          <w:tcPr>
            <w:tcW w:type="dxa" w:w="1038"/>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