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浦城县农业农村局国家产业园绿色防控-统防统治服务（石陂镇）采购项目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CGXM-2025-350722-00039[2025]00030</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[350722]MY[CS]2025004</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浦城县农业农村局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南平市闽源招标咨询有限公司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浦城县农业农村局</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浦城县农业农村局国家产业园绿色防控-统防统治服务（石陂镇）采购项目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南平市闽源招标咨询有限公司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浦城县农业农村局国家产业园绿色防控-统防统治服务（石陂镇）采购项目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CGXM-2025-350722-00039[2025]00030</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[350722]MY[CS]2025004</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1,082,668.60</w:t>
      </w:r>
    </w:p>
    <w:p>
      <w:pPr>
        <w:pStyle w:val="null3"/>
        <w:jc w:val="left"/>
      </w:pPr>
      <w:r>
        <w:rPr>
          <w:rFonts w:ascii="仿宋_GB2312" w:hAnsi="仿宋_GB2312" w:cs="仿宋_GB2312" w:eastAsia="仿宋_GB2312"/>
        </w:rPr>
        <w:t>采购包最高限价（元）: 1,082,668.60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统防统治服务（石陂镇）</w:t>
            </w:r>
          </w:p>
        </w:tc>
        <w:tc>
          <w:tcPr>
            <w:tcW w:type="dxa" w:w="1187"/>
          </w:tcPr>
          <w:p>
            <w:pPr>
              <w:pStyle w:val="null3"/>
              <w:jc w:val="right"/>
            </w:pPr>
            <w:r>
              <w:rPr>
                <w:rFonts w:ascii="仿宋_GB2312" w:hAnsi="仿宋_GB2312" w:cs="仿宋_GB2312" w:eastAsia="仿宋_GB2312"/>
              </w:rPr>
              <w:t>4,164.11</w:t>
            </w:r>
          </w:p>
        </w:tc>
        <w:tc>
          <w:tcPr>
            <w:tcW w:type="dxa" w:w="1187"/>
          </w:tcPr>
          <w:p>
            <w:pPr>
              <w:pStyle w:val="null3"/>
              <w:jc w:val="right"/>
            </w:pPr>
            <w:r>
              <w:rPr>
                <w:rFonts w:ascii="仿宋_GB2312" w:hAnsi="仿宋_GB2312" w:cs="仿宋_GB2312" w:eastAsia="仿宋_GB2312"/>
              </w:rPr>
              <w:t>1,082,668.60</w:t>
            </w:r>
          </w:p>
        </w:tc>
        <w:tc>
          <w:tcPr>
            <w:tcW w:type="dxa" w:w="1187"/>
          </w:tcPr>
          <w:p>
            <w:pPr>
              <w:pStyle w:val="null3"/>
              <w:jc w:val="left"/>
            </w:pPr>
            <w:r>
              <w:rPr>
                <w:rFonts w:ascii="仿宋_GB2312" w:hAnsi="仿宋_GB2312" w:cs="仿宋_GB2312" w:eastAsia="仿宋_GB2312"/>
              </w:rPr>
              <w:t>亩</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统防统治服务（石陂镇）</w:t>
            </w:r>
          </w:p>
        </w:tc>
        <w:tc>
          <w:tcPr>
            <w:tcW w:type="dxa" w:w="554"/>
          </w:tcPr>
          <w:p>
            <w:pPr>
              <w:pStyle w:val="null3"/>
              <w:jc w:val="left"/>
            </w:pPr>
            <w:r>
              <w:rPr>
                <w:rFonts w:ascii="仿宋_GB2312" w:hAnsi="仿宋_GB2312" w:cs="仿宋_GB2312" w:eastAsia="仿宋_GB2312"/>
              </w:rPr>
              <w:t>亩</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1,082,668.60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统防统治服务（石陂镇）</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统防统治服务（石陂镇）</w:t>
            </w:r>
          </w:p>
        </w:tc>
        <w:tc>
          <w:tcPr>
            <w:tcW w:type="dxa" w:w="2076"/>
          </w:tcPr>
          <w:p>
            <w:pPr>
              <w:pStyle w:val="null3"/>
              <w:jc w:val="left"/>
            </w:pPr>
            <w:r>
              <w:rPr>
                <w:rFonts w:ascii="仿宋_GB2312" w:hAnsi="仿宋_GB2312" w:cs="仿宋_GB2312" w:eastAsia="仿宋_GB2312"/>
              </w:rPr>
              <w:t>不得超过最高限价</w:t>
            </w:r>
          </w:p>
        </w:tc>
        <w:tc>
          <w:tcPr>
            <w:tcW w:type="dxa" w:w="415"/>
          </w:tcPr>
          <w:p>
            <w:pPr>
              <w:pStyle w:val="null3"/>
              <w:jc w:val="left"/>
            </w:pPr>
            <w:r>
              <w:rPr>
                <w:rFonts w:ascii="仿宋_GB2312" w:hAnsi="仿宋_GB2312" w:cs="仿宋_GB2312" w:eastAsia="仿宋_GB2312"/>
              </w:rPr>
              <w:t>亩</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1,082,668.60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适用于合同包1，按照财库[2019]19号文所附品目清单执行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适用于合同包1,按照财库[2019]18号文所附品目清单执行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特定资格要求</w:t>
            </w:r>
          </w:p>
        </w:tc>
        <w:tc>
          <w:tcPr>
            <w:tcW w:type="dxa" w:w="4614"/>
          </w:tcPr>
          <w:p>
            <w:pPr>
              <w:pStyle w:val="null3"/>
              <w:jc w:val="left"/>
            </w:pPr>
            <w:r>
              <w:rPr>
                <w:rFonts w:ascii="仿宋_GB2312" w:hAnsi="仿宋_GB2312" w:cs="仿宋_GB2312" w:eastAsia="仿宋_GB2312"/>
              </w:rPr>
              <w:t>供应商须具有行政主管部门颁发、有效的农药经营许可证（提供相关证书复印件，应完整、清晰、整洁）。</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①本项目专门面向符合财政部、工信部文件（财库〔2020〕46号）规定的中、小、微企业。供应商须按照本竞争性磋商文件规定的范本提供《中小企业声明函》（工程、服务）即服务由中/小/微/企业承接。供应商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磋商文件中的有关条款与本条款有矛盾之处以此处为准。②监狱企业视同小型、微型企业，供应商为监狱企业的，可不提供中小企业声明函，但须提供由省级以上监狱管理局、戒毒管理局（含新疆生产建设兵团）出具的属于监狱企业的证明文件。③残疾人福利性单位视同小型、微型企业，供应商为残疾人福利性单位的，可不提供中小企业声明函，但须提供的《残疾人福利性单位声明函》。※供应商应按照竞争性磋商文件第五章规定提供。注：享受扶持政策获得政府采购合同的，小微企业不得将合同分包给大中型企业，中型企业不得将合同分包给大型企业。注：本项目为服务类采购项目，采购标的对应的中小企业划分标准所属行业为其他未列明行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浦城县农业农村局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浦城县兴浦路226号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353400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罗思军</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0599-2879513</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南平市闽源招标咨询有限公司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浦城县德秀大道里塘路42号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353400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0599-2825650</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南平市闽源招标咨询有限公司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特定资格要求</w:t>
                  </w:r>
                </w:p>
              </w:tc>
              <w:tc>
                <w:tcPr>
                  <w:tcW w:type="dxa" w:w="1418"/>
                </w:tcPr>
                <w:p>
                  <w:pPr>
                    <w:pStyle w:val="null3"/>
                    <w:jc w:val="left"/>
                  </w:pPr>
                  <w:r>
                    <w:rPr>
                      <w:rFonts w:ascii="仿宋_GB2312" w:hAnsi="仿宋_GB2312" w:cs="仿宋_GB2312" w:eastAsia="仿宋_GB2312"/>
                    </w:rPr>
                    <w:t>供应商须具有行政主管部门颁发、有效的农药经营许可证（提供相关证书复印件，应完整、清晰、整洁）。</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①本项目专门面向符合财政部、工信部文件（财库〔2020〕46号）规定的中、小、微企业。供应商须按照本竞争性磋商文件规定的范本提供《中小企业声明函》（工程、服务）即服务由中/小/微/企业承接。供应商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磋商文件中的有关条款与本条款有矛盾之处以此处为准。②监狱企业视同小型、微型企业，供应商为监狱企业的，可不提供中小企业声明函，但须提供由省级以上监狱管理局、戒毒管理局（含新疆生产建设兵团）出具的属于监狱企业的证明文件。③残疾人福利性单位视同小型、微型企业，供应商为残疾人福利性单位的，可不提供中小企业声明函，但须提供的《残疾人福利性单位声明函》。※供应商应按照竞争性磋商文件第五章规定提供。注：享受扶持政策获得政府采购合同的，小微企业不得将合同分包给大中型企业，中型企业不得将合同分包给大型企业。注：本项目为服务类采购项目，采购标的对应的中小企业划分标准所属行业为其他未列明行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1</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浦城县财政局政府采购监督管理办公室</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中标/成交金额100万元及以下的按1.5%计算；100～500万元以内部分按0.8%计算，以上累计为中标/成交服务费。代理服务费的交纳方式：中标/成交供应商应按以上规定的标准一次性向代理机构缴清代理服务费。代理服务费收取方式：转账方式。缴纳代理服务费账户信息：开户名：南平市闽源招标咨询有限公司，开户行：中国建设银行股份有限公司浦城支行，账号：35050167740700000401。</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质疑受理的其它要求：质疑人递交质疑函时还应出具质疑人已在福建省政府采购网上公开信息系统上获取招标文件的证明文件(体现查看时间或获取招标文件时间)。[查看时间或获取招标文件时间以福建省政府采购网上公开信息系统记载为准。]在法定质疑期内质疑人须一次性提出针对同一采购程序环节的质疑，二(多)次质疑不予受理。</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本项目支持远程开标，供应商可通过远程线上参与开标，具体系统操作指南详见福建省政府采购网首页上相关操作手册。本项目开标过程中远程解密操作时限为30分钟,远程签章操作时限为30分钟，最后报价操作时限为30分钟，请供应商务必密切关注实时开标流程，完成远程解密、远程签章、最后报价。供应商应确保自身设施、设备、网络环境状况良好，在开标过程中因供应商自身原因未在规定的操作时间内完成投标文件的解密，逾期未解密的，视为自行放弃投标。供应商未在规定的操作时间内完成远程签章的，视为默认开标结果。供应商未在规定的操作时间内完成最后报价的，视为自行放弃投标。在开标过程中，因系统故障等导致无法继续进行开标的，供应商须配合等待故障处理，待故障解除后继续开标。</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left"/>
      </w:pPr>
      <w:r>
        <w:rPr>
          <w:rFonts w:ascii="仿宋_GB2312" w:hAnsi="仿宋_GB2312" w:cs="仿宋_GB2312" w:eastAsia="仿宋_GB2312"/>
        </w:rPr>
        <w:t>技术部分评分PT 满分为70.0000分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3"/>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响应情况</w:t>
            </w:r>
          </w:p>
        </w:tc>
        <w:tc>
          <w:tcPr>
            <w:tcW w:type="dxa" w:w="831"/>
          </w:tcPr>
          <w:p>
            <w:pPr>
              <w:pStyle w:val="null3"/>
              <w:jc w:val="right"/>
            </w:pPr>
            <w:r>
              <w:rPr>
                <w:rFonts w:ascii="仿宋_GB2312" w:hAnsi="仿宋_GB2312" w:cs="仿宋_GB2312" w:eastAsia="仿宋_GB2312"/>
              </w:rPr>
              <w:t>30.00</w:t>
            </w:r>
          </w:p>
        </w:tc>
        <w:tc>
          <w:tcPr>
            <w:tcW w:type="dxa" w:w="4153"/>
          </w:tcPr>
          <w:p>
            <w:pPr>
              <w:pStyle w:val="null3"/>
              <w:jc w:val="left"/>
            </w:pPr>
            <w:r>
              <w:rPr>
                <w:rFonts w:ascii="仿宋_GB2312" w:hAnsi="仿宋_GB2312" w:cs="仿宋_GB2312" w:eastAsia="仿宋_GB2312"/>
              </w:rPr>
              <w:t>根据各供应商对招标文件第三章招标内容及要求“二、技术和服务要求”所有参数的逐项应标情况进行评分：标识★号的为实质性要求，负偏离为响应无效；全部满足招标文件未标识★号要求的得30分；每负偏离一项扣3分（共10项，以最低序号为一项），正偏离不加分。</w:t>
            </w:r>
          </w:p>
        </w:tc>
      </w:tr>
      <w:tr>
        <w:tc>
          <w:tcPr>
            <w:tcW w:type="dxa" w:w="3322"/>
          </w:tcPr>
          <w:p>
            <w:pPr>
              <w:pStyle w:val="null3"/>
              <w:jc w:val="left"/>
            </w:pPr>
            <w:r>
              <w:rPr>
                <w:rFonts w:ascii="仿宋_GB2312" w:hAnsi="仿宋_GB2312" w:cs="仿宋_GB2312" w:eastAsia="仿宋_GB2312"/>
              </w:rPr>
              <w:t>项目的理解</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针对本项目的理解（包含但不限于：在农业及自然地理条件等因素条件下对防治整体工作的理解和描述情况等方面）进行评议：方案内容齐全无缺漏项、与采购需求相符，每个方案要点均有展开详细的阐述，对项目理解深刻、内容具有针对性，整体思路结构清晰、逻辑性强，内容描述科学合理，细节考虑周全且能够适用于本项目的得3分；方案内容齐全无缺漏项、与采购需求较为相符，每个方案要点均有展开阐述（但没有特别具体），对项目理解到位、部分内容具有针对性，整体思路结构较清晰、逻辑性较强，内容描述较科学合理的，细节考虑较周全且基本能够适用于本项目的得2.75分；方案内容方案内容一般、简略且未展开详细阐述的得2.5分；内容明显不适用于本项目需求或未提供方案不得分。</w:t>
            </w:r>
          </w:p>
        </w:tc>
      </w:tr>
      <w:tr>
        <w:tc>
          <w:tcPr>
            <w:tcW w:type="dxa" w:w="3322"/>
          </w:tcPr>
          <w:p>
            <w:pPr>
              <w:pStyle w:val="null3"/>
              <w:jc w:val="left"/>
            </w:pPr>
            <w:r>
              <w:rPr>
                <w:rFonts w:ascii="仿宋_GB2312" w:hAnsi="仿宋_GB2312" w:cs="仿宋_GB2312" w:eastAsia="仿宋_GB2312"/>
              </w:rPr>
              <w:t>防治方案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针对本项目提供的防治方案（包含但不限于：防治区域的环境情况，防控区域内农田和社区、村居、道路等其它地的不同防治要求等方面）进行评议：方案内容齐全无缺漏项、与采购需求相符，每个方案要点均有展开详细的阐述，对项目理解深刻、内容具有针对性，整体思路结构清晰、逻辑性强，内容描述科学合理，细节考虑周全且能够适用于本项目的得3分；方案内容齐全无缺漏项、与采购需求较为相符，每个方案要点均有展开阐述（但没有特别具体），对项目理解到位、部分内容具有针对性，整体思路结构较清晰、逻辑性较强，内容描述较科学合理的，细节考虑较周全且基本能够适用于本项目的得2.75分；方案内容有缺项或无缺项但方案内容一般、简略且未展开详细阐述的得2.5分；缺项2项及以上或内容明显不适用于本项目需求或未提供方案不得分。</w:t>
            </w:r>
          </w:p>
        </w:tc>
      </w:tr>
      <w:tr>
        <w:tc>
          <w:tcPr>
            <w:tcW w:type="dxa" w:w="3322"/>
          </w:tcPr>
          <w:p>
            <w:pPr>
              <w:pStyle w:val="null3"/>
              <w:jc w:val="left"/>
            </w:pPr>
            <w:r>
              <w:rPr>
                <w:rFonts w:ascii="仿宋_GB2312" w:hAnsi="仿宋_GB2312" w:cs="仿宋_GB2312" w:eastAsia="仿宋_GB2312"/>
              </w:rPr>
              <w:t>实施方案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针对本项目提供的实施方案[包含但不限于：项目管理、技术人员安排、施药队伍的组织，使用药剂的准备（农药名称、药剂生产企业、数量、施用次数、施用剂量），监测调查方法与时间安排、防治次数与时间安排、安全管理和验收材料准备等方面]进行评议：方案内容齐全无缺漏项、与采购需求相符，每个方案要点均有展开详细的阐述，对项目理解深刻、内容具有针对性，整体思路结构清晰、逻辑性强，内容描述科学合理，细节考虑周全且能够适用于本项目的得3分；方案内容齐全无缺漏项、与采购需求较为相符，每个方案要点均有展开阐述（但没有特别具体），对项目理解到位、部分内容具有针对性，整体思路结构较清晰、逻辑性较强，内容描述较科学合理的，细节考虑较周全且基本能够适用于本项目的得2.75分；方案内容有缺项或无缺项但方案内容一般、简略且未展开详细阐述的得2.5分；缺项2项及以上或内容明显不适用于本项目需求或未提供方案不得分。</w:t>
            </w:r>
          </w:p>
        </w:tc>
      </w:tr>
      <w:tr>
        <w:tc>
          <w:tcPr>
            <w:tcW w:type="dxa" w:w="3322"/>
          </w:tcPr>
          <w:p>
            <w:pPr>
              <w:pStyle w:val="null3"/>
              <w:jc w:val="left"/>
            </w:pPr>
            <w:r>
              <w:rPr>
                <w:rFonts w:ascii="仿宋_GB2312" w:hAnsi="仿宋_GB2312" w:cs="仿宋_GB2312" w:eastAsia="仿宋_GB2312"/>
              </w:rPr>
              <w:t>植保无人机病虫害防治技术方案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针对本项目提供的植保无人机病虫害防治技术方案（包含但不限于：水量、高度、飞行速度等等方面）进行评议：方案内容齐全无缺漏项、与采购需求相符，每个方案要点均有展开详细的阐述，对项目理解深刻、内容具有针对性，整体思路结构清晰、逻辑性强，内容描述科学合理，细节考虑周全且能够适用于本项目的得3分；方案内容齐全无缺漏项、与采购需求较为相符，每个方案要点均有展开阐述（但没有特别具体），对项目理解到位、部分内容具有针对性，整体思路结构较清晰、逻辑性较强，内容描述较科学合理的，细节考虑较周全且基本能够适用于本项目的得2.75分；方案内容有缺项或无缺项但方案内容一般、简略且未展开详细阐述的得2.5分；缺项2项及以上或内容明显不适用于本项目需求或未提供方案不得分。</w:t>
            </w:r>
          </w:p>
        </w:tc>
      </w:tr>
      <w:tr>
        <w:tc>
          <w:tcPr>
            <w:tcW w:type="dxa" w:w="3322"/>
          </w:tcPr>
          <w:p>
            <w:pPr>
              <w:pStyle w:val="null3"/>
              <w:jc w:val="left"/>
            </w:pPr>
            <w:r>
              <w:rPr>
                <w:rFonts w:ascii="仿宋_GB2312" w:hAnsi="仿宋_GB2312" w:cs="仿宋_GB2312" w:eastAsia="仿宋_GB2312"/>
              </w:rPr>
              <w:t>农药抗药性方案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针对本项目提供的农药抗药性方案（包含但不限于：有稻飞虱、二化螟、稻瘟病、卷叶螟等农药抗药性处置等方面）进行评议：方案内容齐全无缺漏项、与采购需求相符，每个方案要点均有展开详细的阐述，对项目理解深刻、内容具有针对性，整体思路结构清晰、逻辑性强，内容描述科学合理，细节考虑周全且能够适用于本项目的得3分；方案内容齐全无缺漏项、与采购需求较为相符，每个方案要点均有展开阐述（但没有特别具体），对项目理解到位、部分内容具有针对性，整体思路结构较清晰、逻辑性较强，内容描述较科学合理的，细节考虑较周全且基本能够适用于本项目的得2.75分；方案内容有缺项或无缺项但方案内容一般、简略且未展开详细阐述的得2.5分；缺项2项及以上或内容明显不适用于本项目需求或未提供方案不得分。</w:t>
            </w:r>
          </w:p>
        </w:tc>
      </w:tr>
      <w:tr>
        <w:tc>
          <w:tcPr>
            <w:tcW w:type="dxa" w:w="3322"/>
          </w:tcPr>
          <w:p>
            <w:pPr>
              <w:pStyle w:val="null3"/>
              <w:jc w:val="left"/>
            </w:pPr>
            <w:r>
              <w:rPr>
                <w:rFonts w:ascii="仿宋_GB2312" w:hAnsi="仿宋_GB2312" w:cs="仿宋_GB2312" w:eastAsia="仿宋_GB2312"/>
              </w:rPr>
              <w:t>拟投入无人机</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拟投入植保无人机进行评议：拟投入植保无人机数量≥30台的得3分；拟投入植保无人机数量≥20台的得2分；拟投入植保无人机数量≥10台的得1分。（供应商自有的须提供采购发票、购销合同、购买转账记录、设备合格证；若是租赁的须提供租赁合同、购买转账记录、设备合格证，未提供或提供不全的不得分。）</w:t>
            </w:r>
          </w:p>
        </w:tc>
      </w:tr>
      <w:tr>
        <w:tc>
          <w:tcPr>
            <w:tcW w:type="dxa" w:w="3322"/>
          </w:tcPr>
          <w:p>
            <w:pPr>
              <w:pStyle w:val="null3"/>
              <w:jc w:val="left"/>
            </w:pPr>
            <w:r>
              <w:rPr>
                <w:rFonts w:ascii="仿宋_GB2312" w:hAnsi="仿宋_GB2312" w:cs="仿宋_GB2312" w:eastAsia="仿宋_GB2312"/>
              </w:rPr>
              <w:t>拟投入车辆</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拟投入车辆进行评议：拟投入车辆（货车或皮卡）数量≥10台的得3分；拟投入车辆（货车或皮卡）数量≥5台的得1.5分；其他不得分。（供应商自有须提供车辆有效的机动车登记证书复印件、购置发票、购买合同、购买转账凭证；若是租赁的须提供租赁合同、车辆有效的机动车登记证书复印件、购置发票、购买合同、购买转账凭证未提供或提供不全的不得分。）</w:t>
            </w:r>
          </w:p>
        </w:tc>
      </w:tr>
      <w:tr>
        <w:tc>
          <w:tcPr>
            <w:tcW w:type="dxa" w:w="3322"/>
          </w:tcPr>
          <w:p>
            <w:pPr>
              <w:pStyle w:val="null3"/>
              <w:jc w:val="left"/>
            </w:pPr>
            <w:r>
              <w:rPr>
                <w:rFonts w:ascii="仿宋_GB2312" w:hAnsi="仿宋_GB2312" w:cs="仿宋_GB2312" w:eastAsia="仿宋_GB2312"/>
              </w:rPr>
              <w:t>管理系统</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left"/>
            </w:pPr>
            <w:r>
              <w:rPr>
                <w:rFonts w:ascii="仿宋_GB2312" w:hAnsi="仿宋_GB2312" w:cs="仿宋_GB2312" w:eastAsia="仿宋_GB2312"/>
              </w:rPr>
              <w:t>供应商有投入本项目植保无人机管理系统的得2分。[须提供系统软件运用过程各节点的截图（包括登录界面、公司团队用户信息、操作过程或相关操作记录等，未提供或提供不全的不得分。]</w:t>
            </w:r>
          </w:p>
        </w:tc>
      </w:tr>
      <w:tr>
        <w:tc>
          <w:tcPr>
            <w:tcW w:type="dxa" w:w="3322"/>
          </w:tcPr>
          <w:p>
            <w:pPr>
              <w:pStyle w:val="null3"/>
              <w:jc w:val="left"/>
            </w:pPr>
            <w:r>
              <w:rPr>
                <w:rFonts w:ascii="仿宋_GB2312" w:hAnsi="仿宋_GB2312" w:cs="仿宋_GB2312" w:eastAsia="仿宋_GB2312"/>
              </w:rPr>
              <w:t>项目负责人</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拟投入本项目负责人具有农业相关专业高级及以上职称的得1.5分。须提供职称证书复印件及投标截止时间前六个月内任意一个月（不含投标截止时间当月）供应商为其缴纳的社保证明材料复印件；若为退休返聘人员须提供退休证明及供应商与其签订的劳务合同复印件。未提供或提供不全的不得分，项目投入人员不得兼任。</w:t>
            </w:r>
          </w:p>
        </w:tc>
      </w:tr>
      <w:tr>
        <w:tc>
          <w:tcPr>
            <w:tcW w:type="dxa" w:w="3322"/>
          </w:tcPr>
          <w:p>
            <w:pPr>
              <w:pStyle w:val="null3"/>
              <w:jc w:val="left"/>
            </w:pPr>
            <w:r>
              <w:rPr>
                <w:rFonts w:ascii="仿宋_GB2312" w:hAnsi="仿宋_GB2312" w:cs="仿宋_GB2312" w:eastAsia="仿宋_GB2312"/>
              </w:rPr>
              <w:t>技术负责人</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拟投入本项目技术负责人具有农业相关专业高级及以上职称的得1.5分。须提供职称证书复印件及投标截止时间前六个月内任意一个月（不含投标截止时间当月）供应商为其缴纳的社保证明材料复印件；若为退休返聘人员须提供退休证明及供应商与其签订的劳务合同复印件。未提供或提供不全的不得分，项目投入人员不得兼任。</w:t>
            </w:r>
          </w:p>
        </w:tc>
      </w:tr>
      <w:tr>
        <w:tc>
          <w:tcPr>
            <w:tcW w:type="dxa" w:w="3322"/>
          </w:tcPr>
          <w:p>
            <w:pPr>
              <w:pStyle w:val="null3"/>
              <w:jc w:val="left"/>
            </w:pPr>
            <w:r>
              <w:rPr>
                <w:rFonts w:ascii="仿宋_GB2312" w:hAnsi="仿宋_GB2312" w:cs="仿宋_GB2312" w:eastAsia="仿宋_GB2312"/>
              </w:rPr>
              <w:t>团队成员</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拟投入本项目的团队人员中具有安全员、施工员、材料员的，每提供1人得1分，满分3分。须提供相关证书复印件及投标截止时间前六个月内任意一个月（不含投标截止时间当月）供应商为其缴纳的社保证明材料复印件，未提供或提供不全的不得分，项目投入人员不得兼任。</w:t>
            </w:r>
          </w:p>
        </w:tc>
      </w:tr>
      <w:tr>
        <w:tc>
          <w:tcPr>
            <w:tcW w:type="dxa" w:w="3322"/>
          </w:tcPr>
          <w:p>
            <w:pPr>
              <w:pStyle w:val="null3"/>
              <w:jc w:val="left"/>
            </w:pPr>
            <w:r>
              <w:rPr>
                <w:rFonts w:ascii="仿宋_GB2312" w:hAnsi="仿宋_GB2312" w:cs="仿宋_GB2312" w:eastAsia="仿宋_GB2312"/>
              </w:rPr>
              <w:t>有害生物防治员</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拟投入本项目的团队人员中具有有害生物防治员的，每提供1人得1分，满分3分。须提供相关证书复印件及投标截止时间前六个月内任意一个月（不含投标截止时间当月）供应商为其缴纳的社保证明材料复印件，未提供或提供不全的不得分，项目投入人员不得兼任。</w:t>
            </w:r>
          </w:p>
        </w:tc>
      </w:tr>
      <w:tr>
        <w:tc>
          <w:tcPr>
            <w:tcW w:type="dxa" w:w="3322"/>
          </w:tcPr>
          <w:p>
            <w:pPr>
              <w:pStyle w:val="null3"/>
              <w:jc w:val="left"/>
            </w:pPr>
            <w:r>
              <w:rPr>
                <w:rFonts w:ascii="仿宋_GB2312" w:hAnsi="仿宋_GB2312" w:cs="仿宋_GB2312" w:eastAsia="仿宋_GB2312"/>
              </w:rPr>
              <w:t>无人机操作员</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拟投入本项目植保无人机操作员具有无人机操作证的，每提供1人得1分，满分3分。须提供相关证书复印件及投标截止时间前六个月内任意一个月（不含投标截止时间当月）供应商为其缴纳的社保证明材料复印件，未提供或提供不全的不得分，项目投入人员不得兼任。</w:t>
            </w:r>
          </w:p>
        </w:tc>
      </w:tr>
      <w:tr>
        <w:tc>
          <w:tcPr>
            <w:tcW w:type="dxa" w:w="3322"/>
          </w:tcPr>
          <w:p>
            <w:pPr>
              <w:pStyle w:val="null3"/>
              <w:jc w:val="left"/>
            </w:pPr>
            <w:r>
              <w:rPr>
                <w:rFonts w:ascii="仿宋_GB2312" w:hAnsi="仿宋_GB2312" w:cs="仿宋_GB2312" w:eastAsia="仿宋_GB2312"/>
              </w:rPr>
              <w:t>服务承诺</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left"/>
            </w:pPr>
            <w:r>
              <w:rPr>
                <w:rFonts w:ascii="仿宋_GB2312" w:hAnsi="仿宋_GB2312" w:cs="仿宋_GB2312" w:eastAsia="仿宋_GB2312"/>
              </w:rPr>
              <w:t>供应商针对本项目承诺，如若有临时应急处置任务，在接到采购人通知后能1小时内响应，2小时到达外置的得2分。须提供承诺函，格式自拟。</w:t>
            </w:r>
          </w:p>
        </w:tc>
      </w:tr>
    </w:tbl>
    <w:p>
      <w:pPr>
        <w:pStyle w:val="null3"/>
        <w:jc w:val="left"/>
      </w:pPr>
      <w:r>
        <w:rPr>
          <w:rFonts w:ascii="仿宋_GB2312" w:hAnsi="仿宋_GB2312" w:cs="仿宋_GB2312" w:eastAsia="仿宋_GB2312"/>
        </w:rPr>
        <w:t>商务部分评分PB 满分为20.0000分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3"/>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企业资质</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供应商具有有效的有害生物防治企业服务资质的得3分。须提供相关证书复印件，否则不得分。</w:t>
            </w:r>
          </w:p>
        </w:tc>
      </w:tr>
      <w:tr>
        <w:tc>
          <w:tcPr>
            <w:tcW w:type="dxa" w:w="3322"/>
          </w:tcPr>
          <w:p>
            <w:pPr>
              <w:pStyle w:val="null3"/>
              <w:jc w:val="left"/>
            </w:pPr>
            <w:r>
              <w:rPr>
                <w:rFonts w:ascii="仿宋_GB2312" w:hAnsi="仿宋_GB2312" w:cs="仿宋_GB2312" w:eastAsia="仿宋_GB2312"/>
              </w:rPr>
              <w:t>技术力量</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供应商为本项目每投入一名科技特派员得1分或每提供一份涉及本项目内容的与高校合作科研合同得1.5分，满分3分。须提供科技特派员证书或科研合同等证明材料复印件，未提供不得分。</w:t>
            </w:r>
          </w:p>
        </w:tc>
      </w:tr>
      <w:tr>
        <w:tc>
          <w:tcPr>
            <w:tcW w:type="dxa" w:w="3322"/>
          </w:tcPr>
          <w:p>
            <w:pPr>
              <w:pStyle w:val="null3"/>
              <w:jc w:val="left"/>
            </w:pPr>
            <w:r>
              <w:rPr>
                <w:rFonts w:ascii="仿宋_GB2312" w:hAnsi="仿宋_GB2312" w:cs="仿宋_GB2312" w:eastAsia="仿宋_GB2312"/>
              </w:rPr>
              <w:t>企业实力</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与科研机构（或政府部门）合作开展过农、林业病虫害防治相关的技术研究项目的，每提供一项得1分，满分3分。须同时提供病虫害防控相关的合作协议及结论报告复印件并加盖公章；承诺相关成果应用于本项目，须提供承诺函，格式自拟。</w:t>
            </w:r>
          </w:p>
        </w:tc>
      </w:tr>
      <w:tr>
        <w:tc>
          <w:tcPr>
            <w:tcW w:type="dxa" w:w="3322"/>
          </w:tcPr>
          <w:p>
            <w:pPr>
              <w:pStyle w:val="null3"/>
              <w:jc w:val="left"/>
            </w:pPr>
            <w:r>
              <w:rPr>
                <w:rFonts w:ascii="仿宋_GB2312" w:hAnsi="仿宋_GB2312" w:cs="仿宋_GB2312" w:eastAsia="仿宋_GB2312"/>
              </w:rPr>
              <w:t>体系认证</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left"/>
            </w:pPr>
            <w:r>
              <w:rPr>
                <w:rFonts w:ascii="仿宋_GB2312" w:hAnsi="仿宋_GB2312" w:cs="仿宋_GB2312" w:eastAsia="仿宋_GB2312"/>
              </w:rPr>
              <w:t>供应商具有有效的ISO9001质量管理体系认证证书，且认证范围包含：农作物病虫害防治服务相关内容的得1分。须提供证书复印件或在国家认证认可监督管理委员会(http：//www.cnca.gov.cn)或中国合格评定国家认可委员会(https：//www.cnas.org.cn)的查询记录截图，未提供不得分。</w:t>
            </w:r>
          </w:p>
        </w:tc>
      </w:tr>
      <w:tr>
        <w:tc>
          <w:tcPr>
            <w:tcW w:type="dxa" w:w="3322"/>
          </w:tcPr>
          <w:p>
            <w:pPr>
              <w:pStyle w:val="null3"/>
              <w:jc w:val="left"/>
            </w:pPr>
            <w:r>
              <w:rPr>
                <w:rFonts w:ascii="仿宋_GB2312" w:hAnsi="仿宋_GB2312" w:cs="仿宋_GB2312" w:eastAsia="仿宋_GB2312"/>
              </w:rPr>
              <w:t>体系认证</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left"/>
            </w:pPr>
            <w:r>
              <w:rPr>
                <w:rFonts w:ascii="仿宋_GB2312" w:hAnsi="仿宋_GB2312" w:cs="仿宋_GB2312" w:eastAsia="仿宋_GB2312"/>
              </w:rPr>
              <w:t>供应商具有有效的ISO14001环境管理体系认证证书，且认证范围包含：农作物病虫害防治服务相关内容的得1分。须提供证书复印件或在国家认证认可监督管理委员会(http：//www.cnca.gov.cn)或中国合格评定国家认可委员会(https：//www.cnas.org.cn)的查询记录截图，未提供不得分。</w:t>
            </w:r>
          </w:p>
        </w:tc>
      </w:tr>
      <w:tr>
        <w:tc>
          <w:tcPr>
            <w:tcW w:type="dxa" w:w="3322"/>
          </w:tcPr>
          <w:p>
            <w:pPr>
              <w:pStyle w:val="null3"/>
              <w:jc w:val="left"/>
            </w:pPr>
            <w:r>
              <w:rPr>
                <w:rFonts w:ascii="仿宋_GB2312" w:hAnsi="仿宋_GB2312" w:cs="仿宋_GB2312" w:eastAsia="仿宋_GB2312"/>
              </w:rPr>
              <w:t>体系认证</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left"/>
            </w:pPr>
            <w:r>
              <w:rPr>
                <w:rFonts w:ascii="仿宋_GB2312" w:hAnsi="仿宋_GB2312" w:cs="仿宋_GB2312" w:eastAsia="仿宋_GB2312"/>
              </w:rPr>
              <w:t>供应商具有有效的ISO45001职业健康安全管理体系认证证书，且认证范围包含：农作物病虫害防治服务相关内容的得1分。须提供证书复印件或在国家认证认可监督管理委员会(http：//www.cnca.gov.cn)或中国合格评定国家认可委员会(https：//www.cnas.org.cn)的查询记录截图，未提供不得分。</w:t>
            </w:r>
          </w:p>
        </w:tc>
      </w:tr>
      <w:tr>
        <w:tc>
          <w:tcPr>
            <w:tcW w:type="dxa" w:w="3322"/>
          </w:tcPr>
          <w:p>
            <w:pPr>
              <w:pStyle w:val="null3"/>
              <w:jc w:val="left"/>
            </w:pPr>
            <w:r>
              <w:rPr>
                <w:rFonts w:ascii="仿宋_GB2312" w:hAnsi="仿宋_GB2312" w:cs="仿宋_GB2312" w:eastAsia="仿宋_GB2312"/>
              </w:rPr>
              <w:t>体系认证</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left"/>
            </w:pPr>
            <w:r>
              <w:rPr>
                <w:rFonts w:ascii="仿宋_GB2312" w:hAnsi="仿宋_GB2312" w:cs="仿宋_GB2312" w:eastAsia="仿宋_GB2312"/>
              </w:rPr>
              <w:t>供应商具有有效的GB/T31950-2015诚信管理认证证书，且认证范围包含：农作物病虫害防治服务相关内容的得1分。须提供证书复印件或在国家认证认可监督管理委员会(http：//www.cnca.gov.cn)或中国合格评定国家认可委员会(https：//www.cnas.org.cn)的查询记录截图，未提供不得分。</w:t>
            </w:r>
          </w:p>
        </w:tc>
      </w:tr>
      <w:tr>
        <w:tc>
          <w:tcPr>
            <w:tcW w:type="dxa" w:w="3322"/>
          </w:tcPr>
          <w:p>
            <w:pPr>
              <w:pStyle w:val="null3"/>
              <w:jc w:val="left"/>
            </w:pPr>
            <w:r>
              <w:rPr>
                <w:rFonts w:ascii="仿宋_GB2312" w:hAnsi="仿宋_GB2312" w:cs="仿宋_GB2312" w:eastAsia="仿宋_GB2312"/>
              </w:rPr>
              <w:t>体系认证</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left"/>
            </w:pPr>
            <w:r>
              <w:rPr>
                <w:rFonts w:ascii="仿宋_GB2312" w:hAnsi="仿宋_GB2312" w:cs="仿宋_GB2312" w:eastAsia="仿宋_GB2312"/>
              </w:rPr>
              <w:t>供应商具有有效的GB/T27922-2011售后服务评价认证证书，且认证范围包含：农作物病虫害防治服务相关内容的得1分。须提供证书复印件或在国家认证认可监督管理委员会(http：//www.cnca.gov.cn)或中国合格评定国家认可委员会(https：//www.cnas.org.cn)的查询记录截图，未提供不得分。</w:t>
            </w:r>
          </w:p>
        </w:tc>
      </w:tr>
      <w:tr>
        <w:tc>
          <w:tcPr>
            <w:tcW w:type="dxa" w:w="3322"/>
          </w:tcPr>
          <w:p>
            <w:pPr>
              <w:pStyle w:val="null3"/>
              <w:jc w:val="left"/>
            </w:pPr>
            <w:r>
              <w:rPr>
                <w:rFonts w:ascii="仿宋_GB2312" w:hAnsi="仿宋_GB2312" w:cs="仿宋_GB2312" w:eastAsia="仿宋_GB2312"/>
              </w:rPr>
              <w:t>业绩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各供应商所提供的自2020年1月1日起至本次提交响应文件截止时间止（日期以合同签订日期为准），供应商已完成的同类项目业绩，每提供1份得1分。满分3分。[供应商须提供该业绩项目的成交/中标通知书复印件、合同文本复印件，以及能够证明该业绩项目已经采购人验收合格的相关证明文件复印件，所有材料缺一不可，否则不得分。]注：若供应商提供同一项目相关证明材料同时满足商务评标项目“业绩”、“满意度”的，按评标项目顺序评审，不重复得分。</w:t>
            </w:r>
          </w:p>
        </w:tc>
      </w:tr>
      <w:tr>
        <w:tc>
          <w:tcPr>
            <w:tcW w:type="dxa" w:w="3322"/>
          </w:tcPr>
          <w:p>
            <w:pPr>
              <w:pStyle w:val="null3"/>
              <w:jc w:val="left"/>
            </w:pPr>
            <w:r>
              <w:rPr>
                <w:rFonts w:ascii="仿宋_GB2312" w:hAnsi="仿宋_GB2312" w:cs="仿宋_GB2312" w:eastAsia="仿宋_GB2312"/>
              </w:rPr>
              <w:t>满意度</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各供应商提供已完成的同类项目的满意度评价情况进行评分，每提供一份由用户单位出具的满意度评价证明文件，且用户单位评价为满意、良好等同类评价以上每提供1份得1分，满分3分。需提供加盖用户单位公章的满意度评价证明文件复印件，否则不得分。注：若供应商提供同一项目相关证明材料同时满足商务评标项目“业绩”、“满意度”的，按评标项目顺序评审，不重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违反磋商文件中载明“无效响应”或“响应文件无效”条款的规定。</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违反磋商文件中载明“无效响应”或“响应文件无效”条款的规定。</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评审中出现下列情形之一的，磋商小组将启动异常低价投标（响应）审查程序：（一）投标（响应）报价低于全部通过符合性审查供应商投标（响应）报价平均值50%的，即投标（响应）报价＜全部通过符合性审查供应商投标（响应）报价平均值×50%；（二）投标（响应）报价低于通过符合性审查且报价次低供应商投标（响应）报价50%的，即投标（响应）报价＜通过符合性审查且报价次低供应商投标（响应）报价×50%；（三）投标（响应）报价低于采购项目最高限价45%的，即投标（响应）报价＜采购项目最高限价×45%；（四）其他磋商小组认为供应商报价过低，有可能影响产品质量或者不能诚信履约的情形。 磋商小组启动异常低价投标（响应）审查后，供应商应在评审现场30分钟内提供书面说明及必要的证明材料，对投标（响应）价格作出解释。书面说明、证明材料主要是项目具体成本测算等与报价合理性相关的说明、材料。磋商小组将结合同类产品（服务）在主要电商平台（或同类项目案例）的价格、该行业当地薪资水平等情况，对报价合理性进行判断。如果投标（响应）供应商不提供书面说明、证明材料，或者提供的书面说明、证明材料不能证明其报价合理性的，将作为无效投标（响应）处理。</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rPr>
        <w:t>本项目为浦城县农业农村局国家产业园绿色防控-统防统治服务（石陂镇）采购项目，具体采购明细如下：</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rFonts w:ascii="仿宋_GB2312" w:hAnsi="仿宋_GB2312" w:cs="仿宋_GB2312" w:eastAsia="仿宋_GB2312"/>
              </w:rPr>
              <w:t>合同包</w:t>
            </w:r>
          </w:p>
        </w:tc>
        <w:tc>
          <w:tcPr>
            <w:tcW w:type="dxa" w:w="1661"/>
          </w:tcPr>
          <w:p>
            <w:pPr>
              <w:pStyle w:val="null3"/>
            </w:pPr>
            <w:r>
              <w:rPr>
                <w:rFonts w:ascii="仿宋_GB2312" w:hAnsi="仿宋_GB2312" w:cs="仿宋_GB2312" w:eastAsia="仿宋_GB2312"/>
              </w:rPr>
              <w:t>品目号</w:t>
            </w:r>
          </w:p>
        </w:tc>
        <w:tc>
          <w:tcPr>
            <w:tcW w:type="dxa" w:w="1661"/>
          </w:tcPr>
          <w:p>
            <w:pPr>
              <w:pStyle w:val="null3"/>
            </w:pPr>
            <w:r>
              <w:rPr>
                <w:rFonts w:ascii="仿宋_GB2312" w:hAnsi="仿宋_GB2312" w:cs="仿宋_GB2312" w:eastAsia="仿宋_GB2312"/>
              </w:rPr>
              <w:t>服务名称</w:t>
            </w:r>
          </w:p>
        </w:tc>
        <w:tc>
          <w:tcPr>
            <w:tcW w:type="dxa" w:w="1661"/>
          </w:tcPr>
          <w:p>
            <w:pPr>
              <w:pStyle w:val="null3"/>
            </w:pPr>
            <w:r>
              <w:rPr>
                <w:rFonts w:ascii="仿宋_GB2312" w:hAnsi="仿宋_GB2312" w:cs="仿宋_GB2312" w:eastAsia="仿宋_GB2312"/>
              </w:rPr>
              <w:t>数量(亩)</w:t>
            </w:r>
          </w:p>
        </w:tc>
        <w:tc>
          <w:tcPr>
            <w:tcW w:type="dxa" w:w="1661"/>
          </w:tcPr>
          <w:p>
            <w:pPr>
              <w:pStyle w:val="null3"/>
            </w:pPr>
            <w:r>
              <w:rPr>
                <w:rFonts w:ascii="仿宋_GB2312" w:hAnsi="仿宋_GB2312" w:cs="仿宋_GB2312" w:eastAsia="仿宋_GB2312"/>
              </w:rPr>
              <w:t>预算金额（元）</w:t>
            </w:r>
          </w:p>
        </w:tc>
      </w:tr>
      <w:tr>
        <w:tc>
          <w:tcPr>
            <w:tcW w:type="dxa" w:w="166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1-1</w:t>
            </w:r>
          </w:p>
        </w:tc>
        <w:tc>
          <w:tcPr>
            <w:tcW w:type="dxa" w:w="1661"/>
          </w:tcPr>
          <w:p>
            <w:pPr>
              <w:pStyle w:val="null3"/>
            </w:pPr>
            <w:r>
              <w:rPr>
                <w:rFonts w:ascii="仿宋_GB2312" w:hAnsi="仿宋_GB2312" w:cs="仿宋_GB2312" w:eastAsia="仿宋_GB2312"/>
              </w:rPr>
              <w:t>国家产业园绿色防控-统防统治服务（石陂镇）</w:t>
            </w:r>
          </w:p>
        </w:tc>
        <w:tc>
          <w:tcPr>
            <w:tcW w:type="dxa" w:w="1661"/>
          </w:tcPr>
          <w:p>
            <w:pPr>
              <w:pStyle w:val="null3"/>
            </w:pPr>
            <w:r>
              <w:rPr>
                <w:rFonts w:ascii="仿宋_GB2312" w:hAnsi="仿宋_GB2312" w:cs="仿宋_GB2312" w:eastAsia="仿宋_GB2312"/>
              </w:rPr>
              <w:t>4164.11</w:t>
            </w:r>
          </w:p>
        </w:tc>
        <w:tc>
          <w:tcPr>
            <w:tcW w:type="dxa" w:w="1661"/>
          </w:tcPr>
          <w:p>
            <w:pPr>
              <w:pStyle w:val="null3"/>
            </w:pPr>
            <w:r>
              <w:rPr>
                <w:rFonts w:ascii="仿宋_GB2312" w:hAnsi="仿宋_GB2312" w:cs="仿宋_GB2312" w:eastAsia="仿宋_GB2312"/>
              </w:rPr>
              <w:t>1082668.60</w:t>
            </w:r>
          </w:p>
        </w:tc>
      </w:tr>
    </w:tbl>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rPr>
        <w:t>1、服务内容</w:t>
      </w:r>
    </w:p>
    <w:p>
      <w:pPr>
        <w:pStyle w:val="null3"/>
      </w:pPr>
      <w:r>
        <w:rPr>
          <w:rFonts w:ascii="仿宋_GB2312" w:hAnsi="仿宋_GB2312" w:cs="仿宋_GB2312" w:eastAsia="仿宋_GB2312"/>
        </w:rPr>
        <w:t>1.1须采用病虫害专业化统防统治组织服务方式，对中稻-再生稻全生育期水稻田使用植保无人机器械进行防治服务。</w:t>
      </w:r>
    </w:p>
    <w:p>
      <w:pPr>
        <w:pStyle w:val="null3"/>
      </w:pPr>
      <w:r>
        <w:rPr>
          <w:rFonts w:ascii="仿宋_GB2312" w:hAnsi="仿宋_GB2312" w:cs="仿宋_GB2312" w:eastAsia="仿宋_GB2312"/>
        </w:rPr>
        <w:t>1.2在病虫发生高峰期应派遣专业技术人员进行虫口调查及测报虫口基数，须配备项目相关技术人员。</w:t>
      </w:r>
    </w:p>
    <w:p>
      <w:pPr>
        <w:pStyle w:val="null3"/>
      </w:pPr>
      <w:r>
        <w:rPr>
          <w:rFonts w:ascii="仿宋_GB2312" w:hAnsi="仿宋_GB2312" w:cs="仿宋_GB2312" w:eastAsia="仿宋_GB2312"/>
        </w:rPr>
        <w:t>1.3防治药剂实施周期轮换所用药剂必须在允许使用清单范围内。</w:t>
      </w:r>
    </w:p>
    <w:p>
      <w:pPr>
        <w:pStyle w:val="null3"/>
      </w:pPr>
      <w:r>
        <w:rPr>
          <w:rFonts w:ascii="仿宋_GB2312" w:hAnsi="仿宋_GB2312" w:cs="仿宋_GB2312" w:eastAsia="仿宋_GB2312"/>
        </w:rPr>
        <w:t>1.4须在响应文件中提供药剂的：农药登记证（防治作物品种：水稻）、生产许可证、产品企业标准。</w:t>
      </w:r>
    </w:p>
    <w:p>
      <w:pPr>
        <w:pStyle w:val="null3"/>
      </w:pPr>
      <w:r>
        <w:rPr>
          <w:rFonts w:ascii="仿宋_GB2312" w:hAnsi="仿宋_GB2312" w:cs="仿宋_GB2312" w:eastAsia="仿宋_GB2312"/>
        </w:rPr>
        <w:t>★1.5若防治效果不达标，由采购人组织专家进行鉴定评估，评估费用及损失由成交人承担。</w:t>
      </w:r>
    </w:p>
    <w:p>
      <w:pPr>
        <w:pStyle w:val="null3"/>
      </w:pPr>
      <w:r>
        <w:rPr>
          <w:rFonts w:ascii="仿宋_GB2312" w:hAnsi="仿宋_GB2312" w:cs="仿宋_GB2312" w:eastAsia="仿宋_GB2312"/>
        </w:rPr>
        <w:t>2、防治实施具体服务内容及技术指标要求</w:t>
      </w:r>
    </w:p>
    <w:p>
      <w:pPr>
        <w:pStyle w:val="null3"/>
      </w:pPr>
      <w:r>
        <w:rPr>
          <w:rFonts w:ascii="仿宋_GB2312" w:hAnsi="仿宋_GB2312" w:cs="仿宋_GB2312" w:eastAsia="仿宋_GB2312"/>
        </w:rPr>
        <w:t>2.1示范区内病虫综合防治效果达90%以上，病虫害防治处置率95%，病虫危害损失率控制在4%以内。</w:t>
      </w:r>
    </w:p>
    <w:p>
      <w:pPr>
        <w:pStyle w:val="null3"/>
      </w:pPr>
      <w:r>
        <w:rPr>
          <w:rFonts w:ascii="仿宋_GB2312" w:hAnsi="仿宋_GB2312" w:cs="仿宋_GB2312" w:eastAsia="仿宋_GB2312"/>
        </w:rPr>
        <w:t>2.2并根据植保无人机植保防治面积图和水稻种植户签字进行验收。</w:t>
      </w:r>
    </w:p>
    <w:p>
      <w:pPr>
        <w:pStyle w:val="null3"/>
      </w:pPr>
      <w:r>
        <w:rPr>
          <w:rFonts w:ascii="仿宋_GB2312" w:hAnsi="仿宋_GB2312" w:cs="仿宋_GB2312" w:eastAsia="仿宋_GB2312"/>
        </w:rPr>
        <w:t>2.3供应商应建立农药包装废弃物回收机制，农药包装废弃物回收率不低于80%。</w:t>
      </w:r>
    </w:p>
    <w:p>
      <w:pPr>
        <w:pStyle w:val="null3"/>
      </w:pPr>
      <w:r>
        <w:rPr>
          <w:rFonts w:ascii="仿宋_GB2312" w:hAnsi="仿宋_GB2312" w:cs="仿宋_GB2312" w:eastAsia="仿宋_GB2312"/>
        </w:rPr>
        <w:t>2.4保证防治药剂包装袋不被丢弃在防控现场，采用集中回收统一处置的方式，定期对药剂包装袋进行无害化处置。</w:t>
      </w:r>
    </w:p>
    <w:p>
      <w:pPr>
        <w:pStyle w:val="null3"/>
      </w:pPr>
      <w:r>
        <w:rPr>
          <w:rFonts w:ascii="仿宋_GB2312" w:hAnsi="仿宋_GB2312" w:cs="仿宋_GB2312" w:eastAsia="仿宋_GB2312"/>
        </w:rPr>
        <w:t>2.5建立完善的药剂包装袋回收处置台账。</w:t>
      </w:r>
    </w:p>
    <w:p>
      <w:pPr>
        <w:pStyle w:val="null3"/>
      </w:pPr>
      <w:r>
        <w:rPr>
          <w:rFonts w:ascii="仿宋_GB2312" w:hAnsi="仿宋_GB2312" w:cs="仿宋_GB2312" w:eastAsia="仿宋_GB2312"/>
        </w:rPr>
        <w:t>2.6为避免药剂未到货而错过最佳防治时间。供应商须书面承诺成交之日起7个工作日内药剂到货（未按规定时间到货采购人有权并责令限期整改。限期仍未整改到位的，采购人有权书面约谈供应商。凡被约谈一次扣罚合同金额的10%）。须提供专项承诺，格式自拟。</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中稻-再生稻全生育期</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浦城县石陂镇（具体详见植保防治面积图）。</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验收合格交付。</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采购人验收考核标准、磋商文件、响应文件等有关内容进行验收。验收考核结果应符合采购人要求。在此期间，若发现服务质量有问题成交人应无条件免费采取挽救措施。若验收不能符合要求，采购人将按合同条款的有关规定执行。</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1、服务通过验收，采购人收到发票及相关付款凭证（付款条件）后，达到付款条件起7日内，支付合同总金额的100.00%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8、报价要求</w:t>
      </w:r>
    </w:p>
    <w:p>
      <w:pPr>
        <w:pStyle w:val="null3"/>
      </w:pPr>
      <w:r>
        <w:rPr>
          <w:rFonts w:ascii="仿宋_GB2312" w:hAnsi="仿宋_GB2312" w:cs="仿宋_GB2312" w:eastAsia="仿宋_GB2312"/>
        </w:rPr>
        <w:t>8.1供应商应充分考虑项目实施期间各种市场风险和国家政策性调整风险。在合同实施期间，其合同价格不受市场价格及政策性价格的调整而增减，同时供应商应充分考虑可能出现的其他风险,并在本次的报价中自行考虑。</w:t>
      </w:r>
    </w:p>
    <w:p>
      <w:pPr>
        <w:pStyle w:val="null3"/>
      </w:pPr>
      <w:r>
        <w:rPr>
          <w:rFonts w:ascii="仿宋_GB2312" w:hAnsi="仿宋_GB2312" w:cs="仿宋_GB2312" w:eastAsia="仿宋_GB2312"/>
        </w:rPr>
        <w:t>8.2供应商报价应包括服务所涉及的有关项目的所有费用进行报价，包括但不限于：服务费、人工费、材料费、管理费、措施费、差旅费、政策性文件规定费用、利润、税金、保险费、风险费等各种费用均包含在投标报价中，在提供服务过程中，如发现有错误、漏项，成交人应无条件、无偿整改，所发生的一切费用，视为已包含在供应商的响应报价之中，且并不因此而影响交付采购人使用的时间。还要考虑到合同中可能出现的索赔和变更。合同金额按亩数单价包干，采购人不再增加任何。</w:t>
      </w:r>
    </w:p>
    <w:p>
      <w:pPr>
        <w:pStyle w:val="null3"/>
      </w:pPr>
      <w:r>
        <w:rPr>
          <w:rFonts w:ascii="仿宋_GB2312" w:hAnsi="仿宋_GB2312" w:cs="仿宋_GB2312" w:eastAsia="仿宋_GB2312"/>
        </w:rPr>
        <w:t>9、违约责任</w:t>
      </w:r>
    </w:p>
    <w:p>
      <w:pPr>
        <w:pStyle w:val="null3"/>
      </w:pPr>
      <w:r>
        <w:rPr>
          <w:rFonts w:ascii="仿宋_GB2312" w:hAnsi="仿宋_GB2312" w:cs="仿宋_GB2312" w:eastAsia="仿宋_GB2312"/>
        </w:rPr>
        <w:t>9.1因成交人原因造成采购供货合同无法按时签订，视为成交人违约，采购人有权没收其投标保证金，如投标保证金不能弥补成交人违约对采购人造成的损失的，成交人还需另行支付合同价款10%的赔偿。</w:t>
      </w:r>
    </w:p>
    <w:p>
      <w:pPr>
        <w:pStyle w:val="null3"/>
      </w:pPr>
      <w:r>
        <w:rPr>
          <w:rFonts w:ascii="仿宋_GB2312" w:hAnsi="仿宋_GB2312" w:cs="仿宋_GB2312" w:eastAsia="仿宋_GB2312"/>
        </w:rPr>
        <w:t>9.2在签订采购供货合同之后，成交人要求解除合同的，视为成交人违约，采购人有权没收其投标保证金，如投标保证金不能弥补成交人违约对采购人造成的损失的，成交人还需另行支付合同价款10%的赔偿。</w:t>
      </w:r>
    </w:p>
    <w:p>
      <w:pPr>
        <w:pStyle w:val="null3"/>
      </w:pPr>
      <w:r>
        <w:rPr>
          <w:rFonts w:ascii="仿宋_GB2312" w:hAnsi="仿宋_GB2312" w:cs="仿宋_GB2312" w:eastAsia="仿宋_GB2312"/>
        </w:rPr>
        <w:t>9.3供应商成交后，如果不按规定与采购人签订合同或者签订合同后不履行其投标承诺或者其它由于成交人自身原因造成无法履行合同的，均视为成交人违约，采购人将取消其成交资格，如果已经签订合同的则合同自动解除，且成交人要承担相应的责任。给采购人造成损失的，成交人还需另行支付合同价款10%的赔偿。</w:t>
      </w:r>
    </w:p>
    <w:p>
      <w:pPr>
        <w:pStyle w:val="null3"/>
      </w:pPr>
      <w:r>
        <w:rPr>
          <w:rFonts w:ascii="仿宋_GB2312" w:hAnsi="仿宋_GB2312" w:cs="仿宋_GB2312" w:eastAsia="仿宋_GB2312"/>
        </w:rPr>
        <w:t>9.4如果成交人未能按合同规定的时间按时足额交付的（不可抗力除外），在成交人提出书面申请延期交付时，采购人有权选择同意延长交付期还是不予延长交付期。若采购人同意延长交付期的，延期交付的时间由双方另行协商确定，同时，采购人有权从未付的合同价款中扣除延期交付的违约金，延期交付违约金比率为每迟交一天按合同价款的5‰收取，延期交付违约金的支付总额不超过合同价款的10%。如果成交人在达到最大延期交付违约金，采购人有权终止合同，而成交人仍有义务支付上述款项。</w:t>
      </w:r>
    </w:p>
    <w:p>
      <w:pPr>
        <w:pStyle w:val="null3"/>
      </w:pPr>
      <w:r>
        <w:rPr>
          <w:rFonts w:ascii="仿宋_GB2312" w:hAnsi="仿宋_GB2312" w:cs="仿宋_GB2312" w:eastAsia="仿宋_GB2312"/>
        </w:rPr>
        <w:t>9.5成交人交付不合格的，应当负责整改，直至验收合格为止，否则视为成交人不能交付，采购人可解除合同，并要求成交人支付合同价款10%的违约金。</w:t>
      </w:r>
    </w:p>
    <w:p>
      <w:pPr>
        <w:pStyle w:val="null3"/>
      </w:pPr>
      <w:r>
        <w:rPr>
          <w:rFonts w:ascii="仿宋_GB2312" w:hAnsi="仿宋_GB2312" w:cs="仿宋_GB2312" w:eastAsia="仿宋_GB2312"/>
        </w:rPr>
        <w:t>9.6因成交人原因发生重大质量事故，除依约承担赔偿责任外，还将按有关质量管理办法规定执行。同时，采购人有权保留更换成交人的权利，并报相关行政主管部门处罚。</w:t>
      </w:r>
    </w:p>
    <w:p>
      <w:pPr>
        <w:pStyle w:val="null3"/>
      </w:pPr>
      <w:r>
        <w:rPr>
          <w:rFonts w:ascii="仿宋_GB2312" w:hAnsi="仿宋_GB2312" w:cs="仿宋_GB2312" w:eastAsia="仿宋_GB2312"/>
        </w:rPr>
        <w:t>9.7若发生伤亡安全事故，除按国家有关安全管理规定及采购人有关安全管理办法执行外，并报相关行政主管部门处罚；发生重大安全事故或特大安全事故，除按国家有关安全管理规定及采购人有关安全管理办法执行外，采购人保留更换成交人的权利，给采购人造成的损失，还应承担赔偿责任。</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除采购文件另有规定外，若出现有关法律、法规和规章有强制性规定但采购文件未列明的情形，则供应商应按照有关法律、法规和规章强制性规定执行。2、其他：2.1本项目不允许成交人以任何名义和理由进行转包，如有发现，采购人有权单方终止合同，视为成交人违约；成交人违约对采购人造成损失的，需另行支付相应的赔偿。2.2本采购文件未明确的其它约定事项或条款，待采购人与成交签订合同时，由双方协商订立。</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[350722]MY[CS]2025004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浦城县农业农村局国家产业园绿色防控-统防统治服务（石陂镇）采购项目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国家产业园绿色防控-统防统治服务（石陂镇）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国家产业园绿色防控-统防统治服务（石陂镇）</w:t>
            </w:r>
          </w:p>
        </w:tc>
        <w:tc>
          <w:tcPr>
            <w:tcW w:type="dxa" w:w="1661"/>
          </w:tcPr>
          <w:p>
            <w:pPr>
              <w:pStyle w:val="null3"/>
              <w:jc w:val="left"/>
            </w:pPr>
            <w:r>
              <w:rPr>
                <w:rFonts w:ascii="仿宋_GB2312" w:hAnsi="仿宋_GB2312" w:cs="仿宋_GB2312" w:eastAsia="仿宋_GB2312"/>
              </w:rPr>
              <w:t xml:space="preserve"> 1082668.6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[350722]MY[CS]2025004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浦城县农业农村局国家产业园绿色防控-统防统治服务（石陂镇）采购项目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国家产业园绿色防控-统防统治服务（石陂镇）</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统防统治服务（石陂镇）</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统防统治服务（石陂镇）</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1082668.6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4164.1100</w:t>
            </w:r>
          </w:p>
        </w:tc>
        <w:tc>
          <w:tcPr>
            <w:tcW w:type="dxa" w:w="755"/>
          </w:tcPr>
          <w:p>
            <w:pPr>
              <w:pStyle w:val="null3"/>
              <w:jc w:val="left"/>
            </w:pPr>
            <w:r>
              <w:rPr>
                <w:rFonts w:ascii="仿宋_GB2312" w:hAnsi="仿宋_GB2312" w:cs="仿宋_GB2312" w:eastAsia="仿宋_GB2312"/>
              </w:rPr>
              <w:t xml:space="preserve"> 亩</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