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440111-2025-01453</w:t>
      </w:r>
    </w:p>
    <w:p>
      <w:pPr>
        <w:pStyle w:val="null3"/>
        <w:jc w:val="center"/>
        <w:outlineLvl w:val="3"/>
      </w:pPr>
      <w:r>
        <w:rPr>
          <w:sz w:val="24"/>
          <w:b/>
        </w:rPr>
        <w:t>采购项目编号：</w:t>
      </w:r>
      <w:r>
        <w:rPr>
          <w:sz w:val="24"/>
          <w:b/>
        </w:rPr>
        <w:t>CLF0125GZ00ZC50</w:t>
      </w:r>
    </w:p>
    <w:p>
      <w:pPr>
        <w:pStyle w:val="null3"/>
        <w:jc w:val="center"/>
        <w:outlineLvl w:val="3"/>
      </w:pPr>
      <w:r>
        <w:rPr>
          <w:sz w:val="24"/>
          <w:b/>
        </w:rPr>
        <w:t>项目名称：</w:t>
      </w:r>
      <w:r>
        <w:rPr>
          <w:sz w:val="24"/>
          <w:b/>
        </w:rPr>
        <w:t>2025年投放点优化提升服务政府采购项目</w:t>
      </w:r>
    </w:p>
    <w:p>
      <w:pPr>
        <w:pStyle w:val="null3"/>
        <w:jc w:val="center"/>
        <w:outlineLvl w:val="3"/>
      </w:pPr>
      <w:r>
        <w:rPr>
          <w:sz w:val="24"/>
          <w:b/>
        </w:rPr>
        <w:t>采购人：</w:t>
      </w:r>
      <w:r>
        <w:rPr>
          <w:sz w:val="24"/>
          <w:b/>
        </w:rPr>
        <w:t>广州市白云区城市管理和综合执法局</w:t>
      </w:r>
    </w:p>
    <w:p>
      <w:pPr>
        <w:pStyle w:val="null3"/>
        <w:jc w:val="center"/>
        <w:outlineLvl w:val="3"/>
      </w:pPr>
      <w:r>
        <w:rPr>
          <w:sz w:val="24"/>
          <w:b/>
        </w:rPr>
        <w:t>采购代理机构：</w:t>
      </w:r>
      <w:r>
        <w:rPr>
          <w:sz w:val="24"/>
          <w:b/>
        </w:rPr>
        <w:t>采联国际招标采购集团有限公司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采联国际招标采购集团有限公司</w:t>
      </w:r>
      <w:r>
        <w:rPr/>
        <w:t>受</w:t>
      </w:r>
      <w:r>
        <w:rPr/>
        <w:t>广州市白云区城市管理和综合执法局</w:t>
      </w:r>
      <w:r>
        <w:rPr/>
        <w:t>的委托，采用</w:t>
      </w:r>
      <w:r>
        <w:rPr/>
        <w:t>公开招标</w:t>
      </w:r>
      <w:r>
        <w:rPr/>
        <w:t>方式组织采购</w:t>
      </w:r>
      <w:r>
        <w:rPr/>
        <w:t>2025年投放点优化提升服务政府采购项目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2025年投放点优化提升服务政府采购项目</w:t>
      </w:r>
    </w:p>
    <w:p>
      <w:pPr>
        <w:pStyle w:val="null3"/>
        <w:ind w:firstLine="480"/>
      </w:pPr>
      <w:r>
        <w:rPr/>
        <w:t>采购计划编号：</w:t>
      </w:r>
      <w:r>
        <w:rPr/>
        <w:t>440111-2025-01453</w:t>
      </w:r>
    </w:p>
    <w:p>
      <w:pPr>
        <w:pStyle w:val="null3"/>
        <w:ind w:firstLine="480"/>
      </w:pPr>
      <w:r>
        <w:rPr/>
        <w:t>采购项目编号：</w:t>
      </w:r>
      <w:r>
        <w:rPr/>
        <w:t>CLF0125GZ00ZC50</w:t>
      </w:r>
    </w:p>
    <w:p>
      <w:pPr>
        <w:pStyle w:val="null3"/>
        <w:ind w:firstLine="480"/>
      </w:pPr>
      <w:r>
        <w:rPr/>
        <w:t>采购方式：</w:t>
      </w:r>
      <w:r>
        <w:rPr/>
        <w:t>公开招标</w:t>
      </w:r>
    </w:p>
    <w:p>
      <w:pPr>
        <w:pStyle w:val="null3"/>
        <w:ind w:firstLine="480"/>
      </w:pPr>
      <w:r>
        <w:rPr/>
        <w:t>预算金额：</w:t>
      </w:r>
      <w:r>
        <w:rPr/>
        <w:t>15,000,000.00</w:t>
      </w:r>
      <w:r>
        <w:rPr/>
        <w:t>元</w:t>
      </w:r>
    </w:p>
    <w:p>
      <w:pPr>
        <w:pStyle w:val="null3"/>
        <w:outlineLvl w:val="3"/>
      </w:pPr>
      <w:r>
        <w:rPr>
          <w:sz w:val="24"/>
          <w:b/>
        </w:rPr>
        <w:t>2.项目内容及需求情况（采购项目技术规格、参数及要求）</w:t>
      </w:r>
    </w:p>
    <w:p>
      <w:pPr>
        <w:pStyle w:val="null3"/>
      </w:pPr>
      <w:r>
        <w:rPr/>
        <w:t>采购包1(2025年投放点优化提升（龙归、永平、白云湖、均禾、钟落潭、金沙、鹤龙、云城）):</w:t>
      </w:r>
    </w:p>
    <w:p>
      <w:pPr>
        <w:pStyle w:val="null3"/>
      </w:pPr>
      <w:r>
        <w:rPr/>
        <w:t>采购包预算金额：6,000,000.00元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其他环境污染防治设备</w:t>
            </w:r>
          </w:p>
        </w:tc>
        <w:tc>
          <w:tcPr>
            <w:tcW w:type="dxa" w:w="2136"/>
          </w:tcPr>
          <w:p>
            <w:pPr>
              <w:pStyle w:val="null3"/>
            </w:pPr>
            <w:r>
              <w:rPr/>
              <w:t>2025年投放点优化提升（龙归、永平、白云湖、均禾、钟落潭、金沙、鹤龙、云城）1批，具体采购标的以《采购清单一览表》为准</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合同履行期限：自合同签订之日起60个日历天内交货。</w:t>
      </w:r>
    </w:p>
    <w:p>
      <w:pPr>
        <w:pStyle w:val="null3"/>
      </w:pPr>
      <w:r>
        <w:rPr/>
        <w:t>采购包2(2025年投放点优化提升（太和、大源、京溪、三元里、同和、松洲、石井、石门）):</w:t>
      </w:r>
    </w:p>
    <w:p>
      <w:pPr>
        <w:pStyle w:val="null3"/>
      </w:pPr>
      <w:r>
        <w:rPr/>
        <w:t>采购包预算金额：5,000,000.00元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其他环境污染防治设备</w:t>
            </w:r>
          </w:p>
        </w:tc>
        <w:tc>
          <w:tcPr>
            <w:tcW w:type="dxa" w:w="2136"/>
          </w:tcPr>
          <w:p>
            <w:pPr>
              <w:pStyle w:val="null3"/>
            </w:pPr>
            <w:r>
              <w:rPr/>
              <w:t>2025年投放点优化提升（太和、大源、京溪、三元里、同和、松洲、石井、石门）1批，具体采购标的以《采购清单一览表》为准</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合同履行期限：自合同签订之日起60个日历天内交货。</w:t>
      </w:r>
    </w:p>
    <w:p>
      <w:pPr>
        <w:pStyle w:val="null3"/>
      </w:pPr>
      <w:r>
        <w:rPr/>
        <w:t>采购包3(2025年投放点优化提升（人和、棠景、黄石、新市、嘉禾、同德、景泰）):</w:t>
      </w:r>
    </w:p>
    <w:p>
      <w:pPr>
        <w:pStyle w:val="null3"/>
      </w:pPr>
      <w:r>
        <w:rPr/>
        <w:t>采购包预算金额：4,000,000.00元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其他环境污染防治设备</w:t>
            </w:r>
          </w:p>
        </w:tc>
        <w:tc>
          <w:tcPr>
            <w:tcW w:type="dxa" w:w="2136"/>
          </w:tcPr>
          <w:p>
            <w:pPr>
              <w:pStyle w:val="null3"/>
            </w:pPr>
            <w:r>
              <w:rPr/>
              <w:t>2025年投放点优化提升（人和、棠景、黄石、新市、嘉禾、同德、景泰）1批，具体采购标的以《采购清单一览表》为准</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合同履行期限：自合同签订之日起60个日历天内交货。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2）有依法缴纳税收和社会保障资金的良好记录：提供《投标人资格声明函》（具体格式可参照招标公告附件）</w:t>
      </w:r>
    </w:p>
    <w:p>
      <w:pPr>
        <w:pStyle w:val="null3"/>
      </w:pPr>
      <w:r>
        <w:rPr/>
        <w:t>3）具有良好的商业信誉和健全的财务会计制度：提供《投标人资格声明函》（具体格式可参照招标公告附件）</w:t>
      </w:r>
    </w:p>
    <w:p>
      <w:pPr>
        <w:pStyle w:val="null3"/>
      </w:pPr>
      <w:r>
        <w:rPr/>
        <w:t>4）履行合同所必需的设备和专业技术能力：提供《投标人资格声明函》（具体格式可参照招标公告附件）</w:t>
      </w:r>
    </w:p>
    <w:p>
      <w:pPr>
        <w:pStyle w:val="null3"/>
      </w:pPr>
      <w:r>
        <w:rPr/>
        <w:t>5）参加采购活动前3年内，在经营活动中没有重大违法记录：提供《投标人资格声明函》（具体格式可参照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采购包1（2025年投放点优化提升（龙归、永平、白云湖、均禾、钟落潭、金沙、鹤龙、云城））：</w:t>
      </w:r>
      <w:r>
        <w:rPr/>
        <w:t>本项目专门面向中小企业采购,供应商提供货物的制造商应为中小微企业、监狱企业、残疾人福利性单位。（提供《中小企业声明函》（《中小企业声明函》可参照本项目采购公告附件提供的格式）或属于监狱企业的证明材料或《残疾人福利性单位声明函》）</w:t>
      </w:r>
    </w:p>
    <w:p>
      <w:pPr>
        <w:pStyle w:val="null3"/>
        <w:jc w:val="left"/>
      </w:pPr>
      <w:r>
        <w:rPr/>
        <w:t>采购包2（2025年投放点优化提升（太和、大源、京溪、三元里、同和、松洲、石井、石门））：</w:t>
      </w:r>
      <w:r>
        <w:rPr/>
        <w:t>本项目专门面向中小企业采购,供应商提供货物的制造商应为中小微企业、监狱企业、残疾人福利性单位。（提供《中小企业声明函》（《中小企业声明函》可参照本项目采购公告附件提供的格式）或属于监狱企业的证明材料或《残疾人福利性单位声明函》）</w:t>
      </w:r>
    </w:p>
    <w:p>
      <w:pPr>
        <w:pStyle w:val="null3"/>
        <w:jc w:val="left"/>
      </w:pPr>
      <w:r>
        <w:rPr/>
        <w:t>采购包3（2025年投放点优化提升（人和、棠景、黄石、新市、嘉禾、同德、景泰））：</w:t>
      </w:r>
      <w:r>
        <w:rPr/>
        <w:t>本项目专门面向中小企业采购,供应商提供货物的制造商应为中小微企业、监狱企业、残疾人福利性单位。（提供《中小企业声明函》（《中小企业声明函》可参照本项目采购公告附件提供的格式）或属于监狱企业的证明材料或《残疾人福利性单位声明函》）</w:t>
      </w:r>
    </w:p>
    <w:p>
      <w:pPr>
        <w:pStyle w:val="null3"/>
        <w:outlineLvl w:val="3"/>
      </w:pPr>
      <w:r>
        <w:rPr>
          <w:sz w:val="24"/>
          <w:b/>
        </w:rPr>
        <w:t>3.本项目特定的资格要求：</w:t>
      </w:r>
    </w:p>
    <w:p>
      <w:pPr>
        <w:pStyle w:val="null3"/>
      </w:pPr>
      <w:r>
        <w:rPr/>
        <w:t>采购包1（2025年投放点优化提升（龙归、永平、白云湖、均禾、钟落潭、金沙、鹤龙、云城））：</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r>
        <w:rPr/>
        <w:t>2)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p>
      <w:pPr>
        <w:pStyle w:val="null3"/>
      </w:pPr>
      <w:r>
        <w:rPr/>
        <w:t>3)本采购包不接受联合体投标。</w:t>
      </w:r>
    </w:p>
    <w:p>
      <w:pPr>
        <w:pStyle w:val="null3"/>
      </w:pPr>
      <w:r>
        <w:rPr/>
        <w:t>采购包2（2025年投放点优化提升（太和、大源、京溪、三元里、同和、松洲、石井、石门））：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r>
        <w:rPr/>
        <w:t>2)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p>
      <w:pPr>
        <w:pStyle w:val="null3"/>
      </w:pPr>
      <w:r>
        <w:rPr/>
        <w:t>3)本采购包不接受联合体投标。</w:t>
      </w:r>
    </w:p>
    <w:p>
      <w:pPr>
        <w:pStyle w:val="null3"/>
      </w:pPr>
      <w:r>
        <w:rPr/>
        <w:t>采购包3（2025年投放点优化提升（人和、棠景、黄石、新市、嘉禾、同德、景泰））：</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r>
        <w:rPr/>
        <w:t>2)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采联国际招标采购集团有限公司（ http://www.chinapsp.cn/）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广州市白云区城市管理和综合执法局</w:t>
      </w:r>
    </w:p>
    <w:p>
      <w:pPr>
        <w:pStyle w:val="null3"/>
        <w:ind w:firstLine="480"/>
      </w:pPr>
      <w:r>
        <w:rPr/>
        <w:t xml:space="preserve"> 地址：</w:t>
      </w:r>
      <w:r>
        <w:rPr/>
        <w:t>广州市白云区黄石东路323号白云交通大楼3-6楼</w:t>
      </w:r>
    </w:p>
    <w:p>
      <w:pPr>
        <w:pStyle w:val="null3"/>
        <w:ind w:firstLine="480"/>
      </w:pPr>
      <w:r>
        <w:rPr/>
        <w:t xml:space="preserve"> 联系方式：</w:t>
      </w:r>
      <w:r>
        <w:rPr/>
        <w:t>020-86564401</w:t>
      </w:r>
    </w:p>
    <w:p>
      <w:pPr>
        <w:pStyle w:val="null3"/>
        <w:outlineLvl w:val="3"/>
      </w:pPr>
      <w:r>
        <w:rPr>
          <w:sz w:val="24"/>
          <w:b/>
        </w:rPr>
        <w:t xml:space="preserve"> 2.采购代理机构信息</w:t>
      </w:r>
    </w:p>
    <w:p>
      <w:pPr>
        <w:pStyle w:val="null3"/>
        <w:ind w:firstLine="480"/>
      </w:pPr>
      <w:r>
        <w:rPr/>
        <w:t xml:space="preserve"> 名称：</w:t>
      </w:r>
      <w:r>
        <w:rPr/>
        <w:t>采联国际招标采购集团有限公司</w:t>
      </w:r>
    </w:p>
    <w:p>
      <w:pPr>
        <w:pStyle w:val="null3"/>
        <w:ind w:firstLine="480"/>
      </w:pPr>
      <w:r>
        <w:rPr/>
        <w:t xml:space="preserve"> 地址：</w:t>
      </w:r>
      <w:r>
        <w:rPr/>
        <w:t>广东省广州市越秀区环市东路472号粤海大厦7、23楼</w:t>
      </w:r>
    </w:p>
    <w:p>
      <w:pPr>
        <w:pStyle w:val="null3"/>
        <w:ind w:firstLine="480"/>
      </w:pPr>
      <w:r>
        <w:rPr/>
        <w:t xml:space="preserve"> 联系方式：</w:t>
      </w:r>
      <w:r>
        <w:rPr/>
        <w:t>020-87651688-162</w:t>
      </w:r>
    </w:p>
    <w:p>
      <w:pPr>
        <w:pStyle w:val="null3"/>
        <w:outlineLvl w:val="3"/>
      </w:pPr>
      <w:r>
        <w:rPr>
          <w:sz w:val="24"/>
          <w:b/>
        </w:rPr>
        <w:t xml:space="preserve"> 3.项目联系方式</w:t>
      </w:r>
    </w:p>
    <w:p>
      <w:pPr>
        <w:pStyle w:val="null3"/>
        <w:ind w:firstLine="480"/>
      </w:pPr>
      <w:r>
        <w:rPr/>
        <w:t xml:space="preserve"> 项目联系人：</w:t>
      </w:r>
      <w:r>
        <w:rPr/>
        <w:t>成女士</w:t>
      </w:r>
    </w:p>
    <w:p>
      <w:pPr>
        <w:pStyle w:val="null3"/>
        <w:ind w:firstLine="480"/>
      </w:pPr>
      <w:r>
        <w:rPr/>
        <w:t xml:space="preserve"> 电话：</w:t>
      </w:r>
      <w:r>
        <w:rPr/>
        <w:t>020-87651688-162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采联国际招标采购集团有限公司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color w:val="000000"/>
        </w:rPr>
        <w:t>本项目“</w:t>
      </w:r>
      <w:r>
        <w:rPr>
          <w:sz w:val="28"/>
          <w:b/>
          <w:color w:val="000000"/>
        </w:rPr>
        <w:t>第二章</w:t>
      </w:r>
      <w:r>
        <w:rPr>
          <w:sz w:val="28"/>
          <w:b/>
          <w:color w:val="000000"/>
        </w:rPr>
        <w:t>采购需求</w:t>
      </w:r>
      <w:r>
        <w:rPr>
          <w:sz w:val="28"/>
          <w:b/>
          <w:color w:val="000000"/>
        </w:rPr>
        <w:t>”相关具体技术（参数）要求内容详见附件《第二章 采购需求》。</w:t>
      </w:r>
    </w:p>
    <w:p>
      <w:pPr>
        <w:pStyle w:val="null3"/>
      </w:pPr>
      <w:r>
        <w:rPr/>
        <w:t>采购包1（2025年投放点优化提升（龙归、永平、白云湖、均禾、钟落潭、金沙、鹤龙、云城））</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自合同签订之日起60个日历天内交货。</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第1期为(预付款)：支付比例70%，合同签订且收到发票后7个工作日内（如是与中小企业签订合同的，合同签订且收到发票后5个工作日内），采购人向中标供应商支付合同总额的70%预付款； 。</w:t>
            </w:r>
          </w:p>
          <w:p>
            <w:pPr>
              <w:pStyle w:val="null3"/>
            </w:pPr>
            <w:r>
              <w:rPr/>
              <w:t>第2期为(尾款)：支付比例30%，安装调试完毕且验收合格，收到发票后10个工作日内，采购人向中标供应商支付至合同价的100%。 中标供应商凭以下有效文件与采购人结算： （1）合同； （2）中标供应商开具的正式发票； （3）验收调试报告（加盖双方公章，报告内容包括每个点位具体的配套设施说明及建设标准等）（适用于第二期款项支付）； （4）中标通知书。 （5）违约责任：采购人逾期支付合同款项的，除应当支付合同款项外，还应当每日按合同总价的0.3‰向中标人偿付违约金，但因中标人自身原因导致无法及时支付的除外。 （6）付款方式：采用支票、银行汇票、电汇等形式。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产品为全新原厂正品；产品数量与本合同或经双方确认的采购数量一致；产品表面无划痕或损坏；产品颜色统一无明显差别；产品结构稳固及附随产品合格证、保修单/卡、使用说明书齐全，附件齐全，符合采购人要求并满足正常使用功能。采购人组成验收小组按国家有关规定、规范在收到供应商验收申请后7日内进行验收，货物若有国家标准按照国家标准验收，若无国家标准按地方、行业标准验收。必要时邀请相关的专业人员或机构参与验收。因货物质量问题发生争议时，由本地质量技术监督部门鉴定。货物符合质量技术标准的，鉴定费由采购人承担；否则鉴定费由中标供应商承担。</w:t>
            </w:r>
          </w:p>
        </w:tc>
      </w:tr>
      <w:tr>
        <w:tc>
          <w:tcPr>
            <w:tcW w:type="dxa" w:w="4153"/>
          </w:tcPr>
          <w:p>
            <w:pPr>
              <w:pStyle w:val="null3"/>
            </w:pPr>
            <w:r>
              <w:rPr/>
              <w:t>履约保证金</w:t>
            </w:r>
          </w:p>
        </w:tc>
        <w:tc>
          <w:tcPr>
            <w:tcW w:type="dxa" w:w="4153"/>
          </w:tcPr>
          <w:p>
            <w:pPr>
              <w:pStyle w:val="null3"/>
            </w:pPr>
            <w:r>
              <w:rPr/>
              <w:t>收取比例：5%,说明：1、提交说明： (1)时间：合同签订前； (2)方式：转账、支票、汇票、本票、保函等非现金形式。 2、退还说明： (1)时间、方式和条件：中标人履行完成合同约定权利义务事项在合同期满之日起30个工作日内退还或在合同期满之日起30个工作日内失效。不计利息。 (2)违约责任：采购人逾期退还履约保证金的，除应当退还履约保证金本金外，还应当每日按履约保证金的0.3‰向中标人偿付违约金，但因中标人自身原因导致无法及时退还的除外。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 (4)本项目验收结果与采购合同约定的履约保证金返还条件挂钩，验收合格的项目，采购单位根据合同的约定退还履约保证金。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包装、保险及发运、保管要求，1.设备材料的包装必须是制造商原厂包装，其包装均应有良好的防湿、防锈、防潮、防雨、防腐及防碰撞的措施。凡由于包装不良造成的损失和由此产生的费用均由响应供应商承担。 2.中标供应商负责将设备材料货到现场过程中的全部运输，包括装卸车、货物现场的搬运。 3.各种设备必须提供装箱清单，按装箱清单验收货物。 4.货物在现场的保管由中标供应商负责，直至项目安装、验收完毕。 5.货物在系统安装调试验收合格前的保险由中标供应商负责，中标供应商负责其派出的现场服务人员人身意外保险。 6.设备至采购人指定的使用现场的包装、保险及发运等环节和费用均由中标供应商负责。</w:t>
            </w:r>
          </w:p>
          <w:p>
            <w:pPr>
              <w:pStyle w:val="null3"/>
            </w:pPr>
            <w:r>
              <w:rPr/>
              <w:t>(二)安装、调试与验收，1.中标供应商必须依照采购文件的要求和投标文件的承诺，将设备、系统安装并调试至正常运行的最佳状态。 2.货物若有国家标准按照国家标准验收，若无国家标准按行业标准验收，货物为原制造商制造的全新产品，整机无污染，无侵权行为、表面无划损、无任何缺陷隐患，在中国境内可依常规安全合法使用。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4.中标供应商应将关键主机设备的用户手册、保修手册、有关单证资料及配备件、随机工具等交付给采购人，使用操作及安全须知等重要资料应附有中文说明。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null3"/>
            </w:pPr>
            <w:r>
              <w:rPr/>
              <w:t>（三）售后服务要求，1.质保期：货物从验收合格之日起质保期1年，质保期内如货物非因采购人的人为原因而出现的质量问题由中标供应商负责包修、包换，并承担修理、调换的实际费用。在质量保证期内发生的质量问题，中标供应商应在 2 个小时到达现场并提供解决方案，24 小时内解决问题。 2.保修服务方式均为中标供应商上门保修，即由中标供应商到货物使用现场维修。由此产生的一切费用均包含在本项目报价，采购人不再另行支付。供应商需在投标文件中对售后质量保障承诺的可行性进行说明。</w:t>
            </w:r>
          </w:p>
          <w:p>
            <w:pPr>
              <w:pStyle w:val="null3"/>
            </w:pPr>
            <w:r>
              <w:rPr/>
              <w:t>（四）保险，货物安装调试验收合格前前，采购人已经支付部分或全部款项的，中标人应当办理以采购人为受益人的货物“一切险”，投保金额不少于采购人已经支付款项总额，保险保至项目最终交货地点。</w:t>
            </w:r>
          </w:p>
          <w:p>
            <w:pPr>
              <w:pStyle w:val="null3"/>
            </w:pPr>
            <w:r>
              <w:rPr/>
              <w:t>（五）项目相关要求，1.投标人需结合“七、技术参数及性能要求”以及附件《生活垃圾分类硬件设施设计方案》体现的结构、外观、样式、风格要求等情况，针对对应采购包所采购的不同投口的不锈钢分类亭、厢房式投放点、屏风式围挡分别提供深化设计的效果图。 2.投标人需为本项目投入有相关经验的项目团队人员不少于5人。</w:t>
            </w:r>
          </w:p>
          <w:p>
            <w:pPr>
              <w:pStyle w:val="null3"/>
            </w:pPr>
            <w:r>
              <w:rPr/>
              <w:t>（六）其他要求，供应商提供承诺函、第三方书面声明、检测报告、资质证件、业绩成果等采购文件要求提供的材料作为响应文件组成部分的，供应商应保证资料内容书写正确、真实有效、完整一致。 按照相关规定可通过官方网站查询的资质证件，供应商应确保资质证件真实有效、线上可查。如采购文件要求提供检测报告的，供应商应当确保检测机构资质符合项目要求，检测报告内容、检测委托合同、相关发票等材料主体及信息一致。采购人有权要求供应商如实配合提供相关文件和材料原件做核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其他环境污染防治设备</w:t>
            </w:r>
          </w:p>
        </w:tc>
        <w:tc>
          <w:tcPr>
            <w:tcW w:type="dxa" w:w="831"/>
          </w:tcPr>
          <w:p>
            <w:pPr>
              <w:pStyle w:val="null3"/>
              <w:jc w:val="left"/>
            </w:pPr>
            <w:r>
              <w:rPr/>
              <w:t>2025年投放点优化提升（龙归、永平、白云湖、均禾、钟落潭、金沙、鹤龙、云城）1批，具体采购标的以《采购清单一览表》为准</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6,000,000.00</w:t>
            </w:r>
          </w:p>
        </w:tc>
        <w:tc>
          <w:tcPr>
            <w:tcW w:type="dxa" w:w="831"/>
          </w:tcPr>
          <w:p>
            <w:pPr>
              <w:pStyle w:val="null3"/>
              <w:jc w:val="right"/>
            </w:pPr>
            <w:r>
              <w:rPr/>
              <w:t>6,000,000.00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2025年投放点优化提升（龙归、永平、白云湖、均禾、钟落潭、金沙、鹤龙、云城）1批，具体采购标的以《采购清单一览表》为准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采购包2（2025年投放点优化提升（太和、大源、京溪、三元里、同和、松洲、石井、石门））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自合同签订之日起60个日历天内交货。</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第1期为(预付款)：支付比例70%，合同签订且收到发票后7个工作日内（如是与中小企业签订合同的，合同签订且收到发票后5个工作日内），采购人向中标供应商支付合同总额的70%预付款； 。</w:t>
            </w:r>
          </w:p>
          <w:p>
            <w:pPr>
              <w:pStyle w:val="null3"/>
            </w:pPr>
            <w:r>
              <w:rPr/>
              <w:t>第2期为(尾款)：支付比例30%，安装调试完毕且验收合格，收到发票后10个工作日内，采购人向中标供应商支付至合同价的100%。 中标供应商凭以下有效文件与采购人结算： （1）合同； （2）中标供应商开具的正式发票； （3）验收调试报告（加盖双方公章，报告内容包括每个点位具体的配套设施说明及建设标准等）（适用于第二期款项支付）； （4）中标通知书。 （5）违约责任：采购人逾期支付合同款项的，除应当支付合同款项外，还应当每日按合同总价的0.3‰向中标人偿付违约金，但因中标人自身原因导致无法及时支付的除外。 （6）付款方式：采用支票、银行汇票、电汇等形式。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产品为全新原厂正品；产品数量与本合同或经双方确认的采购数量一致；产品表面无划痕或损坏；产品颜色统一无明显差别；产品结构稳固及附随产品合格证、保修单/卡、使用说明书齐全，附件齐全，符合采购人要求并满足正常使用功能。采购人组成验收小组按国家有关规定、规范在收到供应商验收申请后7日内进行验收，货物若有国家标准按照国家标准验收，若无国家标准按地方、行业标准验收。必要时邀请相关的专业人员或机构参与验收。因货物质量问题发生争议时，由本地质量技术监督部门鉴定。货物符合质量技术标准的，鉴定费由采购人承担；否则鉴定费由中标供应商承担。</w:t>
            </w:r>
          </w:p>
        </w:tc>
      </w:tr>
      <w:tr>
        <w:tc>
          <w:tcPr>
            <w:tcW w:type="dxa" w:w="4153"/>
          </w:tcPr>
          <w:p>
            <w:pPr>
              <w:pStyle w:val="null3"/>
            </w:pPr>
            <w:r>
              <w:rPr/>
              <w:t>履约保证金</w:t>
            </w:r>
          </w:p>
        </w:tc>
        <w:tc>
          <w:tcPr>
            <w:tcW w:type="dxa" w:w="4153"/>
          </w:tcPr>
          <w:p>
            <w:pPr>
              <w:pStyle w:val="null3"/>
            </w:pPr>
            <w:r>
              <w:rPr/>
              <w:t>收取比例：5%,说明：1、提交说明： (1)时间：合同签订前； (2)方式：转账、支票、汇票、本票、保函等非现金形式。 2、退还说明： (1)时间、方式和条件：中标人履行完成合同约定权利义务事项在合同期满之日起30个工作日内退还或在合同期满之日起30个工作日内失效。不计利息。 (2)违约责任：采购人逾期退还履约保证金的，除应当退还履约保证金本金外，还应当每日按履约保证金的0.3‰向中标人偿付违约金，但因中标人自身原因导致无法及时退还的除外。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 (4)本项目验收结果与采购合同约定的履约保证金返还条件挂钩，验收合格的项目，采购单位根据合同的约定退还履约保证金。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包装、保险及发运、保管要求，1.设备材料的包装必须是制造商原厂包装，其包装均应有良好的防湿、防锈、防潮、防雨、防腐及防碰撞的措施。凡由于包装不良造成的损失和由此产生的费用均由响应供应商承担。 2.中标供应商负责将设备材料货到现场过程中的全部运输，包括装卸车、货物现场的搬运。 3.各种设备必须提供装箱清单，按装箱清单验收货物。 4.货物在现场的保管由中标供应商负责，直至项目安装、验收完毕。 5.货物在系统安装调试验收合格前的保险由中标供应商负责，中标供应商负责其派出的现场服务人员人身意外保险。 6.设备至采购人指定的使用现场的包装、保险及发运等环节和费用均由中标供应商负责。</w:t>
            </w:r>
          </w:p>
          <w:p>
            <w:pPr>
              <w:pStyle w:val="null3"/>
            </w:pPr>
            <w:r>
              <w:rPr/>
              <w:t>(二)安装、调试与验收，1.中标供应商必须依照采购文件的要求和投标文件的承诺，将设备、系统安装并调试至正常运行的最佳状态。 2.货物若有国家标准按照国家标准验收，若无国家标准按行业标准验收，货物为原制造商制造的全新产品，整机无污染，无侵权行为、表面无划损、无任何缺陷隐患，在中国境内可依常规安全合法使用。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4.中标供应商应将关键主机设备的用户手册、保修手册、有关单证资料及配备件、随机工具等交付给采购人，使用操作及安全须知等重要资料应附有中文说明。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null3"/>
            </w:pPr>
            <w:r>
              <w:rPr/>
              <w:t>（三）售后服务要求，1.质保期：货物从验收合格之日起质保期1年，质保期内如货物非因采购人的人为原因而出现的质量问题由中标供应商负责包修、包换，并承担修理、调换的实际费用。在质量保证期内发生的质量问题，中标供应商应在 2 个小时到达现场并提供解决方案，24 小时内解决问题。 2.保修服务方式均为中标供应商上门保修，即由中标供应商到货物使用现场维修。由此产生的一切费用均包含在本项目报价，采购人不再另行支付。供应商需在投标文件中对售后质量保障承诺的可行性进行说明。</w:t>
            </w:r>
          </w:p>
          <w:p>
            <w:pPr>
              <w:pStyle w:val="null3"/>
            </w:pPr>
            <w:r>
              <w:rPr/>
              <w:t>（四）保险，货物安装调试验收合格前前，采购人已经支付部分或全部款项的，中标人应当办理以采购人为受益人的货物“一切险”，投保金额不少于采购人已经支付款项总额，保险保至项目最终交货地点。</w:t>
            </w:r>
          </w:p>
          <w:p>
            <w:pPr>
              <w:pStyle w:val="null3"/>
            </w:pPr>
            <w:r>
              <w:rPr/>
              <w:t>（五）项目相关要求，1.投标人需结合“七、技术参数及性能要求”以及附件《生活垃圾分类硬件设施设计方案》体现的结构、外观、样式、风格要求等情况，针对对应采购包所采购的不同投口的不锈钢分类亭、厢房式投放点、屏风式围挡分别提供深化设计的效果图。 2.投标人需为本项目投入有相关经验的项目团队人员不少于5人。</w:t>
            </w:r>
          </w:p>
          <w:p>
            <w:pPr>
              <w:pStyle w:val="null3"/>
            </w:pPr>
            <w:r>
              <w:rPr/>
              <w:t>（六）其他要求，供应商提供承诺函、第三方书面声明、检测报告、资质证件、业绩成果等采购文件要求提供的材料作为响应文件组成部分的，供应商应保证资料内容书写正确、真实有效、完整一致。 按照相关规定可通过官方网站查询的资质证件，供应商应确保资质证件真实有效、线上可查。如采购文件要求提供检测报告的，供应商应当确保检测机构资质符合项目要求，检测报告内容、检测委托合同、相关发票等材料主体及信息一致。采购人有权要求供应商如实配合提供相关文件和材料原件做核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其他环境污染防治设备</w:t>
            </w:r>
          </w:p>
        </w:tc>
        <w:tc>
          <w:tcPr>
            <w:tcW w:type="dxa" w:w="831"/>
          </w:tcPr>
          <w:p>
            <w:pPr>
              <w:pStyle w:val="null3"/>
              <w:jc w:val="left"/>
            </w:pPr>
            <w:r>
              <w:rPr/>
              <w:t>2025年投放点优化提升（太和、大源、京溪、三元里、同和、松洲、石井、石门）1批，具体采购标的以《采购清单一览表》为准</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5,000,000.00</w:t>
            </w:r>
          </w:p>
        </w:tc>
        <w:tc>
          <w:tcPr>
            <w:tcW w:type="dxa" w:w="831"/>
          </w:tcPr>
          <w:p>
            <w:pPr>
              <w:pStyle w:val="null3"/>
              <w:jc w:val="right"/>
            </w:pPr>
            <w:r>
              <w:rPr/>
              <w:t>5,000,000.00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2025年投放点优化提升（太和、大源、京溪、三元里、同和、松洲、石井、石门）1批，具体采购标的以《采购清单一览表》为准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采购包3（2025年投放点优化提升（人和、棠景、黄石、新市、嘉禾、同德、景泰））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自合同签订之日起60个日历天内交货。</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第1期为(预付款)：支付比例70%，合同签订且收到发票后7个工作日内（如是与中小企业签订合同的，合同签订且收到发票后5个工作日内），采购人向中标供应商支付合同总额的70%预付款； 。</w:t>
            </w:r>
          </w:p>
          <w:p>
            <w:pPr>
              <w:pStyle w:val="null3"/>
            </w:pPr>
            <w:r>
              <w:rPr/>
              <w:t>第2期为(尾款)：支付比例30%，安装调试完毕且验收合格，收到发票后10个工作日内，采购人向中标供应商支付至合同价的100%。 中标供应商凭以下有效文件与采购人结算： （1）合同； （2）中标供应商开具的正式发票； （3）验收调试报告（加盖双方公章，报告内容包括每个点位具体的配套设施说明及建设标准等）（适用于第二期款项支付）； （4）中标通知书。 （5）违约责任：采购人逾期支付合同款项的，除应当支付合同款项外，还应当每日按合同总价的0.3‰向中标人偿付违约金，但因中标人自身原因导致无法及时支付的除外。 （6）付款方式：采用支票、银行汇票、电汇等形式。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产品为全新原厂正品；产品数量与本合同或经双方确认的采购数量一致；产品表面无划痕或损坏；产品颜色统一无明显差别；产品结构稳固及附随产品合格证、保修单/卡、使用说明书齐全，附件齐全，符合采购人要求并满足正常使用功能。采购人组成验收小组按国家有关规定、规范在收到供应商验收申请后7日内进行验收，货物若有国家标准按照国家标准验收，若无国家标准按地方、行业标准验收。必要时邀请相关的专业人员或机构参与验收。因货物质量问题发生争议时，由本地质量技术监督部门鉴定。货物符合质量技术标准的，鉴定费由采购人承担；否则鉴定费由中标供应商承担。</w:t>
            </w:r>
          </w:p>
        </w:tc>
      </w:tr>
      <w:tr>
        <w:tc>
          <w:tcPr>
            <w:tcW w:type="dxa" w:w="4153"/>
          </w:tcPr>
          <w:p>
            <w:pPr>
              <w:pStyle w:val="null3"/>
            </w:pPr>
            <w:r>
              <w:rPr/>
              <w:t>履约保证金</w:t>
            </w:r>
          </w:p>
        </w:tc>
        <w:tc>
          <w:tcPr>
            <w:tcW w:type="dxa" w:w="4153"/>
          </w:tcPr>
          <w:p>
            <w:pPr>
              <w:pStyle w:val="null3"/>
            </w:pPr>
            <w:r>
              <w:rPr/>
              <w:t>收取比例：5%,说明：1、提交说明： (1)时间：合同签订前； (2)方式：转账、支票、汇票、本票、保函等非现金形式。 2、退还说明： (1)时间、方式和条件：中标人履行完成合同约定权利义务事项在合同期满之日起30个工作日内退还或在合同期满之日起30个工作日内失效。不计利息。 (2)违约责任：采购人逾期退还履约保证金的，除应当退还履约保证金本金外，还应当每日按履约保证金的0.3‰向中标人偿付违约金，但因中标人自身原因导致无法及时退还的除外。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 (4)本项目验收结果与采购合同约定的履约保证金返还条件挂钩，验收合格的项目，采购单位根据合同的约定退还履约保证金。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包装、保险及发运、保管要求，1.设备材料的包装必须是制造商原厂包装，其包装均应有良好的防湿、防锈、防潮、防雨、防腐及防碰撞的措施。凡由于包装不良造成的损失和由此产生的费用均由响应供应商承担。 2.中标供应商负责将设备材料货到现场过程中的全部运输，包括装卸车、货物现场的搬运。 3.各种设备必须提供装箱清单，按装箱清单验收货物。 4.货物在现场的保管由中标供应商负责，直至项目安装、验收完毕。 5.货物在系统安装调试验收合格前的保险由中标供应商负责，中标供应商负责其派出的现场服务人员人身意外保险。 6.设备至采购人指定的使用现场的包装、保险及发运等环节和费用均由中标供应商负责。</w:t>
            </w:r>
          </w:p>
          <w:p>
            <w:pPr>
              <w:pStyle w:val="null3"/>
            </w:pPr>
            <w:r>
              <w:rPr/>
              <w:t>(二)安装、调试与验收，1.中标供应商必须依照采购文件的要求和投标文件的承诺，将设备、系统安装并调试至正常运行的最佳状态。 2.货物若有国家标准按照国家标准验收，若无国家标准按行业标准验收，货物为原制造商制造的全新产品，整机无污染，无侵权行为、表面无划损、无任何缺陷隐患，在中国境内可依常规安全合法使用。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4.中标供应商应将关键主机设备的用户手册、保修手册、有关单证资料及配备件、随机工具等交付给采购人，使用操作及安全须知等重要资料应附有中文说明。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null3"/>
            </w:pPr>
            <w:r>
              <w:rPr/>
              <w:t>（三）售后服务要求，1.质保期：货物从验收合格之日起质保期1年，质保期内如货物非因采购人的人为原因而出现的质量问题由中标供应商负责包修、包换，并承担修理、调换的实际费用。在质量保证期内发生的质量问题，中标供应商应在 2 个小时到达现场并提供解决方案，24 小时内解决问题。 2.保修服务方式均为中标供应商上门保修，即由中标供应商到货物使用现场维修。由此产生的一切费用均包含在本项目报价，采购人不再另行支付。供应商需在投标文件中对售后质量保障承诺的可行性进行说明。</w:t>
            </w:r>
          </w:p>
          <w:p>
            <w:pPr>
              <w:pStyle w:val="null3"/>
            </w:pPr>
            <w:r>
              <w:rPr/>
              <w:t>（四）保险，货物安装调试验收合格前前，采购人已经支付部分或全部款项的，中标人应当办理以采购人为受益人的货物“一切险”，投保金额不少于采购人已经支付款项总额，保险保至项目最终交货地点。</w:t>
            </w:r>
          </w:p>
          <w:p>
            <w:pPr>
              <w:pStyle w:val="null3"/>
            </w:pPr>
            <w:r>
              <w:rPr/>
              <w:t>（五）项目相关要求，1.投标人需结合“七、技术参数及性能要求”以及附件《生活垃圾分类硬件设施设计方案》体现的结构、外观、样式、风格要求等情况，针对对应采购包所采购的不同投口的不锈钢分类亭、厢房式投放点、屏风式围挡分别提供深化设计的效果图。 2.投标人需为本项目投入有相关经验的项目团队人员不少于5人。</w:t>
            </w:r>
          </w:p>
          <w:p>
            <w:pPr>
              <w:pStyle w:val="null3"/>
            </w:pPr>
            <w:r>
              <w:rPr/>
              <w:t>（六）其他要求，供应商提供承诺函、第三方书面声明、检测报告、资质证件、业绩成果等采购文件要求提供的材料作为响应文件组成部分的，供应商应保证资料内容书写正确、真实有效、完整一致。 按照相关规定可通过官方网站查询的资质证件，供应商应确保资质证件真实有效、线上可查。如采购文件要求提供检测报告的，供应商应当确保检测机构资质符合项目要求，检测报告内容、检测委托合同、相关发票等材料主体及信息一致。采购人有权要求供应商如实配合提供相关文件和材料原件做核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其他环境污染防治设备</w:t>
            </w:r>
          </w:p>
        </w:tc>
        <w:tc>
          <w:tcPr>
            <w:tcW w:type="dxa" w:w="831"/>
          </w:tcPr>
          <w:p>
            <w:pPr>
              <w:pStyle w:val="null3"/>
              <w:jc w:val="left"/>
            </w:pPr>
            <w:r>
              <w:rPr/>
              <w:t>2025年投放点优化提升（人和、棠景、黄石、新市、嘉禾、同德、景泰）1批，具体采购标的以《采购清单一览表》为准</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4,000,000.00</w:t>
            </w:r>
          </w:p>
        </w:tc>
        <w:tc>
          <w:tcPr>
            <w:tcW w:type="dxa" w:w="831"/>
          </w:tcPr>
          <w:p>
            <w:pPr>
              <w:pStyle w:val="null3"/>
              <w:jc w:val="right"/>
            </w:pPr>
            <w:r>
              <w:rPr/>
              <w:t>4,000,000.00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2025年投放点优化提升（人和、棠景、黄石、新市、嘉禾、同德、景泰）1批，具体采购标的以《采购清单一览表》为准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1.采购代理机构：本项目是指采联国际招标采购集团有限公司，负责整个采购活动的组织，依法负责编制和发布招标文件，对招标文件拥有最终的解释权，不以任何身份出任评标委员会成员。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广州市白云区城市管理和综合执法局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 本项目各包组兼投不兼中： 1、本项目评审顺序按照包组的自然顺序进行独立评审； 2、推荐综合得分排名第一的投标人为第一中标候选人，排名第二的投标人为第二中标候选人； 3、同时对多包组投标的投标人，如投标人在前面包组已被推荐为第一中标候选人，则评审委员会在评审后面包组时，已经作为第一中标候选人的不再作为其他包组的有效投标人； 4、如果出现某包组的第一中标候选人或中标人放弃中标资格或被取消中标资格的，认定中标无效，仅在该包组内按照评标报告推荐的中标候选人排名顺延确定中标人或该包组重新开展采购活动，以此类推； 若该包组顺延的中标候选人已成为其他包组的第一中标候选人或中标人，则其顺延的中标候选人不被确定为本包组的中标人，确定该包组其后的中标候选人为中标人或该包组重新开展采购活动，以此类推；若该包组内所有中标候选人都已成为了其他包组的第一中标候选人或中标人，则该包组重新开展采购活动。 【举例：某项目4个包组，A公司为包组1的中标人、B公司为包组1的第二中标候选人、C公司为包组1第三中标候选人，B公司为包组2的中标人，C公司不是其他包组的中标人。如包组1中标人A公司放弃中标资格或被取消中标资格，认定中标无效，则B公司不被确定为包组1的中标人，确定C公司为包组1的中标人。】 5、如某包组中的有效投标人数量不足法定3家，则该包组采购失败。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采购机构代理服务收费标准：固定额收费：采购包1收取人民币87100元；采购包2收取人民币76700元；采购包3收取人民币62400元。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一、分包，不允许；</w:t>
            </w:r>
          </w:p>
          <w:p>
            <w:pPr>
              <w:pStyle w:val="null3"/>
              <w:jc w:val="left"/>
            </w:pPr>
            <w:r>
              <w:rPr/>
              <w:t>二、转包，中标人不得将政府采购合同转包。</w:t>
            </w:r>
          </w:p>
          <w:p>
            <w:pPr>
              <w:pStyle w:val="null3"/>
              <w:jc w:val="left"/>
            </w:pPr>
            <w:r>
              <w:rPr/>
              <w:t>三，供应商（投标人）向本招标文件中所述的采购代理机构咨询的有关本招标项目事项，一切以法律法规的规定和采购代理机构书面答复为准，其他一切形式均为个人意见，不代表采购代理机构的意见。</w:t>
            </w:r>
          </w:p>
          <w:p>
            <w:pPr>
              <w:pStyle w:val="null3"/>
              <w:jc w:val="left"/>
            </w:pPr>
            <w:r>
              <w:rPr/>
              <w:t>四、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p>
            <w:pPr>
              <w:pStyle w:val="null3"/>
              <w:jc w:val="left"/>
            </w:pPr>
            <w:r>
              <w:rPr/>
              <w:t>五、履约评价，采购人负责对中标人的履约行为进行评价。采购人在合同备案后可通过广东政府采购智慧云平台-诚信管理-评价管理进行评价。评价结果会影响供应商的综合信用得分。</w:t>
            </w:r>
          </w:p>
          <w:p>
            <w:pPr>
              <w:pStyle w:val="null3"/>
              <w:jc w:val="left"/>
            </w:pPr>
            <w:r>
              <w:rPr/>
              <w:t>六、其他，本项目各采购包均属于专门面向中小企业采购的项目，对小型、微型企业、监狱企业或残疾人福利性单位不给予价格扣除。</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采联国际招标采购集团有限公司（ http://www.chinapsp.cn/）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采联国际招标采购集团有限公司（ http://www.chinapsp.cn/）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成女士</w:t>
      </w:r>
    </w:p>
    <w:p>
      <w:pPr>
        <w:pStyle w:val="null3"/>
        <w:ind w:firstLine="480"/>
      </w:pPr>
      <w:r>
        <w:rPr/>
        <w:t>电话：</w:t>
      </w:r>
      <w:r>
        <w:rPr/>
        <w:t>020-87651688-162</w:t>
      </w:r>
    </w:p>
    <w:p>
      <w:pPr>
        <w:pStyle w:val="null3"/>
        <w:ind w:firstLine="480"/>
      </w:pPr>
      <w:r>
        <w:rPr/>
        <w:t>传真：</w:t>
      </w:r>
      <w:r>
        <w:rPr/>
        <w:t>020-87651698</w:t>
      </w:r>
    </w:p>
    <w:p>
      <w:pPr>
        <w:pStyle w:val="null3"/>
        <w:ind w:firstLine="480"/>
      </w:pPr>
      <w:r>
        <w:rPr/>
        <w:t>邮箱：</w:t>
      </w:r>
      <w:r>
        <w:rPr/>
        <w:t>guangzhou@chinapsp.cn（提交时请备注XX项目询问函/质疑函，并提前跟我司工作人员联系）</w:t>
      </w:r>
    </w:p>
    <w:p>
      <w:pPr>
        <w:pStyle w:val="null3"/>
        <w:ind w:firstLine="480"/>
      </w:pPr>
      <w:r>
        <w:rPr/>
        <w:t>地址：</w:t>
      </w:r>
      <w:r>
        <w:rPr/>
        <w:t>广州市环市东路472号粤海大厦23楼（如采用邮寄形式提交，请提前跟我司工作人员联系，并同步将邮寄底单发送至我司邮箱）</w:t>
      </w:r>
    </w:p>
    <w:p>
      <w:pPr>
        <w:pStyle w:val="null3"/>
        <w:ind w:firstLine="480"/>
      </w:pPr>
      <w:r>
        <w:rPr/>
        <w:t>邮编：</w:t>
      </w:r>
      <w:r>
        <w:rPr/>
        <w:t>510062</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政府采购监督管理机构名称：广州市白云区财政局政府采购科</w:t>
      </w:r>
    </w:p>
    <w:p>
      <w:pPr>
        <w:pStyle w:val="null3"/>
      </w:pPr>
      <w:r>
        <w:rPr/>
        <w:t>地 址：广州市白云区河田西路68号</w:t>
      </w:r>
    </w:p>
    <w:p>
      <w:pPr>
        <w:pStyle w:val="null3"/>
      </w:pPr>
      <w:r>
        <w:rPr/>
        <w:t>电 话：020-26092703</w:t>
      </w:r>
    </w:p>
    <w:p>
      <w:pPr>
        <w:pStyle w:val="null3"/>
      </w:pPr>
      <w:r>
        <w:rPr/>
        <w:t>邮 编：510080</w:t>
      </w:r>
    </w:p>
    <w:p>
      <w:pPr>
        <w:pStyle w:val="null3"/>
      </w:pPr>
      <w:r>
        <w:rPr/>
        <w:t>传 真：020-26092703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投放点优化提升（龙归、永平、白云湖、均禾、钟落潭、金沙、鹤龙、云城）)：综合评分法,是指投标文件满足招标文件全部实质性要求，且按照评审因素的量化指标评审得分最高的投标人为中标候选人的评标方法。（最低报价不是中标的唯一依据。）</w:t>
      </w:r>
    </w:p>
    <w:p>
      <w:pPr>
        <w:pStyle w:val="null3"/>
      </w:pPr>
      <w:r>
        <w:rPr/>
        <w:t>采购包2(2025年投放点优化提升（太和、大源、京溪、三元里、同和、松洲、石井、石门）)：综合评分法,是指投标文件满足招标文件全部实质性要求，且按照评审因素的量化指标评审得分最高的投标人为中标候选人的评标方法。（最低报价不是中标的唯一依据。）</w:t>
      </w:r>
    </w:p>
    <w:p>
      <w:pPr>
        <w:pStyle w:val="null3"/>
      </w:pPr>
      <w:r>
        <w:rPr/>
        <w:t>采购包3(2025年投放点优化提升（人和、棠景、黄石、新市、嘉禾、同德、景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采联国际招标采购集团有限公司</w:t>
      </w:r>
      <w:r>
        <w:rPr/>
        <w:t>统一对外发布。</w:t>
      </w:r>
    </w:p>
    <w:p>
      <w:pPr>
        <w:pStyle w:val="null3"/>
        <w:ind w:firstLine="480"/>
      </w:pPr>
      <w:r>
        <w:rPr/>
        <w:t>（2）对</w:t>
      </w:r>
      <w:r>
        <w:rPr/>
        <w:t>采联国际招标采购集团有限公司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采购包1（2025年投放点优化提升（龙归、永平、白云湖、均禾、钟落潭、金沙、鹤龙、云城））：</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采购包2（2025年投放点优化提升（太和、大源、京溪、三元里、同和、松洲、石井、石门））：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采购包3（2025年投放点优化提升（人和、棠景、黄石、新市、嘉禾、同德、景泰））：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采购包1（2025年投放点优化提升（龙归、永平、白云湖、均禾、钟落潭、金沙、鹤龙、云城））：</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提供《投标人资格声明函》（具体格式可参照招标公告附件）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提供《投标人资格声明函》（具体格式可参照招标公告附件）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提供《投标人资格声明函》（具体格式可参照招标公告附件）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具体格式可参照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本项目特定资质要求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供应商提供货物的制造商应为中小微企业、监狱企业、残疾人福利性单位。（提供《中小企业声明函》（《中小企业声明函》可参照本项目采购公告附件提供的格式）或属于监狱企业的证明材料或《残疾人福利性单位声明函》）</w:t>
            </w:r>
          </w:p>
        </w:tc>
      </w:tr>
    </w:tbl>
    <w:p>
      <w:pPr>
        <w:pStyle w:val="null3"/>
      </w:pPr>
      <w:r>
        <w:rPr/>
        <w:t>采购包2（2025年投放点优化提升（太和、大源、京溪、三元里、同和、松洲、石井、石门））：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提供《投标人资格声明函》（具体格式可参照招标公告附件）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提供《投标人资格声明函》（具体格式可参照招标公告附件）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提供《投标人资格声明函》（具体格式可参照招标公告附件）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具体格式可参照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本项目特定资质要求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供应商提供货物的制造商应为中小微企业、监狱企业、残疾人福利性单位。（提供《中小企业声明函》（《中小企业声明函》可参照本项目采购公告附件提供的格式）或属于监狱企业的证明材料或《残疾人福利性单位声明函》）</w:t>
            </w:r>
          </w:p>
        </w:tc>
      </w:tr>
    </w:tbl>
    <w:p>
      <w:pPr>
        <w:pStyle w:val="null3"/>
      </w:pPr>
      <w:r>
        <w:rPr/>
        <w:t>采购包3（2025年投放点优化提升（人和、棠景、黄石、新市、嘉禾、同德、景泰））：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提供《投标人资格声明函》（具体格式可参照招标公告附件）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提供《投标人资格声明函》（具体格式可参照招标公告附件）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提供《投标人资格声明函》（具体格式可参照招标公告附件）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具体格式可参照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本项目特定资质要求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供应商提供货物的制造商应为中小微企业、监狱企业、残疾人福利性单位。（提供《中小企业声明函》（《中小企业声明函》可参照本项目采购公告附件提供的格式）或属于监狱企业的证明材料或《残疾人福利性单位声明函》）</w:t>
            </w:r>
          </w:p>
        </w:tc>
      </w:tr>
    </w:tbl>
    <w:p>
      <w:pPr>
        <w:pStyle w:val="null3"/>
        <w:ind w:firstLine="480"/>
      </w:pPr>
      <w:r>
        <w:rPr/>
        <w:t>表二符合性审查表：</w:t>
      </w:r>
    </w:p>
    <w:p>
      <w:pPr>
        <w:pStyle w:val="null3"/>
      </w:pPr>
      <w:r>
        <w:rPr/>
        <w:t>采购包1（2025年投放点优化提升（龙归、永平、白云湖、均禾、钟落潭、金沙、鹤龙、云城））：</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 表人签字或盖个人名章（或 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投标报价要求</w:t>
            </w:r>
          </w:p>
        </w:tc>
        <w:tc>
          <w:tcPr>
            <w:tcW w:type="dxa" w:w="4238"/>
          </w:tcPr>
          <w:p>
            <w:pPr>
              <w:pStyle w:val="null3"/>
            </w:pPr>
            <w:r>
              <w:rPr/>
              <w:t>投标报价确定且未超过对应包组最高限价的；</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投标文件完全满足招标文件的实质性条款（即标注★号条款） 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按招标文件要求提供本国产品的；</w:t>
            </w:r>
          </w:p>
        </w:tc>
        <w:tc>
          <w:tcPr>
            <w:tcW w:type="dxa" w:w="4238"/>
          </w:tcPr>
          <w:p>
            <w:pPr>
              <w:pStyle w:val="null3"/>
            </w:pPr>
            <w:r>
              <w:rPr/>
              <w:t>按招标文件要求提供本国产品的；</w:t>
            </w:r>
          </w:p>
        </w:tc>
      </w:tr>
      <w:tr>
        <w:tc>
          <w:tcPr>
            <w:tcW w:type="dxa" w:w="890"/>
          </w:tcPr>
          <w:p>
            <w:pPr>
              <w:pStyle w:val="null3"/>
            </w:pPr>
            <w:r>
              <w:rPr/>
              <w:t>7</w:t>
            </w:r>
          </w:p>
        </w:tc>
        <w:tc>
          <w:tcPr>
            <w:tcW w:type="dxa" w:w="3178"/>
          </w:tcPr>
          <w:p>
            <w:pPr>
              <w:pStyle w:val="null3"/>
            </w:pPr>
            <w:r>
              <w:rPr/>
              <w:t>投标文件没有招标文件中规定的其他无效投标条款的；</w:t>
            </w:r>
          </w:p>
        </w:tc>
        <w:tc>
          <w:tcPr>
            <w:tcW w:type="dxa" w:w="4238"/>
          </w:tcPr>
          <w:p>
            <w:pPr>
              <w:pStyle w:val="null3"/>
            </w:pPr>
            <w:r>
              <w:rPr/>
              <w:t>投标文件没有招标文件中规定的其他无效投标条款的；</w:t>
            </w:r>
          </w:p>
        </w:tc>
      </w:tr>
      <w:tr>
        <w:tc>
          <w:tcPr>
            <w:tcW w:type="dxa" w:w="890"/>
          </w:tcPr>
          <w:p>
            <w:pPr>
              <w:pStyle w:val="null3"/>
            </w:pPr>
            <w:r>
              <w:rPr/>
              <w:t>8</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pPr>
      <w:r>
        <w:rPr/>
        <w:t>采购包2（2025年投放点优化提升（太和、大源、京溪、三元里、同和、松洲、石井、石门））：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 表人签字或盖个人名章（或 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投标报价要求</w:t>
            </w:r>
          </w:p>
        </w:tc>
        <w:tc>
          <w:tcPr>
            <w:tcW w:type="dxa" w:w="4238"/>
          </w:tcPr>
          <w:p>
            <w:pPr>
              <w:pStyle w:val="null3"/>
            </w:pPr>
            <w:r>
              <w:rPr/>
              <w:t>投标报价确定且未超过对应包组最高限价的；</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投标文件完全满足招标文件的实质性条款（即标注★号条款） 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按招标文件要求提供本国产品的；</w:t>
            </w:r>
          </w:p>
        </w:tc>
        <w:tc>
          <w:tcPr>
            <w:tcW w:type="dxa" w:w="4238"/>
          </w:tcPr>
          <w:p>
            <w:pPr>
              <w:pStyle w:val="null3"/>
            </w:pPr>
            <w:r>
              <w:rPr/>
              <w:t>按招标文件要求提供本国产品的；</w:t>
            </w:r>
          </w:p>
        </w:tc>
      </w:tr>
      <w:tr>
        <w:tc>
          <w:tcPr>
            <w:tcW w:type="dxa" w:w="890"/>
          </w:tcPr>
          <w:p>
            <w:pPr>
              <w:pStyle w:val="null3"/>
            </w:pPr>
            <w:r>
              <w:rPr/>
              <w:t>7</w:t>
            </w:r>
          </w:p>
        </w:tc>
        <w:tc>
          <w:tcPr>
            <w:tcW w:type="dxa" w:w="3178"/>
          </w:tcPr>
          <w:p>
            <w:pPr>
              <w:pStyle w:val="null3"/>
            </w:pPr>
            <w:r>
              <w:rPr/>
              <w:t>兼投不兼中要求</w:t>
            </w:r>
          </w:p>
        </w:tc>
        <w:tc>
          <w:tcPr>
            <w:tcW w:type="dxa" w:w="4238"/>
          </w:tcPr>
          <w:p>
            <w:pPr>
              <w:pStyle w:val="null3"/>
            </w:pPr>
            <w:r>
              <w:rPr/>
              <w:t>同时对多包组投标的投标人，没有在前面包组被推荐为第一中标候选人的；</w:t>
            </w:r>
          </w:p>
        </w:tc>
      </w:tr>
      <w:tr>
        <w:tc>
          <w:tcPr>
            <w:tcW w:type="dxa" w:w="890"/>
          </w:tcPr>
          <w:p>
            <w:pPr>
              <w:pStyle w:val="null3"/>
            </w:pPr>
            <w:r>
              <w:rPr/>
              <w:t>8</w:t>
            </w:r>
          </w:p>
        </w:tc>
        <w:tc>
          <w:tcPr>
            <w:tcW w:type="dxa" w:w="3178"/>
          </w:tcPr>
          <w:p>
            <w:pPr>
              <w:pStyle w:val="null3"/>
            </w:pPr>
            <w:r>
              <w:rPr/>
              <w:t>投标文件没有招标文件中规定的其他无效投标条款的；</w:t>
            </w:r>
          </w:p>
        </w:tc>
        <w:tc>
          <w:tcPr>
            <w:tcW w:type="dxa" w:w="4238"/>
          </w:tcPr>
          <w:p>
            <w:pPr>
              <w:pStyle w:val="null3"/>
            </w:pPr>
            <w:r>
              <w:rPr/>
              <w:t>投标文件没有招标文件中规定的其他无效投标条款的；</w:t>
            </w:r>
          </w:p>
        </w:tc>
      </w:tr>
      <w:tr>
        <w:tc>
          <w:tcPr>
            <w:tcW w:type="dxa" w:w="890"/>
          </w:tcPr>
          <w:p>
            <w:pPr>
              <w:pStyle w:val="null3"/>
            </w:pPr>
            <w:r>
              <w:rPr/>
              <w:t>9</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pPr>
      <w:r>
        <w:rPr/>
        <w:t>采购包3（2025年投放点优化提升（人和、棠景、黄石、新市、嘉禾、同德、景泰））：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 表人签字或盖个人名章（或 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投标报价要求</w:t>
            </w:r>
          </w:p>
        </w:tc>
        <w:tc>
          <w:tcPr>
            <w:tcW w:type="dxa" w:w="4238"/>
          </w:tcPr>
          <w:p>
            <w:pPr>
              <w:pStyle w:val="null3"/>
            </w:pPr>
            <w:r>
              <w:rPr/>
              <w:t>投标报价确定且未超过对应包组最高限价的；</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投标文件完全满足招标文件的实质性条款（即标注★号条款） 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按招标文件要求提供本国产品的；</w:t>
            </w:r>
          </w:p>
        </w:tc>
        <w:tc>
          <w:tcPr>
            <w:tcW w:type="dxa" w:w="4238"/>
          </w:tcPr>
          <w:p>
            <w:pPr>
              <w:pStyle w:val="null3"/>
            </w:pPr>
            <w:r>
              <w:rPr/>
              <w:t>按招标文件要求提供本国产品的；</w:t>
            </w:r>
          </w:p>
        </w:tc>
      </w:tr>
      <w:tr>
        <w:tc>
          <w:tcPr>
            <w:tcW w:type="dxa" w:w="890"/>
          </w:tcPr>
          <w:p>
            <w:pPr>
              <w:pStyle w:val="null3"/>
            </w:pPr>
            <w:r>
              <w:rPr/>
              <w:t>7</w:t>
            </w:r>
          </w:p>
        </w:tc>
        <w:tc>
          <w:tcPr>
            <w:tcW w:type="dxa" w:w="3178"/>
          </w:tcPr>
          <w:p>
            <w:pPr>
              <w:pStyle w:val="null3"/>
            </w:pPr>
            <w:r>
              <w:rPr/>
              <w:t>兼投不兼中要求</w:t>
            </w:r>
          </w:p>
        </w:tc>
        <w:tc>
          <w:tcPr>
            <w:tcW w:type="dxa" w:w="4238"/>
          </w:tcPr>
          <w:p>
            <w:pPr>
              <w:pStyle w:val="null3"/>
            </w:pPr>
            <w:r>
              <w:rPr/>
              <w:t>同时对多包组投标的投标人，没有在前面包组被推荐为第一中标候选人的；</w:t>
            </w:r>
          </w:p>
        </w:tc>
      </w:tr>
      <w:tr>
        <w:tc>
          <w:tcPr>
            <w:tcW w:type="dxa" w:w="890"/>
          </w:tcPr>
          <w:p>
            <w:pPr>
              <w:pStyle w:val="null3"/>
            </w:pPr>
            <w:r>
              <w:rPr/>
              <w:t>8</w:t>
            </w:r>
          </w:p>
        </w:tc>
        <w:tc>
          <w:tcPr>
            <w:tcW w:type="dxa" w:w="3178"/>
          </w:tcPr>
          <w:p>
            <w:pPr>
              <w:pStyle w:val="null3"/>
            </w:pPr>
            <w:r>
              <w:rPr/>
              <w:t>投标文件没有招标文件中规定的其他无效投标条款的；</w:t>
            </w:r>
          </w:p>
        </w:tc>
        <w:tc>
          <w:tcPr>
            <w:tcW w:type="dxa" w:w="4238"/>
          </w:tcPr>
          <w:p>
            <w:pPr>
              <w:pStyle w:val="null3"/>
            </w:pPr>
            <w:r>
              <w:rPr/>
              <w:t>投标文件没有招标文件中规定的其他无效投标条款的；</w:t>
            </w:r>
          </w:p>
        </w:tc>
      </w:tr>
      <w:tr>
        <w:tc>
          <w:tcPr>
            <w:tcW w:type="dxa" w:w="890"/>
          </w:tcPr>
          <w:p>
            <w:pPr>
              <w:pStyle w:val="null3"/>
            </w:pPr>
            <w:r>
              <w:rPr/>
              <w:t>9</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采购包1(2025年投放点优化提升（龙归、永平、白云湖、均禾、钟落潭、金沙、鹤龙、云城）):</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对采购需求中带▲号的重要技术参数的符合性 (22.5分)</w:t>
            </w:r>
          </w:p>
        </w:tc>
        <w:tc>
          <w:tcPr>
            <w:tcW w:type="dxa" w:w="5076"/>
          </w:tcPr>
          <w:p>
            <w:pPr>
              <w:pStyle w:val="null3"/>
              <w:jc w:val="left"/>
            </w:pPr>
            <w:r>
              <w:rPr/>
              <w:t>针对投标人对第二章采购需求“七、技术参数及性能要求”中带“▲”重要技术条款满足情况进行评审（共15项），本项最高得22.5分： 每有一项响应为正偏离或无偏离的，该项得1.5分，响应为负偏离的，该项不得分。 注：如果采购需求有要求证明材料的，按照采购需求的要求提供证明材料；若采购需求没有要求证明材料的，提供所投产品的技术白皮书或使用说明书或制造商市场公开的宣传彩页或制造商官网清晰截图或第三方检测机构出具的相关检测报告或加盖制造商公章的技术参数确认函作为技术证明文件，任何一类证明文件应该清晰明确反映相关响应的信息，否则评标委员会有权视相应技术参数响应不满足招标文件要求。</w:t>
            </w:r>
          </w:p>
        </w:tc>
      </w:tr>
      <w:tr>
        <w:tc>
          <w:tcPr>
            <w:tcW w:type="dxa" w:w="922"/>
            <w:gridSpan w:val="2"/>
            <w:vMerge/>
          </w:tcPr>
          <w:p/>
        </w:tc>
        <w:tc>
          <w:tcPr>
            <w:tcW w:type="dxa" w:w="2307"/>
          </w:tcPr>
          <w:p>
            <w:pPr>
              <w:pStyle w:val="null3"/>
              <w:jc w:val="left"/>
            </w:pPr>
            <w:r>
              <w:rPr/>
              <w:t>对采购需求中未带▲号、★号的一般技术参数的符合性 (14.0分)</w:t>
            </w:r>
          </w:p>
        </w:tc>
        <w:tc>
          <w:tcPr>
            <w:tcW w:type="dxa" w:w="5076"/>
          </w:tcPr>
          <w:p>
            <w:pPr>
              <w:pStyle w:val="null3"/>
              <w:jc w:val="left"/>
            </w:pPr>
            <w:r>
              <w:rPr/>
              <w:t>针对投标人对第二章采购需求“七、技术参数及性能要求”中未带“▲”号或“★”号的一般技术参数的响应情况进行评审（共35项，以“（一）不锈钢分类亭”、“（二）厢房式投放点”、“（三）屏风式围挡”下的每个一级序号所包含的一般技术参数分别作为一个评审项，如“3.”、“8.”，不含“（一）不锈钢分类亭”的“1.主立柱及副立柱”），本项最高得14分： 每有一项所包含的一般技术参数均响应为“正偏离”或“符合”或“无偏离”的，该项得0.4分；每有一项所包含的任意一条一般技术参数响应为负偏离的，该项不得分。 备注：如采购需求中有明确要求提供证明材料的，则以采购需求要求的为准；如采购需求中无明确要求证明材料的，则以投标人提供的《技术和服务要求响应表》的响应情况进行评审。</w:t>
            </w:r>
          </w:p>
        </w:tc>
      </w:tr>
      <w:tr>
        <w:tc>
          <w:tcPr>
            <w:tcW w:type="dxa" w:w="922"/>
            <w:gridSpan w:val="2"/>
            <w:vMerge/>
          </w:tcPr>
          <w:p/>
        </w:tc>
        <w:tc>
          <w:tcPr>
            <w:tcW w:type="dxa" w:w="2307"/>
          </w:tcPr>
          <w:p>
            <w:pPr>
              <w:pStyle w:val="null3"/>
              <w:jc w:val="left"/>
            </w:pPr>
            <w:r>
              <w:rPr/>
              <w:t>质量保障措施方案 (8.5分)</w:t>
            </w:r>
          </w:p>
        </w:tc>
        <w:tc>
          <w:tcPr>
            <w:tcW w:type="dxa" w:w="5076"/>
          </w:tcPr>
          <w:p>
            <w:pPr>
              <w:pStyle w:val="null3"/>
              <w:jc w:val="left"/>
            </w:pPr>
            <w:r>
              <w:rPr/>
              <w:t>根据投标人针对采购需求中“(一)包装、保险及发运、保管要求”、“(二)安装、调试与验收”（不含验收要求）、“（三）售后服务要求”（不含响应时间要求）要求所提供的项目质量保障措施方案进行独立评审，方案需至少包含：包装运输方案、安装调试方案、售后质量保障承诺。 1、实施方案包含上述三项内容，包装运输方案、安装调试方案清晰完整，内容详实，售后质量保障承诺有利于保障本项目履约质量，且可行性说明保障强，完全满足且优于采购需求，得8.5分； 2、实施方案包含上述三项内容，包装运输方案、安装调试方案较为清晰完整，售后质量保障承诺较有利于保障本项目履约质量，且可行性说明保障较强，完全满足采购需求，得4分。 3、实施方案包含上述三项内容，包装运输方案、安装调试方案粗略不清晰，售后质量保障承诺难以保障本项目履约质量，可行性说明有一定的保障，部分满足采购需求，得1分。 4、无提供方案或方案未完全包含包装运输方案、安装调试方案、售后质量保障承诺的，均不得分。</w:t>
            </w:r>
          </w:p>
        </w:tc>
      </w:tr>
      <w:tr>
        <w:tc>
          <w:tcPr>
            <w:tcW w:type="dxa" w:w="922"/>
            <w:gridSpan w:val="2"/>
            <w:vMerge/>
          </w:tcPr>
          <w:p/>
        </w:tc>
        <w:tc>
          <w:tcPr>
            <w:tcW w:type="dxa" w:w="2307"/>
          </w:tcPr>
          <w:p>
            <w:pPr>
              <w:pStyle w:val="null3"/>
              <w:jc w:val="left"/>
            </w:pPr>
            <w:r>
              <w:rPr/>
              <w:t>深化设计效果图 (10.0分)</w:t>
            </w:r>
          </w:p>
        </w:tc>
        <w:tc>
          <w:tcPr>
            <w:tcW w:type="dxa" w:w="5076"/>
          </w:tcPr>
          <w:p>
            <w:pPr>
              <w:pStyle w:val="null3"/>
              <w:jc w:val="left"/>
            </w:pPr>
            <w:r>
              <w:rPr/>
              <w:t>根据投标人针对采购需求要求所提供的对应采购包所采购的不同投口的不锈钢分类亭、厢房式投放点、屏风式围挡的深化设计效果图纸，进行评审： 1、提供的设计图纸符合本项目采购需求要求，构造清晰完整，设备配置内容分布合理，设计风格符合项目实际特点，完全满足且优于采购需求的，得10分； 2、提供的设计图纸较符合本项目采购需求要求，构造较为清晰完整，设备配置内容分布较为合理，设计风格较符合项目实际特点，完全满足采购需求的，得6分； 3、提供的设计图纸部分内容符合本项目采购需求要求，构造不太清晰完整，设备配置内容分布不太合理，设计风格与本项目实际特点有一定的偏离，部分满足采购需求的，得2分； 4、不能提供深化设计图纸或图纸类型不齐全或其他情形均不得分。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根据投标人2021年1月1日至今同类项目业绩（项目内容含同类垃圾分类投放点设施）情况进行评分：每提供一项同类项目业绩得2分，最高得2分。 注：业绩时间以合同签订时间为准。需附上合同关键页（含签订合同双方的单位名称、合同项目名称、合同清单/合同内容、签订合同双方的落款盖章、签订日期的关键页）复印件作为同类业绩评价证明资料。</w:t>
            </w:r>
          </w:p>
        </w:tc>
      </w:tr>
      <w:tr>
        <w:tc>
          <w:tcPr>
            <w:tcW w:type="dxa" w:w="922"/>
            <w:gridSpan w:val="2"/>
            <w:vMerge/>
          </w:tcPr>
          <w:p/>
        </w:tc>
        <w:tc>
          <w:tcPr>
            <w:tcW w:type="dxa" w:w="2307"/>
          </w:tcPr>
          <w:p>
            <w:pPr>
              <w:pStyle w:val="null3"/>
              <w:jc w:val="left"/>
            </w:pPr>
            <w:r>
              <w:rPr/>
              <w:t>项目团队人员要求 (6.0分)</w:t>
            </w:r>
          </w:p>
        </w:tc>
        <w:tc>
          <w:tcPr>
            <w:tcW w:type="dxa" w:w="5076"/>
          </w:tcPr>
          <w:p>
            <w:pPr>
              <w:pStyle w:val="null3"/>
              <w:jc w:val="left"/>
            </w:pPr>
            <w:r>
              <w:rPr/>
              <w:t>在为本项目投入5个团队成员的基础上，每增加一人得2分，本项最高得6分。 注：提供人员清单，同时提供其在投标人单位任职证明材料（如签订的劳动合同或投标截止前半年内任意一个月在对应单位缴纳社保或单价代扣个人所得税证明材料）。</w:t>
            </w:r>
          </w:p>
        </w:tc>
      </w:tr>
      <w:tr>
        <w:tc>
          <w:tcPr>
            <w:tcW w:type="dxa" w:w="922"/>
            <w:gridSpan w:val="2"/>
            <w:vMerge/>
          </w:tcPr>
          <w:p/>
        </w:tc>
        <w:tc>
          <w:tcPr>
            <w:tcW w:type="dxa" w:w="2307"/>
          </w:tcPr>
          <w:p>
            <w:pPr>
              <w:pStyle w:val="null3"/>
              <w:jc w:val="left"/>
            </w:pPr>
            <w:r>
              <w:rPr/>
              <w:t>服务响应时间 (2.0分)</w:t>
            </w:r>
          </w:p>
        </w:tc>
        <w:tc>
          <w:tcPr>
            <w:tcW w:type="dxa" w:w="5076"/>
          </w:tcPr>
          <w:p>
            <w:pPr>
              <w:pStyle w:val="null3"/>
              <w:jc w:val="left"/>
            </w:pPr>
            <w:r>
              <w:rPr/>
              <w:t>根据投标人提供的服务响应时间进行评分： 1.接到采购人服务通知后响应并提供解决方案的时间≤1小时，得2分； 2.1小时＜接到采购人服务通知后响应并提供解决方案的时间≤2小时，得1分； 3.其他或不提供不得分。 注：提供接到采购人服务通知后响应并提供解决方案的响应时间承诺函（格式自拟）加盖投标人公章作为证明材料，无不得分。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价格分应当采用低价优先法计算，即满足招标文件要求且投标价格最低的投标报价为评标基准价，其价格分为满分（最低报价不是中标的唯一依据）。其他投标人的价格分统一按照下列公式计算： 投标报价得分=(评标基准价／投标报价)×价格分 备注： 1、因落实政府采购政策进行价格调整的，以调整后的价格计算评标基准价和投标报价,详见《价格扣除》。 2、投标报价得分四舍五入后，小数点后保留两位有效数。</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采购包2(2025年投放点优化提升（太和、大源、京溪、三元里、同和、松洲、石井、石门）):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对采购需求中带▲号的重要技术参数的符合性 (22.5分)</w:t>
            </w:r>
          </w:p>
        </w:tc>
        <w:tc>
          <w:tcPr>
            <w:tcW w:type="dxa" w:w="5076"/>
          </w:tcPr>
          <w:p>
            <w:pPr>
              <w:pStyle w:val="null3"/>
              <w:jc w:val="left"/>
            </w:pPr>
            <w:r>
              <w:rPr/>
              <w:t>针对投标人对第二章采购需求“七、技术参数及性能要求”中带“▲”重要技术条款满足情况进行评审（共15项），本项最高得22.5分： 每有一项响应为正偏离或无偏离的，该项得1.5分，响应为负偏离的，该项不得分。 注：如果采购需求有要求证明材料的，按照采购需求的要求提供证明材料；若采购需求没有要求证明材料的，提供所投产品的技术白皮书或使用说明书或制造商市场公开的宣传彩页或制造商官网清晰截图或第三方检测机构出具的相关检测报告或加盖制造商公章的技术参数确认函作为技术证明文件，任何一类证明文件应该清晰明确反映相关响应的信息，否则评标委员会有权视相应技术参数响应不满足招标文件要求。</w:t>
            </w:r>
          </w:p>
        </w:tc>
      </w:tr>
      <w:tr>
        <w:tc>
          <w:tcPr>
            <w:tcW w:type="dxa" w:w="922"/>
            <w:gridSpan w:val="2"/>
            <w:vMerge/>
          </w:tcPr>
          <w:p/>
        </w:tc>
        <w:tc>
          <w:tcPr>
            <w:tcW w:type="dxa" w:w="2307"/>
          </w:tcPr>
          <w:p>
            <w:pPr>
              <w:pStyle w:val="null3"/>
              <w:jc w:val="left"/>
            </w:pPr>
            <w:r>
              <w:rPr/>
              <w:t>对采购需求中未带▲号、★号的一般技术参数的符合性 (14.0分)</w:t>
            </w:r>
          </w:p>
        </w:tc>
        <w:tc>
          <w:tcPr>
            <w:tcW w:type="dxa" w:w="5076"/>
          </w:tcPr>
          <w:p>
            <w:pPr>
              <w:pStyle w:val="null3"/>
              <w:jc w:val="left"/>
            </w:pPr>
            <w:r>
              <w:rPr/>
              <w:t>针对投标人对第二章采购需求“七、技术参数及性能要求”中未带“▲”号或“★”号的一般技术参数的响应情况进行评审（共35项，以“（一）不锈钢分类亭”、“（二）厢房式投放点”、“（三）屏风式围挡”下的每个一级序号所包含的一般技术参数分别作为一个评审项，如“3.”、“8.”，不含“（一）不锈钢分类亭”的“1.主立柱及副立柱”），本项最高得14分： 每有一项所包含的一般技术参数均响应为“正偏离”或“符合”或“无偏离”的，该项得0.4分；每有一项所包含的任意一条一般技术参数响应为负偏离的，该项不得分。 备注：如采购需求中有明确要求提供证明材料的，则以采购需求要求的为准；如采购需求中无明确要求证明材料的，则以投标人提供的《技术和服务要求响应表》的响应情况进行评审。</w:t>
            </w:r>
          </w:p>
        </w:tc>
      </w:tr>
      <w:tr>
        <w:tc>
          <w:tcPr>
            <w:tcW w:type="dxa" w:w="922"/>
            <w:gridSpan w:val="2"/>
            <w:vMerge/>
          </w:tcPr>
          <w:p/>
        </w:tc>
        <w:tc>
          <w:tcPr>
            <w:tcW w:type="dxa" w:w="2307"/>
          </w:tcPr>
          <w:p>
            <w:pPr>
              <w:pStyle w:val="null3"/>
              <w:jc w:val="left"/>
            </w:pPr>
            <w:r>
              <w:rPr/>
              <w:t>质量保障措施方案 (8.5分)</w:t>
            </w:r>
          </w:p>
        </w:tc>
        <w:tc>
          <w:tcPr>
            <w:tcW w:type="dxa" w:w="5076"/>
          </w:tcPr>
          <w:p>
            <w:pPr>
              <w:pStyle w:val="null3"/>
              <w:jc w:val="left"/>
            </w:pPr>
            <w:r>
              <w:rPr/>
              <w:t>根据投标人针对采购需求中“(一)包装、保险及发运、保管要求”、“(二)安装、调试与验收”（不含验收要求）、“（三）售后服务要求”（不含响应时间要求）要求所提供的项目质量保障措施方案进行独立评审，方案需至少包含：包装运输方案、安装调试方案、售后质量保障承诺。 1、实施方案包含上述三项内容，包装运输方案、安装调试方案清晰完整，内容详实，售后质量保障承诺有利于保障本项目履约质量，且可行性说明保障强，完全满足且优于采购需求，得8.5分； 2、实施方案包含上述三项内容，包装运输方案、安装调试方案较为清晰完整，售后质量保障承诺较有利于保障本项目履约质量，且可行性说明保障较强，完全满足采购需求，得4分。 3、实施方案包含上述三项内容，包装运输方案、安装调试方案粗略不清晰，售后质量保障承诺难以保障本项目履约质量，可行性说明有一定的保障，部分满足采购需求，得1分。 4、无提供方案或方案未完全包含包装运输方案、安装调试方案、售后质量保障承诺的，均不得分。</w:t>
            </w:r>
          </w:p>
        </w:tc>
      </w:tr>
      <w:tr>
        <w:tc>
          <w:tcPr>
            <w:tcW w:type="dxa" w:w="922"/>
            <w:gridSpan w:val="2"/>
            <w:vMerge/>
          </w:tcPr>
          <w:p/>
        </w:tc>
        <w:tc>
          <w:tcPr>
            <w:tcW w:type="dxa" w:w="2307"/>
          </w:tcPr>
          <w:p>
            <w:pPr>
              <w:pStyle w:val="null3"/>
              <w:jc w:val="left"/>
            </w:pPr>
            <w:r>
              <w:rPr/>
              <w:t>深化设计效果图 (10.0分)</w:t>
            </w:r>
          </w:p>
        </w:tc>
        <w:tc>
          <w:tcPr>
            <w:tcW w:type="dxa" w:w="5076"/>
          </w:tcPr>
          <w:p>
            <w:pPr>
              <w:pStyle w:val="null3"/>
              <w:jc w:val="left"/>
            </w:pPr>
            <w:r>
              <w:rPr/>
              <w:t>根据投标人针对采购需求要求所提供的对应采购包所采购的不同投口的不锈钢分类亭、厢房式投放点、屏风式围挡的深化设计效果图纸，进行评审： 1、提供的设计图纸符合本项目采购需求要求，构造清晰完整，设备配置内容分布合理，设计风格符合项目实际特点，完全满足且优于采购需求的，得10分； 2、提供的设计图纸较符合本项目采购需求要求，构造较为清晰完整，设备配置内容分布较为合理，设计风格较符合项目实际特点，完全满足采购需求的，得6分； 3、提供的设计图纸部分内容符合本项目采购需求要求，构造不太清晰完整，设备配置内容分布不太合理，设计风格与本项目实际特点有一定的偏离，部分满足采购需求的，得2分； 4、不能提供深化设计图纸或图纸类型不齐全或其他情形均不得分。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根据投标人2021年1月1日至今同类项目业绩（项目内容含同类垃圾分类投放点设施）情况进行评分：每提供一项同类项目业绩得2分，最高得2分。 注：业绩时间以合同签订时间为准。需附上合同关键页（含签订合同双方的单位名称、合同项目名称、合同清单/合同内容、签订合同双方的落款盖章、签订日期的关键页）复印件作为同类业绩评价证明资料。</w:t>
            </w:r>
          </w:p>
        </w:tc>
      </w:tr>
      <w:tr>
        <w:tc>
          <w:tcPr>
            <w:tcW w:type="dxa" w:w="922"/>
            <w:gridSpan w:val="2"/>
            <w:vMerge/>
          </w:tcPr>
          <w:p/>
        </w:tc>
        <w:tc>
          <w:tcPr>
            <w:tcW w:type="dxa" w:w="2307"/>
          </w:tcPr>
          <w:p>
            <w:pPr>
              <w:pStyle w:val="null3"/>
              <w:jc w:val="left"/>
            </w:pPr>
            <w:r>
              <w:rPr/>
              <w:t>项目团队人员要求 (6.0分)</w:t>
            </w:r>
          </w:p>
        </w:tc>
        <w:tc>
          <w:tcPr>
            <w:tcW w:type="dxa" w:w="5076"/>
          </w:tcPr>
          <w:p>
            <w:pPr>
              <w:pStyle w:val="null3"/>
              <w:jc w:val="left"/>
            </w:pPr>
            <w:r>
              <w:rPr/>
              <w:t>在为本项目投入5个团队成员的基础上，每增加一人得2分，本项最高得6分。 注：提供人员清单，同时提供其在投标人单位任职证明材料（如签订的劳动合同或投标截止前半年内任意一个月在对应单位缴纳社保或单价代扣个人所得税证明材料）。</w:t>
            </w:r>
          </w:p>
        </w:tc>
      </w:tr>
      <w:tr>
        <w:tc>
          <w:tcPr>
            <w:tcW w:type="dxa" w:w="922"/>
            <w:gridSpan w:val="2"/>
            <w:vMerge/>
          </w:tcPr>
          <w:p/>
        </w:tc>
        <w:tc>
          <w:tcPr>
            <w:tcW w:type="dxa" w:w="2307"/>
          </w:tcPr>
          <w:p>
            <w:pPr>
              <w:pStyle w:val="null3"/>
              <w:jc w:val="left"/>
            </w:pPr>
            <w:r>
              <w:rPr/>
              <w:t>服务响应时间 (2.0分)</w:t>
            </w:r>
          </w:p>
        </w:tc>
        <w:tc>
          <w:tcPr>
            <w:tcW w:type="dxa" w:w="5076"/>
          </w:tcPr>
          <w:p>
            <w:pPr>
              <w:pStyle w:val="null3"/>
              <w:jc w:val="left"/>
            </w:pPr>
            <w:r>
              <w:rPr/>
              <w:t>根据投标人提供的服务响应时间进行评分： 1.接到采购人服务通知后响应并提供解决方案的时间≤1小时，得2分； 2.1小时＜接到采购人服务通知后响应并提供解决方案的时间≤2小时，得1分； 3.其他或不提供不得分。 注：提供接到采购人服务通知后响应并提供解决方案的响应时间承诺函（格式自拟）加盖投标人公章作为证明材料，无不得分。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价格分应当采用低价优先法计算，即满足招标文件要求且投标价格最低的投标报价为评标基准价，其价格分为满分（最低报价不是中标的唯一依据）。其他投标人的价格分统一按照下列公式计算： 投标报价得分=(评标基准价／投标报价)×价格分 备注： 1、因落实政府采购政策进行价格调整的，以调整后的价格计算评标基准价和投标报价,详见《价格扣除》。 2、投标报价得分四舍五入后，小数点后保留两位有效数。</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采购包3(2025年投放点优化提升（人和、棠景、黄石、新市、嘉禾、同德、景泰）):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对采购需求中带▲号的重要技术参数的符合性 (22.5分)</w:t>
            </w:r>
          </w:p>
        </w:tc>
        <w:tc>
          <w:tcPr>
            <w:tcW w:type="dxa" w:w="5076"/>
          </w:tcPr>
          <w:p>
            <w:pPr>
              <w:pStyle w:val="null3"/>
              <w:jc w:val="left"/>
            </w:pPr>
            <w:r>
              <w:rPr/>
              <w:t>针对投标人对第二章采购需求“七、技术参数及性能要求”中带“▲”重要技术条款满足情况进行评审（共15项），本项最高得22.5分： 每有一项响应为正偏离或无偏离的，该项得1.5分，响应为负偏离的，该项不得分。 注：如果采购需求有要求证明材料的，按照采购需求的要求提供证明材料；若采购需求没有要求证明材料的，提供所投产品的技术白皮书或使用说明书或制造商市场公开的宣传彩页或制造商官网清晰截图或第三方检测机构出具的相关检测报告或加盖制造商公章的技术参数确认函作为技术证明文件，任何一类证明文件应该清晰明确反映相关响应的信息，否则评标委员会有权视相应技术参数响应不满足招标文件要求。</w:t>
            </w:r>
          </w:p>
        </w:tc>
      </w:tr>
      <w:tr>
        <w:tc>
          <w:tcPr>
            <w:tcW w:type="dxa" w:w="922"/>
            <w:gridSpan w:val="2"/>
            <w:vMerge/>
          </w:tcPr>
          <w:p/>
        </w:tc>
        <w:tc>
          <w:tcPr>
            <w:tcW w:type="dxa" w:w="2307"/>
          </w:tcPr>
          <w:p>
            <w:pPr>
              <w:pStyle w:val="null3"/>
              <w:jc w:val="left"/>
            </w:pPr>
            <w:r>
              <w:rPr/>
              <w:t>对采购需求中未带▲号、★号的一般技术参数的符合性 (14.0分)</w:t>
            </w:r>
          </w:p>
        </w:tc>
        <w:tc>
          <w:tcPr>
            <w:tcW w:type="dxa" w:w="5076"/>
          </w:tcPr>
          <w:p>
            <w:pPr>
              <w:pStyle w:val="null3"/>
              <w:jc w:val="left"/>
            </w:pPr>
            <w:r>
              <w:rPr/>
              <w:t>针对投标人对第二章采购需求“七、技术参数及性能要求”中未带“▲”号或“★”号的一般技术参数的响应情况进行评审（共35项，以“（一）不锈钢分类亭”、“（二）厢房式投放点”、“（三）屏风式围挡”下的每个一级序号所包含的一般技术参数分别作为一个评审项，如“3.”、“8.”，不含“（一）不锈钢分类亭”的“1.主立柱及副立柱”），本项最高得14分： 每有一项所包含的一般技术参数均响应为“正偏离”或“符合”或“无偏离”的，该项得0.4分；每有一项所包含的任意一条一般技术参数响应为负偏离的，该项不得分。 备注：如采购需求中有明确要求提供证明材料的，则以采购需求要求的为准；如采购需求中无明确要求证明材料的，则以投标人提供的《技术和服务要求响应表》的响应情况进行评审。</w:t>
            </w:r>
          </w:p>
        </w:tc>
      </w:tr>
      <w:tr>
        <w:tc>
          <w:tcPr>
            <w:tcW w:type="dxa" w:w="922"/>
            <w:gridSpan w:val="2"/>
            <w:vMerge/>
          </w:tcPr>
          <w:p/>
        </w:tc>
        <w:tc>
          <w:tcPr>
            <w:tcW w:type="dxa" w:w="2307"/>
          </w:tcPr>
          <w:p>
            <w:pPr>
              <w:pStyle w:val="null3"/>
              <w:jc w:val="left"/>
            </w:pPr>
            <w:r>
              <w:rPr/>
              <w:t>质量保障措施方案 (8.5分)</w:t>
            </w:r>
          </w:p>
        </w:tc>
        <w:tc>
          <w:tcPr>
            <w:tcW w:type="dxa" w:w="5076"/>
          </w:tcPr>
          <w:p>
            <w:pPr>
              <w:pStyle w:val="null3"/>
              <w:jc w:val="left"/>
            </w:pPr>
            <w:r>
              <w:rPr/>
              <w:t>根据投标人针对采购需求中“(一)包装、保险及发运、保管要求”、“(二)安装、调试与验收”（不含验收要求）、“（三）售后服务要求”（不含响应时间要求）要求所提供的项目质量保障措施方案进行独立评审，方案需至少包含：包装运输方案、安装调试方案、售后质量保障承诺。 1、实施方案包含上述三项内容，包装运输方案、安装调试方案清晰完整，内容详实，售后质量保障承诺有利于保障本项目履约质量，且可行性说明保障强，完全满足且优于采购需求，得8.5分； 2、实施方案包含上述三项内容，包装运输方案、安装调试方案较为清晰完整，售后质量保障承诺较有利于保障本项目履约质量，且可行性说明保障较强，完全满足采购需求，得4分。 3、实施方案包含上述三项内容，包装运输方案、安装调试方案粗略不清晰，售后质量保障承诺难以保障本项目履约质量，可行性说明有一定的保障，部分满足采购需求，得1分。 4、无提供方案或方案未完全包含包装运输方案、安装调试方案、售后质量保障承诺的，均不得分。</w:t>
            </w:r>
          </w:p>
        </w:tc>
      </w:tr>
      <w:tr>
        <w:tc>
          <w:tcPr>
            <w:tcW w:type="dxa" w:w="922"/>
            <w:gridSpan w:val="2"/>
            <w:vMerge/>
          </w:tcPr>
          <w:p/>
        </w:tc>
        <w:tc>
          <w:tcPr>
            <w:tcW w:type="dxa" w:w="2307"/>
          </w:tcPr>
          <w:p>
            <w:pPr>
              <w:pStyle w:val="null3"/>
              <w:jc w:val="left"/>
            </w:pPr>
            <w:r>
              <w:rPr/>
              <w:t>深化设计效果图 (10.0分)</w:t>
            </w:r>
          </w:p>
        </w:tc>
        <w:tc>
          <w:tcPr>
            <w:tcW w:type="dxa" w:w="5076"/>
          </w:tcPr>
          <w:p>
            <w:pPr>
              <w:pStyle w:val="null3"/>
              <w:jc w:val="left"/>
            </w:pPr>
            <w:r>
              <w:rPr/>
              <w:t>根据投标人针对采购需求要求所提供的对应采购包所采购的不同投口的不锈钢分类亭、厢房式投放点、屏风式围挡的深化设计效果图纸，进行评审： 1、提供的设计图纸符合本项目采购需求要求，构造清晰完整，设备配置内容分布合理，设计风格符合项目实际特点，完全满足且优于采购需求的，得10分； 2、提供的设计图纸较符合本项目采购需求要求，构造较为清晰完整，设备配置内容分布较为合理，设计风格较符合项目实际特点，完全满足采购需求的，得6分； 3、提供的设计图纸部分内容符合本项目采购需求要求，构造不太清晰完整，设备配置内容分布不太合理，设计风格与本项目实际特点有一定的偏离，部分满足采购需求的，得2分； 4、不能提供深化设计图纸或图纸类型不齐全或其他情形均不得分。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根据投标人2021年1月1日至今同类项目业绩（项目内容含同类垃圾分类投放点设施）情况进行评分：每提供一项同类项目业绩得2分，最高得2分。 注：业绩时间以合同签订时间为准。需附上合同关键页（含签订合同双方的单位名称、合同项目名称、合同清单/合同内容、签订合同双方的落款盖章、签订日期的关键页）复印件作为同类业绩评价证明资料。</w:t>
            </w:r>
          </w:p>
        </w:tc>
      </w:tr>
      <w:tr>
        <w:tc>
          <w:tcPr>
            <w:tcW w:type="dxa" w:w="922"/>
            <w:gridSpan w:val="2"/>
            <w:vMerge/>
          </w:tcPr>
          <w:p/>
        </w:tc>
        <w:tc>
          <w:tcPr>
            <w:tcW w:type="dxa" w:w="2307"/>
          </w:tcPr>
          <w:p>
            <w:pPr>
              <w:pStyle w:val="null3"/>
              <w:jc w:val="left"/>
            </w:pPr>
            <w:r>
              <w:rPr/>
              <w:t>项目团队人员要求 (6.0分)</w:t>
            </w:r>
          </w:p>
        </w:tc>
        <w:tc>
          <w:tcPr>
            <w:tcW w:type="dxa" w:w="5076"/>
          </w:tcPr>
          <w:p>
            <w:pPr>
              <w:pStyle w:val="null3"/>
              <w:jc w:val="left"/>
            </w:pPr>
            <w:r>
              <w:rPr/>
              <w:t>在为本项目投入5个团队成员的基础上，每增加一人得2分，本项最高得6分。 注：提供人员清单，同时提供其在投标人单位任职证明材料（如签订的劳动合同或投标截止前半年内任意一个月在对应单位缴纳社保或单价代扣个人所得税证明材料）。</w:t>
            </w:r>
          </w:p>
        </w:tc>
      </w:tr>
      <w:tr>
        <w:tc>
          <w:tcPr>
            <w:tcW w:type="dxa" w:w="922"/>
            <w:gridSpan w:val="2"/>
            <w:vMerge/>
          </w:tcPr>
          <w:p/>
        </w:tc>
        <w:tc>
          <w:tcPr>
            <w:tcW w:type="dxa" w:w="2307"/>
          </w:tcPr>
          <w:p>
            <w:pPr>
              <w:pStyle w:val="null3"/>
              <w:jc w:val="left"/>
            </w:pPr>
            <w:r>
              <w:rPr/>
              <w:t>服务响应时间 (2.0分)</w:t>
            </w:r>
          </w:p>
        </w:tc>
        <w:tc>
          <w:tcPr>
            <w:tcW w:type="dxa" w:w="5076"/>
          </w:tcPr>
          <w:p>
            <w:pPr>
              <w:pStyle w:val="null3"/>
              <w:jc w:val="left"/>
            </w:pPr>
            <w:r>
              <w:rPr/>
              <w:t>根据投标人提供的服务响应时间进行评分： 1.接到采购人服务通知后响应并提供解决方案的时间≤1小时，得2分； 2.1小时＜接到采购人服务通知后响应并提供解决方案的时间≤2小时，得1分； 3.其他或不提供不得分。 注：提供接到采购人服务通知后响应并提供解决方案的响应时间承诺函（格式自拟）加盖投标人公章作为证明材料，无不得分。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价格分应当采用低价优先法计算，即满足招标文件要求且投标价格最低的投标报价为评标基准价，其价格分为满分（最低报价不是中标的唯一依据）。其他投标人的价格分统一按照下列公式计算： 投标报价得分=(评标基准价／投标报价)×价格分 备注： 1、因落实政府采购政策进行价格调整的，以调整后的价格计算评标基准价和投标报价,详见《价格扣除》。 2、投标报价得分四舍五入后，小数点后保留两位有效数。</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2025</w:t>
      </w:r>
      <w:r>
        <w:rPr>
          <w:sz w:val="36"/>
          <w:b/>
        </w:rPr>
        <w:t>年投放点优化提升服务政府采购项目合同书</w:t>
      </w:r>
    </w:p>
    <w:p>
      <w:pPr>
        <w:pStyle w:val="null3"/>
      </w:pPr>
      <w:r>
        <w:rPr>
          <w:sz w:val="24"/>
        </w:rPr>
        <w:t>甲</w:t>
      </w:r>
      <w:r>
        <w:rPr>
          <w:sz w:val="24"/>
        </w:rPr>
        <w:t>方(采购人):广州市白云区城市管理和综合执法局</w:t>
      </w:r>
    </w:p>
    <w:p>
      <w:pPr>
        <w:pStyle w:val="null3"/>
        <w:spacing w:before="75" w:after="120"/>
        <w:ind w:left="420" w:right="420" w:firstLine="22"/>
        <w:jc w:val="both"/>
      </w:pPr>
      <w:r>
        <w:rPr>
          <w:sz w:val="24"/>
        </w:rPr>
        <w:t>电 话</w:t>
      </w:r>
      <w:r>
        <w:rPr>
          <w:sz w:val="21"/>
        </w:rPr>
        <w:t xml:space="preserve"> </w:t>
      </w:r>
      <w:r>
        <w:rPr>
          <w:sz w:val="24"/>
        </w:rPr>
        <w:t>：</w:t>
      </w:r>
      <w:r>
        <w:rPr>
          <w:sz w:val="21"/>
        </w:rPr>
        <w:t xml:space="preserve">                      </w:t>
      </w:r>
      <w:r>
        <w:rPr>
          <w:sz w:val="24"/>
        </w:rPr>
        <w:t>传</w:t>
      </w:r>
      <w:r>
        <w:rPr>
          <w:sz w:val="21"/>
        </w:rPr>
        <w:t xml:space="preserve"> </w:t>
      </w:r>
      <w:r>
        <w:rPr>
          <w:sz w:val="24"/>
        </w:rPr>
        <w:t>真</w:t>
      </w:r>
      <w:r>
        <w:rPr>
          <w:sz w:val="21"/>
        </w:rPr>
        <w:t xml:space="preserve"> </w:t>
      </w:r>
      <w:r>
        <w:rPr>
          <w:sz w:val="24"/>
        </w:rPr>
        <w:t>：</w:t>
      </w:r>
    </w:p>
    <w:p>
      <w:pPr>
        <w:pStyle w:val="null3"/>
        <w:spacing w:before="45" w:after="120"/>
        <w:ind w:left="420" w:right="420" w:firstLine="26"/>
        <w:jc w:val="both"/>
      </w:pPr>
      <w:r>
        <w:rPr>
          <w:sz w:val="24"/>
        </w:rPr>
        <w:t>地址：广州市白云区黄石东路323号白云交通大楼</w:t>
      </w:r>
    </w:p>
    <w:p>
      <w:pPr>
        <w:pStyle w:val="null3"/>
        <w:ind w:left="420" w:firstLine="24"/>
      </w:pPr>
      <w:r>
        <w:rPr>
          <w:sz w:val="24"/>
        </w:rPr>
        <w:t>乙</w:t>
      </w:r>
      <w:r>
        <w:rPr>
          <w:sz w:val="24"/>
        </w:rPr>
        <w:t>方(供应商)</w:t>
      </w:r>
      <w:r>
        <w:rPr>
          <w:sz w:val="24"/>
        </w:rPr>
        <w:t>:</w:t>
      </w:r>
    </w:p>
    <w:p>
      <w:pPr>
        <w:pStyle w:val="null3"/>
        <w:spacing w:before="75" w:after="120"/>
        <w:ind w:left="420" w:right="420" w:firstLine="22"/>
        <w:jc w:val="both"/>
      </w:pPr>
      <w:r>
        <w:rPr>
          <w:sz w:val="24"/>
        </w:rPr>
        <w:t>电 话</w:t>
      </w:r>
      <w:r>
        <w:rPr>
          <w:sz w:val="21"/>
        </w:rPr>
        <w:t xml:space="preserve"> </w:t>
      </w:r>
      <w:r>
        <w:rPr>
          <w:sz w:val="24"/>
        </w:rPr>
        <w:t>：</w:t>
      </w:r>
      <w:r>
        <w:rPr>
          <w:sz w:val="21"/>
        </w:rPr>
        <w:t xml:space="preserve">                      </w:t>
      </w:r>
      <w:r>
        <w:rPr>
          <w:sz w:val="24"/>
        </w:rPr>
        <w:t>传</w:t>
      </w:r>
      <w:r>
        <w:rPr>
          <w:sz w:val="21"/>
        </w:rPr>
        <w:t xml:space="preserve"> </w:t>
      </w:r>
      <w:r>
        <w:rPr>
          <w:sz w:val="24"/>
        </w:rPr>
        <w:t>真</w:t>
      </w:r>
      <w:r>
        <w:rPr>
          <w:sz w:val="21"/>
        </w:rPr>
        <w:t xml:space="preserve"> </w:t>
      </w:r>
      <w:r>
        <w:rPr>
          <w:sz w:val="24"/>
        </w:rPr>
        <w:t>：</w:t>
      </w:r>
    </w:p>
    <w:p>
      <w:pPr>
        <w:pStyle w:val="null3"/>
        <w:spacing w:before="60" w:after="120"/>
        <w:ind w:left="420" w:firstLine="27"/>
        <w:jc w:val="both"/>
      </w:pPr>
      <w:r>
        <w:rPr>
          <w:sz w:val="24"/>
        </w:rPr>
        <w:t>地址：</w:t>
      </w:r>
    </w:p>
    <w:p>
      <w:pPr>
        <w:pStyle w:val="null3"/>
        <w:ind w:left="420" w:firstLine="24"/>
      </w:pPr>
      <w:r>
        <w:rPr>
          <w:sz w:val="24"/>
        </w:rPr>
        <w:t>项目名称：</w:t>
      </w:r>
      <w:r>
        <w:rPr>
          <w:sz w:val="24"/>
          <w:u w:val="single"/>
        </w:rPr>
        <w:t>2025年投放点优化提升服务政府采购项目</w:t>
      </w:r>
    </w:p>
    <w:p>
      <w:pPr>
        <w:pStyle w:val="null3"/>
        <w:spacing w:before="75" w:after="120"/>
        <w:ind w:left="420" w:right="1125" w:firstLine="23"/>
        <w:jc w:val="both"/>
      </w:pPr>
      <w:r>
        <w:rPr>
          <w:sz w:val="24"/>
        </w:rPr>
        <w:t>项目编号：</w:t>
      </w:r>
      <w:r>
        <w:rPr>
          <w:sz w:val="24"/>
          <w:u w:val="single"/>
        </w:rPr>
        <w:t>CLF0125GZ00ZC50</w:t>
      </w:r>
    </w:p>
    <w:p>
      <w:pPr>
        <w:pStyle w:val="null3"/>
        <w:spacing w:before="30" w:after="120"/>
        <w:ind w:left="420" w:right="1200" w:firstLine="21"/>
        <w:jc w:val="both"/>
      </w:pPr>
      <w:r>
        <w:rPr>
          <w:sz w:val="24"/>
        </w:rPr>
        <w:t>根据</w:t>
      </w:r>
      <w:r>
        <w:rPr>
          <w:sz w:val="24"/>
        </w:rPr>
        <w:t>《中华人民共和国民法典》及有关法律、法规的规定，经双方协商，本着平等</w:t>
      </w:r>
      <w:r>
        <w:rPr>
          <w:sz w:val="24"/>
        </w:rPr>
        <w:t>互利和诚实信用的原</w:t>
      </w:r>
      <w:r>
        <w:rPr>
          <w:sz w:val="24"/>
        </w:rPr>
        <w:t>则，一致同意签订本合同如下。</w:t>
      </w:r>
    </w:p>
    <w:p>
      <w:pPr>
        <w:pStyle w:val="null3"/>
        <w:ind w:left="420" w:firstLine="24"/>
      </w:pPr>
      <w:r>
        <w:rPr>
          <w:sz w:val="24"/>
          <w:b/>
        </w:rPr>
        <w:t>一</w:t>
      </w:r>
      <w:r>
        <w:rPr>
          <w:sz w:val="24"/>
          <w:b/>
        </w:rPr>
        <w:t>、合同金额</w:t>
      </w:r>
    </w:p>
    <w:p>
      <w:pPr>
        <w:pStyle w:val="null3"/>
        <w:spacing w:before="75" w:after="120"/>
        <w:ind w:left="420" w:firstLine="521"/>
        <w:jc w:val="both"/>
      </w:pPr>
      <w:r>
        <w:rPr>
          <w:sz w:val="24"/>
        </w:rPr>
        <w:t>合同金额为(大写)</w:t>
      </w:r>
      <w:r>
        <w:rPr>
          <w:sz w:val="24"/>
        </w:rPr>
        <w:t>:</w:t>
      </w:r>
      <w:r>
        <w:rPr>
          <w:sz w:val="24"/>
        </w:rPr>
        <w:t>人民币</w:t>
      </w:r>
      <w:r>
        <w:rPr>
          <w:sz w:val="24"/>
          <w:u w:val="single"/>
        </w:rPr>
        <w:t xml:space="preserve">     </w:t>
      </w:r>
      <w:r>
        <w:rPr>
          <w:sz w:val="24"/>
        </w:rPr>
        <w:t xml:space="preserve"> ( </w:t>
      </w:r>
      <w:r>
        <w:rPr>
          <w:sz w:val="24"/>
          <w:u w:val="single"/>
        </w:rPr>
        <w:t xml:space="preserve">¥   </w:t>
      </w:r>
      <w:r>
        <w:rPr>
          <w:sz w:val="24"/>
        </w:rPr>
        <w:t>元)，前述金额包含乙方为履行本合同产生的税费、材料费、运输费、劳务费、利润等，甲方无需另行支付任何费用。</w:t>
      </w:r>
    </w:p>
    <w:p>
      <w:pPr>
        <w:pStyle w:val="null3"/>
        <w:spacing w:before="270" w:after="120"/>
        <w:ind w:left="420" w:firstLine="26"/>
        <w:jc w:val="both"/>
      </w:pPr>
      <w:r>
        <w:rPr>
          <w:sz w:val="24"/>
          <w:b/>
        </w:rPr>
        <w:t>二、合同内容</w:t>
      </w:r>
    </w:p>
    <w:p>
      <w:pPr>
        <w:pStyle w:val="null3"/>
        <w:ind w:firstLine="672"/>
      </w:pPr>
      <w:r>
        <w:rPr>
          <w:sz w:val="24"/>
          <w:color w:val="000000"/>
        </w:rPr>
        <w:t>1</w:t>
      </w:r>
      <w:r>
        <w:rPr>
          <w:sz w:val="24"/>
          <w:color w:val="000000"/>
        </w:rPr>
        <w:t>、</w:t>
      </w:r>
      <w:r>
        <w:rPr>
          <w:sz w:val="24"/>
          <w:color w:val="000000"/>
        </w:rPr>
        <w:t>甲方向乙方采购：4投口厢房式投放点</w:t>
      </w:r>
      <w:r>
        <w:rPr>
          <w:sz w:val="24"/>
          <w:color w:val="000000"/>
          <w:u w:val="single"/>
        </w:rPr>
        <w:t xml:space="preserve">   </w:t>
      </w:r>
      <w:r>
        <w:rPr>
          <w:sz w:val="24"/>
          <w:color w:val="000000"/>
        </w:rPr>
        <w:t>个，6投口厢房式投放点</w:t>
      </w:r>
      <w:r>
        <w:rPr>
          <w:sz w:val="24"/>
          <w:color w:val="000000"/>
          <w:u w:val="single"/>
        </w:rPr>
        <w:t xml:space="preserve">   </w:t>
      </w:r>
      <w:r>
        <w:rPr>
          <w:sz w:val="24"/>
          <w:color w:val="000000"/>
        </w:rPr>
        <w:t>个，8投口厢房式投放点</w:t>
      </w:r>
      <w:r>
        <w:rPr>
          <w:sz w:val="24"/>
          <w:color w:val="000000"/>
          <w:u w:val="single"/>
        </w:rPr>
        <w:t xml:space="preserve">   </w:t>
      </w:r>
      <w:r>
        <w:rPr>
          <w:sz w:val="24"/>
          <w:color w:val="000000"/>
        </w:rPr>
        <w:t>个，4投口不锈钢分类亭</w:t>
      </w:r>
      <w:r>
        <w:rPr>
          <w:sz w:val="24"/>
          <w:color w:val="000000"/>
          <w:u w:val="single"/>
        </w:rPr>
        <w:t xml:space="preserve">   </w:t>
      </w:r>
      <w:r>
        <w:rPr>
          <w:sz w:val="24"/>
          <w:color w:val="000000"/>
        </w:rPr>
        <w:t>个，6投口不锈钢分类亭</w:t>
      </w:r>
      <w:r>
        <w:rPr>
          <w:sz w:val="24"/>
          <w:color w:val="000000"/>
          <w:u w:val="single"/>
        </w:rPr>
        <w:t xml:space="preserve">   </w:t>
      </w:r>
      <w:r>
        <w:rPr>
          <w:sz w:val="24"/>
          <w:color w:val="000000"/>
        </w:rPr>
        <w:t>个，8投口不锈钢分类亭</w:t>
      </w:r>
      <w:r>
        <w:rPr>
          <w:sz w:val="24"/>
          <w:color w:val="000000"/>
          <w:u w:val="single"/>
        </w:rPr>
        <w:t xml:space="preserve">   </w:t>
      </w:r>
      <w:r>
        <w:rPr>
          <w:sz w:val="24"/>
          <w:color w:val="000000"/>
        </w:rPr>
        <w:t>个，</w:t>
      </w:r>
      <w:r>
        <w:rPr>
          <w:sz w:val="24"/>
          <w:color w:val="000000"/>
        </w:rPr>
        <w:t>4</w:t>
      </w:r>
      <w:r>
        <w:rPr>
          <w:sz w:val="24"/>
          <w:color w:val="000000"/>
        </w:rPr>
        <w:t>投口屏风</w:t>
      </w:r>
      <w:r>
        <w:rPr>
          <w:sz w:val="21"/>
          <w:color w:val="000000"/>
          <w:u w:val="single"/>
        </w:rPr>
        <w:t xml:space="preserve">   </w:t>
      </w:r>
      <w:r>
        <w:rPr>
          <w:sz w:val="24"/>
          <w:color w:val="000000"/>
        </w:rPr>
        <w:t>个，</w:t>
      </w:r>
      <w:r>
        <w:rPr>
          <w:sz w:val="24"/>
          <w:color w:val="000000"/>
        </w:rPr>
        <w:t>6</w:t>
      </w:r>
      <w:r>
        <w:rPr>
          <w:sz w:val="24"/>
          <w:color w:val="000000"/>
        </w:rPr>
        <w:t>投口屏风</w:t>
      </w:r>
      <w:r>
        <w:rPr>
          <w:sz w:val="21"/>
          <w:color w:val="000000"/>
          <w:u w:val="single"/>
        </w:rPr>
        <w:t xml:space="preserve">   </w:t>
      </w:r>
      <w:r>
        <w:rPr>
          <w:sz w:val="24"/>
          <w:color w:val="000000"/>
        </w:rPr>
        <w:t>个</w:t>
      </w:r>
      <w:r>
        <w:rPr>
          <w:sz w:val="24"/>
          <w:color w:val="000000"/>
        </w:rPr>
        <w:t>，8投口屏风</w:t>
      </w:r>
      <w:r>
        <w:rPr>
          <w:sz w:val="21"/>
          <w:color w:val="000000"/>
          <w:u w:val="single"/>
        </w:rPr>
        <w:t xml:space="preserve">   </w:t>
      </w:r>
      <w:r>
        <w:rPr>
          <w:sz w:val="24"/>
          <w:color w:val="000000"/>
        </w:rPr>
        <w:t>个</w:t>
      </w:r>
      <w:r>
        <w:rPr>
          <w:sz w:val="24"/>
          <w:color w:val="000000"/>
        </w:rPr>
        <w:t>，配套改造维修等相关服务1项。</w:t>
      </w:r>
      <w:r>
        <w:rPr>
          <w:sz w:val="24"/>
          <w:color w:val="000000"/>
        </w:rPr>
        <w:t>具体规格要求以甲方要求为准。并由乙方按照甲方的要求进行安装。</w:t>
      </w:r>
    </w:p>
    <w:p>
      <w:pPr>
        <w:pStyle w:val="null3"/>
        <w:ind w:firstLine="480"/>
      </w:pPr>
      <w:r>
        <w:rPr>
          <w:sz w:val="24"/>
          <w:color w:val="000000"/>
        </w:rPr>
        <w:t>2</w:t>
      </w:r>
      <w:r>
        <w:rPr>
          <w:sz w:val="24"/>
          <w:color w:val="000000"/>
        </w:rPr>
        <w:t>、交货方式：乙方运输至广州市内甲方指定交货地点，并由乙方按照合同约定负责对货物进行安装、调试，乙方应在交货前3个工作日通知甲方，协商确定现场验收时间。</w:t>
      </w:r>
    </w:p>
    <w:p>
      <w:pPr>
        <w:pStyle w:val="null3"/>
        <w:ind w:firstLine="480"/>
      </w:pPr>
      <w:r>
        <w:rPr>
          <w:sz w:val="24"/>
          <w:color w:val="000000"/>
        </w:rPr>
        <w:t>3</w:t>
      </w:r>
      <w:r>
        <w:rPr>
          <w:sz w:val="24"/>
          <w:color w:val="000000"/>
        </w:rPr>
        <w:t>、验收要求：</w:t>
      </w:r>
    </w:p>
    <w:p>
      <w:pPr>
        <w:pStyle w:val="null3"/>
        <w:ind w:firstLine="480"/>
      </w:pPr>
      <w:r>
        <w:rPr>
          <w:sz w:val="24"/>
          <w:color w:val="000000"/>
        </w:rPr>
        <w:t>（1）产品为全新原厂正品；产品数量与本合同或经双方确认的采购数量一致；产品表面无划痕或损坏；产品颜色统一无明显差别；产品结构稳固及附随产品合格证、保修单/卡、使用说明书齐全，附件齐全，符合甲方要求并满足正常使用功能。</w:t>
      </w:r>
    </w:p>
    <w:p>
      <w:pPr>
        <w:pStyle w:val="null3"/>
        <w:ind w:firstLine="480"/>
      </w:pPr>
      <w:r>
        <w:rPr>
          <w:sz w:val="24"/>
          <w:color w:val="000000"/>
        </w:rPr>
        <w:t>（2）验收依据或标准：甲方组成验收小组按国家有关规定、规范在收到乙方验收申请后7日内进行验收，货物若有国家标准按照国家标准验收，若无国家标准按地方、行业标准验收。必要时邀请相关的专业人员或机构参与验收。因货物质量问题发生争议时，由本地质量技术监督部门</w:t>
      </w:r>
      <w:r>
        <w:rPr>
          <w:sz w:val="24"/>
          <w:color w:val="000000"/>
        </w:rPr>
        <w:t>鉴定。货物符合质量技术标准的，鉴定费由甲方承担；否则鉴定费由乙方承担。</w:t>
      </w:r>
    </w:p>
    <w:p>
      <w:pPr>
        <w:pStyle w:val="null3"/>
        <w:ind w:firstLine="480"/>
      </w:pPr>
      <w:r>
        <w:rPr>
          <w:sz w:val="24"/>
          <w:color w:val="000000"/>
        </w:rPr>
        <w:t>4</w:t>
      </w:r>
      <w:r>
        <w:rPr>
          <w:sz w:val="24"/>
          <w:color w:val="000000"/>
        </w:rPr>
        <w:t>、质量保证：</w:t>
      </w:r>
    </w:p>
    <w:p>
      <w:pPr>
        <w:pStyle w:val="null3"/>
        <w:ind w:firstLine="480"/>
      </w:pPr>
      <w:r>
        <w:rPr>
          <w:sz w:val="24"/>
          <w:color w:val="000000"/>
        </w:rPr>
        <w:t>（1）质量保证期限：货物从验收合格之日起质保期1年。</w:t>
      </w:r>
    </w:p>
    <w:p>
      <w:pPr>
        <w:pStyle w:val="null3"/>
        <w:ind w:firstLine="480"/>
      </w:pPr>
      <w:r>
        <w:rPr>
          <w:sz w:val="24"/>
          <w:color w:val="000000"/>
        </w:rPr>
        <w:t>（2）质保期内如货物非因甲方的人为原因而出现的质量问题由乙方负责包修、包换，并承担修理、调换的实际费用。</w:t>
      </w:r>
      <w:r>
        <w:rPr>
          <w:sz w:val="24"/>
          <w:color w:val="000000"/>
        </w:rPr>
        <w:t>在质量保证期内发生的质量问题，乙方应在</w:t>
      </w:r>
      <w:r>
        <w:rPr>
          <w:sz w:val="24"/>
          <w:color w:val="000000"/>
          <w:u w:val="single"/>
        </w:rPr>
        <w:t xml:space="preserve">   </w:t>
      </w:r>
      <w:r>
        <w:rPr>
          <w:sz w:val="24"/>
          <w:color w:val="000000"/>
        </w:rPr>
        <w:t>个小时内到达现场并提供解决方案，</w:t>
      </w:r>
      <w:r>
        <w:rPr>
          <w:sz w:val="24"/>
          <w:color w:val="000000"/>
          <w:u w:val="single"/>
        </w:rPr>
        <w:t xml:space="preserve">   </w:t>
      </w:r>
      <w:r>
        <w:rPr>
          <w:sz w:val="24"/>
          <w:color w:val="000000"/>
        </w:rPr>
        <w:t>个小时内解决问题。</w:t>
      </w:r>
    </w:p>
    <w:p>
      <w:pPr>
        <w:pStyle w:val="null3"/>
        <w:ind w:firstLine="480"/>
      </w:pPr>
      <w:r>
        <w:rPr>
          <w:sz w:val="24"/>
          <w:color w:val="000000"/>
        </w:rPr>
        <w:t>（3）保修服务方式均为乙方上门保修，即由乙方到货物使用现场维修。由此产生的一切费用均包含在本合同金额中。</w:t>
      </w:r>
    </w:p>
    <w:p>
      <w:pPr>
        <w:pStyle w:val="null3"/>
        <w:spacing w:before="75" w:after="120"/>
        <w:ind w:left="420" w:firstLine="22"/>
        <w:jc w:val="both"/>
      </w:pPr>
      <w:r>
        <w:rPr>
          <w:sz w:val="24"/>
          <w:b/>
        </w:rPr>
        <w:t>三</w:t>
      </w:r>
      <w:r>
        <w:rPr>
          <w:sz w:val="24"/>
          <w:b/>
        </w:rPr>
        <w:t>、项目完成期限</w:t>
      </w:r>
    </w:p>
    <w:p>
      <w:pPr>
        <w:pStyle w:val="null3"/>
        <w:spacing w:before="75" w:after="120"/>
        <w:ind w:firstLine="500"/>
        <w:jc w:val="both"/>
      </w:pPr>
      <w:r>
        <w:rPr>
          <w:sz w:val="24"/>
        </w:rPr>
        <w:t>自合同签订之日起60个日历天内交货。如遇不可抗力等突发情况及疫情因素影响，经双方协商一致后可按实际情</w:t>
      </w:r>
      <w:r>
        <w:rPr>
          <w:sz w:val="24"/>
        </w:rPr>
        <w:t>况进行</w:t>
      </w:r>
      <w:r>
        <w:rPr>
          <w:sz w:val="24"/>
        </w:rPr>
        <w:t>顺延。</w:t>
      </w:r>
    </w:p>
    <w:p>
      <w:pPr>
        <w:pStyle w:val="null3"/>
        <w:spacing w:before="135" w:after="120"/>
        <w:ind w:left="420" w:firstLine="21"/>
        <w:jc w:val="both"/>
      </w:pPr>
      <w:r>
        <w:rPr>
          <w:sz w:val="24"/>
          <w:b/>
        </w:rPr>
        <w:t>四</w:t>
      </w:r>
      <w:r>
        <w:rPr>
          <w:sz w:val="24"/>
          <w:b/>
        </w:rPr>
        <w:t>、付款方式与履约保证金</w:t>
      </w:r>
    </w:p>
    <w:p>
      <w:pPr>
        <w:pStyle w:val="null3"/>
        <w:spacing w:before="60" w:after="120"/>
        <w:ind w:firstLine="540"/>
        <w:jc w:val="both"/>
      </w:pPr>
      <w:r>
        <w:rPr>
          <w:sz w:val="24"/>
        </w:rPr>
        <w:t>（一）付款方式：</w:t>
      </w:r>
    </w:p>
    <w:p>
      <w:pPr>
        <w:pStyle w:val="null3"/>
        <w:spacing w:before="60" w:after="120"/>
        <w:ind w:firstLine="540"/>
        <w:jc w:val="both"/>
      </w:pPr>
      <w:r>
        <w:rPr>
          <w:sz w:val="24"/>
        </w:rPr>
        <w:t>1.</w:t>
      </w:r>
      <w:r>
        <w:rPr>
          <w:sz w:val="24"/>
        </w:rPr>
        <w:t>合同签订</w:t>
      </w:r>
      <w:r>
        <w:rPr>
          <w:sz w:val="24"/>
        </w:rPr>
        <w:t>且收到发票</w:t>
      </w:r>
      <w:r>
        <w:rPr>
          <w:sz w:val="24"/>
        </w:rPr>
        <w:t>后7个工作日内</w:t>
      </w:r>
      <w:r>
        <w:rPr>
          <w:sz w:val="24"/>
        </w:rPr>
        <w:t>（如是与中小企业签订合同的，合同签订且收到发票后5个工作日内）</w:t>
      </w:r>
      <w:r>
        <w:rPr>
          <w:sz w:val="24"/>
        </w:rPr>
        <w:t>，甲方向乙方支付70%预</w:t>
      </w:r>
      <w:r>
        <w:rPr>
          <w:sz w:val="24"/>
        </w:rPr>
        <w:t>付款：</w:t>
      </w:r>
      <w:r>
        <w:rPr>
          <w:sz w:val="24"/>
        </w:rPr>
        <w:t xml:space="preserve">(¥   </w:t>
      </w:r>
      <w:r>
        <w:rPr>
          <w:sz w:val="24"/>
        </w:rPr>
        <w:t>元，大写：   元)</w:t>
      </w:r>
    </w:p>
    <w:p>
      <w:pPr>
        <w:pStyle w:val="null3"/>
        <w:spacing w:before="300" w:after="120"/>
        <w:ind w:firstLine="512"/>
        <w:jc w:val="both"/>
      </w:pPr>
      <w:r>
        <w:rPr>
          <w:sz w:val="24"/>
        </w:rPr>
        <w:t>2.</w:t>
      </w:r>
      <w:r>
        <w:rPr>
          <w:sz w:val="24"/>
        </w:rPr>
        <w:t>安装调试完毕且验收合格</w:t>
      </w:r>
      <w:r>
        <w:rPr>
          <w:sz w:val="24"/>
        </w:rPr>
        <w:t>，收到发票</w:t>
      </w:r>
      <w:r>
        <w:rPr>
          <w:sz w:val="24"/>
        </w:rPr>
        <w:t>后10个工作日内，甲方向乙方支付合同剩余款项(¥   元，大</w:t>
      </w:r>
      <w:r>
        <w:rPr>
          <w:sz w:val="24"/>
        </w:rPr>
        <w:t>写：   元)。</w:t>
      </w:r>
    </w:p>
    <w:p>
      <w:pPr>
        <w:pStyle w:val="null3"/>
        <w:spacing w:before="255" w:after="120"/>
        <w:ind w:firstLine="472"/>
        <w:jc w:val="both"/>
      </w:pPr>
      <w:r>
        <w:rPr>
          <w:sz w:val="24"/>
        </w:rPr>
        <w:t>3.</w:t>
      </w:r>
      <w:r>
        <w:rPr>
          <w:sz w:val="24"/>
        </w:rPr>
        <w:t>乙方凭以下有效文件与甲方结算：</w:t>
      </w:r>
    </w:p>
    <w:p>
      <w:pPr>
        <w:pStyle w:val="null3"/>
        <w:spacing w:before="255" w:after="120"/>
        <w:ind w:firstLine="536"/>
        <w:jc w:val="both"/>
      </w:pPr>
      <w:r>
        <w:rPr>
          <w:sz w:val="24"/>
        </w:rPr>
        <w:t>(1)</w:t>
      </w:r>
      <w:r>
        <w:rPr>
          <w:sz w:val="24"/>
        </w:rPr>
        <w:t>合</w:t>
      </w:r>
      <w:r>
        <w:rPr>
          <w:sz w:val="24"/>
        </w:rPr>
        <w:t>同</w:t>
      </w:r>
      <w:r>
        <w:rPr>
          <w:sz w:val="24"/>
        </w:rPr>
        <w:t>；</w:t>
      </w:r>
    </w:p>
    <w:p>
      <w:pPr>
        <w:pStyle w:val="null3"/>
        <w:spacing w:before="60" w:after="120"/>
        <w:ind w:firstLine="536"/>
        <w:jc w:val="both"/>
      </w:pPr>
      <w:r>
        <w:rPr>
          <w:sz w:val="24"/>
        </w:rPr>
        <w:t>(2)</w:t>
      </w:r>
      <w:r>
        <w:rPr>
          <w:sz w:val="24"/>
        </w:rPr>
        <w:t>乙方开具的合法等额有效发票；</w:t>
      </w:r>
    </w:p>
    <w:p>
      <w:pPr>
        <w:pStyle w:val="null3"/>
        <w:spacing w:before="75" w:after="120"/>
        <w:ind w:firstLine="520"/>
        <w:jc w:val="both"/>
      </w:pPr>
      <w:r>
        <w:rPr>
          <w:sz w:val="24"/>
        </w:rPr>
        <w:t>(3)</w:t>
      </w:r>
      <w:r>
        <w:rPr>
          <w:sz w:val="24"/>
        </w:rPr>
        <w:t>验收报告(加盖甲乙双方公章，报告内容包括每个点位具体的配套设施说明及建设标准</w:t>
      </w:r>
      <w:r>
        <w:rPr>
          <w:sz w:val="24"/>
        </w:rPr>
        <w:t>等);</w:t>
      </w:r>
    </w:p>
    <w:p>
      <w:pPr>
        <w:pStyle w:val="null3"/>
        <w:spacing w:before="75" w:after="120"/>
        <w:ind w:firstLine="536"/>
        <w:jc w:val="both"/>
      </w:pPr>
      <w:r>
        <w:rPr>
          <w:sz w:val="24"/>
        </w:rPr>
        <w:t>(4)</w:t>
      </w:r>
      <w:r>
        <w:rPr>
          <w:sz w:val="24"/>
        </w:rPr>
        <w:t>中标通知书</w:t>
      </w:r>
    </w:p>
    <w:p>
      <w:pPr>
        <w:pStyle w:val="null3"/>
        <w:spacing w:before="75" w:after="120"/>
        <w:ind w:firstLine="628"/>
        <w:jc w:val="both"/>
      </w:pPr>
      <w:r>
        <w:rPr>
          <w:sz w:val="24"/>
        </w:rPr>
        <w:t>4.</w:t>
      </w:r>
      <w:r>
        <w:rPr>
          <w:sz w:val="24"/>
        </w:rPr>
        <w:t>付款方式：采用支票、银行汇票、电汇等形式。</w:t>
      </w:r>
    </w:p>
    <w:p>
      <w:pPr>
        <w:pStyle w:val="null3"/>
        <w:spacing w:before="75" w:after="120"/>
        <w:ind w:firstLine="628"/>
        <w:jc w:val="both"/>
      </w:pPr>
      <w:r>
        <w:rPr>
          <w:sz w:val="24"/>
        </w:rPr>
        <w:t>5.</w:t>
      </w:r>
      <w:r>
        <w:rPr>
          <w:sz w:val="24"/>
        </w:rPr>
        <w:t>因甲方使用的是财政资金，甲方在前款规定的付款时间为向政府财政支付部门提出办理财政支付申请手续的时间（不含政府财政支付部门审核的时间），如因办理财政支付手续所需时间导致的延误，不视为甲方逾期，甲方无需承担相关责任。</w:t>
      </w:r>
    </w:p>
    <w:p>
      <w:pPr>
        <w:pStyle w:val="null3"/>
        <w:spacing w:before="75" w:after="120"/>
        <w:ind w:firstLine="628"/>
        <w:jc w:val="both"/>
      </w:pPr>
      <w:r>
        <w:rPr>
          <w:sz w:val="24"/>
        </w:rPr>
        <w:t>6.</w:t>
      </w:r>
      <w:r>
        <w:rPr>
          <w:sz w:val="24"/>
        </w:rPr>
        <w:t>乙方应在甲方付款前提供合法等额有效发票，乙方逾期提供发票的，甲方有权顺延付款期限且不视为违约。</w:t>
      </w:r>
    </w:p>
    <w:p>
      <w:pPr>
        <w:pStyle w:val="null3"/>
        <w:spacing w:before="75" w:after="120"/>
        <w:ind w:firstLine="628"/>
        <w:jc w:val="both"/>
      </w:pPr>
      <w:r>
        <w:rPr>
          <w:sz w:val="24"/>
        </w:rPr>
        <w:t>（二）履约保证金：</w:t>
      </w:r>
    </w:p>
    <w:p>
      <w:pPr>
        <w:pStyle w:val="null3"/>
        <w:spacing w:before="75" w:after="120"/>
        <w:ind w:firstLine="628"/>
        <w:jc w:val="both"/>
      </w:pPr>
      <w:r>
        <w:rPr>
          <w:sz w:val="24"/>
        </w:rPr>
        <w:t>收取比例：合同金额的5%,说明：</w:t>
      </w:r>
    </w:p>
    <w:p>
      <w:pPr>
        <w:pStyle w:val="null3"/>
        <w:spacing w:before="75" w:after="120"/>
        <w:ind w:firstLine="628"/>
        <w:jc w:val="both"/>
      </w:pPr>
      <w:r>
        <w:rPr>
          <w:sz w:val="24"/>
        </w:rPr>
        <w:t>1</w:t>
      </w:r>
      <w:r>
        <w:rPr>
          <w:sz w:val="24"/>
        </w:rPr>
        <w:t>、提交说明：</w:t>
      </w:r>
    </w:p>
    <w:p>
      <w:pPr>
        <w:pStyle w:val="null3"/>
        <w:spacing w:before="75" w:after="120"/>
        <w:ind w:firstLine="628"/>
        <w:jc w:val="both"/>
      </w:pPr>
      <w:r>
        <w:rPr>
          <w:sz w:val="24"/>
        </w:rPr>
        <w:t>(1)</w:t>
      </w:r>
      <w:r>
        <w:rPr>
          <w:sz w:val="24"/>
        </w:rPr>
        <w:t>时间：合同签订前；</w:t>
      </w:r>
    </w:p>
    <w:p>
      <w:pPr>
        <w:pStyle w:val="null3"/>
        <w:spacing w:before="75" w:after="120"/>
        <w:ind w:firstLine="628"/>
        <w:jc w:val="both"/>
      </w:pPr>
      <w:r>
        <w:rPr>
          <w:sz w:val="24"/>
        </w:rPr>
        <w:t>(2)</w:t>
      </w:r>
      <w:r>
        <w:rPr>
          <w:sz w:val="24"/>
        </w:rPr>
        <w:t>方式：转账、支票、汇票、本票、保函等非现金形式。</w:t>
      </w:r>
    </w:p>
    <w:p>
      <w:pPr>
        <w:pStyle w:val="null3"/>
        <w:spacing w:before="75" w:after="120"/>
        <w:ind w:firstLine="628"/>
        <w:jc w:val="both"/>
      </w:pPr>
      <w:r>
        <w:rPr>
          <w:sz w:val="24"/>
        </w:rPr>
        <w:t>2</w:t>
      </w:r>
      <w:r>
        <w:rPr>
          <w:sz w:val="24"/>
        </w:rPr>
        <w:t>、退还说明：</w:t>
      </w:r>
    </w:p>
    <w:p>
      <w:pPr>
        <w:pStyle w:val="null3"/>
        <w:spacing w:before="75" w:after="120"/>
        <w:ind w:firstLine="628"/>
        <w:jc w:val="both"/>
      </w:pPr>
      <w:r>
        <w:rPr>
          <w:sz w:val="24"/>
        </w:rPr>
        <w:t>(1)</w:t>
      </w:r>
      <w:r>
        <w:rPr>
          <w:sz w:val="24"/>
        </w:rPr>
        <w:t>时间、方式和条件：乙方履行完成合同约定权利义务事项在合同期满之日起30个工作日内退还或在合同期满之日起30个工作日内失效。不计利息。</w:t>
      </w:r>
    </w:p>
    <w:p>
      <w:pPr>
        <w:pStyle w:val="null3"/>
        <w:spacing w:before="75" w:after="120"/>
        <w:ind w:firstLine="628"/>
        <w:jc w:val="both"/>
      </w:pPr>
      <w:r>
        <w:rPr>
          <w:sz w:val="24"/>
        </w:rPr>
        <w:t>(2)</w:t>
      </w:r>
      <w:r>
        <w:rPr>
          <w:sz w:val="24"/>
        </w:rPr>
        <w:t>违约责任：甲方逾期退还履约保证金的，除应当退还履约保证金本金外，还应当每日按履约保证金的</w:t>
      </w:r>
      <w:r>
        <w:rPr>
          <w:sz w:val="24"/>
        </w:rPr>
        <w:t>0.3</w:t>
      </w:r>
      <w:r>
        <w:rPr>
          <w:sz w:val="24"/>
        </w:rPr>
        <w:t>‰</w:t>
      </w:r>
      <w:r>
        <w:rPr>
          <w:sz w:val="24"/>
        </w:rPr>
        <w:t>向乙方偿付违约金，但因中标人自身原因导致无法及时退还的除外。</w:t>
      </w:r>
    </w:p>
    <w:p>
      <w:pPr>
        <w:pStyle w:val="null3"/>
        <w:spacing w:before="75" w:after="120"/>
        <w:ind w:firstLine="628"/>
        <w:jc w:val="both"/>
      </w:pPr>
      <w:r>
        <w:rPr>
          <w:sz w:val="24"/>
        </w:rPr>
        <w:t>(3)</w:t>
      </w:r>
      <w:r>
        <w:rPr>
          <w:sz w:val="24"/>
        </w:rPr>
        <w:t>乙方违反合同及其附件约定的任何义务，甲方有权在履约保证金中直接扣除乙方应向甲方支付的违约金或损失赔偿额，如有不足的，乙方应对超过的部分予以赔偿。</w:t>
      </w:r>
    </w:p>
    <w:p>
      <w:pPr>
        <w:pStyle w:val="null3"/>
        <w:spacing w:before="75" w:after="120"/>
        <w:ind w:firstLine="628"/>
        <w:jc w:val="both"/>
      </w:pPr>
      <w:r>
        <w:rPr>
          <w:sz w:val="24"/>
        </w:rPr>
        <w:t>(4)</w:t>
      </w:r>
      <w:r>
        <w:rPr>
          <w:sz w:val="24"/>
        </w:rPr>
        <w:t>本项目验收结果与采购合同约定的履约保证金返还条件挂钩，验收合格的项目，甲方根据合同的约定退还履约保证金。</w:t>
      </w:r>
    </w:p>
    <w:p>
      <w:pPr>
        <w:pStyle w:val="null3"/>
        <w:spacing w:before="75" w:after="120"/>
        <w:ind w:left="420" w:firstLine="22"/>
        <w:jc w:val="both"/>
      </w:pPr>
      <w:r>
        <w:rPr>
          <w:sz w:val="24"/>
          <w:b/>
        </w:rPr>
        <w:t>五</w:t>
      </w:r>
      <w:r>
        <w:rPr>
          <w:sz w:val="24"/>
          <w:b/>
        </w:rPr>
        <w:t>、知识产权产权归属</w:t>
      </w:r>
    </w:p>
    <w:p>
      <w:pPr>
        <w:pStyle w:val="null3"/>
        <w:spacing w:before="75" w:after="120"/>
        <w:ind w:firstLine="480"/>
        <w:jc w:val="both"/>
      </w:pPr>
      <w:r>
        <w:rPr>
          <w:sz w:val="24"/>
        </w:rPr>
        <w:t xml:space="preserve">乙方应保证向甲方提供的设备、技术服务等不侵害任何第三方的知识产权，不会产生因第三方提 出侵犯其专利权、商标权或其他知识产权而引起的法律和经济纠纷；如因第三方提出其专利权、商标 </w:t>
      </w:r>
      <w:r>
        <w:rPr>
          <w:sz w:val="24"/>
        </w:rPr>
        <w:t>权或其他知识产权的权利主张的，否则，乙方赔偿甲方因此遭受的一切损失(</w:t>
      </w:r>
      <w:r>
        <w:rPr>
          <w:sz w:val="24"/>
        </w:rPr>
        <w:t>包括但不限于赔偿金、</w:t>
      </w:r>
      <w:r>
        <w:rPr>
          <w:sz w:val="24"/>
        </w:rPr>
        <w:t>违约金、诉讼费、律师费、差旅费等)。</w:t>
      </w:r>
    </w:p>
    <w:p>
      <w:pPr>
        <w:pStyle w:val="null3"/>
        <w:spacing w:before="225" w:after="120"/>
        <w:ind w:left="420" w:firstLine="21"/>
        <w:jc w:val="both"/>
      </w:pPr>
      <w:r>
        <w:rPr>
          <w:sz w:val="24"/>
          <w:b/>
        </w:rPr>
        <w:t>六</w:t>
      </w:r>
      <w:r>
        <w:rPr>
          <w:sz w:val="24"/>
          <w:b/>
        </w:rPr>
        <w:t>、保</w:t>
      </w:r>
      <w:r>
        <w:rPr>
          <w:sz w:val="24"/>
          <w:b/>
        </w:rPr>
        <w:t>密</w:t>
      </w:r>
    </w:p>
    <w:p>
      <w:pPr>
        <w:pStyle w:val="null3"/>
        <w:spacing w:before="75" w:after="120"/>
        <w:ind w:firstLine="480"/>
        <w:jc w:val="both"/>
      </w:pPr>
      <w:r>
        <w:rPr>
          <w:sz w:val="24"/>
        </w:rPr>
        <w:t>乙方必须采取措施对本项目实施过程中的数据、源代码、技术文档等资料保密，否则，由于乙方过错导致的上述资料泄密的，乙方必须承担一切责任。保密期限：永久保密。</w:t>
      </w:r>
    </w:p>
    <w:p>
      <w:pPr>
        <w:pStyle w:val="null3"/>
        <w:spacing w:before="270" w:after="120"/>
        <w:ind w:firstLine="488"/>
        <w:jc w:val="both"/>
      </w:pPr>
      <w:r>
        <w:rPr>
          <w:sz w:val="24"/>
        </w:rPr>
        <w:t>1)</w:t>
      </w:r>
      <w:r>
        <w:rPr>
          <w:sz w:val="24"/>
        </w:rPr>
        <w:t>未经甲方事先书面同意，乙方不得将本合同提供的条文、规格、计划、图纸</w:t>
      </w:r>
      <w:r>
        <w:rPr>
          <w:sz w:val="24"/>
        </w:rPr>
        <w:t>、模型、样品或资</w:t>
      </w:r>
      <w:r>
        <w:rPr>
          <w:sz w:val="24"/>
        </w:rPr>
        <w:t xml:space="preserve"> 料提供给与本合同无关的任何第三方，不得将其用于履行本合同之外的其它用途</w:t>
      </w:r>
      <w:r>
        <w:rPr>
          <w:sz w:val="24"/>
        </w:rPr>
        <w:t>。即使向与履行本合</w:t>
      </w:r>
      <w:r>
        <w:rPr>
          <w:sz w:val="24"/>
        </w:rPr>
        <w:t>同有关的人员提供，也应注意保密并限于履行合同所必需的范围。</w:t>
      </w:r>
    </w:p>
    <w:p>
      <w:pPr>
        <w:pStyle w:val="null3"/>
        <w:spacing w:before="270" w:after="120"/>
        <w:ind w:firstLine="488"/>
        <w:jc w:val="both"/>
      </w:pPr>
      <w:r>
        <w:rPr>
          <w:sz w:val="24"/>
        </w:rPr>
        <w:t>2)</w:t>
      </w:r>
      <w:r>
        <w:rPr>
          <w:sz w:val="24"/>
        </w:rPr>
        <w:t>除了合同本身之外，上款所列举的任何物品、资料均是甲方所有。如果甲方有要求，乙方在完</w:t>
      </w:r>
      <w:r>
        <w:rPr>
          <w:sz w:val="24"/>
        </w:rPr>
        <w:t>成合同后应将这些物件及全部复制件还给甲方。</w:t>
      </w:r>
    </w:p>
    <w:p>
      <w:pPr>
        <w:pStyle w:val="null3"/>
        <w:spacing w:before="255" w:after="120"/>
        <w:ind w:left="420" w:firstLine="26"/>
        <w:jc w:val="both"/>
      </w:pPr>
      <w:r>
        <w:rPr>
          <w:sz w:val="24"/>
          <w:b/>
        </w:rPr>
        <w:t>七、违约责任与赔偿损失</w:t>
      </w:r>
    </w:p>
    <w:p>
      <w:pPr>
        <w:pStyle w:val="null3"/>
        <w:spacing w:before="75" w:after="120"/>
        <w:ind w:firstLine="488"/>
        <w:jc w:val="both"/>
      </w:pPr>
      <w:r>
        <w:rPr>
          <w:sz w:val="24"/>
        </w:rPr>
        <w:t>1)</w:t>
      </w:r>
      <w:r>
        <w:rPr>
          <w:sz w:val="24"/>
        </w:rPr>
        <w:t>乙方提供的服务不符合采购文件、投标文件</w:t>
      </w:r>
      <w:r>
        <w:rPr>
          <w:sz w:val="24"/>
        </w:rPr>
        <w:t>或本合同约定的，甲方有权拒收，并且乙方须向甲</w:t>
      </w:r>
      <w:r>
        <w:rPr>
          <w:sz w:val="24"/>
        </w:rPr>
        <w:t>方支付本合同总价5%的违约金。</w:t>
      </w:r>
    </w:p>
    <w:p>
      <w:pPr>
        <w:pStyle w:val="null3"/>
        <w:spacing w:before="105" w:after="120"/>
        <w:ind w:firstLine="468"/>
        <w:jc w:val="both"/>
      </w:pPr>
      <w:r>
        <w:rPr>
          <w:sz w:val="24"/>
        </w:rPr>
        <w:t>2)</w:t>
      </w:r>
      <w:r>
        <w:rPr>
          <w:sz w:val="24"/>
        </w:rPr>
        <w:t>乙方未能按本合同规定的服务时间提供服务，从逾期之日起每日按本合同总价3‰向甲方支</w:t>
      </w:r>
      <w:r>
        <w:rPr>
          <w:sz w:val="24"/>
        </w:rPr>
        <w:t>付逾期违约金；逾期15天以上的，甲方有权终止合同，要求乙方退</w:t>
      </w:r>
      <w:r>
        <w:rPr>
          <w:sz w:val="24"/>
        </w:rPr>
        <w:t>还甲方已支付的全部合同价款并支付合同总价20%的违约金，由此给</w:t>
      </w:r>
      <w:r>
        <w:rPr>
          <w:sz w:val="24"/>
        </w:rPr>
        <w:t>甲方造成损失的，乙方应承担相应的赔偿责任。</w:t>
      </w:r>
    </w:p>
    <w:p>
      <w:pPr>
        <w:pStyle w:val="null3"/>
        <w:spacing w:before="105" w:after="120"/>
        <w:ind w:firstLine="504"/>
        <w:jc w:val="both"/>
      </w:pPr>
      <w:r>
        <w:rPr>
          <w:sz w:val="24"/>
        </w:rPr>
        <w:t>3)</w:t>
      </w:r>
      <w:r>
        <w:rPr>
          <w:sz w:val="24"/>
        </w:rPr>
        <w:t>甲方无正当理由拒收接受服务，甲方向乙方偿付本合同总价5%的违约</w:t>
      </w:r>
      <w:r>
        <w:rPr>
          <w:sz w:val="24"/>
        </w:rPr>
        <w:t>金。甲方无正当理由逾期付款，则每日按本合同总价的0.3‰向乙方偿付违约金。</w:t>
      </w:r>
    </w:p>
    <w:p>
      <w:pPr>
        <w:pStyle w:val="null3"/>
        <w:spacing w:before="75" w:after="120"/>
        <w:ind w:firstLine="488"/>
        <w:jc w:val="both"/>
      </w:pPr>
      <w:r>
        <w:rPr>
          <w:sz w:val="24"/>
        </w:rPr>
        <w:t>4)</w:t>
      </w:r>
      <w:r>
        <w:rPr>
          <w:sz w:val="24"/>
        </w:rPr>
        <w:t>乙方未按合同规定履行售后服务承诺的，甲方可选定第三方单</w:t>
      </w:r>
      <w:r>
        <w:rPr>
          <w:sz w:val="24"/>
        </w:rPr>
        <w:t>位进行修复，其费用全部由乙方支付，并有权要求乙方支付合同总价20%违约金；逾期不支付的，甲方有权从履约保证金中兑现，若履约保证金中金额不足以</w:t>
      </w:r>
      <w:r>
        <w:rPr>
          <w:sz w:val="24"/>
        </w:rPr>
        <w:t>支付维修费用的，甲方有权要求</w:t>
      </w:r>
      <w:r>
        <w:rPr>
          <w:sz w:val="24"/>
        </w:rPr>
        <w:t>乙方限期支付超出的部分。</w:t>
      </w:r>
    </w:p>
    <w:p>
      <w:pPr>
        <w:pStyle w:val="null3"/>
        <w:spacing w:before="210" w:after="120"/>
        <w:ind w:firstLine="488"/>
        <w:jc w:val="both"/>
      </w:pPr>
      <w:r>
        <w:rPr>
          <w:sz w:val="24"/>
        </w:rPr>
        <w:t>5)</w:t>
      </w:r>
      <w:r>
        <w:rPr>
          <w:sz w:val="24"/>
        </w:rPr>
        <w:t>非因法定、不可抗力与政府行为或者双方协商一致，任何一</w:t>
      </w:r>
      <w:r>
        <w:rPr>
          <w:sz w:val="24"/>
        </w:rPr>
        <w:t>方单方终止或解除本合同的，另一</w:t>
      </w:r>
      <w:r>
        <w:rPr>
          <w:sz w:val="24"/>
        </w:rPr>
        <w:t>方有权要求解除方(或终止方)按照本合同总价的5%支付违约金，由此给另一方造成损失的，还应当</w:t>
      </w:r>
      <w:r>
        <w:rPr>
          <w:sz w:val="24"/>
        </w:rPr>
        <w:t>承担相应的赔偿责任。</w:t>
      </w:r>
    </w:p>
    <w:p>
      <w:pPr>
        <w:pStyle w:val="null3"/>
        <w:spacing w:before="210" w:after="120"/>
        <w:ind w:firstLine="488"/>
        <w:jc w:val="both"/>
      </w:pPr>
      <w:r>
        <w:rPr>
          <w:sz w:val="24"/>
        </w:rPr>
        <w:t>6)</w:t>
      </w:r>
      <w:r>
        <w:rPr>
          <w:sz w:val="24"/>
        </w:rPr>
        <w:t>任何一方违约，守约方除可要求对方承担本协议约定的违约责任外，还可</w:t>
      </w:r>
      <w:r>
        <w:rPr>
          <w:sz w:val="24"/>
        </w:rPr>
        <w:t>要求违约方承担守约</w:t>
      </w:r>
      <w:r>
        <w:rPr>
          <w:sz w:val="24"/>
        </w:rPr>
        <w:t>方因追究违约责任所支付的一切费用，包括但不限于诉讼费、律师费</w:t>
      </w:r>
      <w:r>
        <w:rPr>
          <w:sz w:val="24"/>
        </w:rPr>
        <w:t>、鉴定费、差旅费等。</w:t>
      </w:r>
    </w:p>
    <w:p>
      <w:pPr>
        <w:pStyle w:val="null3"/>
        <w:spacing w:before="75" w:after="120"/>
        <w:ind w:firstLine="496"/>
        <w:jc w:val="both"/>
      </w:pPr>
      <w:r>
        <w:rPr>
          <w:sz w:val="24"/>
        </w:rPr>
        <w:t>7)</w:t>
      </w:r>
      <w:r>
        <w:rPr>
          <w:sz w:val="24"/>
        </w:rPr>
        <w:t>其它违约责任按《中华人民共和国民法典》处理。</w:t>
      </w:r>
    </w:p>
    <w:p>
      <w:pPr>
        <w:pStyle w:val="null3"/>
        <w:spacing w:before="300" w:after="120"/>
        <w:ind w:left="420" w:firstLine="25"/>
        <w:jc w:val="both"/>
      </w:pPr>
      <w:r>
        <w:rPr>
          <w:sz w:val="24"/>
          <w:b/>
        </w:rPr>
        <w:t>八</w:t>
      </w:r>
      <w:r>
        <w:rPr>
          <w:sz w:val="24"/>
          <w:b/>
        </w:rPr>
        <w:t>、争端的解决</w:t>
      </w:r>
    </w:p>
    <w:p>
      <w:pPr>
        <w:pStyle w:val="null3"/>
        <w:spacing w:before="285" w:after="120"/>
        <w:ind w:firstLine="472"/>
        <w:jc w:val="both"/>
      </w:pPr>
      <w:r>
        <w:rPr>
          <w:sz w:val="24"/>
        </w:rPr>
        <w:t>凡与本协议有关的一切争议，甲乙双方应首先通过友好协商方式，如经协商后仍不能</w:t>
      </w:r>
      <w:r>
        <w:rPr>
          <w:sz w:val="24"/>
        </w:rPr>
        <w:t>达成协议时，双方均可向甲方所在地人民法院提起诉讼。</w:t>
      </w:r>
    </w:p>
    <w:p>
      <w:pPr>
        <w:pStyle w:val="null3"/>
        <w:spacing w:before="210" w:after="120"/>
        <w:ind w:left="420" w:firstLine="24"/>
        <w:jc w:val="both"/>
      </w:pPr>
      <w:r>
        <w:rPr>
          <w:sz w:val="24"/>
          <w:b/>
        </w:rPr>
        <w:t>九</w:t>
      </w:r>
      <w:r>
        <w:rPr>
          <w:sz w:val="24"/>
          <w:b/>
        </w:rPr>
        <w:t>、不可抗力</w:t>
      </w:r>
    </w:p>
    <w:p>
      <w:pPr>
        <w:pStyle w:val="null3"/>
        <w:spacing w:before="285" w:after="120"/>
        <w:ind w:right="105" w:firstLine="484"/>
        <w:jc w:val="both"/>
      </w:pPr>
      <w:r>
        <w:rPr>
          <w:sz w:val="24"/>
        </w:rPr>
        <w:t>由于不能预见、不能避免和不能克服的自然原因或社会原因，致</w:t>
      </w:r>
      <w:r>
        <w:rPr>
          <w:sz w:val="24"/>
        </w:rPr>
        <w:t>使本合同不能履行或者不能完全 履行时，遇到上述不可抗力或政府行为的一方，应立即书面通知合同其他方，并</w:t>
      </w:r>
      <w:r>
        <w:rPr>
          <w:sz w:val="24"/>
        </w:rPr>
        <w:t>应在不可抗力或政府</w:t>
      </w:r>
      <w:r>
        <w:rPr>
          <w:sz w:val="24"/>
        </w:rPr>
        <w:t xml:space="preserve"> 行为发生后十五日内，向合同其他方提供经不可抗力事件发生地区县级以上政</w:t>
      </w:r>
      <w:r>
        <w:rPr>
          <w:sz w:val="24"/>
        </w:rPr>
        <w:t>府部门出具的证明合同</w:t>
      </w:r>
      <w:r>
        <w:rPr>
          <w:sz w:val="24"/>
        </w:rPr>
        <w:t xml:space="preserve"> 不能履行或需要延期履行、部分履行的有效证明文件。由合同各方按事</w:t>
      </w:r>
      <w:r>
        <w:rPr>
          <w:sz w:val="24"/>
        </w:rPr>
        <w:t>件对履行合同影响的程度协商</w:t>
      </w:r>
      <w:r>
        <w:rPr>
          <w:sz w:val="24"/>
        </w:rPr>
        <w:t xml:space="preserve"> 决定是否解除合同、或者部分或全部免除履行合同的责任、或者延期履行合同</w:t>
      </w:r>
      <w:r>
        <w:rPr>
          <w:sz w:val="24"/>
        </w:rPr>
        <w:t>。遭受不可抗力或政府</w:t>
      </w:r>
      <w:r>
        <w:rPr>
          <w:sz w:val="24"/>
        </w:rPr>
        <w:t>行为的一方未履行上述义务的，不能免除其违约责任。</w:t>
      </w:r>
    </w:p>
    <w:p>
      <w:pPr>
        <w:pStyle w:val="null3"/>
        <w:spacing w:before="225" w:after="120"/>
        <w:ind w:right="135" w:firstLine="480"/>
        <w:jc w:val="both"/>
      </w:pPr>
      <w:r>
        <w:rPr>
          <w:sz w:val="24"/>
        </w:rPr>
        <w:t>在出现不可抗力或政府行为的情况下，双方均应采取适当措施减轻损失。任何一方</w:t>
      </w:r>
      <w:r>
        <w:rPr>
          <w:sz w:val="24"/>
        </w:rPr>
        <w:t>因未采取措施或采</w:t>
      </w:r>
      <w:r>
        <w:rPr>
          <w:sz w:val="24"/>
        </w:rPr>
        <w:t>取措施不当导致损失扩大的，应当对扩大的损失承担责任。</w:t>
      </w:r>
    </w:p>
    <w:p>
      <w:pPr>
        <w:pStyle w:val="null3"/>
        <w:spacing w:before="255" w:after="120"/>
        <w:ind w:left="420" w:firstLine="19"/>
        <w:jc w:val="both"/>
      </w:pPr>
      <w:r>
        <w:rPr>
          <w:sz w:val="24"/>
          <w:b/>
        </w:rPr>
        <w:t>十</w:t>
      </w:r>
      <w:r>
        <w:rPr>
          <w:sz w:val="24"/>
          <w:b/>
        </w:rPr>
        <w:t>、税</w:t>
      </w:r>
      <w:r>
        <w:rPr>
          <w:sz w:val="24"/>
          <w:b/>
        </w:rPr>
        <w:t>费</w:t>
      </w:r>
    </w:p>
    <w:p>
      <w:pPr>
        <w:pStyle w:val="null3"/>
        <w:spacing w:before="75" w:after="120"/>
        <w:ind w:left="420" w:firstLine="24"/>
        <w:jc w:val="both"/>
      </w:pPr>
      <w:r>
        <w:rPr>
          <w:sz w:val="24"/>
        </w:rPr>
        <w:t>在中国境内、外发生的与本合同执行有关的一切税费均由乙</w:t>
      </w:r>
      <w:r>
        <w:rPr>
          <w:sz w:val="24"/>
        </w:rPr>
        <w:t>方负担。</w:t>
      </w:r>
    </w:p>
    <w:p>
      <w:pPr>
        <w:pStyle w:val="null3"/>
        <w:spacing w:before="75" w:after="120"/>
        <w:ind w:left="420" w:firstLine="24"/>
        <w:jc w:val="both"/>
      </w:pPr>
      <w:r>
        <w:rPr>
          <w:sz w:val="24"/>
          <w:b/>
        </w:rPr>
        <w:t>十一、通知送达</w:t>
      </w:r>
    </w:p>
    <w:p>
      <w:pPr>
        <w:pStyle w:val="null3"/>
        <w:spacing w:before="270" w:after="120"/>
        <w:ind w:right="135" w:firstLine="480"/>
        <w:jc w:val="both"/>
      </w:pPr>
      <w:r>
        <w:rPr>
          <w:sz w:val="24"/>
        </w:rPr>
        <w:t>与本合同签订、履行以及争议解决等有关的文件、通</w:t>
      </w:r>
      <w:r>
        <w:rPr>
          <w:sz w:val="24"/>
        </w:rPr>
        <w:t>知、材料等的送达，均以合同首部列明的地</w:t>
      </w:r>
      <w:r>
        <w:rPr>
          <w:sz w:val="24"/>
        </w:rPr>
        <w:t xml:space="preserve"> 址为准，只要有关的文件、通知、材料送达至上述地址，无论受送</w:t>
      </w:r>
      <w:r>
        <w:rPr>
          <w:sz w:val="24"/>
        </w:rPr>
        <w:t>达方是否实际拆阅或</w:t>
      </w:r>
      <w:r>
        <w:rPr>
          <w:sz w:val="24"/>
        </w:rPr>
        <w:t>查阅，均视为送达。</w:t>
      </w:r>
    </w:p>
    <w:p>
      <w:pPr>
        <w:pStyle w:val="null3"/>
        <w:spacing w:before="45" w:after="120"/>
        <w:ind w:firstLine="496"/>
        <w:jc w:val="both"/>
      </w:pPr>
      <w:r>
        <w:rPr>
          <w:sz w:val="24"/>
        </w:rPr>
        <w:t>任何一方联系地址、联系方式或联系人变更，应在发生变更情</w:t>
      </w:r>
      <w:r>
        <w:rPr>
          <w:sz w:val="24"/>
        </w:rPr>
        <w:t>况当日以电话或书面形</w:t>
      </w:r>
      <w:r>
        <w:rPr>
          <w:sz w:val="24"/>
        </w:rPr>
        <w:t>式通知另一方；否则，按未变更地址送达视为有效送达，无论该</w:t>
      </w:r>
      <w:r>
        <w:rPr>
          <w:sz w:val="24"/>
        </w:rPr>
        <w:t xml:space="preserve">文件是否退回或被拒收，由此产生的 </w:t>
      </w:r>
      <w:r>
        <w:rPr>
          <w:sz w:val="24"/>
        </w:rPr>
        <w:t>责任与损失由变更方承担。</w:t>
      </w:r>
    </w:p>
    <w:p>
      <w:pPr>
        <w:pStyle w:val="null3"/>
        <w:spacing w:before="255" w:after="120"/>
        <w:ind w:left="420" w:firstLine="23"/>
        <w:jc w:val="both"/>
      </w:pPr>
      <w:r>
        <w:rPr>
          <w:sz w:val="24"/>
          <w:b/>
        </w:rPr>
        <w:t>十二、</w:t>
      </w:r>
      <w:r>
        <w:rPr>
          <w:sz w:val="24"/>
          <w:b/>
        </w:rPr>
        <w:t>其</w:t>
      </w:r>
      <w:r>
        <w:rPr>
          <w:sz w:val="24"/>
          <w:b/>
        </w:rPr>
        <w:t>它</w:t>
      </w:r>
    </w:p>
    <w:p>
      <w:pPr>
        <w:pStyle w:val="null3"/>
        <w:spacing w:before="75" w:after="120"/>
        <w:ind w:firstLine="488"/>
        <w:jc w:val="both"/>
      </w:pPr>
      <w:r>
        <w:rPr>
          <w:sz w:val="24"/>
        </w:rPr>
        <w:t>1)</w:t>
      </w:r>
      <w:r>
        <w:rPr>
          <w:sz w:val="24"/>
        </w:rPr>
        <w:t>本合同所有附件均为合同的有效组成部分，与本合同具有</w:t>
      </w:r>
      <w:r>
        <w:rPr>
          <w:sz w:val="24"/>
        </w:rPr>
        <w:t>同等法律效力。</w:t>
      </w:r>
    </w:p>
    <w:p>
      <w:pPr>
        <w:pStyle w:val="null3"/>
        <w:spacing w:before="75" w:after="120"/>
        <w:ind w:firstLine="512"/>
        <w:jc w:val="both"/>
      </w:pPr>
      <w:r>
        <w:rPr>
          <w:sz w:val="24"/>
        </w:rPr>
        <w:t>2)</w:t>
      </w:r>
      <w:r>
        <w:rPr>
          <w:sz w:val="24"/>
        </w:rPr>
        <w:t>在执行本合同的过程中，所有经双方签署确认的文件(包括会议</w:t>
      </w:r>
      <w:r>
        <w:rPr>
          <w:sz w:val="24"/>
        </w:rPr>
        <w:t>纪要、补充协议、往来信函)</w:t>
      </w:r>
      <w:r>
        <w:rPr>
          <w:sz w:val="24"/>
        </w:rPr>
        <w:t>即成为本合同的有效组成部分。</w:t>
      </w:r>
    </w:p>
    <w:p>
      <w:pPr>
        <w:pStyle w:val="null3"/>
        <w:spacing w:before="75" w:after="120"/>
        <w:ind w:firstLine="472"/>
        <w:jc w:val="both"/>
      </w:pPr>
      <w:r>
        <w:rPr>
          <w:sz w:val="24"/>
        </w:rPr>
        <w:t>3)</w:t>
      </w:r>
      <w:r>
        <w:rPr>
          <w:sz w:val="24"/>
        </w:rPr>
        <w:t>如一方地址、电话、传真号码有变更，应在变更当日内书面通知对方，否则，应承担相应责任。</w:t>
      </w:r>
    </w:p>
    <w:p>
      <w:pPr>
        <w:pStyle w:val="null3"/>
        <w:spacing w:before="75" w:after="120"/>
        <w:ind w:firstLine="492"/>
        <w:jc w:val="both"/>
      </w:pPr>
      <w:r>
        <w:rPr>
          <w:sz w:val="24"/>
        </w:rPr>
        <w:t>4)</w:t>
      </w:r>
      <w:r>
        <w:rPr>
          <w:sz w:val="24"/>
        </w:rPr>
        <w:t>除甲方事先书面同意外，乙方不得部分或全部转让其应履行的合同项下的义</w:t>
      </w:r>
      <w:r>
        <w:rPr>
          <w:sz w:val="24"/>
        </w:rPr>
        <w:t>务。</w:t>
      </w:r>
    </w:p>
    <w:p>
      <w:pPr>
        <w:pStyle w:val="null3"/>
        <w:spacing w:before="285" w:after="120"/>
        <w:ind w:firstLine="518"/>
        <w:jc w:val="both"/>
      </w:pPr>
      <w:r>
        <w:rPr>
          <w:sz w:val="24"/>
          <w:b/>
        </w:rPr>
        <w:t>十三、</w:t>
      </w:r>
      <w:r>
        <w:rPr>
          <w:sz w:val="24"/>
          <w:b/>
        </w:rPr>
        <w:t>合同生效：</w:t>
      </w:r>
    </w:p>
    <w:p>
      <w:pPr>
        <w:pStyle w:val="null3"/>
        <w:spacing w:before="75" w:after="120"/>
        <w:ind w:firstLine="468"/>
        <w:jc w:val="both"/>
      </w:pPr>
      <w:r>
        <w:rPr>
          <w:sz w:val="24"/>
        </w:rPr>
        <w:t>1)</w:t>
      </w:r>
      <w:r>
        <w:rPr>
          <w:sz w:val="24"/>
        </w:rPr>
        <w:t>本协议一式肆份，具有同等效力，甲方贰份、乙方贰份。协议自双方授权</w:t>
      </w:r>
      <w:r>
        <w:rPr>
          <w:sz w:val="24"/>
        </w:rPr>
        <w:t>代表签字并加盖公章之日起生效。</w:t>
      </w:r>
    </w:p>
    <w:p>
      <w:pPr>
        <w:pStyle w:val="null3"/>
        <w:spacing w:before="75" w:after="120"/>
        <w:ind w:firstLine="468"/>
        <w:jc w:val="both"/>
      </w:pPr>
      <w:r>
        <w:rPr>
          <w:sz w:val="24"/>
        </w:rPr>
        <w:t>2)</w:t>
      </w:r>
      <w:r>
        <w:rPr>
          <w:sz w:val="24"/>
        </w:rPr>
        <w:t>本协议在履行过程中未尽事宜，由双方签署补充协议确定，并与本协议具有同等法律效力。</w:t>
      </w:r>
    </w:p>
    <w:p>
      <w:pPr>
        <w:pStyle w:val="null3"/>
        <w:spacing w:before="75" w:after="120"/>
        <w:ind w:firstLine="468"/>
        <w:jc w:val="both"/>
      </w:pPr>
      <w:r>
        <w:rPr>
          <w:sz w:val="24"/>
        </w:rPr>
        <w:t>3)</w:t>
      </w:r>
      <w:r>
        <w:rPr>
          <w:sz w:val="24"/>
        </w:rPr>
        <w:t>本合同中有关争议解决的条款，不因本合同期满、解除或宣告无效而失效。</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866"/>
        <w:gridCol w:w="3440"/>
      </w:tblGrid>
      <w:tr>
        <w:tc>
          <w:tcPr>
            <w:tcW w:type="dxa" w:w="4866"/>
            <w:tcMar>
              <w:top w:type="dxa" w:w="0"/>
              <w:left w:type="dxa" w:w="105"/>
              <w:bottom w:type="dxa" w:w="0"/>
              <w:right w:type="dxa" w:w="105"/>
            </w:tcMar>
          </w:tcPr>
          <w:p>
            <w:pPr>
              <w:pStyle w:val="null3"/>
              <w:spacing w:before="75" w:after="120"/>
              <w:jc w:val="both"/>
            </w:pPr>
            <w:r>
              <w:rPr>
                <w:sz w:val="24"/>
              </w:rPr>
              <w:t>甲方(盖章):广州市白云区城市管理和综合执法局</w:t>
            </w:r>
          </w:p>
        </w:tc>
        <w:tc>
          <w:tcPr>
            <w:tcW w:type="dxa" w:w="3440"/>
            <w:tcMar>
              <w:top w:type="dxa" w:w="0"/>
              <w:left w:type="dxa" w:w="105"/>
              <w:bottom w:type="dxa" w:w="0"/>
              <w:right w:type="dxa" w:w="105"/>
            </w:tcMar>
          </w:tcPr>
          <w:p>
            <w:pPr>
              <w:pStyle w:val="null3"/>
              <w:spacing w:after="120"/>
              <w:ind w:left="420"/>
              <w:jc w:val="both"/>
            </w:pPr>
            <w:r>
              <w:rPr>
                <w:sz w:val="24"/>
              </w:rPr>
              <w:t>乙方(盖章):</w:t>
            </w:r>
          </w:p>
        </w:tc>
      </w:tr>
      <w:tr>
        <w:tc>
          <w:tcPr>
            <w:tcW w:type="dxa" w:w="4866"/>
            <w:tcMar>
              <w:top w:type="dxa" w:w="0"/>
              <w:left w:type="dxa" w:w="105"/>
              <w:bottom w:type="dxa" w:w="0"/>
              <w:right w:type="dxa" w:w="105"/>
            </w:tcMar>
          </w:tcPr>
          <w:p>
            <w:pPr>
              <w:pStyle w:val="null3"/>
              <w:jc w:val="both"/>
            </w:pPr>
            <w:r>
              <w:rPr>
                <w:sz w:val="24"/>
                <w:color w:val="000000"/>
              </w:rPr>
              <w:t>代表：</w:t>
            </w:r>
          </w:p>
        </w:tc>
        <w:tc>
          <w:tcPr>
            <w:tcW w:type="dxa" w:w="3440"/>
            <w:tcMar>
              <w:top w:type="dxa" w:w="0"/>
              <w:left w:type="dxa" w:w="105"/>
              <w:bottom w:type="dxa" w:w="0"/>
              <w:right w:type="dxa" w:w="105"/>
            </w:tcMar>
          </w:tcPr>
          <w:p>
            <w:pPr>
              <w:pStyle w:val="null3"/>
              <w:spacing w:after="120"/>
              <w:ind w:left="420"/>
              <w:jc w:val="both"/>
            </w:pPr>
            <w:r>
              <w:rPr>
                <w:sz w:val="24"/>
              </w:rPr>
              <w:t>代表：</w:t>
            </w:r>
          </w:p>
        </w:tc>
      </w:tr>
      <w:tr>
        <w:tc>
          <w:tcPr>
            <w:tcW w:type="dxa" w:w="4866"/>
            <w:tcMar>
              <w:top w:type="dxa" w:w="0"/>
              <w:left w:type="dxa" w:w="105"/>
              <w:bottom w:type="dxa" w:w="0"/>
              <w:right w:type="dxa" w:w="105"/>
            </w:tcMar>
          </w:tcPr>
          <w:p>
            <w:pPr>
              <w:pStyle w:val="null3"/>
            </w:pPr>
            <w:r>
              <w:rPr>
                <w:sz w:val="24"/>
                <w:color w:val="000000"/>
              </w:rPr>
              <w:t>签订日期：    年   月   日</w:t>
            </w:r>
          </w:p>
        </w:tc>
        <w:tc>
          <w:tcPr>
            <w:tcW w:type="dxa" w:w="3440"/>
            <w:tcMar>
              <w:top w:type="dxa" w:w="0"/>
              <w:left w:type="dxa" w:w="105"/>
              <w:bottom w:type="dxa" w:w="0"/>
              <w:right w:type="dxa" w:w="105"/>
            </w:tcMar>
          </w:tcPr>
          <w:p>
            <w:pPr>
              <w:pStyle w:val="null3"/>
              <w:spacing w:after="120"/>
              <w:ind w:left="420"/>
              <w:jc w:val="both"/>
            </w:pPr>
            <w:r>
              <w:rPr>
                <w:sz w:val="24"/>
              </w:rPr>
              <w:t>签订日期：    年   月   日</w:t>
            </w:r>
          </w:p>
        </w:tc>
      </w:tr>
      <w:tr>
        <w:tc>
          <w:tcPr>
            <w:tcW w:type="dxa" w:w="4866"/>
            <w:tcMar>
              <w:top w:type="dxa" w:w="0"/>
              <w:left w:type="dxa" w:w="105"/>
              <w:bottom w:type="dxa" w:w="0"/>
              <w:right w:type="dxa" w:w="105"/>
            </w:tcMar>
          </w:tcPr>
          <w:p>
            <w:pPr>
              <w:pStyle w:val="null3"/>
              <w:jc w:val="center"/>
            </w:pPr>
          </w:p>
        </w:tc>
        <w:tc>
          <w:tcPr>
            <w:tcW w:type="dxa" w:w="3440"/>
            <w:tcMar>
              <w:top w:type="dxa" w:w="0"/>
              <w:left w:type="dxa" w:w="105"/>
              <w:bottom w:type="dxa" w:w="0"/>
              <w:right w:type="dxa" w:w="105"/>
            </w:tcMar>
          </w:tcPr>
          <w:p>
            <w:pPr>
              <w:pStyle w:val="null3"/>
              <w:jc w:val="both"/>
            </w:pPr>
            <w:r>
              <w:rPr>
                <w:sz w:val="24"/>
              </w:rPr>
              <w:t>开户名称：</w:t>
            </w:r>
          </w:p>
        </w:tc>
      </w:tr>
      <w:tr>
        <w:tc>
          <w:tcPr>
            <w:tcW w:type="dxa" w:w="4866"/>
            <w:tcMar>
              <w:top w:type="dxa" w:w="0"/>
              <w:left w:type="dxa" w:w="105"/>
              <w:bottom w:type="dxa" w:w="0"/>
              <w:right w:type="dxa" w:w="105"/>
            </w:tcMar>
          </w:tcPr>
          <w:p>
            <w:pPr>
              <w:pStyle w:val="null3"/>
              <w:jc w:val="center"/>
            </w:pPr>
          </w:p>
        </w:tc>
        <w:tc>
          <w:tcPr>
            <w:tcW w:type="dxa" w:w="3440"/>
            <w:tcMar>
              <w:top w:type="dxa" w:w="0"/>
              <w:left w:type="dxa" w:w="105"/>
              <w:bottom w:type="dxa" w:w="0"/>
              <w:right w:type="dxa" w:w="105"/>
            </w:tcMar>
          </w:tcPr>
          <w:p>
            <w:pPr>
              <w:pStyle w:val="null3"/>
              <w:jc w:val="both"/>
            </w:pPr>
            <w:r>
              <w:rPr>
                <w:sz w:val="24"/>
                <w:color w:val="000000"/>
              </w:rPr>
              <w:t>银行账号：</w:t>
            </w:r>
          </w:p>
        </w:tc>
      </w:tr>
      <w:tr>
        <w:tc>
          <w:tcPr>
            <w:tcW w:type="dxa" w:w="4866"/>
            <w:tcMar>
              <w:top w:type="dxa" w:w="0"/>
              <w:left w:type="dxa" w:w="105"/>
              <w:bottom w:type="dxa" w:w="0"/>
              <w:right w:type="dxa" w:w="105"/>
            </w:tcMar>
          </w:tcPr>
          <w:p>
            <w:pPr>
              <w:pStyle w:val="null3"/>
              <w:jc w:val="center"/>
            </w:pPr>
          </w:p>
        </w:tc>
        <w:tc>
          <w:tcPr>
            <w:tcW w:type="dxa" w:w="3440"/>
            <w:tcMar>
              <w:top w:type="dxa" w:w="0"/>
              <w:left w:type="dxa" w:w="105"/>
              <w:bottom w:type="dxa" w:w="0"/>
              <w:right w:type="dxa" w:w="105"/>
            </w:tcMar>
          </w:tcPr>
          <w:p>
            <w:pPr>
              <w:pStyle w:val="null3"/>
              <w:jc w:val="both"/>
            </w:pPr>
            <w:r>
              <w:rPr>
                <w:sz w:val="24"/>
                <w:color w:val="000000"/>
              </w:rPr>
              <w:t>开户行：</w:t>
            </w:r>
          </w:p>
          <w:p>
            <w:pPr>
              <w:pStyle w:val="null3"/>
              <w:ind w:firstLine="456"/>
              <w:jc w:val="center"/>
            </w:pPr>
          </w:p>
        </w:tc>
      </w:tr>
    </w:tbl>
    <w:p>
      <w:pPr>
        <w:pStyle w:val="null3"/>
        <w:jc w:val="center"/>
      </w:pPr>
      <w:r>
        <w:rPr>
          <w:sz w:val="48"/>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440111-2025-01453</w:t>
      </w:r>
    </w:p>
    <w:p>
      <w:pPr>
        <w:pStyle w:val="null3"/>
        <w:jc w:val="center"/>
        <w:outlineLvl w:val="3"/>
      </w:pPr>
      <w:r>
        <w:rPr>
          <w:sz w:val="24"/>
          <w:b/>
        </w:rPr>
        <w:t>采购项目编号：</w:t>
      </w:r>
      <w:r>
        <w:rPr>
          <w:sz w:val="24"/>
          <w:b/>
        </w:rPr>
        <w:t>CLF0125GZ00ZC50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采联国际招标采购集团有限公司</w:t>
      </w:r>
    </w:p>
    <w:p>
      <w:pPr>
        <w:pStyle w:val="null3"/>
        <w:ind w:firstLine="480"/>
      </w:pPr>
      <w:r>
        <w:rPr/>
        <w:t xml:space="preserve"> 你方组织的</w:t>
      </w:r>
      <w:r>
        <w:rPr>
          <w:u w:val="single"/>
        </w:rPr>
        <w:t>“</w:t>
      </w:r>
      <w:r>
        <w:rPr>
          <w:u w:val="single"/>
        </w:rPr>
        <w:t>2025年投放点优化提升服务政府采购项目</w:t>
      </w:r>
      <w:r>
        <w:rPr>
          <w:u w:val="single"/>
        </w:rPr>
        <w:t>”</w:t>
      </w:r>
      <w:r>
        <w:rPr/>
        <w:t>项目的招标[采购项目编号为：</w:t>
      </w:r>
      <w:r>
        <w:rPr>
          <w:u w:val="single"/>
        </w:rPr>
        <w:t>CLF0125GZ00ZC50</w:t>
      </w:r>
      <w:r>
        <w:rPr/>
        <w:t>]，我方愿参与投标。</w:t>
      </w:r>
    </w:p>
    <w:p>
      <w:pPr>
        <w:pStyle w:val="null3"/>
        <w:ind w:firstLine="480"/>
      </w:pPr>
      <w:r>
        <w:rPr/>
        <w:t>我方确认收到贵方提供的</w:t>
      </w:r>
      <w:r>
        <w:rPr>
          <w:u w:val="single"/>
        </w:rPr>
        <w:t>“</w:t>
      </w:r>
      <w:r>
        <w:rPr>
          <w:u w:val="single"/>
        </w:rPr>
        <w:t>2025年投放点优化提升服务政府采购项目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采联国际招标采购集团有限公司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2025年投放点优化提升服务政府采购项目</w:t>
      </w:r>
      <w:r>
        <w:rPr/>
        <w:t>”项目采购[采购项目编号为</w:t>
      </w:r>
      <w:r>
        <w:rPr/>
        <w:t>CLF0125GZ00ZC50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广州市白云区城市管理和综合执法局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采联国际招标采购集团有限公司</w:t>
      </w:r>
    </w:p>
    <w:p>
      <w:pPr>
        <w:pStyle w:val="null3"/>
        <w:ind w:firstLine="480"/>
      </w:pPr>
      <w:r>
        <w:rPr/>
        <w:t xml:space="preserve"> 如果我方在贵采购代理机构组织的</w:t>
      </w:r>
      <w:r>
        <w:rPr/>
        <w:t>2025年投放点优化提升服务政府采购项目</w:t>
      </w:r>
      <w:r>
        <w:rPr/>
        <w:t>招标中获中标（采购项目编号：</w:t>
      </w:r>
      <w:r>
        <w:rPr/>
        <w:t>CLF0125GZ00ZC50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采联国际招标采购集团有限公司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