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版本号：N511083202500003720250312002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职业技能培训服务采购项目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N5110832025000037</w:t>
      </w:r>
    </w:p>
    <w:p>
      <w:pPr>
        <w:pStyle w:val="null3"/>
        <w:jc w:val="left"/>
        <w:outlineLvl w:val="2"/>
      </w:pPr>
      <w:r>
        <w:rPr>
          <w:rFonts w:ascii="仿宋_GB2312" w:hAnsi="仿宋_GB2312" w:cs="仿宋_GB2312" w:eastAsia="仿宋_GB2312"/>
          <w:sz w:val="28"/>
          <w:b/>
        </w:rPr>
        <w:t>隆昌市人力资源和社会保障局</w:t>
      </w:r>
    </w:p>
    <w:p>
      <w:pPr>
        <w:pStyle w:val="null3"/>
        <w:jc w:val="center"/>
        <w:outlineLvl w:val="2"/>
      </w:pPr>
      <w:r>
        <w:rPr>
          <w:rFonts w:ascii="仿宋_GB2312" w:hAnsi="仿宋_GB2312" w:cs="仿宋_GB2312" w:eastAsia="仿宋_GB2312"/>
          <w:sz w:val="28"/>
          <w:b/>
        </w:rPr>
        <w:t>四川兴宏工程项目管理有限公司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四川兴宏工程项目管理有限公司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隆昌市人力资源和社会保障局</w:t>
      </w:r>
      <w:r>
        <w:rPr>
          <w:rFonts w:ascii="仿宋_GB2312" w:hAnsi="仿宋_GB2312" w:cs="仿宋_GB2312" w:eastAsia="仿宋_GB2312"/>
        </w:rPr>
        <w:t xml:space="preserve"> 委托，拟对 </w:t>
      </w:r>
      <w:r>
        <w:rPr>
          <w:rFonts w:ascii="仿宋_GB2312" w:hAnsi="仿宋_GB2312" w:cs="仿宋_GB2312" w:eastAsia="仿宋_GB2312"/>
        </w:rPr>
        <w:t>职业技能培训服务采购项目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内江市隆昌市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N5110832025000037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职业技能培训服务采购项目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职业技能培训服务，一项。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采购项目提出的特殊条件：除职业院校或政府相关部门（编办）批准设立的教育培训机构或事业单位外，其他类型供应商需具有《中华人民共和国民办学校办学许可证》。（描述：除职业院校或政府相关部门（编办）批准设立的教育培训机构或事业单位外，其他类型供应商需提供《中华人民共和国民办学校办学许可证》复印件。）</w:t>
      </w:r>
    </w:p>
    <w:p>
      <w:pPr>
        <w:pStyle w:val="null3"/>
        <w:jc w:val="left"/>
      </w:pPr>
      <w:r>
        <w:rPr>
          <w:rFonts w:ascii="仿宋_GB2312" w:hAnsi="仿宋_GB2312" w:cs="仿宋_GB2312" w:eastAsia="仿宋_GB2312"/>
        </w:rPr>
        <w:t>2、供应商单位及其现任法定代 表人、主要负责人不得具有行贿犯罪记录（描述：供应商提供供应商及其现任法定代表人、主要负责人三年内（若供应商成立不足三年的，承诺期限为成立之日起至今）无行贿犯罪记录的承诺函。 注：若以联合体形式参加本项目采购活动的，联合体各方均应当分别提供本项证明材料并加盖联合体各方公章。）</w:t>
      </w:r>
    </w:p>
    <w:p>
      <w:pPr>
        <w:pStyle w:val="null3"/>
        <w:jc w:val="left"/>
      </w:pPr>
      <w:r>
        <w:rPr>
          <w:rFonts w:ascii="仿宋_GB2312" w:hAnsi="仿宋_GB2312" w:cs="仿宋_GB2312" w:eastAsia="仿宋_GB2312"/>
        </w:rPr>
        <w:t>3、本项目接受供应商以联合体形式参加本次采购活动（描述：联合体成员单位(含牵头单位)不得超过3家单位。若为组成联合体参与采购活动的，须提供联合体协议书。）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根据采购项目提出的特殊条件：除职业院校或政府相关部门（编办）批准设立的教育培训机构或事业单位外，其他类型供应商需具有《中华人民共和国民办学校办学许可证》。（描述：除职业院校或政府相关部门（编办）批准设立的教育培训机构或事业单位外，其他类型供应商需提供《中华人民共和国民办学校办学许可证》复印件。）</w:t>
      </w:r>
    </w:p>
    <w:p>
      <w:pPr>
        <w:pStyle w:val="null3"/>
        <w:jc w:val="left"/>
      </w:pPr>
      <w:r>
        <w:rPr>
          <w:rFonts w:ascii="仿宋_GB2312" w:hAnsi="仿宋_GB2312" w:cs="仿宋_GB2312" w:eastAsia="仿宋_GB2312"/>
        </w:rPr>
        <w:t>2、供应商单位及其现任法定代 表人、主要负责人不得具有行贿犯罪记录（描述：供应商提供供应商及其现任法定代表人、主要负责人三年内（若供应商成立不足三年的，承诺期限为成立之日起至今）无行贿犯罪记录的承诺函。 注：若以联合体形式参加本项目采购活动的，联合体各方均应当分别提供本项证明材料并加盖联合体各方公章。）</w:t>
      </w:r>
    </w:p>
    <w:p>
      <w:pPr>
        <w:pStyle w:val="null3"/>
        <w:jc w:val="left"/>
      </w:pPr>
      <w:r>
        <w:rPr>
          <w:rFonts w:ascii="仿宋_GB2312" w:hAnsi="仿宋_GB2312" w:cs="仿宋_GB2312" w:eastAsia="仿宋_GB2312"/>
        </w:rPr>
        <w:t>3、本项目接受供应商以联合体形式参加本次采购活动（描述：联合体成员单位(含牵头单位)不得超过3家单位。若为组成联合体参与采购活动的，须提供联合体协议书。）</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隆昌市人力资源和社会保障局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隆昌市锦林大厦5楼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642150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0832-3934669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四川兴宏工程项目管理有限公司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内江市东兴区东城路1号5栋1单元2楼1号（内江办事处）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0832-2227997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采购包1：1,100,000.00元</w:t>
            </w:r>
          </w:p>
          <w:p>
            <w:pPr>
              <w:pStyle w:val="null3"/>
              <w:jc w:val="left"/>
            </w:pPr>
            <w:r>
              <w:rPr>
                <w:rFonts w:ascii="仿宋_GB2312" w:hAnsi="仿宋_GB2312" w:cs="仿宋_GB2312" w:eastAsia="仿宋_GB2312"/>
              </w:rPr>
              <w:t>采购包2：900,000.00元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采购包2：接受联合体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次代理服务费按照《国家发展改革委关于进一步放开建设项目专业服务价格的通知》（发改价格〔2015〕299号）规定，参照原国家计委《关于印发招标代理服务收费管理暂行办法的通知》（审计价格〔2002〕1980号）收取比例和国家发展改革委办公厅《关于招标代理服务收费有关问题的通知》（发改办价格〔2003〕857号）文件的规定，以成本支出加合理利润为原则向成交供应商收取。 收取金额：包1：15800元；包2：13500元。 收取方式：现金或转账。 注：以上招标代理服务费为不含税金额，税额按实际税率计算且由成交供应商一并支付。 收取时间：中标（成交）通知发出后两个工作日内由中标人一次性支付至采购代理机构。收款单位：四川兴宏工程项目管理有限公司；开 户 行：中国农业银行股份有限公司成都迎宾大道支行； 银行账号：22891801040015151。</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隆昌市人力资源和社会保障局</w:t>
      </w:r>
      <w:r>
        <w:rPr>
          <w:rFonts w:ascii="仿宋_GB2312" w:hAnsi="仿宋_GB2312" w:cs="仿宋_GB2312" w:eastAsia="仿宋_GB2312"/>
        </w:rPr>
        <w:t xml:space="preserve"> 和 </w:t>
      </w:r>
      <w:r>
        <w:rPr>
          <w:rFonts w:ascii="仿宋_GB2312" w:hAnsi="仿宋_GB2312" w:cs="仿宋_GB2312" w:eastAsia="仿宋_GB2312"/>
        </w:rPr>
        <w:t>四川兴宏工程项目管理有限公司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隆昌市人力资源和社会保障局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四川兴宏工程项目管理有限公司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jc w:val="left"/>
      </w:pPr>
      <w:r>
        <w:rPr>
          <w:rFonts w:ascii="仿宋_GB2312" w:hAnsi="仿宋_GB2312" w:cs="仿宋_GB2312" w:eastAsia="仿宋_GB2312"/>
        </w:rPr>
        <w:t>采购包2：</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项目完成后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项目完成后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按《内江市补贴性职业技能培训在线监督管理办法（试行）》中的有关规定进行验收；（2）其他按国家有关规定以及采购文件的服务要求及供应商的响应文件的响应及承诺约定及采购人制定的考核办法标准进行验收；采购双方如对服务要求的约定标准有相互抵触或异议的事项,由采购人在国家有关规定、采购文件响应文件及承诺约定中按服务要求比较优胜的原则确定该项的约定标准进行验收。（3）随机邀请至少3 个以上的培训服务对象参与验收并进行满意度调查，调查满意度应为100%。</w:t>
      </w:r>
    </w:p>
    <w:p>
      <w:pPr>
        <w:pStyle w:val="null3"/>
        <w:jc w:val="left"/>
      </w:pPr>
      <w:r>
        <w:rPr>
          <w:rFonts w:ascii="仿宋_GB2312" w:hAnsi="仿宋_GB2312" w:cs="仿宋_GB2312" w:eastAsia="仿宋_GB2312"/>
        </w:rPr>
        <w:t>采购包2：</w:t>
      </w:r>
      <w:r>
        <w:rPr>
          <w:rFonts w:ascii="仿宋_GB2312" w:hAnsi="仿宋_GB2312" w:cs="仿宋_GB2312" w:eastAsia="仿宋_GB2312"/>
        </w:rPr>
        <w:t>（1）按《内江市补贴性职业技能培训在线监督管理办法（试行）》中的有关规定进行验收；（2）其他按国家有关规定以及采购文件的服务要求及供应商的响应文件的响应及承诺约定及采购人制定的考核办法标准进行验收；采购双方如对服务要求的约定标准有相互抵触或异议的事项,由采购人在国家有关规定、采购文件响应文件及承诺约定中按服务要求比较优胜的原则确定该项的约定标准进行验收。（3）随机邀请至少3 个以上的培训服务对象参与验收并进行满意度调查，调查满意度应为100%。</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按国家有关规定以及采购人采购文件的商务条款、供应商的响应文件及承诺与本合同约定的商务条款进行验收。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按国家有关规定以及采购人采购文件的商务条款、供应商的响应文件及承诺与本合同约定的商务条款进行验收。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 号)、《政府采购需求管理办法》（财库〔2021〕22号）的要求及国家行业主管部门规定的标准、方法和内容进行验收。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按照《财政部关于进一步加强政府采购需求和履约验收管理的指导意见》(财库〔2016〕205 号)、《政府采购需求管理办法》（财库〔2021〕22号）的要求及国家行业主管部门规定的标准、方法和内容进行验收。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隆昌市人力资源和社会保障局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四川兴宏工程项目管理有限公司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四川兴宏工程项目管理有限公司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郭老师</w:t>
      </w:r>
    </w:p>
    <w:p>
      <w:pPr>
        <w:pStyle w:val="null3"/>
        <w:jc w:val="left"/>
      </w:pPr>
      <w:r>
        <w:rPr>
          <w:rFonts w:ascii="仿宋_GB2312" w:hAnsi="仿宋_GB2312" w:cs="仿宋_GB2312" w:eastAsia="仿宋_GB2312"/>
        </w:rPr>
        <w:t>联系电话：0832-3934669</w:t>
      </w:r>
    </w:p>
    <w:p>
      <w:pPr>
        <w:pStyle w:val="null3"/>
        <w:jc w:val="left"/>
      </w:pPr>
      <w:r>
        <w:rPr>
          <w:rFonts w:ascii="仿宋_GB2312" w:hAnsi="仿宋_GB2312" w:cs="仿宋_GB2312" w:eastAsia="仿宋_GB2312"/>
        </w:rPr>
        <w:t>地址：隆昌市锦林大厦5楼</w:t>
      </w:r>
    </w:p>
    <w:p>
      <w:pPr>
        <w:pStyle w:val="null3"/>
        <w:jc w:val="left"/>
      </w:pPr>
      <w:r>
        <w:rPr>
          <w:rFonts w:ascii="仿宋_GB2312" w:hAnsi="仿宋_GB2312" w:cs="仿宋_GB2312" w:eastAsia="仿宋_GB2312"/>
        </w:rPr>
        <w:t>邮编： 642150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 0832-2227997</w:t>
      </w:r>
    </w:p>
    <w:p>
      <w:pPr>
        <w:pStyle w:val="null3"/>
        <w:jc w:val="left"/>
      </w:pPr>
      <w:r>
        <w:rPr>
          <w:rFonts w:ascii="仿宋_GB2312" w:hAnsi="仿宋_GB2312" w:cs="仿宋_GB2312" w:eastAsia="仿宋_GB2312"/>
        </w:rPr>
        <w:t>地址： 内江市东兴区东城路1号5栋1单元2楼1号（内江办事处）</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技能培训及创业培训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1,100,000.00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品牌培训及返乡创业培训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技能培训及创业培训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本采购包执行统一价格标准，实行财政定额补助标准，供应商各轮次报价应当按照110万元进行报价，不得增加或者减少，否则其报价无效。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品牌培训及返乡创业培训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本采购包执行统一价格标准，实行财政定额补助标准，供应商各轮次报价应当按照90万元进行报价，不得增加或者减少，否则其报价无效。</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标的名称：技能培训及创业培训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（一）服务</w:t>
            </w:r>
            <w:r>
              <w:rPr>
                <w:rFonts w:ascii="仿宋_GB2312" w:hAnsi="仿宋_GB2312" w:cs="仿宋_GB2312" w:eastAsia="仿宋_GB2312"/>
                <w:sz w:val="24"/>
                <w:b/>
              </w:rPr>
              <w:t>清单</w:t>
            </w:r>
          </w:p>
          <w:tbl>
            <w:tblPr>
              <w:tblBorders>
                <w:top w:val="none" w:color="000000" w:sz="4"/>
                <w:left w:val="none" w:color="000000" w:sz="4"/>
                <w:bottom w:val="none" w:color="000000" w:sz="4"/>
                <w:right w:val="none" w:color="000000" w:sz="4"/>
                <w:insideH w:val="none"/>
                <w:insideV w:val="none"/>
              </w:tblBorders>
            </w:tblPr>
            <w:tblGrid>
              <w:gridCol w:w="307"/>
              <w:gridCol w:w="856"/>
              <w:gridCol w:w="779"/>
              <w:gridCol w:w="875"/>
              <w:gridCol w:w="577"/>
              <w:gridCol w:w="644"/>
              <w:gridCol w:w="625"/>
              <w:gridCol w:w="894"/>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培训内容</w:t>
                  </w:r>
                </w:p>
              </w:tc>
              <w:tc>
                <w:tcPr>
                  <w:tcW w:type="dxa" w:w="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培训人数（预估）</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培训补贴标准</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鉴定补贴标准</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预计补贴费用</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经办机构</w:t>
                  </w:r>
                </w:p>
              </w:tc>
            </w:tr>
            <w:tr>
              <w:tc>
                <w:tcPr>
                  <w:tcW w:type="dxa" w:w="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01</w:t>
                  </w:r>
                </w:p>
              </w:tc>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技能培训及创业培训</w:t>
                  </w:r>
                </w:p>
              </w:tc>
              <w:tc>
                <w:tcPr>
                  <w:tcW w:type="dxa" w:w="7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技能培训不少于</w:t>
                  </w:r>
                  <w:r>
                    <w:rPr>
                      <w:rFonts w:ascii="仿宋_GB2312" w:hAnsi="仿宋_GB2312" w:cs="仿宋_GB2312" w:eastAsia="仿宋_GB2312"/>
                      <w:sz w:val="24"/>
                    </w:rPr>
                    <w:t>3个工种</w:t>
                  </w:r>
                </w:p>
              </w:tc>
              <w:tc>
                <w:tcPr>
                  <w:tcW w:type="dxa" w:w="8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800人</w:t>
                  </w:r>
                </w:p>
              </w:tc>
              <w:tc>
                <w:tcPr>
                  <w:tcW w:type="dxa" w:w="122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以上级政策文件及实际支出为准</w:t>
                  </w:r>
                </w:p>
              </w:tc>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110万元</w:t>
                  </w:r>
                </w:p>
              </w:tc>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隆昌市就业服务中心</w:t>
                  </w:r>
                </w:p>
              </w:tc>
            </w:tr>
            <w:tr>
              <w:tc>
                <w:tcPr>
                  <w:tcW w:type="dxa" w:w="307"/>
                  <w:vMerge/>
                  <w:tcBorders>
                    <w:top w:val="none" w:color="000000" w:sz="4"/>
                    <w:left w:val="single" w:color="000000" w:sz="4"/>
                    <w:bottom w:val="single" w:color="000000" w:sz="4"/>
                    <w:right w:val="single" w:color="000000" w:sz="4"/>
                  </w:tcBorders>
                </w:tcPr>
                <w:p/>
              </w:tc>
              <w:tc>
                <w:tcPr>
                  <w:tcW w:type="dxa" w:w="856"/>
                  <w:vMerge/>
                  <w:tcBorders>
                    <w:top w:val="none" w:color="000000" w:sz="4"/>
                    <w:left w:val="single" w:color="000000" w:sz="4"/>
                    <w:bottom w:val="single" w:color="000000" w:sz="4"/>
                    <w:right w:val="single" w:color="000000" w:sz="4"/>
                  </w:tcBorders>
                </w:tcPr>
                <w:p/>
              </w:tc>
              <w:tc>
                <w:tcPr>
                  <w:tcW w:type="dxa" w:w="779"/>
                  <w:vMerge/>
                  <w:tcBorders>
                    <w:top w:val="none" w:color="000000" w:sz="4"/>
                    <w:left w:val="single" w:color="000000" w:sz="4"/>
                    <w:bottom w:val="single" w:color="000000" w:sz="4"/>
                    <w:right w:val="single" w:color="000000" w:sz="4"/>
                  </w:tcBorders>
                </w:tcPr>
                <w:p/>
              </w:tc>
              <w:tc>
                <w:tcPr>
                  <w:tcW w:type="dxa" w:w="875"/>
                  <w:vMerge/>
                  <w:tcBorders>
                    <w:top w:val="none" w:color="000000" w:sz="4"/>
                    <w:left w:val="single" w:color="000000" w:sz="4"/>
                    <w:bottom w:val="single" w:color="000000" w:sz="4"/>
                    <w:right w:val="single" w:color="000000" w:sz="4"/>
                  </w:tcBorders>
                </w:tcPr>
                <w:p/>
              </w:tc>
              <w:tc>
                <w:tcPr>
                  <w:tcW w:type="dxa" w:w="1221"/>
                  <w:gridSpan w:val="2"/>
                  <w:vMerge/>
                  <w:tcBorders>
                    <w:top w:val="none" w:color="000000" w:sz="4"/>
                    <w:left w:val="single" w:color="000000" w:sz="4"/>
                    <w:bottom w:val="single" w:color="000000" w:sz="4"/>
                    <w:right w:val="single" w:color="000000" w:sz="4"/>
                  </w:tcBorders>
                </w:tcPr>
                <w:p/>
              </w:tc>
              <w:tc>
                <w:tcPr>
                  <w:tcW w:type="dxa" w:w="625"/>
                  <w:vMerge/>
                  <w:tcBorders>
                    <w:top w:val="none" w:color="000000" w:sz="4"/>
                    <w:left w:val="single" w:color="000000" w:sz="4"/>
                    <w:bottom w:val="single" w:color="000000" w:sz="4"/>
                    <w:right w:val="single" w:color="000000" w:sz="4"/>
                  </w:tcBorders>
                </w:tcPr>
                <w:p/>
              </w:tc>
              <w:tc>
                <w:tcPr>
                  <w:tcW w:type="dxa" w:w="894"/>
                  <w:vMerge/>
                  <w:tcBorders>
                    <w:top w:val="none" w:color="000000" w:sz="4"/>
                    <w:left w:val="single" w:color="000000" w:sz="4"/>
                    <w:bottom w:val="single" w:color="000000" w:sz="4"/>
                    <w:right w:val="single" w:color="000000" w:sz="4"/>
                  </w:tcBorders>
                </w:tcPr>
                <w:p/>
              </w:tc>
            </w:tr>
            <w:tr>
              <w:tc>
                <w:tcPr>
                  <w:tcW w:type="dxa" w:w="307"/>
                  <w:vMerge/>
                  <w:tcBorders>
                    <w:top w:val="none" w:color="000000" w:sz="4"/>
                    <w:left w:val="single" w:color="000000" w:sz="4"/>
                    <w:bottom w:val="single" w:color="000000" w:sz="4"/>
                    <w:right w:val="single" w:color="000000" w:sz="4"/>
                  </w:tcBorders>
                </w:tcPr>
                <w:p/>
              </w:tc>
              <w:tc>
                <w:tcPr>
                  <w:tcW w:type="dxa" w:w="856"/>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创业培训</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200人</w:t>
                  </w:r>
                </w:p>
              </w:tc>
              <w:tc>
                <w:tcPr>
                  <w:tcW w:type="dxa" w:w="1221"/>
                  <w:gridSpan w:val="2"/>
                  <w:vMerge/>
                  <w:tcBorders>
                    <w:top w:val="none" w:color="000000" w:sz="4"/>
                    <w:left w:val="single" w:color="000000" w:sz="4"/>
                    <w:bottom w:val="single" w:color="000000" w:sz="4"/>
                    <w:right w:val="single" w:color="000000" w:sz="4"/>
                  </w:tcBorders>
                </w:tcPr>
                <w:p/>
              </w:tc>
              <w:tc>
                <w:tcPr>
                  <w:tcW w:type="dxa" w:w="625"/>
                  <w:vMerge/>
                  <w:tcBorders>
                    <w:top w:val="none" w:color="000000" w:sz="4"/>
                    <w:left w:val="single" w:color="000000" w:sz="4"/>
                    <w:bottom w:val="single" w:color="000000" w:sz="4"/>
                    <w:right w:val="single" w:color="000000" w:sz="4"/>
                  </w:tcBorders>
                </w:tcPr>
                <w:p/>
              </w:tc>
              <w:tc>
                <w:tcPr>
                  <w:tcW w:type="dxa" w:w="894"/>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b/>
              </w:rPr>
              <w:t>注：采购人可根据政策变动、成交供应商在培训过程中的履约能力情况（包括办学能力、办学规模、培训实施计划、招生等）对培训人数进行合理调剂。</w:t>
            </w:r>
          </w:p>
          <w:p>
            <w:pPr>
              <w:pStyle w:val="null3"/>
              <w:ind w:firstLine="482"/>
              <w:jc w:val="both"/>
            </w:pPr>
            <w:r>
              <w:rPr>
                <w:rFonts w:ascii="仿宋_GB2312" w:hAnsi="仿宋_GB2312" w:cs="仿宋_GB2312" w:eastAsia="仿宋_GB2312"/>
                <w:sz w:val="24"/>
                <w:b/>
              </w:rPr>
              <w:t>（二）培训要求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培训对象</w:t>
            </w:r>
            <w:r>
              <w:rPr>
                <w:rFonts w:ascii="仿宋_GB2312" w:hAnsi="仿宋_GB2312" w:cs="仿宋_GB2312" w:eastAsia="仿宋_GB2312"/>
                <w:sz w:val="24"/>
              </w:rPr>
              <w:t>：</w:t>
            </w:r>
            <w:r>
              <w:rPr>
                <w:rFonts w:ascii="仿宋_GB2312" w:hAnsi="仿宋_GB2312" w:cs="仿宋_GB2312" w:eastAsia="仿宋_GB2312"/>
                <w:sz w:val="24"/>
              </w:rPr>
              <w:t>防止返贫检测对象、毕业年度高校毕业生</w:t>
            </w:r>
            <w:r>
              <w:rPr>
                <w:rFonts w:ascii="仿宋_GB2312" w:hAnsi="仿宋_GB2312" w:cs="仿宋_GB2312" w:eastAsia="仿宋_GB2312"/>
                <w:sz w:val="24"/>
              </w:rPr>
              <w:t>(含技工院校高级工班、预备技师班、技师班</w:t>
            </w:r>
            <w:r>
              <w:rPr>
                <w:rFonts w:ascii="仿宋_GB2312" w:hAnsi="仿宋_GB2312" w:cs="仿宋_GB2312" w:eastAsia="仿宋_GB2312"/>
                <w:sz w:val="24"/>
              </w:rPr>
              <w:t>和特殊教育院校职业教育类毕业生，下同</w:t>
            </w:r>
            <w:r>
              <w:rPr>
                <w:rFonts w:ascii="仿宋_GB2312" w:hAnsi="仿宋_GB2312" w:cs="仿宋_GB2312" w:eastAsia="仿宋_GB2312"/>
                <w:sz w:val="24"/>
              </w:rPr>
              <w:t>)、城乡未继续升学的应届初高中毕业生、农村转移就业劳动者、城镇登记失业人员、就业困难人员等。</w:t>
            </w:r>
          </w:p>
          <w:p>
            <w:pPr>
              <w:pStyle w:val="null3"/>
              <w:ind w:firstLine="470"/>
              <w:jc w:val="both"/>
            </w:pPr>
            <w:r>
              <w:rPr>
                <w:rFonts w:ascii="仿宋_GB2312" w:hAnsi="仿宋_GB2312" w:cs="仿宋_GB2312" w:eastAsia="仿宋_GB2312"/>
                <w:sz w:val="24"/>
                <w:b/>
              </w:rPr>
              <w:t>2.</w:t>
            </w:r>
            <w:r>
              <w:rPr>
                <w:rFonts w:ascii="仿宋_GB2312" w:hAnsi="仿宋_GB2312" w:cs="仿宋_GB2312" w:eastAsia="仿宋_GB2312"/>
                <w:sz w:val="24"/>
                <w:b/>
              </w:rPr>
              <w:t>培训方式：</w:t>
            </w:r>
            <w:r>
              <w:rPr>
                <w:rFonts w:ascii="仿宋_GB2312" w:hAnsi="仿宋_GB2312" w:cs="仿宋_GB2312" w:eastAsia="仿宋_GB2312"/>
                <w:sz w:val="24"/>
              </w:rPr>
              <w:t>实行</w:t>
            </w:r>
            <w:r>
              <w:rPr>
                <w:rFonts w:ascii="仿宋_GB2312" w:hAnsi="仿宋_GB2312" w:cs="仿宋_GB2312" w:eastAsia="仿宋_GB2312"/>
                <w:sz w:val="24"/>
              </w:rPr>
              <w:t>“理论”+“实操”的方式，供应商应结合镇街和培训学员的要求，</w:t>
            </w:r>
            <w:r>
              <w:rPr>
                <w:rFonts w:ascii="仿宋_GB2312" w:hAnsi="仿宋_GB2312" w:cs="仿宋_GB2312" w:eastAsia="仿宋_GB2312"/>
                <w:sz w:val="24"/>
              </w:rPr>
              <w:t>可采取</w:t>
            </w:r>
            <w:r>
              <w:rPr>
                <w:rFonts w:ascii="仿宋_GB2312" w:hAnsi="仿宋_GB2312" w:cs="仿宋_GB2312" w:eastAsia="仿宋_GB2312"/>
                <w:sz w:val="24"/>
              </w:rPr>
              <w:t>“送培训下乡”的方式</w:t>
            </w:r>
            <w:r>
              <w:rPr>
                <w:rFonts w:ascii="仿宋_GB2312" w:hAnsi="仿宋_GB2312" w:cs="仿宋_GB2312" w:eastAsia="仿宋_GB2312"/>
                <w:sz w:val="24"/>
              </w:rPr>
              <w:t>。</w:t>
            </w:r>
          </w:p>
          <w:p>
            <w:pPr>
              <w:pStyle w:val="null3"/>
              <w:ind w:firstLine="478"/>
              <w:jc w:val="both"/>
            </w:pPr>
            <w:r>
              <w:rPr>
                <w:rFonts w:ascii="仿宋_GB2312" w:hAnsi="仿宋_GB2312" w:cs="仿宋_GB2312" w:eastAsia="仿宋_GB2312"/>
                <w:sz w:val="24"/>
                <w:b/>
              </w:rPr>
              <w:t>3.培训场地：</w:t>
            </w:r>
            <w:r>
              <w:rPr>
                <w:rFonts w:ascii="仿宋_GB2312" w:hAnsi="仿宋_GB2312" w:cs="仿宋_GB2312" w:eastAsia="仿宋_GB2312"/>
                <w:sz w:val="24"/>
              </w:rPr>
              <w:t>教学场地可选择乡镇、村、社区会议室或正规教室，要求无安全隐患，有良好的照明和通风条件，</w:t>
            </w:r>
            <w:r>
              <w:rPr>
                <w:rFonts w:ascii="仿宋_GB2312" w:hAnsi="仿宋_GB2312" w:cs="仿宋_GB2312" w:eastAsia="仿宋_GB2312"/>
                <w:sz w:val="24"/>
              </w:rPr>
              <w:t>教学</w:t>
            </w:r>
            <w:r>
              <w:rPr>
                <w:rFonts w:ascii="仿宋_GB2312" w:hAnsi="仿宋_GB2312" w:cs="仿宋_GB2312" w:eastAsia="仿宋_GB2312"/>
                <w:sz w:val="24"/>
              </w:rPr>
              <w:t>设施设备齐全，有满足实操教学需要的操作场地。培训教材及培训设施设备能满足培训教学的需求。</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管理团队：</w:t>
            </w:r>
            <w:r>
              <w:rPr>
                <w:rFonts w:ascii="仿宋_GB2312" w:hAnsi="仿宋_GB2312" w:cs="仿宋_GB2312" w:eastAsia="仿宋_GB2312"/>
                <w:sz w:val="24"/>
              </w:rPr>
              <w:t>供应商应有科学完善的组织机构、教学管理、学员管理、财务管理和卫生安全管理等制度，负责培训过程的安全以及秩序维护。</w:t>
            </w:r>
          </w:p>
          <w:p>
            <w:pPr>
              <w:pStyle w:val="null3"/>
              <w:ind w:firstLine="482"/>
              <w:jc w:val="both"/>
            </w:pPr>
            <w:r>
              <w:rPr>
                <w:rFonts w:ascii="仿宋_GB2312" w:hAnsi="仿宋_GB2312" w:cs="仿宋_GB2312" w:eastAsia="仿宋_GB2312"/>
                <w:sz w:val="24"/>
                <w:b/>
              </w:rPr>
              <w:t>5.培训组织</w:t>
            </w:r>
          </w:p>
          <w:p>
            <w:pPr>
              <w:pStyle w:val="null3"/>
              <w:ind w:firstLine="460"/>
              <w:jc w:val="left"/>
            </w:pPr>
            <w:r>
              <w:rPr>
                <w:rFonts w:ascii="仿宋_GB2312" w:hAnsi="仿宋_GB2312" w:cs="仿宋_GB2312" w:eastAsia="仿宋_GB2312"/>
                <w:sz w:val="24"/>
              </w:rPr>
              <w:t>5.1</w:t>
            </w:r>
            <w:r>
              <w:rPr>
                <w:rFonts w:ascii="仿宋_GB2312" w:hAnsi="仿宋_GB2312" w:cs="仿宋_GB2312" w:eastAsia="仿宋_GB2312"/>
                <w:sz w:val="24"/>
              </w:rPr>
              <w:t>培训规模：技能培训每个培训班不超过</w:t>
            </w:r>
            <w:r>
              <w:rPr>
                <w:rFonts w:ascii="仿宋_GB2312" w:hAnsi="仿宋_GB2312" w:cs="仿宋_GB2312" w:eastAsia="仿宋_GB2312"/>
                <w:sz w:val="24"/>
              </w:rPr>
              <w:t>50人；创业培训每个培训班不超过30人。</w:t>
            </w:r>
          </w:p>
          <w:p>
            <w:pPr>
              <w:pStyle w:val="null3"/>
              <w:ind w:firstLine="476"/>
              <w:jc w:val="both"/>
            </w:pPr>
            <w:r>
              <w:rPr>
                <w:rFonts w:ascii="仿宋_GB2312" w:hAnsi="仿宋_GB2312" w:cs="仿宋_GB2312" w:eastAsia="仿宋_GB2312"/>
                <w:sz w:val="24"/>
              </w:rPr>
              <w:t>5.2</w:t>
            </w:r>
            <w:r>
              <w:rPr>
                <w:rFonts w:ascii="仿宋_GB2312" w:hAnsi="仿宋_GB2312" w:cs="仿宋_GB2312" w:eastAsia="仿宋_GB2312"/>
                <w:sz w:val="24"/>
              </w:rPr>
              <w:t>培训课时：培训</w:t>
            </w:r>
            <w:r>
              <w:rPr>
                <w:rFonts w:ascii="仿宋_GB2312" w:hAnsi="仿宋_GB2312" w:cs="仿宋_GB2312" w:eastAsia="仿宋_GB2312"/>
                <w:sz w:val="24"/>
              </w:rPr>
              <w:t>时长按照《内江市重点就业群体职业技能培训补贴标准》要求及相关政策文件</w:t>
            </w:r>
            <w:r>
              <w:rPr>
                <w:rFonts w:ascii="仿宋_GB2312" w:hAnsi="仿宋_GB2312" w:cs="仿宋_GB2312" w:eastAsia="仿宋_GB2312"/>
                <w:sz w:val="24"/>
              </w:rPr>
              <w:t>设置。</w:t>
            </w:r>
          </w:p>
          <w:p>
            <w:pPr>
              <w:pStyle w:val="null3"/>
              <w:ind w:firstLine="476"/>
              <w:jc w:val="both"/>
            </w:pPr>
            <w:r>
              <w:rPr>
                <w:rFonts w:ascii="仿宋_GB2312" w:hAnsi="仿宋_GB2312" w:cs="仿宋_GB2312" w:eastAsia="仿宋_GB2312"/>
                <w:sz w:val="24"/>
              </w:rPr>
              <w:t>5.3</w:t>
            </w:r>
            <w:r>
              <w:rPr>
                <w:rFonts w:ascii="仿宋_GB2312" w:hAnsi="仿宋_GB2312" w:cs="仿宋_GB2312" w:eastAsia="仿宋_GB2312"/>
                <w:sz w:val="24"/>
              </w:rPr>
              <w:t>学员审核：</w:t>
            </w:r>
            <w:r>
              <w:rPr>
                <w:rFonts w:ascii="仿宋_GB2312" w:hAnsi="仿宋_GB2312" w:cs="仿宋_GB2312" w:eastAsia="仿宋_GB2312"/>
                <w:sz w:val="24"/>
              </w:rPr>
              <w:t>成交供应商</w:t>
            </w:r>
            <w:r>
              <w:rPr>
                <w:rFonts w:ascii="仿宋_GB2312" w:hAnsi="仿宋_GB2312" w:cs="仿宋_GB2312" w:eastAsia="仿宋_GB2312"/>
                <w:sz w:val="24"/>
              </w:rPr>
              <w:t>要将参训学员在就业</w:t>
            </w:r>
            <w:r>
              <w:rPr>
                <w:rFonts w:ascii="仿宋_GB2312" w:hAnsi="仿宋_GB2312" w:cs="仿宋_GB2312" w:eastAsia="仿宋_GB2312"/>
                <w:sz w:val="24"/>
              </w:rPr>
              <w:t>V3.0</w:t>
            </w:r>
            <w:r>
              <w:rPr>
                <w:rFonts w:ascii="仿宋_GB2312" w:hAnsi="仿宋_GB2312" w:cs="仿宋_GB2312" w:eastAsia="仿宋_GB2312"/>
                <w:sz w:val="24"/>
              </w:rPr>
              <w:t>系统数据库进行比对避免重复培训。要将培训学员录入</w:t>
            </w:r>
            <w:r>
              <w:rPr>
                <w:rFonts w:ascii="仿宋_GB2312" w:hAnsi="仿宋_GB2312" w:cs="仿宋_GB2312" w:eastAsia="仿宋_GB2312"/>
                <w:sz w:val="24"/>
              </w:rPr>
              <w:t>V3.0</w:t>
            </w:r>
            <w:r>
              <w:rPr>
                <w:rFonts w:ascii="仿宋_GB2312" w:hAnsi="仿宋_GB2312" w:cs="仿宋_GB2312" w:eastAsia="仿宋_GB2312"/>
                <w:sz w:val="24"/>
              </w:rPr>
              <w:t>系统数据库，不能录入系统的不能参加培训。</w:t>
            </w:r>
          </w:p>
          <w:p>
            <w:pPr>
              <w:pStyle w:val="null3"/>
              <w:ind w:firstLine="476"/>
              <w:jc w:val="both"/>
            </w:pPr>
            <w:r>
              <w:rPr>
                <w:rFonts w:ascii="仿宋_GB2312" w:hAnsi="仿宋_GB2312" w:cs="仿宋_GB2312" w:eastAsia="仿宋_GB2312"/>
                <w:sz w:val="24"/>
              </w:rPr>
              <w:t>5.4</w:t>
            </w:r>
            <w:r>
              <w:rPr>
                <w:rFonts w:ascii="仿宋_GB2312" w:hAnsi="仿宋_GB2312" w:cs="仿宋_GB2312" w:eastAsia="仿宋_GB2312"/>
                <w:sz w:val="24"/>
              </w:rPr>
              <w:t>培训开班</w:t>
            </w:r>
            <w:r>
              <w:rPr>
                <w:rFonts w:ascii="仿宋_GB2312" w:hAnsi="仿宋_GB2312" w:cs="仿宋_GB2312" w:eastAsia="仿宋_GB2312"/>
                <w:sz w:val="24"/>
              </w:rPr>
              <w:t>准备</w:t>
            </w:r>
            <w:r>
              <w:rPr>
                <w:rFonts w:ascii="仿宋_GB2312" w:hAnsi="仿宋_GB2312" w:cs="仿宋_GB2312" w:eastAsia="仿宋_GB2312"/>
                <w:sz w:val="24"/>
              </w:rPr>
              <w:t>：</w:t>
            </w:r>
            <w:r>
              <w:rPr>
                <w:rFonts w:ascii="仿宋_GB2312" w:hAnsi="仿宋_GB2312" w:cs="仿宋_GB2312" w:eastAsia="仿宋_GB2312"/>
                <w:sz w:val="24"/>
              </w:rPr>
              <w:t>成交供应商需在开班前确定好培训专业、人员类别、培训地点、课程表等相关资料，登录</w:t>
            </w:r>
            <w:r>
              <w:rPr>
                <w:rFonts w:ascii="仿宋_GB2312" w:hAnsi="仿宋_GB2312" w:cs="仿宋_GB2312" w:eastAsia="仿宋_GB2312"/>
                <w:sz w:val="24"/>
              </w:rPr>
              <w:t>“四川就业培训机构管理平台”,据实完善培训机构的培训资质、专业（工种)、教职工等基本信息，准确填报开班计划申请（含班级信息、学员类别等信息）并保存提交，待审核通过后再完善教学场地、课程表、工种等信息，录入拟参训学员信息，提交开班确认。</w:t>
            </w:r>
            <w:r>
              <w:rPr>
                <w:rFonts w:ascii="仿宋_GB2312" w:hAnsi="仿宋_GB2312" w:cs="仿宋_GB2312" w:eastAsia="仿宋_GB2312"/>
                <w:sz w:val="24"/>
              </w:rPr>
              <w:t xml:space="preserve"> </w:t>
            </w:r>
            <w:r>
              <w:rPr>
                <w:rFonts w:ascii="仿宋_GB2312" w:hAnsi="仿宋_GB2312" w:cs="仿宋_GB2312" w:eastAsia="仿宋_GB2312"/>
                <w:sz w:val="24"/>
              </w:rPr>
              <w:t>隆昌市就业服务中心</w:t>
            </w:r>
            <w:r>
              <w:rPr>
                <w:rFonts w:ascii="仿宋_GB2312" w:hAnsi="仿宋_GB2312" w:cs="仿宋_GB2312" w:eastAsia="仿宋_GB2312"/>
                <w:sz w:val="24"/>
              </w:rPr>
              <w:t>通过</w:t>
            </w:r>
            <w:r>
              <w:rPr>
                <w:rFonts w:ascii="仿宋_GB2312" w:hAnsi="仿宋_GB2312" w:cs="仿宋_GB2312" w:eastAsia="仿宋_GB2312"/>
                <w:sz w:val="24"/>
              </w:rPr>
              <w:t>“四川公共就业创业服务管理信息系统”对培训机构及其专业（工种)、教师资质信息、班级信息、学员身份、培训时间、培训地点、培训教材、培训课表等信息进行逐项审核，符合条件的准予开班。经审核通过的开班计划，培训机构必须按时开班，并同步开启监控设备，保持设备正常运行。</w:t>
            </w:r>
          </w:p>
          <w:p>
            <w:pPr>
              <w:pStyle w:val="null3"/>
              <w:ind w:firstLine="476"/>
              <w:jc w:val="both"/>
            </w:pPr>
            <w:r>
              <w:rPr>
                <w:rFonts w:ascii="仿宋_GB2312" w:hAnsi="仿宋_GB2312" w:cs="仿宋_GB2312" w:eastAsia="仿宋_GB2312"/>
                <w:sz w:val="24"/>
              </w:rPr>
              <w:t>5.5培训师资要求：成交供应商所配置的授课教师应具有相应资质证书，以确保培训工作的专业性与合规性。</w:t>
            </w:r>
          </w:p>
          <w:p>
            <w:pPr>
              <w:pStyle w:val="null3"/>
              <w:ind w:firstLine="476"/>
              <w:jc w:val="both"/>
            </w:pPr>
            <w:r>
              <w:rPr>
                <w:rFonts w:ascii="仿宋_GB2312" w:hAnsi="仿宋_GB2312" w:cs="仿宋_GB2312" w:eastAsia="仿宋_GB2312"/>
                <w:sz w:val="24"/>
              </w:rPr>
              <w:t>5.6培训视频录像：</w:t>
            </w:r>
            <w:r>
              <w:rPr>
                <w:rFonts w:ascii="仿宋_GB2312" w:hAnsi="仿宋_GB2312" w:cs="仿宋_GB2312" w:eastAsia="仿宋_GB2312"/>
                <w:sz w:val="24"/>
              </w:rPr>
              <w:t>为确保培训质量和真实性，培训过程实行全程视频录像，能反映上课内容</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视频录像存云盘。</w:t>
            </w:r>
          </w:p>
          <w:p>
            <w:pPr>
              <w:pStyle w:val="null3"/>
              <w:ind w:firstLine="476"/>
              <w:jc w:val="both"/>
            </w:pPr>
            <w:r>
              <w:rPr>
                <w:rFonts w:ascii="仿宋_GB2312" w:hAnsi="仿宋_GB2312" w:cs="仿宋_GB2312" w:eastAsia="仿宋_GB2312"/>
                <w:sz w:val="24"/>
              </w:rPr>
              <w:t>5.7</w:t>
            </w:r>
            <w:r>
              <w:rPr>
                <w:rFonts w:ascii="仿宋_GB2312" w:hAnsi="仿宋_GB2312" w:cs="仿宋_GB2312" w:eastAsia="仿宋_GB2312"/>
                <w:sz w:val="24"/>
              </w:rPr>
              <w:t>培训监管</w:t>
            </w:r>
            <w:r>
              <w:rPr>
                <w:rFonts w:ascii="仿宋_GB2312" w:hAnsi="仿宋_GB2312" w:cs="仿宋_GB2312" w:eastAsia="仿宋_GB2312"/>
                <w:sz w:val="24"/>
              </w:rPr>
              <w:t>考勤</w:t>
            </w:r>
            <w:r>
              <w:rPr>
                <w:rFonts w:ascii="仿宋_GB2312" w:hAnsi="仿宋_GB2312" w:cs="仿宋_GB2312" w:eastAsia="仿宋_GB2312"/>
                <w:sz w:val="24"/>
              </w:rPr>
              <w:t>：</w:t>
            </w:r>
            <w:r>
              <w:rPr>
                <w:rFonts w:ascii="仿宋_GB2312" w:hAnsi="仿宋_GB2312" w:cs="仿宋_GB2312" w:eastAsia="仿宋_GB2312"/>
                <w:sz w:val="24"/>
              </w:rPr>
              <w:t>按《内江市补贴性职业技能培训在线监督管理办法（试行）》内就领办</w:t>
            </w:r>
            <w:r>
              <w:rPr>
                <w:rFonts w:ascii="仿宋_GB2312" w:hAnsi="仿宋_GB2312" w:cs="仿宋_GB2312" w:eastAsia="仿宋_GB2312"/>
                <w:sz w:val="24"/>
              </w:rPr>
              <w:t>〔</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3号执行。</w:t>
            </w:r>
          </w:p>
          <w:p>
            <w:pPr>
              <w:pStyle w:val="null3"/>
              <w:ind w:firstLine="476"/>
              <w:jc w:val="both"/>
            </w:pPr>
            <w:r>
              <w:rPr>
                <w:rFonts w:ascii="仿宋_GB2312" w:hAnsi="仿宋_GB2312" w:cs="仿宋_GB2312" w:eastAsia="仿宋_GB2312"/>
                <w:sz w:val="24"/>
              </w:rPr>
              <w:t>5.8</w:t>
            </w:r>
            <w:r>
              <w:rPr>
                <w:rFonts w:ascii="仿宋_GB2312" w:hAnsi="仿宋_GB2312" w:cs="仿宋_GB2312" w:eastAsia="仿宋_GB2312"/>
                <w:sz w:val="24"/>
              </w:rPr>
              <w:t>考试考核：</w:t>
            </w:r>
            <w:r>
              <w:rPr>
                <w:rFonts w:ascii="仿宋_GB2312" w:hAnsi="仿宋_GB2312" w:cs="仿宋_GB2312" w:eastAsia="仿宋_GB2312"/>
                <w:sz w:val="24"/>
              </w:rPr>
              <w:t>成交供应商按计划完成教学任务后，应组织结业考试考核，考试考核结果录入</w:t>
            </w:r>
            <w:r>
              <w:rPr>
                <w:rFonts w:ascii="仿宋_GB2312" w:hAnsi="仿宋_GB2312" w:cs="仿宋_GB2312" w:eastAsia="仿宋_GB2312"/>
                <w:sz w:val="24"/>
              </w:rPr>
              <w:t>“四川就业培训机构管理台”，作为申请培训结业的必备资料。</w:t>
            </w:r>
          </w:p>
          <w:p>
            <w:pPr>
              <w:pStyle w:val="null3"/>
              <w:ind w:firstLine="476"/>
              <w:jc w:val="both"/>
            </w:pPr>
            <w:r>
              <w:rPr>
                <w:rFonts w:ascii="仿宋_GB2312" w:hAnsi="仿宋_GB2312" w:cs="仿宋_GB2312" w:eastAsia="仿宋_GB2312"/>
                <w:sz w:val="24"/>
              </w:rPr>
              <w:t>5.9资料存储：成交供应商通过“四川就业培训机构管理平台”上传各培训班次的视频资料，保存时间至少5年。</w:t>
            </w:r>
          </w:p>
          <w:p>
            <w:pPr>
              <w:pStyle w:val="null3"/>
              <w:ind w:firstLine="476"/>
              <w:jc w:val="both"/>
            </w:pPr>
            <w:r>
              <w:rPr>
                <w:rFonts w:ascii="仿宋_GB2312" w:hAnsi="仿宋_GB2312" w:cs="仿宋_GB2312" w:eastAsia="仿宋_GB2312"/>
                <w:sz w:val="24"/>
              </w:rPr>
              <w:t>5.10在</w:t>
            </w:r>
            <w:r>
              <w:rPr>
                <w:rFonts w:ascii="仿宋_GB2312" w:hAnsi="仿宋_GB2312" w:cs="仿宋_GB2312" w:eastAsia="仿宋_GB2312"/>
                <w:sz w:val="24"/>
              </w:rPr>
              <w:t>培训期间不得收取学员任何费用。</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培训要求</w:t>
            </w:r>
          </w:p>
          <w:p>
            <w:pPr>
              <w:pStyle w:val="null3"/>
              <w:ind w:firstLine="476"/>
              <w:jc w:val="both"/>
            </w:pPr>
            <w:r>
              <w:rPr>
                <w:rFonts w:ascii="仿宋_GB2312" w:hAnsi="仿宋_GB2312" w:cs="仿宋_GB2312" w:eastAsia="仿宋_GB2312"/>
                <w:sz w:val="24"/>
              </w:rPr>
              <w:t>6.1</w:t>
            </w:r>
            <w:r>
              <w:rPr>
                <w:rFonts w:ascii="仿宋_GB2312" w:hAnsi="仿宋_GB2312" w:cs="仿宋_GB2312" w:eastAsia="仿宋_GB2312"/>
                <w:sz w:val="24"/>
              </w:rPr>
              <w:t>培训内容应具有实效性、可操作性并与市场要求相契合。</w:t>
            </w:r>
          </w:p>
          <w:p>
            <w:pPr>
              <w:pStyle w:val="null3"/>
              <w:ind w:firstLine="476"/>
              <w:jc w:val="both"/>
            </w:pPr>
            <w:r>
              <w:rPr>
                <w:rFonts w:ascii="仿宋_GB2312" w:hAnsi="仿宋_GB2312" w:cs="仿宋_GB2312" w:eastAsia="仿宋_GB2312"/>
                <w:sz w:val="24"/>
              </w:rPr>
              <w:t>6.2</w:t>
            </w:r>
            <w:r>
              <w:rPr>
                <w:rFonts w:ascii="仿宋_GB2312" w:hAnsi="仿宋_GB2312" w:cs="仿宋_GB2312" w:eastAsia="仿宋_GB2312"/>
                <w:sz w:val="24"/>
              </w:rPr>
              <w:t>培训内容应符合国家法律、法规要求。</w:t>
            </w:r>
          </w:p>
          <w:p>
            <w:pPr>
              <w:pStyle w:val="null3"/>
              <w:ind w:firstLine="476"/>
              <w:jc w:val="both"/>
            </w:pPr>
            <w:r>
              <w:rPr>
                <w:rFonts w:ascii="仿宋_GB2312" w:hAnsi="仿宋_GB2312" w:cs="仿宋_GB2312" w:eastAsia="仿宋_GB2312"/>
                <w:sz w:val="24"/>
              </w:rPr>
              <w:t>6.3培训</w:t>
            </w:r>
            <w:r>
              <w:rPr>
                <w:rFonts w:ascii="仿宋_GB2312" w:hAnsi="仿宋_GB2312" w:cs="仿宋_GB2312" w:eastAsia="仿宋_GB2312"/>
                <w:sz w:val="24"/>
              </w:rPr>
              <w:t>机构应对培训教师加强师德师风建设。</w:t>
            </w:r>
          </w:p>
          <w:p>
            <w:pPr>
              <w:pStyle w:val="null3"/>
              <w:ind w:firstLine="482"/>
              <w:jc w:val="left"/>
            </w:pPr>
            <w:r>
              <w:rPr>
                <w:rFonts w:ascii="仿宋_GB2312" w:hAnsi="仿宋_GB2312" w:cs="仿宋_GB2312" w:eastAsia="仿宋_GB2312"/>
                <w:sz w:val="24"/>
                <w:b/>
              </w:rPr>
              <w:t>7.</w:t>
            </w:r>
            <w:r>
              <w:rPr>
                <w:rFonts w:ascii="仿宋_GB2312" w:hAnsi="仿宋_GB2312" w:cs="仿宋_GB2312" w:eastAsia="仿宋_GB2312"/>
                <w:sz w:val="24"/>
                <w:b/>
              </w:rPr>
              <w:t>监督检查：</w:t>
            </w:r>
            <w:r>
              <w:rPr>
                <w:rFonts w:ascii="仿宋_GB2312" w:hAnsi="仿宋_GB2312" w:cs="仿宋_GB2312" w:eastAsia="仿宋_GB2312"/>
                <w:sz w:val="24"/>
              </w:rPr>
              <w:t>自觉接受采购人的日常管理、指导服务和质量监管，配合采购人和相关部门的检查、审计。</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档案管理：</w:t>
            </w:r>
            <w:r>
              <w:rPr>
                <w:rFonts w:ascii="仿宋_GB2312" w:hAnsi="仿宋_GB2312" w:cs="仿宋_GB2312" w:eastAsia="仿宋_GB2312"/>
                <w:sz w:val="24"/>
              </w:rPr>
              <w:t>成交</w:t>
            </w:r>
            <w:r>
              <w:rPr>
                <w:rFonts w:ascii="仿宋_GB2312" w:hAnsi="仿宋_GB2312" w:cs="仿宋_GB2312" w:eastAsia="仿宋_GB2312"/>
                <w:sz w:val="24"/>
              </w:rPr>
              <w:t>供应商应按班建立相应的培训台账和学员就业情况台账，按档案</w:t>
            </w:r>
            <w:r>
              <w:rPr>
                <w:rFonts w:ascii="仿宋_GB2312" w:hAnsi="仿宋_GB2312" w:cs="仿宋_GB2312" w:eastAsia="仿宋_GB2312"/>
                <w:sz w:val="24"/>
              </w:rPr>
              <w:t>管理规定存档备查。</w:t>
            </w:r>
          </w:p>
          <w:p>
            <w:pPr>
              <w:pStyle w:val="null3"/>
              <w:ind w:firstLine="442"/>
              <w:jc w:val="left"/>
            </w:pPr>
            <w:r>
              <w:rPr>
                <w:rFonts w:ascii="仿宋_GB2312" w:hAnsi="仿宋_GB2312" w:cs="仿宋_GB2312" w:eastAsia="仿宋_GB2312"/>
                <w:sz w:val="24"/>
                <w:b/>
              </w:rPr>
              <w:t>9.</w:t>
            </w:r>
            <w:r>
              <w:rPr>
                <w:rFonts w:ascii="仿宋_GB2312" w:hAnsi="仿宋_GB2312" w:cs="仿宋_GB2312" w:eastAsia="仿宋_GB2312"/>
                <w:sz w:val="24"/>
                <w:b/>
              </w:rPr>
              <w:t>后续服务：</w:t>
            </w:r>
            <w:r>
              <w:rPr>
                <w:rFonts w:ascii="仿宋_GB2312" w:hAnsi="仿宋_GB2312" w:cs="仿宋_GB2312" w:eastAsia="仿宋_GB2312"/>
                <w:sz w:val="24"/>
              </w:rPr>
              <w:t>培训每个培训班次结束后供应商需开展后续跟踪服务，积极推送岗位信息，统计上报学员就业情况，以服务促就业，创业带动就业，努力提高就业率。</w:t>
            </w:r>
          </w:p>
          <w:p>
            <w:pPr>
              <w:pStyle w:val="null3"/>
              <w:ind w:firstLine="442"/>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标的名称：品牌培训及返乡创业培训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（一）服务</w:t>
            </w:r>
            <w:r>
              <w:rPr>
                <w:rFonts w:ascii="仿宋_GB2312" w:hAnsi="仿宋_GB2312" w:cs="仿宋_GB2312" w:eastAsia="仿宋_GB2312"/>
                <w:sz w:val="24"/>
                <w:b/>
              </w:rPr>
              <w:t>清单</w:t>
            </w:r>
          </w:p>
          <w:tbl>
            <w:tblPr>
              <w:tblBorders>
                <w:top w:val="none" w:color="000000" w:sz="4"/>
                <w:left w:val="none" w:color="000000" w:sz="4"/>
                <w:bottom w:val="none" w:color="000000" w:sz="4"/>
                <w:right w:val="none" w:color="000000" w:sz="4"/>
                <w:insideH w:val="none"/>
                <w:insideV w:val="none"/>
              </w:tblBorders>
            </w:tblPr>
            <w:tblGrid>
              <w:gridCol w:w="307"/>
              <w:gridCol w:w="856"/>
              <w:gridCol w:w="779"/>
              <w:gridCol w:w="875"/>
              <w:gridCol w:w="577"/>
              <w:gridCol w:w="644"/>
              <w:gridCol w:w="625"/>
              <w:gridCol w:w="894"/>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培训内容</w:t>
                  </w:r>
                </w:p>
              </w:tc>
              <w:tc>
                <w:tcPr>
                  <w:tcW w:type="dxa" w:w="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培训人数（预估）</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培训补贴标准</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鉴定补贴标准</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预计补贴费用</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经办机构</w:t>
                  </w:r>
                </w:p>
              </w:tc>
            </w:tr>
            <w:tr>
              <w:tc>
                <w:tcPr>
                  <w:tcW w:type="dxa" w:w="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02</w:t>
                  </w:r>
                </w:p>
              </w:tc>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品牌培训及返乡创业培训</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品牌培训</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700人</w:t>
                  </w:r>
                </w:p>
              </w:tc>
              <w:tc>
                <w:tcPr>
                  <w:tcW w:type="dxa" w:w="122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以上级政策文件及实际支出为准</w:t>
                  </w:r>
                </w:p>
              </w:tc>
              <w:tc>
                <w:tcPr>
                  <w:tcW w:type="dxa" w:w="6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90万元</w:t>
                  </w:r>
                </w:p>
              </w:tc>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隆昌市农民工服务中心</w:t>
                  </w:r>
                </w:p>
              </w:tc>
            </w:tr>
            <w:tr>
              <w:tc>
                <w:tcPr>
                  <w:tcW w:type="dxa" w:w="307"/>
                  <w:vMerge/>
                  <w:tcBorders>
                    <w:top w:val="none" w:color="000000" w:sz="4"/>
                    <w:left w:val="single" w:color="000000" w:sz="4"/>
                    <w:bottom w:val="single" w:color="000000" w:sz="4"/>
                    <w:right w:val="single" w:color="000000" w:sz="4"/>
                  </w:tcBorders>
                </w:tcPr>
                <w:p/>
              </w:tc>
              <w:tc>
                <w:tcPr>
                  <w:tcW w:type="dxa" w:w="856"/>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返乡创业</w:t>
                  </w:r>
                  <w:r>
                    <w:rPr>
                      <w:rFonts w:ascii="仿宋_GB2312" w:hAnsi="仿宋_GB2312" w:cs="仿宋_GB2312" w:eastAsia="仿宋_GB2312"/>
                      <w:sz w:val="22"/>
                    </w:rPr>
                    <w:t>培训</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100人</w:t>
                  </w:r>
                </w:p>
              </w:tc>
              <w:tc>
                <w:tcPr>
                  <w:tcW w:type="dxa" w:w="1221"/>
                  <w:gridSpan w:val="2"/>
                  <w:vMerge/>
                  <w:tcBorders>
                    <w:top w:val="none" w:color="000000" w:sz="4"/>
                    <w:left w:val="single" w:color="000000" w:sz="4"/>
                    <w:bottom w:val="single" w:color="000000" w:sz="4"/>
                    <w:right w:val="single" w:color="000000" w:sz="4"/>
                  </w:tcBorders>
                </w:tcPr>
                <w:p/>
              </w:tc>
              <w:tc>
                <w:tcPr>
                  <w:tcW w:type="dxa" w:w="625"/>
                  <w:vMerge/>
                  <w:tcBorders>
                    <w:top w:val="none" w:color="000000" w:sz="4"/>
                    <w:left w:val="single" w:color="000000" w:sz="4"/>
                    <w:bottom w:val="single" w:color="000000" w:sz="4"/>
                    <w:right w:val="single" w:color="000000" w:sz="4"/>
                  </w:tcBorders>
                </w:tcPr>
                <w:p/>
              </w:tc>
              <w:tc>
                <w:tcPr>
                  <w:tcW w:type="dxa" w:w="894"/>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b/>
                <w:color w:val="000000"/>
              </w:rPr>
              <w:t>注：采购人可根据政策变动、成交供应商在培训过程中的履约能力情况（包括办学能力、办学规模、培训实施计划、招生等）对培训人数进行合理调剂。</w:t>
            </w:r>
          </w:p>
          <w:p>
            <w:pPr>
              <w:pStyle w:val="null3"/>
              <w:ind w:firstLine="482"/>
              <w:jc w:val="both"/>
            </w:pPr>
            <w:r>
              <w:rPr>
                <w:rFonts w:ascii="仿宋_GB2312" w:hAnsi="仿宋_GB2312" w:cs="仿宋_GB2312" w:eastAsia="仿宋_GB2312"/>
                <w:sz w:val="24"/>
                <w:b/>
              </w:rPr>
              <w:t>（二）培训要求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培训对象</w:t>
            </w:r>
            <w:r>
              <w:rPr>
                <w:rFonts w:ascii="仿宋_GB2312" w:hAnsi="仿宋_GB2312" w:cs="仿宋_GB2312" w:eastAsia="仿宋_GB2312"/>
                <w:sz w:val="24"/>
              </w:rPr>
              <w:t>：</w:t>
            </w:r>
            <w:r>
              <w:rPr>
                <w:rFonts w:ascii="仿宋_GB2312" w:hAnsi="仿宋_GB2312" w:cs="仿宋_GB2312" w:eastAsia="仿宋_GB2312"/>
                <w:sz w:val="24"/>
              </w:rPr>
              <w:t>防止返贫检测对象、毕业年度高校毕业生</w:t>
            </w:r>
            <w:r>
              <w:rPr>
                <w:rFonts w:ascii="仿宋_GB2312" w:hAnsi="仿宋_GB2312" w:cs="仿宋_GB2312" w:eastAsia="仿宋_GB2312"/>
                <w:sz w:val="24"/>
              </w:rPr>
              <w:t>(含技工院校高级工班、预备技师班、技师班和特殊教育院校职业教育类毕业生，下同)、城乡未继续升学的应届初高中毕业生、农村转移就业劳动者、城镇登记失业人员、就业困难人员等。</w:t>
            </w:r>
          </w:p>
          <w:p>
            <w:pPr>
              <w:pStyle w:val="null3"/>
              <w:ind w:firstLine="470"/>
              <w:jc w:val="both"/>
            </w:pPr>
            <w:r>
              <w:rPr>
                <w:rFonts w:ascii="仿宋_GB2312" w:hAnsi="仿宋_GB2312" w:cs="仿宋_GB2312" w:eastAsia="仿宋_GB2312"/>
                <w:sz w:val="24"/>
                <w:b/>
              </w:rPr>
              <w:t>2.</w:t>
            </w:r>
            <w:r>
              <w:rPr>
                <w:rFonts w:ascii="仿宋_GB2312" w:hAnsi="仿宋_GB2312" w:cs="仿宋_GB2312" w:eastAsia="仿宋_GB2312"/>
                <w:sz w:val="24"/>
                <w:b/>
              </w:rPr>
              <w:t>培训方式：</w:t>
            </w:r>
            <w:r>
              <w:rPr>
                <w:rFonts w:ascii="仿宋_GB2312" w:hAnsi="仿宋_GB2312" w:cs="仿宋_GB2312" w:eastAsia="仿宋_GB2312"/>
                <w:sz w:val="24"/>
              </w:rPr>
              <w:t>实行</w:t>
            </w:r>
            <w:r>
              <w:rPr>
                <w:rFonts w:ascii="仿宋_GB2312" w:hAnsi="仿宋_GB2312" w:cs="仿宋_GB2312" w:eastAsia="仿宋_GB2312"/>
                <w:sz w:val="24"/>
              </w:rPr>
              <w:t>“理论”+“实操”的方式，供应商应结合镇街和培训学员的要求，</w:t>
            </w:r>
            <w:r>
              <w:rPr>
                <w:rFonts w:ascii="仿宋_GB2312" w:hAnsi="仿宋_GB2312" w:cs="仿宋_GB2312" w:eastAsia="仿宋_GB2312"/>
                <w:sz w:val="24"/>
              </w:rPr>
              <w:t>可采取</w:t>
            </w:r>
            <w:r>
              <w:rPr>
                <w:rFonts w:ascii="仿宋_GB2312" w:hAnsi="仿宋_GB2312" w:cs="仿宋_GB2312" w:eastAsia="仿宋_GB2312"/>
                <w:sz w:val="24"/>
              </w:rPr>
              <w:t>“送培训下乡”的方式</w:t>
            </w:r>
            <w:r>
              <w:rPr>
                <w:rFonts w:ascii="仿宋_GB2312" w:hAnsi="仿宋_GB2312" w:cs="仿宋_GB2312" w:eastAsia="仿宋_GB2312"/>
                <w:sz w:val="24"/>
              </w:rPr>
              <w:t>。</w:t>
            </w:r>
          </w:p>
          <w:p>
            <w:pPr>
              <w:pStyle w:val="null3"/>
              <w:ind w:firstLine="478"/>
              <w:jc w:val="both"/>
            </w:pPr>
            <w:r>
              <w:rPr>
                <w:rFonts w:ascii="仿宋_GB2312" w:hAnsi="仿宋_GB2312" w:cs="仿宋_GB2312" w:eastAsia="仿宋_GB2312"/>
                <w:sz w:val="24"/>
                <w:b/>
              </w:rPr>
              <w:t>3.培训场地：</w:t>
            </w:r>
            <w:r>
              <w:rPr>
                <w:rFonts w:ascii="仿宋_GB2312" w:hAnsi="仿宋_GB2312" w:cs="仿宋_GB2312" w:eastAsia="仿宋_GB2312"/>
                <w:sz w:val="24"/>
              </w:rPr>
              <w:t>教学场地可选择乡镇、村、社区会议室或正规教室，要求无安全隐患，有良好的照明和通风条件，</w:t>
            </w:r>
            <w:r>
              <w:rPr>
                <w:rFonts w:ascii="仿宋_GB2312" w:hAnsi="仿宋_GB2312" w:cs="仿宋_GB2312" w:eastAsia="仿宋_GB2312"/>
                <w:sz w:val="24"/>
              </w:rPr>
              <w:t>教学</w:t>
            </w:r>
            <w:r>
              <w:rPr>
                <w:rFonts w:ascii="仿宋_GB2312" w:hAnsi="仿宋_GB2312" w:cs="仿宋_GB2312" w:eastAsia="仿宋_GB2312"/>
                <w:sz w:val="24"/>
              </w:rPr>
              <w:t>设施设备齐全，有满足实操教学需要的操作场地。培训教材及培训设施设备能满足培训教学的需求。</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管理团队：</w:t>
            </w:r>
            <w:r>
              <w:rPr>
                <w:rFonts w:ascii="仿宋_GB2312" w:hAnsi="仿宋_GB2312" w:cs="仿宋_GB2312" w:eastAsia="仿宋_GB2312"/>
                <w:sz w:val="24"/>
              </w:rPr>
              <w:t>供应商应有科学完善的组织机构、教学管理、学员管理、财务管理和卫生安全管理等制度，负责培训过程的安全以及秩序维护。</w:t>
            </w:r>
          </w:p>
          <w:p>
            <w:pPr>
              <w:pStyle w:val="null3"/>
              <w:ind w:firstLine="482"/>
              <w:jc w:val="both"/>
            </w:pPr>
            <w:r>
              <w:rPr>
                <w:rFonts w:ascii="仿宋_GB2312" w:hAnsi="仿宋_GB2312" w:cs="仿宋_GB2312" w:eastAsia="仿宋_GB2312"/>
                <w:sz w:val="24"/>
                <w:b/>
              </w:rPr>
              <w:t>5.培训组织</w:t>
            </w:r>
          </w:p>
          <w:p>
            <w:pPr>
              <w:pStyle w:val="null3"/>
              <w:ind w:firstLine="460"/>
              <w:jc w:val="left"/>
            </w:pPr>
            <w:r>
              <w:rPr>
                <w:rFonts w:ascii="仿宋_GB2312" w:hAnsi="仿宋_GB2312" w:cs="仿宋_GB2312" w:eastAsia="仿宋_GB2312"/>
                <w:sz w:val="24"/>
              </w:rPr>
              <w:t>5.1</w:t>
            </w:r>
            <w:r>
              <w:rPr>
                <w:rFonts w:ascii="仿宋_GB2312" w:hAnsi="仿宋_GB2312" w:cs="仿宋_GB2312" w:eastAsia="仿宋_GB2312"/>
                <w:sz w:val="24"/>
              </w:rPr>
              <w:t>培训规模：品牌培训每个培训班不超过</w:t>
            </w:r>
            <w:r>
              <w:rPr>
                <w:rFonts w:ascii="仿宋_GB2312" w:hAnsi="仿宋_GB2312" w:cs="仿宋_GB2312" w:eastAsia="仿宋_GB2312"/>
                <w:sz w:val="24"/>
              </w:rPr>
              <w:t>50人；返乡创业培训每个培训班不超过30人。</w:t>
            </w:r>
          </w:p>
          <w:p>
            <w:pPr>
              <w:pStyle w:val="null3"/>
              <w:ind w:firstLine="476"/>
              <w:jc w:val="both"/>
            </w:pPr>
            <w:r>
              <w:rPr>
                <w:rFonts w:ascii="仿宋_GB2312" w:hAnsi="仿宋_GB2312" w:cs="仿宋_GB2312" w:eastAsia="仿宋_GB2312"/>
                <w:sz w:val="24"/>
              </w:rPr>
              <w:t>5.2</w:t>
            </w:r>
            <w:r>
              <w:rPr>
                <w:rFonts w:ascii="仿宋_GB2312" w:hAnsi="仿宋_GB2312" w:cs="仿宋_GB2312" w:eastAsia="仿宋_GB2312"/>
                <w:sz w:val="24"/>
              </w:rPr>
              <w:t>培训课时：培训</w:t>
            </w:r>
            <w:r>
              <w:rPr>
                <w:rFonts w:ascii="仿宋_GB2312" w:hAnsi="仿宋_GB2312" w:cs="仿宋_GB2312" w:eastAsia="仿宋_GB2312"/>
                <w:sz w:val="24"/>
              </w:rPr>
              <w:t>时长按照《内江市重点就业群体职业技能培训补贴标准》要求及相关政策文件</w:t>
            </w:r>
            <w:r>
              <w:rPr>
                <w:rFonts w:ascii="仿宋_GB2312" w:hAnsi="仿宋_GB2312" w:cs="仿宋_GB2312" w:eastAsia="仿宋_GB2312"/>
                <w:sz w:val="24"/>
              </w:rPr>
              <w:t>设置。</w:t>
            </w:r>
          </w:p>
          <w:p>
            <w:pPr>
              <w:pStyle w:val="null3"/>
              <w:ind w:firstLine="476"/>
              <w:jc w:val="both"/>
            </w:pPr>
            <w:r>
              <w:rPr>
                <w:rFonts w:ascii="仿宋_GB2312" w:hAnsi="仿宋_GB2312" w:cs="仿宋_GB2312" w:eastAsia="仿宋_GB2312"/>
                <w:sz w:val="24"/>
              </w:rPr>
              <w:t>5.3</w:t>
            </w:r>
            <w:r>
              <w:rPr>
                <w:rFonts w:ascii="仿宋_GB2312" w:hAnsi="仿宋_GB2312" w:cs="仿宋_GB2312" w:eastAsia="仿宋_GB2312"/>
                <w:sz w:val="24"/>
              </w:rPr>
              <w:t>学员审核：</w:t>
            </w:r>
            <w:r>
              <w:rPr>
                <w:rFonts w:ascii="仿宋_GB2312" w:hAnsi="仿宋_GB2312" w:cs="仿宋_GB2312" w:eastAsia="仿宋_GB2312"/>
                <w:sz w:val="24"/>
              </w:rPr>
              <w:t>成交供应商</w:t>
            </w:r>
            <w:r>
              <w:rPr>
                <w:rFonts w:ascii="仿宋_GB2312" w:hAnsi="仿宋_GB2312" w:cs="仿宋_GB2312" w:eastAsia="仿宋_GB2312"/>
                <w:sz w:val="24"/>
              </w:rPr>
              <w:t>要将参训学员在就业</w:t>
            </w:r>
            <w:r>
              <w:rPr>
                <w:rFonts w:ascii="仿宋_GB2312" w:hAnsi="仿宋_GB2312" w:cs="仿宋_GB2312" w:eastAsia="仿宋_GB2312"/>
                <w:sz w:val="24"/>
              </w:rPr>
              <w:t>V3.0</w:t>
            </w:r>
            <w:r>
              <w:rPr>
                <w:rFonts w:ascii="仿宋_GB2312" w:hAnsi="仿宋_GB2312" w:cs="仿宋_GB2312" w:eastAsia="仿宋_GB2312"/>
                <w:sz w:val="24"/>
              </w:rPr>
              <w:t>系统数据库进行比对避免重复培训。要将培训学员录入</w:t>
            </w:r>
            <w:r>
              <w:rPr>
                <w:rFonts w:ascii="仿宋_GB2312" w:hAnsi="仿宋_GB2312" w:cs="仿宋_GB2312" w:eastAsia="仿宋_GB2312"/>
                <w:sz w:val="24"/>
              </w:rPr>
              <w:t>V3.0</w:t>
            </w:r>
            <w:r>
              <w:rPr>
                <w:rFonts w:ascii="仿宋_GB2312" w:hAnsi="仿宋_GB2312" w:cs="仿宋_GB2312" w:eastAsia="仿宋_GB2312"/>
                <w:sz w:val="24"/>
              </w:rPr>
              <w:t>系统数据库，不能录入系统的不能参加培训。</w:t>
            </w:r>
          </w:p>
          <w:p>
            <w:pPr>
              <w:pStyle w:val="null3"/>
              <w:ind w:firstLine="476"/>
              <w:jc w:val="both"/>
            </w:pPr>
            <w:r>
              <w:rPr>
                <w:rFonts w:ascii="仿宋_GB2312" w:hAnsi="仿宋_GB2312" w:cs="仿宋_GB2312" w:eastAsia="仿宋_GB2312"/>
                <w:sz w:val="24"/>
              </w:rPr>
              <w:t>5.4</w:t>
            </w:r>
            <w:r>
              <w:rPr>
                <w:rFonts w:ascii="仿宋_GB2312" w:hAnsi="仿宋_GB2312" w:cs="仿宋_GB2312" w:eastAsia="仿宋_GB2312"/>
                <w:sz w:val="24"/>
              </w:rPr>
              <w:t>培训开班</w:t>
            </w:r>
            <w:r>
              <w:rPr>
                <w:rFonts w:ascii="仿宋_GB2312" w:hAnsi="仿宋_GB2312" w:cs="仿宋_GB2312" w:eastAsia="仿宋_GB2312"/>
                <w:sz w:val="24"/>
              </w:rPr>
              <w:t>准备</w:t>
            </w:r>
            <w:r>
              <w:rPr>
                <w:rFonts w:ascii="仿宋_GB2312" w:hAnsi="仿宋_GB2312" w:cs="仿宋_GB2312" w:eastAsia="仿宋_GB2312"/>
                <w:sz w:val="24"/>
              </w:rPr>
              <w:t>：</w:t>
            </w:r>
            <w:r>
              <w:rPr>
                <w:rFonts w:ascii="仿宋_GB2312" w:hAnsi="仿宋_GB2312" w:cs="仿宋_GB2312" w:eastAsia="仿宋_GB2312"/>
                <w:sz w:val="24"/>
              </w:rPr>
              <w:t>成交供应商需在开班前确定好培训专业、人员类别、培训地点、课程表等相关资料，登录</w:t>
            </w:r>
            <w:r>
              <w:rPr>
                <w:rFonts w:ascii="仿宋_GB2312" w:hAnsi="仿宋_GB2312" w:cs="仿宋_GB2312" w:eastAsia="仿宋_GB2312"/>
                <w:sz w:val="24"/>
              </w:rPr>
              <w:t>“四川就业培训机构管理平台”,据实完善培训机构的培训资质、专业（工种)、教职工等基本信息，准确填报开班计划申请（含班级信息、学员类别等信息）并保存提交，待审核通过后再完善教学场地、课程表、工种等信息，录入拟参训学员信息，提交开班确认。</w:t>
            </w:r>
            <w:r>
              <w:rPr>
                <w:rFonts w:ascii="仿宋_GB2312" w:hAnsi="仿宋_GB2312" w:cs="仿宋_GB2312" w:eastAsia="仿宋_GB2312"/>
                <w:sz w:val="24"/>
              </w:rPr>
              <w:t>隆昌市农民工服务中心</w:t>
            </w:r>
            <w:r>
              <w:rPr>
                <w:rFonts w:ascii="仿宋_GB2312" w:hAnsi="仿宋_GB2312" w:cs="仿宋_GB2312" w:eastAsia="仿宋_GB2312"/>
                <w:sz w:val="24"/>
              </w:rPr>
              <w:t>通过</w:t>
            </w:r>
            <w:r>
              <w:rPr>
                <w:rFonts w:ascii="仿宋_GB2312" w:hAnsi="仿宋_GB2312" w:cs="仿宋_GB2312" w:eastAsia="仿宋_GB2312"/>
                <w:sz w:val="24"/>
              </w:rPr>
              <w:t>“四川公共就业创业服务管理信息系统”对培训机构及其专业（工种)、教师资质信息、班级信息、学员身份、培训时间、培训地点、培训教材、培训课表等信息进行逐项审核，符合条件的准予开班。经审核通过的开班计划，培训机构必须按时开班，并同步开启监控设备，保持设备正常运行。</w:t>
            </w:r>
          </w:p>
          <w:p>
            <w:pPr>
              <w:pStyle w:val="null3"/>
              <w:ind w:firstLine="476"/>
              <w:jc w:val="both"/>
            </w:pPr>
            <w:r>
              <w:rPr>
                <w:rFonts w:ascii="仿宋_GB2312" w:hAnsi="仿宋_GB2312" w:cs="仿宋_GB2312" w:eastAsia="仿宋_GB2312"/>
                <w:sz w:val="24"/>
              </w:rPr>
              <w:t>5.5培训师资要求：成交供应商所配置的授课教师应具有相应资质证书，以确保培训工作的专业性与合规性。</w:t>
            </w:r>
          </w:p>
          <w:p>
            <w:pPr>
              <w:pStyle w:val="null3"/>
              <w:ind w:firstLine="476"/>
              <w:jc w:val="both"/>
            </w:pPr>
            <w:r>
              <w:rPr>
                <w:rFonts w:ascii="仿宋_GB2312" w:hAnsi="仿宋_GB2312" w:cs="仿宋_GB2312" w:eastAsia="仿宋_GB2312"/>
                <w:sz w:val="24"/>
              </w:rPr>
              <w:t>5.6培训视频录像：</w:t>
            </w:r>
            <w:r>
              <w:rPr>
                <w:rFonts w:ascii="仿宋_GB2312" w:hAnsi="仿宋_GB2312" w:cs="仿宋_GB2312" w:eastAsia="仿宋_GB2312"/>
                <w:sz w:val="24"/>
              </w:rPr>
              <w:t>为确保培训质量和真实性，培训过程实行全程视频录像，能反映上课内容</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视频录像存云盘。</w:t>
            </w:r>
          </w:p>
          <w:p>
            <w:pPr>
              <w:pStyle w:val="null3"/>
              <w:ind w:firstLine="476"/>
              <w:jc w:val="both"/>
            </w:pPr>
            <w:r>
              <w:rPr>
                <w:rFonts w:ascii="仿宋_GB2312" w:hAnsi="仿宋_GB2312" w:cs="仿宋_GB2312" w:eastAsia="仿宋_GB2312"/>
                <w:sz w:val="24"/>
              </w:rPr>
              <w:t>5.7</w:t>
            </w:r>
            <w:r>
              <w:rPr>
                <w:rFonts w:ascii="仿宋_GB2312" w:hAnsi="仿宋_GB2312" w:cs="仿宋_GB2312" w:eastAsia="仿宋_GB2312"/>
                <w:sz w:val="24"/>
              </w:rPr>
              <w:t>培训监管</w:t>
            </w:r>
            <w:r>
              <w:rPr>
                <w:rFonts w:ascii="仿宋_GB2312" w:hAnsi="仿宋_GB2312" w:cs="仿宋_GB2312" w:eastAsia="仿宋_GB2312"/>
                <w:sz w:val="24"/>
              </w:rPr>
              <w:t>考勤</w:t>
            </w:r>
            <w:r>
              <w:rPr>
                <w:rFonts w:ascii="仿宋_GB2312" w:hAnsi="仿宋_GB2312" w:cs="仿宋_GB2312" w:eastAsia="仿宋_GB2312"/>
                <w:sz w:val="24"/>
              </w:rPr>
              <w:t>：</w:t>
            </w:r>
            <w:r>
              <w:rPr>
                <w:rFonts w:ascii="仿宋_GB2312" w:hAnsi="仿宋_GB2312" w:cs="仿宋_GB2312" w:eastAsia="仿宋_GB2312"/>
                <w:sz w:val="24"/>
              </w:rPr>
              <w:t>按《内江市补贴性职业技能培训在线监督管理办法（试行）》内就领办</w:t>
            </w:r>
            <w:r>
              <w:rPr>
                <w:rFonts w:ascii="仿宋_GB2312" w:hAnsi="仿宋_GB2312" w:cs="仿宋_GB2312" w:eastAsia="仿宋_GB2312"/>
                <w:sz w:val="24"/>
              </w:rPr>
              <w:t>〔</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3号执行。</w:t>
            </w:r>
          </w:p>
          <w:p>
            <w:pPr>
              <w:pStyle w:val="null3"/>
              <w:ind w:firstLine="476"/>
              <w:jc w:val="both"/>
            </w:pPr>
            <w:r>
              <w:rPr>
                <w:rFonts w:ascii="仿宋_GB2312" w:hAnsi="仿宋_GB2312" w:cs="仿宋_GB2312" w:eastAsia="仿宋_GB2312"/>
                <w:sz w:val="24"/>
              </w:rPr>
              <w:t>5.8</w:t>
            </w:r>
            <w:r>
              <w:rPr>
                <w:rFonts w:ascii="仿宋_GB2312" w:hAnsi="仿宋_GB2312" w:cs="仿宋_GB2312" w:eastAsia="仿宋_GB2312"/>
                <w:sz w:val="24"/>
              </w:rPr>
              <w:t>考试考核：</w:t>
            </w:r>
            <w:r>
              <w:rPr>
                <w:rFonts w:ascii="仿宋_GB2312" w:hAnsi="仿宋_GB2312" w:cs="仿宋_GB2312" w:eastAsia="仿宋_GB2312"/>
                <w:sz w:val="24"/>
              </w:rPr>
              <w:t>成交供应商按计划完成教学任务后，应组织结业考试考核，考试考核结果录入</w:t>
            </w:r>
            <w:r>
              <w:rPr>
                <w:rFonts w:ascii="仿宋_GB2312" w:hAnsi="仿宋_GB2312" w:cs="仿宋_GB2312" w:eastAsia="仿宋_GB2312"/>
                <w:sz w:val="24"/>
              </w:rPr>
              <w:t>“四川就业培训机构管理台”，作为申请培训结业的必备资料。</w:t>
            </w:r>
          </w:p>
          <w:p>
            <w:pPr>
              <w:pStyle w:val="null3"/>
              <w:ind w:firstLine="476"/>
              <w:jc w:val="both"/>
            </w:pPr>
            <w:r>
              <w:rPr>
                <w:rFonts w:ascii="仿宋_GB2312" w:hAnsi="仿宋_GB2312" w:cs="仿宋_GB2312" w:eastAsia="仿宋_GB2312"/>
                <w:sz w:val="24"/>
              </w:rPr>
              <w:t>5.9资料存储：成交供应商通过“四川就业培训机构管理平台”上传各培训班次的视频资料，保存时间至少5年。</w:t>
            </w:r>
          </w:p>
          <w:p>
            <w:pPr>
              <w:pStyle w:val="null3"/>
              <w:ind w:firstLine="476"/>
              <w:jc w:val="both"/>
            </w:pPr>
            <w:r>
              <w:rPr>
                <w:rFonts w:ascii="仿宋_GB2312" w:hAnsi="仿宋_GB2312" w:cs="仿宋_GB2312" w:eastAsia="仿宋_GB2312"/>
                <w:sz w:val="24"/>
              </w:rPr>
              <w:t>5.10在</w:t>
            </w:r>
            <w:r>
              <w:rPr>
                <w:rFonts w:ascii="仿宋_GB2312" w:hAnsi="仿宋_GB2312" w:cs="仿宋_GB2312" w:eastAsia="仿宋_GB2312"/>
                <w:sz w:val="24"/>
              </w:rPr>
              <w:t>培训期间不得收取学员任何费用。</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培训要求</w:t>
            </w:r>
          </w:p>
          <w:p>
            <w:pPr>
              <w:pStyle w:val="null3"/>
              <w:ind w:firstLine="476"/>
              <w:jc w:val="both"/>
            </w:pPr>
            <w:r>
              <w:rPr>
                <w:rFonts w:ascii="仿宋_GB2312" w:hAnsi="仿宋_GB2312" w:cs="仿宋_GB2312" w:eastAsia="仿宋_GB2312"/>
                <w:sz w:val="24"/>
              </w:rPr>
              <w:t>6.1</w:t>
            </w:r>
            <w:r>
              <w:rPr>
                <w:rFonts w:ascii="仿宋_GB2312" w:hAnsi="仿宋_GB2312" w:cs="仿宋_GB2312" w:eastAsia="仿宋_GB2312"/>
                <w:sz w:val="24"/>
              </w:rPr>
              <w:t>培训内容应具有实效性、可操作性并与市场要求相契合。</w:t>
            </w:r>
          </w:p>
          <w:p>
            <w:pPr>
              <w:pStyle w:val="null3"/>
              <w:ind w:firstLine="476"/>
              <w:jc w:val="both"/>
            </w:pPr>
            <w:r>
              <w:rPr>
                <w:rFonts w:ascii="仿宋_GB2312" w:hAnsi="仿宋_GB2312" w:cs="仿宋_GB2312" w:eastAsia="仿宋_GB2312"/>
                <w:sz w:val="24"/>
              </w:rPr>
              <w:t>6.2</w:t>
            </w:r>
            <w:r>
              <w:rPr>
                <w:rFonts w:ascii="仿宋_GB2312" w:hAnsi="仿宋_GB2312" w:cs="仿宋_GB2312" w:eastAsia="仿宋_GB2312"/>
                <w:sz w:val="24"/>
              </w:rPr>
              <w:t>培训内容应符合国家法律、法规要求。</w:t>
            </w:r>
          </w:p>
          <w:p>
            <w:pPr>
              <w:pStyle w:val="null3"/>
              <w:ind w:firstLine="476"/>
              <w:jc w:val="both"/>
            </w:pPr>
            <w:r>
              <w:rPr>
                <w:rFonts w:ascii="仿宋_GB2312" w:hAnsi="仿宋_GB2312" w:cs="仿宋_GB2312" w:eastAsia="仿宋_GB2312"/>
                <w:sz w:val="24"/>
              </w:rPr>
              <w:t>6.3培训</w:t>
            </w:r>
            <w:r>
              <w:rPr>
                <w:rFonts w:ascii="仿宋_GB2312" w:hAnsi="仿宋_GB2312" w:cs="仿宋_GB2312" w:eastAsia="仿宋_GB2312"/>
                <w:sz w:val="24"/>
              </w:rPr>
              <w:t>机构应对培训教师加强师德师风建设。</w:t>
            </w:r>
          </w:p>
          <w:p>
            <w:pPr>
              <w:pStyle w:val="null3"/>
              <w:ind w:firstLine="482"/>
              <w:jc w:val="left"/>
            </w:pPr>
            <w:r>
              <w:rPr>
                <w:rFonts w:ascii="仿宋_GB2312" w:hAnsi="仿宋_GB2312" w:cs="仿宋_GB2312" w:eastAsia="仿宋_GB2312"/>
                <w:sz w:val="24"/>
                <w:b/>
              </w:rPr>
              <w:t>7.</w:t>
            </w:r>
            <w:r>
              <w:rPr>
                <w:rFonts w:ascii="仿宋_GB2312" w:hAnsi="仿宋_GB2312" w:cs="仿宋_GB2312" w:eastAsia="仿宋_GB2312"/>
                <w:sz w:val="24"/>
                <w:b/>
              </w:rPr>
              <w:t>监督检查：</w:t>
            </w:r>
            <w:r>
              <w:rPr>
                <w:rFonts w:ascii="仿宋_GB2312" w:hAnsi="仿宋_GB2312" w:cs="仿宋_GB2312" w:eastAsia="仿宋_GB2312"/>
                <w:sz w:val="24"/>
              </w:rPr>
              <w:t>自觉接受采购人的日常管理、指导服务和质量监管，配合采购人和相关部门的检查、审计。</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档案管理：</w:t>
            </w:r>
            <w:r>
              <w:rPr>
                <w:rFonts w:ascii="仿宋_GB2312" w:hAnsi="仿宋_GB2312" w:cs="仿宋_GB2312" w:eastAsia="仿宋_GB2312"/>
                <w:sz w:val="24"/>
              </w:rPr>
              <w:t>成交</w:t>
            </w:r>
            <w:r>
              <w:rPr>
                <w:rFonts w:ascii="仿宋_GB2312" w:hAnsi="仿宋_GB2312" w:cs="仿宋_GB2312" w:eastAsia="仿宋_GB2312"/>
                <w:sz w:val="24"/>
              </w:rPr>
              <w:t>供应商应按班建立相应的培训台账和学员就业情况台账，按档案</w:t>
            </w:r>
            <w:r>
              <w:rPr>
                <w:rFonts w:ascii="仿宋_GB2312" w:hAnsi="仿宋_GB2312" w:cs="仿宋_GB2312" w:eastAsia="仿宋_GB2312"/>
                <w:sz w:val="24"/>
              </w:rPr>
              <w:t>管理规定存档备查。</w:t>
            </w:r>
          </w:p>
          <w:p>
            <w:pPr>
              <w:pStyle w:val="null3"/>
              <w:ind w:firstLine="442"/>
              <w:jc w:val="left"/>
            </w:pPr>
            <w:r>
              <w:rPr>
                <w:rFonts w:ascii="仿宋_GB2312" w:hAnsi="仿宋_GB2312" w:cs="仿宋_GB2312" w:eastAsia="仿宋_GB2312"/>
                <w:sz w:val="24"/>
                <w:b/>
              </w:rPr>
              <w:t>9.</w:t>
            </w:r>
            <w:r>
              <w:rPr>
                <w:rFonts w:ascii="仿宋_GB2312" w:hAnsi="仿宋_GB2312" w:cs="仿宋_GB2312" w:eastAsia="仿宋_GB2312"/>
                <w:sz w:val="24"/>
                <w:b/>
              </w:rPr>
              <w:t>后续服务：</w:t>
            </w:r>
            <w:r>
              <w:rPr>
                <w:rFonts w:ascii="仿宋_GB2312" w:hAnsi="仿宋_GB2312" w:cs="仿宋_GB2312" w:eastAsia="仿宋_GB2312"/>
                <w:sz w:val="24"/>
              </w:rPr>
              <w:t>培训每个培训班次结束后供应商需开展后续跟踪服务，积极推送岗位信息，统计上报学员就业情况，以服务促就业，创业带动就业，努力提高就业率。</w:t>
            </w:r>
          </w:p>
          <w:p>
            <w:pPr>
              <w:pStyle w:val="null3"/>
              <w:ind w:firstLine="482"/>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自合同签订之日起730日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隆昌市行政管辖范围</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验收交付标准：所提供的服务事项满足本项目要求的服务标准及内容。 验收交付方法：由接受服务的对象直接接收服务。</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支付预付款，达到付款条件起10日内，据实情况说明为合同签订后10日内支付合同总金额的20.00%为预付款（按财政支付程序进行支付，如因成交供应商造成本项目合同终止或解除的，成交供应商应当将采购人已支付但未产生的服务费用全额退还）</w:t>
            </w:r>
          </w:p>
          <w:p>
            <w:pPr>
              <w:pStyle w:val="null3"/>
              <w:jc w:val="left"/>
            </w:pPr>
            <w:r>
              <w:rPr>
                <w:rFonts w:ascii="仿宋_GB2312" w:hAnsi="仿宋_GB2312" w:cs="仿宋_GB2312" w:eastAsia="仿宋_GB2312"/>
              </w:rPr>
              <w:t>2、成交供应商培训任务结束后，及时申报培训补贴款项，达到付款条件起10日内，据实情况说明为由采购人核查无误后根据实际培训情况支付剩余款项（培训补贴资金依据现行政策补贴标准据实结）</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1.采购人违约责任 （1）采购人应遵守本合同并执行合同中的各项规定，保证本合同的正常履行。 （2）采购人逾期支付服务款项的，除应及时付足合同款项外，应向供应商偿付欠款总额万分之 五 /天的违约金； （3）采购人原因导致变更、中止或者终止本次采购合同的，采购人应向供应商偿付合同总价百分之零点五的赔偿金。 （4）采购人偿付的违约金不足以弥补供应商损失的，还应按供应商损失尚未弥补的部分，支付赔偿金给供应商。 2.供应商违约责任 （1）供应商必须遵守采购合同并执行合同中的各项规定，保证采购合同的正常履行。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（3）供应商不能按时提供服务(成果) 或逾期提供而违约的，除应及时提供服务外，应向采购人偿付逾期提供部分服务总额的万分之 五 /天的违约金；逾期超过15天，采购人有权单方终止合同；供应商应退回已收取的全部款项，并承担由此给采购人造成的全部损失 （4）供应商在履约过程中，服务不符合项目要求的，采购人有权要求供应商整改，供应商三次整改仍不符合要求的，采购人有权单方终止合同；供应商应退回已收取的全部款项,并承担由此给采购人造成的全部损失。 （5）供应商应当遵守采购人的相关项目需求及相关技术要求及实质性条款，实施完成采购合同应当完全满足相关项目需求及相关技术要求及实质性条款，若供应商不能完全履行采购合同，采购人有权向供应商要求赔偿合同总价款百分之 五 的违约金，若造成相关损失的，采购人有权要求供应商承担所有赔偿责任。 （6）供应商偿付的违约金不足以弥补采购人损失的，还应按采购人损失尚未弥补的部分，支付赔偿金给采购人。 争议解决办法 1.因服务的质量问题发生争议，由质量技术监督部门或其指定的质量鉴定机构进行质量鉴定。服务质量符合标准的，鉴定费由采购人承担；服务不符合质量标准的，鉴定费由供应商承担。 2.合同履行期间、若双方发生争议，可协商或由有关部门调解解决，协商或调解不成的，由当事人依法向采购人所在地人民法院提起诉讼维护其合法权益。 3.对于因采购人原因导致变更、中止或者终止本次采购合同的，采购人应当依照合同约定对供应商受到的损失予以赔偿或者补偿。 4.本项目在合同履行过程中不进行成本补偿，因市场变化或政策变化造成的潜在风险，由供应商自行承担。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自合同签订之日起730日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隆昌市行政管辖范围</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验收交付标准：所提供的服务事项满足本项目要求的服务标准及内容。 验收交付方法：由接受服务的对象直接接收服务。</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支付预付款，达到付款条件起10日内，据实情况说明为合同签订后10日内支付合同总金额的20.00%为预付款（按财政支付程序进行支付，如因成交供应商造成本项目合同终止或解除的，成交供应商应当将采购人已支付但未产生的服务费用全额退还）</w:t>
            </w:r>
          </w:p>
          <w:p>
            <w:pPr>
              <w:pStyle w:val="null3"/>
              <w:jc w:val="left"/>
            </w:pPr>
            <w:r>
              <w:rPr>
                <w:rFonts w:ascii="仿宋_GB2312" w:hAnsi="仿宋_GB2312" w:cs="仿宋_GB2312" w:eastAsia="仿宋_GB2312"/>
              </w:rPr>
              <w:t>2、成交供应商培训任务结束后，及时申报培训补贴款项，达到付款条件起10日内，据实情况说明为由采购人核查无误后根据实际培训情况支付剩余款项（培训补贴资金依据现行政策补贴标准据实结）</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1.采购人违约责任 （1）采购人应遵守本合同并执行合同中的各项规定，保证本合同的正常履行。 （2）采购人逾期支付服务款项的，除应及时付足合同款项外，应向供应商偿付欠款总额万分之 五 /天的违约金； （3）采购人原因导致变更、中止或者终止本次采购合同的，采购人应向供应商偿付合同总价百分之零点五的赔偿金。 （4）采购人偿付的违约金不足以弥补供应商损失的，还应按供应商损失尚未弥补的部分，支付赔偿金给供应商。 2.供应商违约责任 （1）供应商必须遵守采购合同并执行合同中的各项规定，保证采购合同的正常履行。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（3）供应商不能按时提供服务(成果) 或逾期提供而违约的，除应及时提供服务外，应向采购人偿付逾期提供部分服务总额的万分之 五 /天的违约金；逾期超过15天，采购人有权单方终止合同；供应商应退回已收取的全部款项，并承担由此给采购人造成的全部损失 （4）供应商在履约过程中，服务不符合项目要求的，采购人有权要求供应商整改，供应商三次整改仍不符合要求的，采购人有权单方终止合同；供应商应退回已收取的全部款项,并承担由此给采购人造成的全部损失。 （5）供应商应当遵守采购人的相关项目需求及相关技术要求及实质性条款，实施完成采购合同应当完全满足相关项目需求及相关技术要求及实质性条款，若供应商不能完全履行采购合同，采购人有权向供应商要求赔偿合同总价款百分之 五 的违约金，若造成相关损失的，采购人有权要求供应商承担所有赔偿责任。 （6）供应商偿付的违约金不足以弥补采购人损失的，还应按采购人损失尚未弥补的部分，支付赔偿金给采购人。 争议解决办法 1.因服务的质量问题发生争议，由质量技术监督部门或其指定的质量鉴定机构进行质量鉴定。服务质量符合标准的，鉴定费由采购人承担；服务不符合质量标准的，鉴定费由供应商承担。 2.合同履行期间、若双方发生争议，可协商或由有关部门调解解决，协商或调解不成的，由当事人依法向采购人所在地人民法院提起诉讼维护其合法权益。 3.对于因采购人原因导致变更、中止或者终止本次采购合同的，采购人应当依照合同约定对供应商受到的损失予以赔偿或者补偿。 4.本项目在合同履行过程中不进行成本补偿，因市场变化或政策变化造成的潜在风险，由供应商自行承担。</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服务期限：服务期限为自合同签订之日起两年（合同一年一签），第一年培训任务需在合同签订后12个月内完成，第二年培训任务需在合同签订后12个月内完成。合同期间因供应商服务无法达到采购人要求或发生重大变故，可终止合同，因此造成的损失，采购人不承担任何责任。（因系统格式固化，本项目合同履行期限以此为准） ★（二）合同价款：合同价是供应商响应项目要求的全部工作内容的价格体现，包括完成本项目所涉及人工劳务费、物耗、场地、管理费、设备费、资料得、交通工具费、保险、风险、税金、资料费等一切费用。 ★（三）结算要求：职业技能培训补贴标准按照内江市人力资源和社会保障局和内江市财政局下发的最新补助资金管理使用办法执行，补助资金核发以实际培训合格人数统计为准。 ★（四）补贴申报：成交供应商根据“四川省就业创业培训监管平台”的监管报告（含监管总体情况、培训机构资质、培训机构工种、授课教师、课程表、学员课时、课时增补、监管记录、视频截图、考核考试等信息)，核实培训合格人员情况，在线提交培训结业申请。根据监管报告据实核定结业合格人员。成交供应商根据结业合格人员申报培训补贴﹐ 隆昌市就业服务中心根据成交供应商申报的结业合格人员名单及线下抽查核查情况综合核定符合补贴条件的人员。对规避在线监管的，一律不予支付培训补贴。 ★（五）报价要求：本采购包执行统一价格标准，实行财政定额补助标准，供应商各轮次报价应当按照110万元进行报价，不得增加或者减少，否则其报价无效。 （六）针对本项目服务内容及要求提供针对本项目的以下方案：  1.分析方案，内容包含:①培训区域经济发展特点；②产业特点；③存在问题；④培训对象的培训需求。 2.项目服务方案，内容包含:①培训质量保障措施；②培训管理制度；③突发状况应急处置措施；④师资临时调配；⑤后续跟踪服务和方式；⑥就业岗位推荐、促进学员本专业就业的措施；⑦就业保障计划；⑧协调相关部门落实相关政策的措施。 3.培训方案，内容包含：①招生组织方案；②教学计划（包含不限于所投采购包涉及法律政策的解析、培训目标、培训阶段常见问题及解决办法）；③授课方式；④教学大纲和具体课程安排进度计划(结合培训内容，提出相匹配的各个节点的工作安排等内容)；⑤教案的准备和规范；⑥培训成果考核方案。 注：磋商文件第三章带“★”号条款为实质性要求，供应商若未满足的，将被作为无效响应。</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一）服务期限：服务期限为自合同签订之日起两年（合同一年一签），第一年培训任务需在合同签订后12个月内完成，第二年培训任务需在合同签订后12个月内完成。合同期间因供应商服务无法达到采购人要求或发生重大变故，可终止合同，因此造成的损失，采购人不承担任何责任。（因系统格式固化，本项目合同履行期限以此为准） ★（二）合同价款：合同价是供应商响应项目要求的全部工作内容的价格体现，包括完成本项目所涉及人工劳务费、物耗、场地、管理费、设备费、资料得、交通工具费、保险、风险、税金、资料费等一切费用。 ★（三）结算要求：职业技能培训补贴标准按照内江市人力资源和社会保障局和内江市财政局下发的最新补助资金管理使用办法执行，补助资金核发以实际培训合格人数统计为准。 ★（四）补贴申报：成交供应商根据“四川省就业创业培训监管平台”的监管报告（含监管总体情况、培训机构资质、培训机构工种、授课教师、课程表、学员课时、课时增补、监管记录、视频截图、考核考试等信息)，核实培训合格人员情况，在线提交培训结业申请。根据监管报告据实核定结业合格人员。成交供应商根据结业合格人员申报培训补贴﹐ 隆昌市就业服务中心根据成交供应商申报的结业合格人员名单及线下抽查核查情况综合核定符合补贴条件的人员。对规避在线监管的，一律不予支付培训补贴。 ★（五）报价要求：本采购包执行统一价格标准，实行财政定额补助标准，供应商各轮次报价应当按照90万元进行报价，不得增加或者减少，否则其报价无效。 （六）针对本项目服务内容及要求提供针对本项目的以下方案：  1.分析方案，内容包含:①培训区域经济发展特点；②产业特点；③存在问题；④培训对象的培训需求。 2.项目服务方案，内容包含:①培训质量保障措施；②培训管理制度；③突发状况应急处置措施；④师资临时调配；⑤后续跟踪服务和方式；⑥就业岗位推荐、促进学员本专业就业的措施；⑦就业保障计划；⑧协调相关部门落实相关政策的措施。 3.培训方案，内容包含：①招生组织方案；②教学计划（包含不限于所投采购包涉及法律政策的解析、培训目标、培训阶段常见问题及解决办法）；③授课方式；④教学大纲和具体课程安排进度计划(结合培训内容，提出相匹配的各个节点的工作安排等内容)；⑤教案的准备和规范；⑥培训成果考核方案。 注：磋商文件第三章带“★”号条款为实质性要求，供应商若未满足的，将被作为无效响应。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9"/>
          <w:color w:val="000000"/>
        </w:rPr>
        <w:t>详见采购文件第三章</w:t>
      </w:r>
      <w:r>
        <w:rPr>
          <w:rFonts w:ascii="仿宋_GB2312" w:hAnsi="仿宋_GB2312" w:cs="仿宋_GB2312" w:eastAsia="仿宋_GB2312"/>
          <w:sz w:val="19"/>
          <w:color w:val="000000"/>
        </w:rPr>
        <w:t>“</w:t>
      </w:r>
      <w:r>
        <w:rPr>
          <w:rFonts w:ascii="仿宋_GB2312" w:hAnsi="仿宋_GB2312" w:cs="仿宋_GB2312" w:eastAsia="仿宋_GB2312"/>
          <w:sz w:val="19"/>
          <w:color w:val="000000"/>
        </w:rPr>
        <w:t>技术、服务及其他要求</w:t>
      </w:r>
      <w:r>
        <w:rPr>
          <w:rFonts w:ascii="仿宋_GB2312" w:hAnsi="仿宋_GB2312" w:cs="仿宋_GB2312" w:eastAsia="仿宋_GB2312"/>
          <w:sz w:val="19"/>
          <w:color w:val="000000"/>
        </w:rPr>
        <w:t>”</w:t>
      </w:r>
      <w:r>
        <w:rPr>
          <w:rFonts w:ascii="仿宋_GB2312" w:hAnsi="仿宋_GB2312" w:cs="仿宋_GB2312" w:eastAsia="仿宋_GB2312"/>
          <w:sz w:val="19"/>
          <w:color w:val="000000"/>
        </w:rPr>
        <w:t>中</w:t>
      </w:r>
      <w:r>
        <w:rPr>
          <w:rFonts w:ascii="仿宋_GB2312" w:hAnsi="仿宋_GB2312" w:cs="仿宋_GB2312" w:eastAsia="仿宋_GB2312"/>
          <w:sz w:val="19"/>
          <w:color w:val="000000"/>
        </w:rPr>
        <w:t>“3.2.</w:t>
      </w:r>
      <w:r>
        <w:rPr>
          <w:rFonts w:ascii="仿宋_GB2312" w:hAnsi="仿宋_GB2312" w:cs="仿宋_GB2312" w:eastAsia="仿宋_GB2312"/>
          <w:sz w:val="19"/>
          <w:color w:val="000000"/>
        </w:rPr>
        <w:t>技术要求</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“3.3.</w:t>
      </w:r>
      <w:r>
        <w:rPr>
          <w:rFonts w:ascii="仿宋_GB2312" w:hAnsi="仿宋_GB2312" w:cs="仿宋_GB2312" w:eastAsia="仿宋_GB2312"/>
          <w:sz w:val="19"/>
          <w:color w:val="000000"/>
        </w:rPr>
        <w:t>服务要求</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19"/>
          <w:color w:val="000000"/>
        </w:rPr>
        <w:t>详见附件：职业技能培训服务采购项目</w:t>
      </w:r>
      <w:r>
        <w:rPr>
          <w:rFonts w:ascii="仿宋_GB2312" w:hAnsi="仿宋_GB2312" w:cs="仿宋_GB2312" w:eastAsia="仿宋_GB2312"/>
          <w:sz w:val="19"/>
          <w:color w:val="000000"/>
        </w:rPr>
        <w:t>——</w:t>
      </w:r>
      <w:r>
        <w:rPr>
          <w:rFonts w:ascii="仿宋_GB2312" w:hAnsi="仿宋_GB2312" w:cs="仿宋_GB2312" w:eastAsia="仿宋_GB2312"/>
          <w:sz w:val="19"/>
          <w:color w:val="000000"/>
        </w:rPr>
        <w:t>政府采购合同文本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为企业（包括合伙企业）、个体工商户的，提供统一社会信用代码的营业执照复印件；2.若为事业法人：提供“统一社会信用代码法人登记证书”复印件；3.若为其他组织：提供“对应主管部门颁发的准许执业证明文件或营业执照”复印件；4.若为自然人：提供“身份证明材料 ”复印件； 注：（1）以上证明材料应满足：在有效期内；（2）供应商需在项目电子化交易系统中上传相关证明资料；（3）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包（1）供应商应提交的相关资格证明材料.docx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1.供应商提供2022年度或2023年度经过会计师事务所审计有效的财务报告复印件； 2.供应商提供2022年度或2023年度供应商内部的财务报表复印件(至少包含资产负债表)； 3.供应商提供投标文件递交截止日一年内银行为其出具的资信证明复印件；4.供应商注册时间截至投标文件递交截止日不足一年的或供应商为事业单位或其他组织(不具备法人条件的组织，如合伙组织、个体工商户、农村承包经营户等)或自然人的，可提供承诺函。</w:t>
              <w:br/>
              <w:t>注：（1）具有健全的财务会计制度的证明材料中第1-4项具有同等的响应效力，供应商可根据自身实际情况选择提供其中任意一项，供应商需在项目电子化交易系统中上传相关证明材料。（2）提供承诺函的，供应商在项目电子化交易系统中按要求填写《投标（响应）函》完成承诺并进行电子签章。（3）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包（1）投标（响应）函,包（1）供应商应提交的相关资格证明材料.docx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包（1）投标（响应）函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包（1）投标（响应）函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为企业（包括合伙企业）、个体工商户的，提供统一社会信用代码的营业执照复印件；2.若为事业法人：提供“统一社会信用代码法人登记证书”复印件；3.若为其他组织：提供“对应主管部门颁发的准许执业证明文件或营业执照”复印件；4.若为自然人：提供“身份证明材料 ”复印件； 注：（1）以上证明材料应满足：在有效期内；（2）供应商需在项目电子化交易系统中上传相关证明资料；（3）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包（2）供应商应提交的相关资格证明材料.docx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1.供应商提供2022年度或2023年度经过会计师事务所审计有效的财务报告复印件； 2.供应商提供2022年度或2023年度供应商内部的财务报表复印件(至少包含资产负债表)； 3.供应商提供投标文件递交截止日一年内银行为其出具的资信证明复印件；4.供应商注册时间截至投标文件递交截止日不足一年的或供应商为事业单位或其他组织(不具备法人条件的组织，如合伙组织、个体工商户、农村承包经营户等)或自然人的，可提供承诺函。</w:t>
              <w:br/>
              <w:t>注：（1）具有健全的财务会计制度的证明材料中第1-4项具有同等的响应效力，供应商可根据自身实际情况选择提供其中任意一项，供应商需在项目电子化交易系统中上传相关证明材料。（2）提供承诺函的，供应商在项目电子化交易系统中按要求填写《投标（响应）函》完成承诺并进行电子签章。（3）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包（2）投标（响应）函,包（2）供应商应提交的相关资格证明材料.docx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供应商需在使用投标(响应)客户端编制投标文件时，按要求填写《投标（响应）函》完成承诺并进行电子签章。</w:t>
              <w:br/>
              <w:t>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包（2）投标（响应）函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包（2）投标（响应）函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根据采购项目提出的特殊条件：除职业院校或政府相关部门（编办）批准设立的教育培训机构或事业单位外，其他类型供应商需具有《中华人民共和国民办学校办学许可证》。</w:t>
            </w:r>
          </w:p>
        </w:tc>
        <w:tc>
          <w:tcPr>
            <w:tcW w:type="dxa" w:w="3322"/>
          </w:tcPr>
          <w:p>
            <w:pPr>
              <w:pStyle w:val="null3"/>
              <w:jc w:val="left"/>
            </w:pPr>
            <w:r>
              <w:rPr>
                <w:rFonts w:ascii="仿宋_GB2312" w:hAnsi="仿宋_GB2312" w:cs="仿宋_GB2312" w:eastAsia="仿宋_GB2312"/>
              </w:rPr>
              <w:t>除职业院校或政府相关部门（编办）批准设立的教育培训机构或事业单位外，其他类型供应商需提供《中华人民共和国民办学校办学许可证》复印件。</w:t>
            </w:r>
          </w:p>
        </w:tc>
        <w:tc>
          <w:tcPr>
            <w:tcW w:type="dxa" w:w="1910"/>
          </w:tcPr>
          <w:p>
            <w:pPr>
              <w:pStyle w:val="null3"/>
              <w:jc w:val="left"/>
            </w:pPr>
            <w:r>
              <w:rPr>
                <w:rFonts w:ascii="仿宋_GB2312" w:hAnsi="仿宋_GB2312" w:cs="仿宋_GB2312" w:eastAsia="仿宋_GB2312"/>
              </w:rPr>
              <w:t>包（1）供应商应提交的相关资格证明材料.docx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供应商单位及其现任法定代 表人、主要负责人不得具有行贿犯罪记录</w:t>
            </w:r>
          </w:p>
        </w:tc>
        <w:tc>
          <w:tcPr>
            <w:tcW w:type="dxa" w:w="3322"/>
          </w:tcPr>
          <w:p>
            <w:pPr>
              <w:pStyle w:val="null3"/>
              <w:jc w:val="left"/>
            </w:pPr>
            <w:r>
              <w:rPr>
                <w:rFonts w:ascii="仿宋_GB2312" w:hAnsi="仿宋_GB2312" w:cs="仿宋_GB2312" w:eastAsia="仿宋_GB2312"/>
              </w:rPr>
              <w:t>供应商提供供应商及其现任法定代表人、主要负责人三年内（若供应商成立不足三年的，承诺期限为成立之日起至今）无行贿犯罪记录的承诺函。 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包（1）供应商及其现任法定代表人、主要负责人无行贿犯罪记录的承诺函.docx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本项目接受供应商以联合体形式参加本次采购活动</w:t>
            </w:r>
          </w:p>
        </w:tc>
        <w:tc>
          <w:tcPr>
            <w:tcW w:type="dxa" w:w="3322"/>
          </w:tcPr>
          <w:p>
            <w:pPr>
              <w:pStyle w:val="null3"/>
              <w:jc w:val="left"/>
            </w:pPr>
            <w:r>
              <w:rPr>
                <w:rFonts w:ascii="仿宋_GB2312" w:hAnsi="仿宋_GB2312" w:cs="仿宋_GB2312" w:eastAsia="仿宋_GB2312"/>
              </w:rPr>
              <w:t>联合体成员单位(含牵头单位)不得超过3家单位。若为组成联合体参与采购活动的，须提供联合体协议书。</w:t>
            </w:r>
          </w:p>
        </w:tc>
        <w:tc>
          <w:tcPr>
            <w:tcW w:type="dxa" w:w="1910"/>
          </w:tcPr>
          <w:p>
            <w:pPr>
              <w:pStyle w:val="null3"/>
              <w:jc w:val="left"/>
            </w:pPr>
            <w:r>
              <w:rPr>
                <w:rFonts w:ascii="仿宋_GB2312" w:hAnsi="仿宋_GB2312" w:cs="仿宋_GB2312" w:eastAsia="仿宋_GB2312"/>
              </w:rPr>
              <w:t>包（1）联合体协议书（联合体参与采购活动适用）.docx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根据采购项目提出的特殊条件：除职业院校或政府相关部门（编办）批准设立的教育培训机构或事业单位外，其他类型供应商需具有《中华人民共和国民办学校办学许可证》。</w:t>
            </w:r>
          </w:p>
        </w:tc>
        <w:tc>
          <w:tcPr>
            <w:tcW w:type="dxa" w:w="3322"/>
          </w:tcPr>
          <w:p>
            <w:pPr>
              <w:pStyle w:val="null3"/>
              <w:jc w:val="left"/>
            </w:pPr>
            <w:r>
              <w:rPr>
                <w:rFonts w:ascii="仿宋_GB2312" w:hAnsi="仿宋_GB2312" w:cs="仿宋_GB2312" w:eastAsia="仿宋_GB2312"/>
              </w:rPr>
              <w:t>除职业院校或政府相关部门（编办）批准设立的教育培训机构或事业单位外，其他类型供应商需提供《中华人民共和国民办学校办学许可证》复印件。</w:t>
            </w:r>
          </w:p>
        </w:tc>
        <w:tc>
          <w:tcPr>
            <w:tcW w:type="dxa" w:w="1910"/>
          </w:tcPr>
          <w:p>
            <w:pPr>
              <w:pStyle w:val="null3"/>
              <w:jc w:val="left"/>
            </w:pPr>
            <w:r>
              <w:rPr>
                <w:rFonts w:ascii="仿宋_GB2312" w:hAnsi="仿宋_GB2312" w:cs="仿宋_GB2312" w:eastAsia="仿宋_GB2312"/>
              </w:rPr>
              <w:t>包（2）供应商应提交的相关资格证明材料.docx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供应商单位及其现任法定代 表人、主要负责人不得具有行贿犯罪记录</w:t>
            </w:r>
          </w:p>
        </w:tc>
        <w:tc>
          <w:tcPr>
            <w:tcW w:type="dxa" w:w="3322"/>
          </w:tcPr>
          <w:p>
            <w:pPr>
              <w:pStyle w:val="null3"/>
              <w:jc w:val="left"/>
            </w:pPr>
            <w:r>
              <w:rPr>
                <w:rFonts w:ascii="仿宋_GB2312" w:hAnsi="仿宋_GB2312" w:cs="仿宋_GB2312" w:eastAsia="仿宋_GB2312"/>
              </w:rPr>
              <w:t>供应商提供供应商及其现任法定代表人、主要负责人三年内（若供应商成立不足三年的，承诺期限为成立之日起至今）无行贿犯罪记录的承诺函。 注：若以联合体形式参加本项目采购活动的，联合体各方均应当分别提供本项证明材料并加盖联合体各方公章。</w:t>
            </w:r>
          </w:p>
        </w:tc>
        <w:tc>
          <w:tcPr>
            <w:tcW w:type="dxa" w:w="1910"/>
          </w:tcPr>
          <w:p>
            <w:pPr>
              <w:pStyle w:val="null3"/>
              <w:jc w:val="left"/>
            </w:pPr>
            <w:r>
              <w:rPr>
                <w:rFonts w:ascii="仿宋_GB2312" w:hAnsi="仿宋_GB2312" w:cs="仿宋_GB2312" w:eastAsia="仿宋_GB2312"/>
              </w:rPr>
              <w:t>包（2）供应商及其现任法定代表人、主要负责人无行贿犯罪记录的承诺函.docx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本项目接受供应商以联合体形式参加本次采购活动</w:t>
            </w:r>
          </w:p>
        </w:tc>
        <w:tc>
          <w:tcPr>
            <w:tcW w:type="dxa" w:w="3322"/>
          </w:tcPr>
          <w:p>
            <w:pPr>
              <w:pStyle w:val="null3"/>
              <w:jc w:val="left"/>
            </w:pPr>
            <w:r>
              <w:rPr>
                <w:rFonts w:ascii="仿宋_GB2312" w:hAnsi="仿宋_GB2312" w:cs="仿宋_GB2312" w:eastAsia="仿宋_GB2312"/>
              </w:rPr>
              <w:t>联合体成员单位(含牵头单位)不得超过3家单位。若为组成联合体参与采购活动的，须提供联合体协议书。</w:t>
            </w:r>
          </w:p>
        </w:tc>
        <w:tc>
          <w:tcPr>
            <w:tcW w:type="dxa" w:w="1910"/>
          </w:tcPr>
          <w:p>
            <w:pPr>
              <w:pStyle w:val="null3"/>
              <w:jc w:val="left"/>
            </w:pPr>
            <w:r>
              <w:rPr>
                <w:rFonts w:ascii="仿宋_GB2312" w:hAnsi="仿宋_GB2312" w:cs="仿宋_GB2312" w:eastAsia="仿宋_GB2312"/>
              </w:rPr>
              <w:t>包（2）联合体协议书（联合体参与采购活动适用）.docx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包（1）投标（响应）函,包（1）响应文件封面</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实质性审查</w:t>
            </w:r>
          </w:p>
        </w:tc>
        <w:tc>
          <w:tcPr>
            <w:tcW w:type="dxa" w:w="3322"/>
          </w:tcPr>
          <w:p>
            <w:pPr>
              <w:pStyle w:val="null3"/>
              <w:jc w:val="left"/>
            </w:pPr>
            <w:r>
              <w:rPr>
                <w:rFonts w:ascii="仿宋_GB2312" w:hAnsi="仿宋_GB2312" w:cs="仿宋_GB2312" w:eastAsia="仿宋_GB2312"/>
              </w:rPr>
              <w:t>因系统固化原因，序号1无法编辑，新增： 1、采购文件中没有要求供应商需要提供承诺函或证明资料进行响应的实质性条款，供应商根据系统给定的格式文件“投标（响应）函、实质性要求承诺、技术、服务、商务应答表”默认响应即可。2、采购文件如要求供应商需要提供承诺函或证明资料进行响应的实质性条款，则以供应商提供的承诺函或证明资料为准（如：“投标（响应）函、实质性要求承诺”中已经载明了相关承诺的，供应商可以不用重复提供承诺）。</w:t>
            </w:r>
          </w:p>
        </w:tc>
        <w:tc>
          <w:tcPr>
            <w:tcW w:type="dxa" w:w="1910"/>
          </w:tcPr>
          <w:p>
            <w:pPr>
              <w:pStyle w:val="null3"/>
              <w:jc w:val="left"/>
            </w:pPr>
            <w:r>
              <w:rPr>
                <w:rFonts w:ascii="仿宋_GB2312" w:hAnsi="仿宋_GB2312" w:cs="仿宋_GB2312" w:eastAsia="仿宋_GB2312"/>
              </w:rPr>
              <w:t>包（1）技术要求及服务要求偏离表.docx,包（1）供应商认为需要提供的其他材料.docx,报价表,包（1）商务要求及其他要求偏离表.docx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包（2）响应文件封面,包（2）投标（响应）函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实质性审查</w:t>
            </w:r>
          </w:p>
        </w:tc>
        <w:tc>
          <w:tcPr>
            <w:tcW w:type="dxa" w:w="3322"/>
          </w:tcPr>
          <w:p>
            <w:pPr>
              <w:pStyle w:val="null3"/>
              <w:jc w:val="left"/>
            </w:pPr>
            <w:r>
              <w:rPr>
                <w:rFonts w:ascii="仿宋_GB2312" w:hAnsi="仿宋_GB2312" w:cs="仿宋_GB2312" w:eastAsia="仿宋_GB2312"/>
              </w:rPr>
              <w:t>因系统固化原因，序号1无法编辑，新增： 1、采购文件中没有要求供应商需要提供承诺函或证明资料进行响应的实质性条款，供应商根据系统给定的格式文件“投标（响应）函、实质性要求承诺、技术、服务、商务应答表”默认响应即可。2、采购文件如要求供应商需要提供承诺函或证明资料进行响应的实质性条款，则以供应商提供的承诺函或证明资料为准（如：“投标（响应）函、实质性要求承诺”中已经载明了相关承诺的，供应商可以不用重复提供承诺）。</w:t>
            </w:r>
          </w:p>
        </w:tc>
        <w:tc>
          <w:tcPr>
            <w:tcW w:type="dxa" w:w="1910"/>
          </w:tcPr>
          <w:p>
            <w:pPr>
              <w:pStyle w:val="null3"/>
              <w:jc w:val="left"/>
            </w:pPr>
            <w:r>
              <w:rPr>
                <w:rFonts w:ascii="仿宋_GB2312" w:hAnsi="仿宋_GB2312" w:cs="仿宋_GB2312" w:eastAsia="仿宋_GB2312"/>
              </w:rPr>
              <w:t>包（2）商务要求及其他要求偏离表.docx,包（2）技术要求及服务要求偏离表.docx,报价表,包（2）供应商认为需要提供的其他材料.docx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培训方案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项目分析方案</w:t>
            </w:r>
          </w:p>
        </w:tc>
        <w:tc>
          <w:tcPr>
            <w:tcW w:type="dxa" w:w="2575"/>
          </w:tcPr>
          <w:p>
            <w:pPr>
              <w:pStyle w:val="null3"/>
              <w:jc w:val="left"/>
            </w:pPr>
            <w:r>
              <w:rPr>
                <w:rFonts w:ascii="仿宋_GB2312" w:hAnsi="仿宋_GB2312" w:cs="仿宋_GB2312" w:eastAsia="仿宋_GB2312"/>
              </w:rPr>
              <w:t>供应商提供针对本项目的项目分析方案，内容包含:①培训区域经济发展特点；②产业特点；③存在问题；④培训对象的培训需求。以上①—④项内容齐全无缺陷的得16分，每缺少一项内容或每项内容仅有标题扣4分，每项内容中每有一处内容存在缺陷的扣2分，每项最多扣4分。 注：缺陷是指以下情形中的任意一项：仅有框架；或名称错误；或专业术语错误；或提供的方案中引用法律失效或错误；或提供的方案中规范引用失效或错误；或照搬其他地区及项目的内容不适用本项目的情形；或存在不可能实现的夸大情形；或方案照抄采购文件第三章相关内容且并未作出具体阐述；或不满足采购需求中非实质性要求的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包（1）技术要求及服务要求偏离表.docx</w:t>
            </w:r>
          </w:p>
          <w:p>
            <w:pPr>
              <w:pStyle w:val="null3"/>
              <w:jc w:val="left"/>
            </w:pPr>
            <w:r>
              <w:rPr>
                <w:rFonts w:ascii="仿宋_GB2312" w:hAnsi="仿宋_GB2312" w:cs="仿宋_GB2312" w:eastAsia="仿宋_GB2312"/>
              </w:rPr>
              <w:t>包（1）供应商认为需要提供的其他材料.docx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项目服务方案</w:t>
            </w:r>
          </w:p>
        </w:tc>
        <w:tc>
          <w:tcPr>
            <w:tcW w:type="dxa" w:w="2575"/>
          </w:tcPr>
          <w:p>
            <w:pPr>
              <w:pStyle w:val="null3"/>
              <w:jc w:val="left"/>
            </w:pPr>
            <w:r>
              <w:rPr>
                <w:rFonts w:ascii="仿宋_GB2312" w:hAnsi="仿宋_GB2312" w:cs="仿宋_GB2312" w:eastAsia="仿宋_GB2312"/>
              </w:rPr>
              <w:t>供应商提供针对本项目的项目服务方案，内容包含:①培训质量保障措施；②培训管理制度；③突发状况应急处置措施；④师资临时调配；⑤后续跟踪服务和方式；⑥就业岗位推荐、促进学员本专业就业的措施；⑦就业保障计划；⑧协调相关部门落实相关政策的措施。以上①—⑧项内容齐全无缺陷的得32分，每缺少一项内容或每项内容仅有标题扣4分，每项内容中每有一处内容存在缺陷的扣2分，每项最多扣4分。 注：缺陷是指以下情形中的任意一项：仅有框架；或名称错误；或专业术语错误；或提供的方案中引用法律失效或错误；或提供的方案中规范引用失效或错误；或照搬其他地区及项目的内容不适用本项目的情形；或存在不可能实现的夸大情形；或方案照抄采购文件第三章相关内容且并未作出具体阐述；或不满足采购需求中非实质性要求的情形。</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包（1）技术要求及服务要求偏离表.docx</w:t>
            </w:r>
          </w:p>
          <w:p>
            <w:pPr>
              <w:pStyle w:val="null3"/>
              <w:jc w:val="left"/>
            </w:pPr>
            <w:r>
              <w:rPr>
                <w:rFonts w:ascii="仿宋_GB2312" w:hAnsi="仿宋_GB2312" w:cs="仿宋_GB2312" w:eastAsia="仿宋_GB2312"/>
              </w:rPr>
              <w:t>包（1）供应商认为需要提供的其他材料.docx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575"/>
          </w:tcPr>
          <w:p>
            <w:pPr>
              <w:pStyle w:val="null3"/>
              <w:jc w:val="left"/>
            </w:pPr>
            <w:r>
              <w:rPr>
                <w:rFonts w:ascii="仿宋_GB2312" w:hAnsi="仿宋_GB2312" w:cs="仿宋_GB2312" w:eastAsia="仿宋_GB2312"/>
              </w:rPr>
              <w:t>供应商提供针对本项目的培训方案，内容包含：①招生组织方案；②教学计划（包含不限于所投采购包涉及法律政策的解析、培训目标、培训阶段常见问题及解决办法）；③授课方式；④教学大纲和具体课程安排进度计划(结合培训内容，提出相匹配的各个节点的工作安排等内容)；⑤教案的准备和规范；⑥培训成果考核方案。以上①—⑥项内容齐全无缺陷的得24分，每缺少一项内容或每项内容仅有标题扣4分，每项内容中每有一处内容存在缺陷的扣2分，每项最多扣4分。 注：缺陷是指以下情形中的任意一项：仅有框架；或名称错误；或专业术语错误；或提供的方案中引用法律失效或错误；或提供的方案中规范引用失效或错误；或照搬其他地区及项目的内容不适用本项目的情形；或存在不可能实现的夸大情形；或方案照抄采购文件第三章相关内容且并未作出具体阐述；或不满足采购需求中非实质性要求的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包（1）技术要求及服务要求偏离表.docx</w:t>
            </w:r>
          </w:p>
          <w:p>
            <w:pPr>
              <w:pStyle w:val="null3"/>
              <w:jc w:val="left"/>
            </w:pPr>
            <w:r>
              <w:rPr>
                <w:rFonts w:ascii="仿宋_GB2312" w:hAnsi="仿宋_GB2312" w:cs="仿宋_GB2312" w:eastAsia="仿宋_GB2312"/>
              </w:rPr>
              <w:t>包（1）供应商认为需要提供的其他材料.docx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1.供应商针对本项目拟任的项目负责人具有中级或以上专业技术职称资格证书，或国家职业资格三级或以上证书的得2分，本项最多得2分。 2.供应商针对本项目拟提供的班级管理人员具有国家职业资格二级或以上证书的，每有一个得2分，本项最多得6分。 3.供应商针对本项目拟提供的培训教师具有中级或以上专业技术职称资格证书，或国家职业资格三级或以上证书的，每有一个得2分，最多得 8分。 4.供应商针对本项目拟提供的财务管理人员具有中级或以上会计师职称的，每有一个得2分，本项最多得2分。 注：①以上人员不得重复计分，重复的按人员得分高的计分；提供相关人员相应证书复印件，不提供或未按要求提供或提供的证明材料不满足要求的不得分。②若为组成联合体参与采购的，联合体组成成员至少一方满足均认可。</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包（1）技术要求及服务要求偏离表.docx</w:t>
            </w:r>
          </w:p>
          <w:p>
            <w:pPr>
              <w:pStyle w:val="null3"/>
              <w:jc w:val="left"/>
            </w:pPr>
            <w:r>
              <w:rPr>
                <w:rFonts w:ascii="仿宋_GB2312" w:hAnsi="仿宋_GB2312" w:cs="仿宋_GB2312" w:eastAsia="仿宋_GB2312"/>
              </w:rPr>
              <w:t>包（1）供应商认为需要提供的其他材料.docx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满足磋商文件要求且最后报价最低的供应商的价格为磋商基准价。2.：磋商报价得分=（磋商基准价/最后磋商报价）×10。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项目分析方案</w:t>
            </w:r>
          </w:p>
        </w:tc>
        <w:tc>
          <w:tcPr>
            <w:tcW w:type="dxa" w:w="2575"/>
          </w:tcPr>
          <w:p>
            <w:pPr>
              <w:pStyle w:val="null3"/>
              <w:jc w:val="left"/>
            </w:pPr>
            <w:r>
              <w:rPr>
                <w:rFonts w:ascii="仿宋_GB2312" w:hAnsi="仿宋_GB2312" w:cs="仿宋_GB2312" w:eastAsia="仿宋_GB2312"/>
              </w:rPr>
              <w:t>供应商提供针对本项目的项目分析方案，内容包含:①培训区域经济发展特点；②产业特点；③存在问题；④培训对象的培训需求。以上①—④项内容齐全无缺陷的得16分，每缺少一项内容或每项内容仅有标题扣4分，每项内容中每有一处内容存在缺陷的扣2分，每项最多扣4分。 注：缺陷是指以下情形中的任意一项：仅有框架；或名称错误；或专业术语错误；或提供的方案中引用法律失效或错误；或提供的方案中规范引用失效或错误；或照搬其他地区及项目的内容不适用本项目的情形；或存在不可能实现的夸大情形；或方案照抄采购文件第三章相关内容且并未作出具体阐述；或不满足采购需求中非实质性要求的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包（2）技术要求及服务要求偏离表.docx</w:t>
            </w:r>
          </w:p>
          <w:p>
            <w:pPr>
              <w:pStyle w:val="null3"/>
              <w:jc w:val="left"/>
            </w:pPr>
            <w:r>
              <w:rPr>
                <w:rFonts w:ascii="仿宋_GB2312" w:hAnsi="仿宋_GB2312" w:cs="仿宋_GB2312" w:eastAsia="仿宋_GB2312"/>
              </w:rPr>
              <w:t>包（2）供应商认为需要提供的其他材料.docx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项目服务方案</w:t>
            </w:r>
          </w:p>
        </w:tc>
        <w:tc>
          <w:tcPr>
            <w:tcW w:type="dxa" w:w="2575"/>
          </w:tcPr>
          <w:p>
            <w:pPr>
              <w:pStyle w:val="null3"/>
              <w:jc w:val="left"/>
            </w:pPr>
            <w:r>
              <w:rPr>
                <w:rFonts w:ascii="仿宋_GB2312" w:hAnsi="仿宋_GB2312" w:cs="仿宋_GB2312" w:eastAsia="仿宋_GB2312"/>
              </w:rPr>
              <w:t>供应商提供针对本项目的项目服务方案，内容包含:①培训质量保障措施；②培训管理制度；③突发状况应急处置措施；④师资临时调配；⑤后续跟踪服务和方式；⑥就业岗位推荐、促进学员本专业就业的措施；⑦就业保障计划；⑧协调相关部门落实相关政策的措施。以上①—⑧项内容齐全无缺陷的得32分，每缺少一项内容或每项内容仅有标题扣4分，每项内容中每有一处内容存在缺陷的扣2分，每项最多扣4分。 注：缺陷是指以下情形中的任意一项：仅有框架；或名称错误；或专业术语错误；或提供的方案中引用法律失效或错误；或提供的方案中规范引用失效或错误；或照搬其他地区及项目的内容不适用本项目的情形；或存在不可能实现的夸大情形；或方案照抄采购文件第三章相关内容且并未作出具体阐述；或不满足采购需求中非实质性要求的情形。</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包（2）技术要求及服务要求偏离表.docx</w:t>
            </w:r>
          </w:p>
          <w:p>
            <w:pPr>
              <w:pStyle w:val="null3"/>
              <w:jc w:val="left"/>
            </w:pPr>
            <w:r>
              <w:rPr>
                <w:rFonts w:ascii="仿宋_GB2312" w:hAnsi="仿宋_GB2312" w:cs="仿宋_GB2312" w:eastAsia="仿宋_GB2312"/>
              </w:rPr>
              <w:t>包（2）供应商认为需要提供的其他材料.docx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575"/>
          </w:tcPr>
          <w:p>
            <w:pPr>
              <w:pStyle w:val="null3"/>
              <w:jc w:val="left"/>
            </w:pPr>
            <w:r>
              <w:rPr>
                <w:rFonts w:ascii="仿宋_GB2312" w:hAnsi="仿宋_GB2312" w:cs="仿宋_GB2312" w:eastAsia="仿宋_GB2312"/>
              </w:rPr>
              <w:t>供应商提供针对本项目的培训方案，内容包含：①招生组织方案；②教学计划（包含不限于所投采购包涉及法律政策的解析、培训目标、培训阶段常见问题及解决办法）；③授课方式；④教学大纲和具体课程安排进度计划(结合培训内容，提出相匹配的各个节点的工作安排等内容)；⑤教案的准备和规范；⑥培训成果考核方案。以上①—⑥项内容齐全无缺陷的得24分，每缺少一项内容或每项内容仅有标题扣4分，每项内容中每有一处内容存在缺陷的扣2分，每项最多扣4分。 注：缺陷是指以下情形中的任意一项：仅有框架；或名称错误；或专业术语错误；或提供的方案中引用法律失效或错误；或提供的方案中规范引用失效或错误；或照搬其他地区及项目的内容不适用本项目的情形；或存在不可能实现的夸大情形；或方案照抄采购文件第三章相关内容且并未作出具体阐述；或不满足采购需求中非实质性要求的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包（2）技术要求及服务要求偏离表.docx</w:t>
            </w:r>
          </w:p>
          <w:p>
            <w:pPr>
              <w:pStyle w:val="null3"/>
              <w:jc w:val="left"/>
            </w:pPr>
            <w:r>
              <w:rPr>
                <w:rFonts w:ascii="仿宋_GB2312" w:hAnsi="仿宋_GB2312" w:cs="仿宋_GB2312" w:eastAsia="仿宋_GB2312"/>
              </w:rPr>
              <w:t>包（2）供应商认为需要提供的其他材料.docx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1.供应商针对本项目拟任的项目负责人具有中级或以上专业技术职称资格证书，或国家职业资格三级或以上证书的得2分，本项最多得2分。 2.供应商针对本项目拟提供的班级管理人员具有国家职业资格二级或以上证书的，每有一个得2分，本项最多得6分。 3.供应商针对本项目拟提供的培训教师具有中级或以上专业技术职称资格证书，或国家职业资格三级或以上证书的，每有一个得2分，最多得 8分。 4.供应商针对本项目拟提供的财务管理人员具有中级或以上会计师职称的，每有一个得2分，本项最多得2分。 注：①以上人员不得重复计分，重复的按人员得分高的计分；提供相关人员相应证书复印件，不提供或未按要求提供或提供的证明材料不满足要求的不得分。②若为组成联合体参与采购的，联合体组成成员至少一方满足均认可。</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包（2）技术要求及服务要求偏离表.docx</w:t>
            </w:r>
          </w:p>
          <w:p>
            <w:pPr>
              <w:pStyle w:val="null3"/>
              <w:jc w:val="left"/>
            </w:pPr>
            <w:r>
              <w:rPr>
                <w:rFonts w:ascii="仿宋_GB2312" w:hAnsi="仿宋_GB2312" w:cs="仿宋_GB2312" w:eastAsia="仿宋_GB2312"/>
              </w:rPr>
              <w:t>包（2）供应商认为需要提供的其他材料.docx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满足磋商文件要求且最后报价最低的供应商的价格为磋商基准价。2.：磋商报价得分=（磋商基准价/最后磋商报价）×10。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格=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包（1）残疾人福利性单位声明函,包（1）中小企业声明函,包（1）监狱企业的证明文件,报价表</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格=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包（1）残疾人福利性单位声明函,包（1）中小企业声明函,包（1）监狱企业的证明文件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格=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包（2）残疾人福利性单位声明函,包（2）监狱企业的证明文件,包（2）中小企业声明函,报价表</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格=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包（2）残疾人福利性单位声明函,包（2）监狱企业的证明文件,包（2）中小企业声明函,报价表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详见附件：包（1）响应文件封面</w:t>
      </w:r>
    </w:p>
    <w:p>
      <w:pPr>
        <w:pStyle w:val="null3"/>
        <w:ind w:firstLine="960"/>
        <w:jc w:val="left"/>
      </w:pPr>
      <w:r>
        <w:rPr>
          <w:rFonts w:ascii="仿宋_GB2312" w:hAnsi="仿宋_GB2312" w:cs="仿宋_GB2312" w:eastAsia="仿宋_GB2312"/>
        </w:rPr>
        <w:t>详见附件：包（1）投标（响应）函</w:t>
      </w:r>
    </w:p>
    <w:p>
      <w:pPr>
        <w:pStyle w:val="null3"/>
        <w:ind w:firstLine="960"/>
        <w:jc w:val="left"/>
      </w:pPr>
      <w:r>
        <w:rPr>
          <w:rFonts w:ascii="仿宋_GB2312" w:hAnsi="仿宋_GB2312" w:cs="仿宋_GB2312" w:eastAsia="仿宋_GB2312"/>
        </w:rPr>
        <w:t>详见附件：包（1）中小企业声明函</w:t>
      </w:r>
    </w:p>
    <w:p>
      <w:pPr>
        <w:pStyle w:val="null3"/>
        <w:ind w:firstLine="960"/>
        <w:jc w:val="left"/>
      </w:pPr>
      <w:r>
        <w:rPr>
          <w:rFonts w:ascii="仿宋_GB2312" w:hAnsi="仿宋_GB2312" w:cs="仿宋_GB2312" w:eastAsia="仿宋_GB2312"/>
        </w:rPr>
        <w:t>详见附件：包（1）残疾人福利性单位声明函</w:t>
      </w:r>
    </w:p>
    <w:p>
      <w:pPr>
        <w:pStyle w:val="null3"/>
        <w:ind w:firstLine="960"/>
        <w:jc w:val="left"/>
      </w:pPr>
      <w:r>
        <w:rPr>
          <w:rFonts w:ascii="仿宋_GB2312" w:hAnsi="仿宋_GB2312" w:cs="仿宋_GB2312" w:eastAsia="仿宋_GB2312"/>
        </w:rPr>
        <w:t>详见附件：包（1）监狱企业的证明文件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详见附件：包（1）供应商及其现任法定代表人、主要负责人无行贿犯罪记录的承诺函.docx</w:t>
      </w:r>
    </w:p>
    <w:p>
      <w:pPr>
        <w:pStyle w:val="null3"/>
        <w:ind w:firstLine="960"/>
        <w:jc w:val="left"/>
      </w:pPr>
      <w:r>
        <w:rPr>
          <w:rFonts w:ascii="仿宋_GB2312" w:hAnsi="仿宋_GB2312" w:cs="仿宋_GB2312" w:eastAsia="仿宋_GB2312"/>
        </w:rPr>
        <w:t>详见附件：包（1）供应商应提交的相关资格证明材料.docx</w:t>
      </w:r>
    </w:p>
    <w:p>
      <w:pPr>
        <w:pStyle w:val="null3"/>
        <w:ind w:firstLine="960"/>
        <w:jc w:val="left"/>
      </w:pPr>
      <w:r>
        <w:rPr>
          <w:rFonts w:ascii="仿宋_GB2312" w:hAnsi="仿宋_GB2312" w:cs="仿宋_GB2312" w:eastAsia="仿宋_GB2312"/>
        </w:rPr>
        <w:t>详见附件：包（1）联合体协议书（联合体参与采购活动适用）.docx</w:t>
      </w:r>
    </w:p>
    <w:p>
      <w:pPr>
        <w:pStyle w:val="null3"/>
        <w:ind w:firstLine="960"/>
        <w:jc w:val="left"/>
      </w:pPr>
      <w:r>
        <w:rPr>
          <w:rFonts w:ascii="仿宋_GB2312" w:hAnsi="仿宋_GB2312" w:cs="仿宋_GB2312" w:eastAsia="仿宋_GB2312"/>
        </w:rPr>
        <w:t>详见附件：包（1）技术要求及服务要求偏离表.docx</w:t>
      </w:r>
    </w:p>
    <w:p>
      <w:pPr>
        <w:pStyle w:val="null3"/>
        <w:ind w:firstLine="960"/>
        <w:jc w:val="left"/>
      </w:pPr>
      <w:r>
        <w:rPr>
          <w:rFonts w:ascii="仿宋_GB2312" w:hAnsi="仿宋_GB2312" w:cs="仿宋_GB2312" w:eastAsia="仿宋_GB2312"/>
        </w:rPr>
        <w:t>详见附件：包（1）商务要求及其他要求偏离表.docx</w:t>
      </w:r>
    </w:p>
    <w:p>
      <w:pPr>
        <w:pStyle w:val="null3"/>
        <w:ind w:firstLine="960"/>
        <w:jc w:val="left"/>
      </w:pPr>
      <w:r>
        <w:rPr>
          <w:rFonts w:ascii="仿宋_GB2312" w:hAnsi="仿宋_GB2312" w:cs="仿宋_GB2312" w:eastAsia="仿宋_GB2312"/>
        </w:rPr>
        <w:t>详见附件：包（1）供应商认为需要提供的其他材料.docx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详见附件：包（2）响应文件封面</w:t>
      </w:r>
    </w:p>
    <w:p>
      <w:pPr>
        <w:pStyle w:val="null3"/>
        <w:ind w:firstLine="960"/>
        <w:jc w:val="left"/>
      </w:pPr>
      <w:r>
        <w:rPr>
          <w:rFonts w:ascii="仿宋_GB2312" w:hAnsi="仿宋_GB2312" w:cs="仿宋_GB2312" w:eastAsia="仿宋_GB2312"/>
        </w:rPr>
        <w:t>详见附件：包（2）投标（响应）函</w:t>
      </w:r>
    </w:p>
    <w:p>
      <w:pPr>
        <w:pStyle w:val="null3"/>
        <w:ind w:firstLine="960"/>
        <w:jc w:val="left"/>
      </w:pPr>
      <w:r>
        <w:rPr>
          <w:rFonts w:ascii="仿宋_GB2312" w:hAnsi="仿宋_GB2312" w:cs="仿宋_GB2312" w:eastAsia="仿宋_GB2312"/>
        </w:rPr>
        <w:t>详见附件：包（2）中小企业声明函</w:t>
      </w:r>
    </w:p>
    <w:p>
      <w:pPr>
        <w:pStyle w:val="null3"/>
        <w:ind w:firstLine="960"/>
        <w:jc w:val="left"/>
      </w:pPr>
      <w:r>
        <w:rPr>
          <w:rFonts w:ascii="仿宋_GB2312" w:hAnsi="仿宋_GB2312" w:cs="仿宋_GB2312" w:eastAsia="仿宋_GB2312"/>
        </w:rPr>
        <w:t>详见附件：包（2）残疾人福利性单位声明函</w:t>
      </w:r>
    </w:p>
    <w:p>
      <w:pPr>
        <w:pStyle w:val="null3"/>
        <w:ind w:firstLine="960"/>
        <w:jc w:val="left"/>
      </w:pPr>
      <w:r>
        <w:rPr>
          <w:rFonts w:ascii="仿宋_GB2312" w:hAnsi="仿宋_GB2312" w:cs="仿宋_GB2312" w:eastAsia="仿宋_GB2312"/>
        </w:rPr>
        <w:t>详见附件：包（2）监狱企业的证明文件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详见附件：包（2）供应商及其现任法定代表人、主要负责人无行贿犯罪记录的承诺函.docx</w:t>
      </w:r>
    </w:p>
    <w:p>
      <w:pPr>
        <w:pStyle w:val="null3"/>
        <w:ind w:firstLine="960"/>
        <w:jc w:val="left"/>
      </w:pPr>
      <w:r>
        <w:rPr>
          <w:rFonts w:ascii="仿宋_GB2312" w:hAnsi="仿宋_GB2312" w:cs="仿宋_GB2312" w:eastAsia="仿宋_GB2312"/>
        </w:rPr>
        <w:t>详见附件：包（2）供应商应提交的相关资格证明材料.docx</w:t>
      </w:r>
    </w:p>
    <w:p>
      <w:pPr>
        <w:pStyle w:val="null3"/>
        <w:ind w:firstLine="960"/>
        <w:jc w:val="left"/>
      </w:pPr>
      <w:r>
        <w:rPr>
          <w:rFonts w:ascii="仿宋_GB2312" w:hAnsi="仿宋_GB2312" w:cs="仿宋_GB2312" w:eastAsia="仿宋_GB2312"/>
        </w:rPr>
        <w:t>详见附件：包（2）联合体协议书（联合体参与采购活动适用）.docx</w:t>
      </w:r>
    </w:p>
    <w:p>
      <w:pPr>
        <w:pStyle w:val="null3"/>
        <w:ind w:firstLine="960"/>
        <w:jc w:val="left"/>
      </w:pPr>
      <w:r>
        <w:rPr>
          <w:rFonts w:ascii="仿宋_GB2312" w:hAnsi="仿宋_GB2312" w:cs="仿宋_GB2312" w:eastAsia="仿宋_GB2312"/>
        </w:rPr>
        <w:t>详见附件：包（2）技术要求及服务要求偏离表.docx</w:t>
      </w:r>
    </w:p>
    <w:p>
      <w:pPr>
        <w:pStyle w:val="null3"/>
        <w:ind w:firstLine="960"/>
        <w:jc w:val="left"/>
      </w:pPr>
      <w:r>
        <w:rPr>
          <w:rFonts w:ascii="仿宋_GB2312" w:hAnsi="仿宋_GB2312" w:cs="仿宋_GB2312" w:eastAsia="仿宋_GB2312"/>
        </w:rPr>
        <w:t>详见附件：包（2）商务要求及其他要求偏离表.docx</w:t>
      </w:r>
    </w:p>
    <w:p>
      <w:pPr>
        <w:pStyle w:val="null3"/>
        <w:ind w:firstLine="960"/>
        <w:jc w:val="left"/>
      </w:pPr>
      <w:r>
        <w:rPr>
          <w:rFonts w:ascii="仿宋_GB2312" w:hAnsi="仿宋_GB2312" w:cs="仿宋_GB2312" w:eastAsia="仿宋_GB2312"/>
        </w:rPr>
        <w:t>详见附件：包（2）供应商认为需要提供的其他材料.docx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详见附件：职业技能培训服务采购项目——政府采购合同文本（各包均适用）.docx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