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版本号：N510129202500001620250312003</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信息系统安全等级保护测评服务采购项目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N5101292025000016</w:t>
      </w:r>
    </w:p>
    <w:p>
      <w:pPr>
        <w:pStyle w:val="null3"/>
        <w:jc w:val="left"/>
        <w:outlineLvl w:val="2"/>
      </w:pPr>
      <w:r>
        <w:rPr>
          <w:rFonts w:ascii="仿宋_GB2312" w:hAnsi="仿宋_GB2312" w:cs="仿宋_GB2312" w:eastAsia="仿宋_GB2312"/>
          <w:sz w:val="28"/>
          <w:b/>
        </w:rPr>
        <w:t>大邑县人民医院</w:t>
      </w:r>
    </w:p>
    <w:p>
      <w:pPr>
        <w:pStyle w:val="null3"/>
        <w:jc w:val="center"/>
        <w:outlineLvl w:val="2"/>
      </w:pPr>
      <w:r>
        <w:rPr>
          <w:rFonts w:ascii="仿宋_GB2312" w:hAnsi="仿宋_GB2312" w:cs="仿宋_GB2312" w:eastAsia="仿宋_GB2312"/>
          <w:sz w:val="28"/>
          <w:b/>
        </w:rPr>
        <w:t>四川五洲招标代理有限公司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四川五洲招标代理有限公司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大邑县人民医院</w:t>
      </w:r>
      <w:r>
        <w:rPr>
          <w:rFonts w:ascii="仿宋_GB2312" w:hAnsi="仿宋_GB2312" w:cs="仿宋_GB2312" w:eastAsia="仿宋_GB2312"/>
        </w:rPr>
        <w:t xml:space="preserve"> 委托，拟对 </w:t>
      </w:r>
      <w:r>
        <w:rPr>
          <w:rFonts w:ascii="仿宋_GB2312" w:hAnsi="仿宋_GB2312" w:cs="仿宋_GB2312" w:eastAsia="仿宋_GB2312"/>
        </w:rPr>
        <w:t>信息系统安全等级保护测评服务采购项目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成都市大邑县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N5101292025000016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信息系统安全等级保护测评服务采购项目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本项目共1个包。采购内容：信息系统安全等级保护测评服务采购项目。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大邑县人民医院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成都市大邑县晋原镇北街323号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611330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028-88268035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四川五洲招标代理有限公司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成都市武侯区星狮路511号大合仓C区415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610043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028-85446608-8801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采购包1：480,000.00元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供应商支付，依照成本加合理利润的原则，以中标金额作为计算基数，按差额定率累进法进行计算，费率标准为（服务采购项目）下浮20%：中标金额100万元以下，费率1.5%，中标金额100万元-500万元，费率0.8%。不足2700元按定额2700元收取。收款单位：四川五洲招标代理有限公司；银行账号：320 220 102 200 057 000 16；开户银行：成都银行金府路支行。在代理服务费开票之前，请申请人仔细填写《增值税发票信息申请表》（详见附件），并将此表以电子邮件形式发送至四川五洲招标代理有限公司财务部的指定邮箱scwz@scwzzbdl.email。</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大邑县人民医院</w:t>
      </w:r>
      <w:r>
        <w:rPr>
          <w:rFonts w:ascii="仿宋_GB2312" w:hAnsi="仿宋_GB2312" w:cs="仿宋_GB2312" w:eastAsia="仿宋_GB2312"/>
        </w:rPr>
        <w:t xml:space="preserve"> 和 </w:t>
      </w:r>
      <w:r>
        <w:rPr>
          <w:rFonts w:ascii="仿宋_GB2312" w:hAnsi="仿宋_GB2312" w:cs="仿宋_GB2312" w:eastAsia="仿宋_GB2312"/>
        </w:rPr>
        <w:t>四川五洲招标代理有限公司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大邑县人民医院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四川五洲招标代理有限公司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投标人提出验收申请之日起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投标人仅在完成所有项目内容后方可提出验收申请</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按照本项目招标文件中“技术服务要求”及中标人投标文件进行验收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按照招标文件商务要求及中标人的投标文件商务要求内容进行验收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双方如对质量要求和技术指标的约定标准有相互抵触或异议的事项，由采购人在招标文件和投标文件中按质量要求和技术指标比较优胜的原则确定该项的约定标准进行验收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大邑县人民医院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四川五洲招标代理有限公司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四川五洲招标代理有限公司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联系人：杨老师</w:t>
      </w:r>
    </w:p>
    <w:p>
      <w:pPr>
        <w:pStyle w:val="null3"/>
        <w:jc w:val="left"/>
      </w:pPr>
      <w:r>
        <w:rPr>
          <w:rFonts w:ascii="仿宋_GB2312" w:hAnsi="仿宋_GB2312" w:cs="仿宋_GB2312" w:eastAsia="仿宋_GB2312"/>
        </w:rPr>
        <w:t>联系电话：028-88268035</w:t>
      </w:r>
    </w:p>
    <w:p>
      <w:pPr>
        <w:pStyle w:val="null3"/>
        <w:jc w:val="left"/>
      </w:pPr>
      <w:r>
        <w:rPr>
          <w:rFonts w:ascii="仿宋_GB2312" w:hAnsi="仿宋_GB2312" w:cs="仿宋_GB2312" w:eastAsia="仿宋_GB2312"/>
        </w:rPr>
        <w:t>地址：四川省成都市大邑县北街 323 号</w:t>
      </w:r>
    </w:p>
    <w:p>
      <w:pPr>
        <w:pStyle w:val="null3"/>
        <w:jc w:val="left"/>
      </w:pPr>
      <w:r>
        <w:rPr>
          <w:rFonts w:ascii="仿宋_GB2312" w:hAnsi="仿宋_GB2312" w:cs="仿宋_GB2312" w:eastAsia="仿宋_GB2312"/>
        </w:rPr>
        <w:t>邮编：611300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联系人：周先生</w:t>
      </w:r>
    </w:p>
    <w:p>
      <w:pPr>
        <w:pStyle w:val="null3"/>
        <w:jc w:val="left"/>
      </w:pPr>
      <w:r>
        <w:rPr>
          <w:rFonts w:ascii="仿宋_GB2312" w:hAnsi="仿宋_GB2312" w:cs="仿宋_GB2312" w:eastAsia="仿宋_GB2312"/>
        </w:rPr>
        <w:t>联系电话：028-85446608-8801</w:t>
      </w:r>
    </w:p>
    <w:p>
      <w:pPr>
        <w:pStyle w:val="null3"/>
        <w:jc w:val="left"/>
      </w:pPr>
      <w:r>
        <w:rPr>
          <w:rFonts w:ascii="仿宋_GB2312" w:hAnsi="仿宋_GB2312" w:cs="仿宋_GB2312" w:eastAsia="仿宋_GB2312"/>
        </w:rPr>
        <w:t>地址：成都市武侯区星狮路511号大合仓C区415</w:t>
      </w:r>
    </w:p>
    <w:p>
      <w:pPr>
        <w:pStyle w:val="null3"/>
        <w:jc w:val="left"/>
      </w:pPr>
      <w:r>
        <w:rPr>
          <w:rFonts w:ascii="仿宋_GB2312" w:hAnsi="仿宋_GB2312" w:cs="仿宋_GB2312" w:eastAsia="仿宋_GB2312"/>
        </w:rPr>
        <w:t>邮编：610041</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480,000.00</w:t>
      </w:r>
    </w:p>
    <w:p>
      <w:pPr>
        <w:pStyle w:val="null3"/>
        <w:jc w:val="left"/>
      </w:pPr>
      <w:r>
        <w:rPr>
          <w:rFonts w:ascii="仿宋_GB2312" w:hAnsi="仿宋_GB2312" w:cs="仿宋_GB2312" w:eastAsia="仿宋_GB2312"/>
        </w:rPr>
        <w:t>采购包最高限价（元）: 480,000.00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C16060000 测试评估认证服务</w:t>
            </w:r>
          </w:p>
        </w:tc>
        <w:tc>
          <w:tcPr>
            <w:tcW w:type="dxa" w:w="821"/>
          </w:tcPr>
          <w:p>
            <w:pPr>
              <w:pStyle w:val="null3"/>
              <w:jc w:val="left"/>
            </w:pPr>
            <w:r>
              <w:rPr>
                <w:rFonts w:ascii="仿宋_GB2312" w:hAnsi="仿宋_GB2312" w:cs="仿宋_GB2312" w:eastAsia="仿宋_GB2312"/>
              </w:rPr>
              <w:t>信息系统安全等级保护测评服务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480,000.00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信息系统安全等级保护测评服务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480,000.00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标的名称：信息系统安全等级保护测评服务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技术服务要求</w:t>
            </w:r>
          </w:p>
        </w:tc>
        <w:tc>
          <w:tcPr>
            <w:tcW w:type="dxa" w:w="5814"/>
          </w:tcPr>
          <w:tbl>
            <w:tblPr>
              <w:tblInd w:type="dxa" w:w="135"/>
              <w:tblBorders>
                <w:top w:val="none" w:color="000000" w:sz="4"/>
                <w:left w:val="none" w:color="000000" w:sz="4"/>
                <w:bottom w:val="none" w:color="000000" w:sz="4"/>
                <w:right w:val="none" w:color="000000" w:sz="4"/>
                <w:insideH w:val="none"/>
                <w:insideV w:val="none"/>
              </w:tblBorders>
            </w:tblPr>
            <w:tblGrid>
              <w:gridCol w:w="3025"/>
              <w:gridCol w:w="2572"/>
            </w:tblGrid>
            <w:tr>
              <w:tc>
                <w:tcPr>
                  <w:tcW w:type="dxa" w:w="3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2"/>
                    <w:jc w:val="center"/>
                  </w:pPr>
                  <w:r>
                    <w:rPr>
                      <w:rFonts w:ascii="仿宋_GB2312" w:hAnsi="仿宋_GB2312" w:cs="仿宋_GB2312" w:eastAsia="仿宋_GB2312"/>
                      <w:sz w:val="24"/>
                    </w:rPr>
                    <w:t>系统名称</w:t>
                  </w:r>
                </w:p>
              </w:tc>
              <w:tc>
                <w:tcPr>
                  <w:tcW w:type="dxa" w:w="2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安全保护等级</w:t>
                  </w:r>
                </w:p>
              </w:tc>
            </w:tr>
            <w:tr>
              <w:tc>
                <w:tcPr>
                  <w:tcW w:type="dxa" w:w="3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4"/>
                    </w:rPr>
                    <w:t>HIS系统</w:t>
                  </w:r>
                </w:p>
              </w:tc>
              <w:tc>
                <w:tcPr>
                  <w:tcW w:type="dxa" w:w="2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4"/>
                    </w:rPr>
                    <w:t>三级</w:t>
                  </w:r>
                </w:p>
              </w:tc>
            </w:tr>
            <w:tr>
              <w:tc>
                <w:tcPr>
                  <w:tcW w:type="dxa" w:w="3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4"/>
                    </w:rPr>
                    <w:t>LIS系统</w:t>
                  </w:r>
                </w:p>
              </w:tc>
              <w:tc>
                <w:tcPr>
                  <w:tcW w:type="dxa" w:w="2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4"/>
                    </w:rPr>
                    <w:t>三级</w:t>
                  </w:r>
                </w:p>
              </w:tc>
            </w:tr>
            <w:tr>
              <w:tc>
                <w:tcPr>
                  <w:tcW w:type="dxa" w:w="3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4"/>
                    </w:rPr>
                    <w:t>PACS系统</w:t>
                  </w:r>
                </w:p>
              </w:tc>
              <w:tc>
                <w:tcPr>
                  <w:tcW w:type="dxa" w:w="2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4"/>
                    </w:rPr>
                    <w:t>三级</w:t>
                  </w:r>
                </w:p>
              </w:tc>
            </w:tr>
            <w:tr>
              <w:tc>
                <w:tcPr>
                  <w:tcW w:type="dxa" w:w="3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4"/>
                    </w:rPr>
                    <w:t>EMR(电子病历)系统</w:t>
                  </w:r>
                </w:p>
              </w:tc>
              <w:tc>
                <w:tcPr>
                  <w:tcW w:type="dxa" w:w="2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4"/>
                    </w:rPr>
                    <w:t>三级</w:t>
                  </w:r>
                </w:p>
              </w:tc>
            </w:tr>
            <w:tr>
              <w:tc>
                <w:tcPr>
                  <w:tcW w:type="dxa" w:w="3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4"/>
                    </w:rPr>
                    <w:t>门户网站系统</w:t>
                  </w:r>
                </w:p>
              </w:tc>
              <w:tc>
                <w:tcPr>
                  <w:tcW w:type="dxa" w:w="2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4"/>
                    </w:rPr>
                    <w:t>三级</w:t>
                  </w:r>
                </w:p>
              </w:tc>
            </w:tr>
            <w:tr>
              <w:tc>
                <w:tcPr>
                  <w:tcW w:type="dxa" w:w="3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4"/>
                    </w:rPr>
                    <w:t>OA办公系统</w:t>
                  </w:r>
                </w:p>
              </w:tc>
              <w:tc>
                <w:tcPr>
                  <w:tcW w:type="dxa" w:w="2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4"/>
                    </w:rPr>
                    <w:t>三级</w:t>
                  </w:r>
                </w:p>
              </w:tc>
            </w:tr>
            <w:tr>
              <w:tc>
                <w:tcPr>
                  <w:tcW w:type="dxa" w:w="3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4"/>
                    </w:rPr>
                    <w:t>集成平台系统</w:t>
                  </w:r>
                </w:p>
              </w:tc>
              <w:tc>
                <w:tcPr>
                  <w:tcW w:type="dxa" w:w="2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4"/>
                    </w:rPr>
                    <w:t>三级</w:t>
                  </w:r>
                </w:p>
              </w:tc>
            </w:tr>
          </w:tbl>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ind w:firstLine="562"/>
              <w:jc w:val="left"/>
            </w:pPr>
            <w:r>
              <w:rPr>
                <w:rFonts w:ascii="仿宋_GB2312" w:hAnsi="仿宋_GB2312" w:cs="仿宋_GB2312" w:eastAsia="仿宋_GB2312"/>
                <w:sz w:val="24"/>
              </w:rPr>
              <w:t>1、测评及评估原则</w:t>
            </w:r>
          </w:p>
          <w:p>
            <w:pPr>
              <w:pStyle w:val="null3"/>
              <w:ind w:firstLine="562"/>
              <w:jc w:val="left"/>
            </w:pPr>
            <w:r>
              <w:rPr>
                <w:rFonts w:ascii="仿宋_GB2312" w:hAnsi="仿宋_GB2312" w:cs="仿宋_GB2312" w:eastAsia="仿宋_GB2312"/>
                <w:sz w:val="24"/>
              </w:rPr>
              <w:t>保密性原则：项目实施方应与签订保密协议，对测评的过程数据和结果数据严格保密，未经授权不得泄露给任何单位和个人，不得利用此数据侵害的权益，否则有权追究的责任。</w:t>
            </w:r>
          </w:p>
          <w:p>
            <w:pPr>
              <w:pStyle w:val="null3"/>
              <w:ind w:firstLine="562"/>
              <w:jc w:val="left"/>
            </w:pPr>
            <w:r>
              <w:rPr>
                <w:rFonts w:ascii="仿宋_GB2312" w:hAnsi="仿宋_GB2312" w:cs="仿宋_GB2312" w:eastAsia="仿宋_GB2312"/>
                <w:sz w:val="24"/>
              </w:rPr>
              <w:t>标准性原则：测评及评估方案的设计与实施应依据国家的相关标准进行。</w:t>
            </w:r>
          </w:p>
          <w:p>
            <w:pPr>
              <w:pStyle w:val="null3"/>
              <w:ind w:firstLine="562"/>
              <w:jc w:val="left"/>
            </w:pPr>
            <w:r>
              <w:rPr>
                <w:rFonts w:ascii="仿宋_GB2312" w:hAnsi="仿宋_GB2312" w:cs="仿宋_GB2312" w:eastAsia="仿宋_GB2312"/>
                <w:sz w:val="24"/>
              </w:rPr>
              <w:t>规范性原则：项目实施方工作中的过程和文档，应具有规范性，便于项目跟踪和控制。</w:t>
            </w:r>
          </w:p>
          <w:p>
            <w:pPr>
              <w:pStyle w:val="null3"/>
              <w:ind w:firstLine="562"/>
              <w:jc w:val="left"/>
            </w:pPr>
            <w:r>
              <w:rPr>
                <w:rFonts w:ascii="仿宋_GB2312" w:hAnsi="仿宋_GB2312" w:cs="仿宋_GB2312" w:eastAsia="仿宋_GB2312"/>
                <w:sz w:val="24"/>
              </w:rPr>
              <w:t>可控性原则：项目的进度应符合进度安排，保证对测评工作的可控性。</w:t>
            </w:r>
          </w:p>
          <w:p>
            <w:pPr>
              <w:pStyle w:val="null3"/>
              <w:ind w:firstLine="562"/>
              <w:jc w:val="left"/>
            </w:pPr>
            <w:r>
              <w:rPr>
                <w:rFonts w:ascii="仿宋_GB2312" w:hAnsi="仿宋_GB2312" w:cs="仿宋_GB2312" w:eastAsia="仿宋_GB2312"/>
                <w:sz w:val="24"/>
              </w:rPr>
              <w:t>整体性原则：测评及评估的范围和内容应系统、全面、规范，满足等级保护的相关基本要求。</w:t>
            </w:r>
          </w:p>
          <w:p>
            <w:pPr>
              <w:pStyle w:val="null3"/>
              <w:ind w:firstLine="562"/>
              <w:jc w:val="left"/>
            </w:pPr>
            <w:r>
              <w:rPr>
                <w:rFonts w:ascii="仿宋_GB2312" w:hAnsi="仿宋_GB2312" w:cs="仿宋_GB2312" w:eastAsia="仿宋_GB2312"/>
                <w:sz w:val="24"/>
              </w:rPr>
              <w:t>最小影响原则：技术测评及评估工作应尽可能小的影响在线系统和网络的正常运行，不能对现有运行系统造成影响。在线测评及评估应在许可的条件下进行。</w:t>
            </w:r>
          </w:p>
          <w:p>
            <w:pPr>
              <w:pStyle w:val="null3"/>
              <w:ind w:firstLine="562"/>
              <w:jc w:val="left"/>
            </w:pPr>
            <w:r>
              <w:rPr>
                <w:rFonts w:ascii="仿宋_GB2312" w:hAnsi="仿宋_GB2312" w:cs="仿宋_GB2312" w:eastAsia="仿宋_GB2312"/>
                <w:sz w:val="24"/>
              </w:rPr>
              <w:t>2、实施要求</w:t>
            </w:r>
          </w:p>
          <w:p>
            <w:pPr>
              <w:pStyle w:val="null3"/>
              <w:ind w:firstLine="562"/>
              <w:jc w:val="left"/>
            </w:pPr>
            <w:r>
              <w:rPr>
                <w:rFonts w:ascii="仿宋_GB2312" w:hAnsi="仿宋_GB2312" w:cs="仿宋_GB2312" w:eastAsia="仿宋_GB2312"/>
                <w:sz w:val="24"/>
              </w:rPr>
              <w:t>应详细描述信息系统安全等级保护测评的整体实施方案，包括项目概述、等保测评方案、项目实施方案、时间安排、阶段性文档提交和验收标准等。应详细描述测评及评估人员的组成、资质及各自职责的划分。应配置经验丰富的测评及评估人员进行信息系统安全等级保护测评工作。</w:t>
            </w:r>
          </w:p>
          <w:p>
            <w:pPr>
              <w:pStyle w:val="null3"/>
              <w:ind w:firstLine="562"/>
              <w:jc w:val="left"/>
            </w:pPr>
            <w:r>
              <w:rPr>
                <w:rFonts w:ascii="仿宋_GB2312" w:hAnsi="仿宋_GB2312" w:cs="仿宋_GB2312" w:eastAsia="仿宋_GB2312"/>
                <w:sz w:val="24"/>
              </w:rPr>
              <w:t>3、测评及评估方法</w:t>
            </w:r>
          </w:p>
          <w:p>
            <w:pPr>
              <w:pStyle w:val="null3"/>
              <w:ind w:firstLine="562"/>
              <w:jc w:val="left"/>
            </w:pPr>
            <w:r>
              <w:rPr>
                <w:rFonts w:ascii="仿宋_GB2312" w:hAnsi="仿宋_GB2312" w:cs="仿宋_GB2312" w:eastAsia="仿宋_GB2312"/>
                <w:sz w:val="24"/>
              </w:rPr>
              <w:t>测评及评估方法包括访谈、检查和测试三种方法，可细化为文档审查、配置检查、工具测试和实地察看等多种方法。</w:t>
            </w:r>
          </w:p>
          <w:p>
            <w:pPr>
              <w:pStyle w:val="null3"/>
              <w:ind w:firstLine="562"/>
              <w:jc w:val="left"/>
            </w:pPr>
            <w:r>
              <w:rPr>
                <w:rFonts w:ascii="仿宋_GB2312" w:hAnsi="仿宋_GB2312" w:cs="仿宋_GB2312" w:eastAsia="仿宋_GB2312"/>
                <w:sz w:val="24"/>
              </w:rPr>
              <w:t>如需对系统安全等级保护测评实施过程中采用在线测评工具，各种工具软件由项目实施方推荐，经确认后由项目实施方提供并在工作中使用。</w:t>
            </w:r>
          </w:p>
          <w:p>
            <w:pPr>
              <w:pStyle w:val="null3"/>
              <w:ind w:firstLine="562"/>
              <w:jc w:val="left"/>
            </w:pPr>
            <w:r>
              <w:rPr>
                <w:rFonts w:ascii="仿宋_GB2312" w:hAnsi="仿宋_GB2312" w:cs="仿宋_GB2312" w:eastAsia="仿宋_GB2312"/>
                <w:sz w:val="24"/>
              </w:rPr>
              <w:t>安全测评工具软件运行可能需要的硬件平台（如笔记本电脑、</w:t>
            </w:r>
            <w:r>
              <w:rPr>
                <w:rFonts w:ascii="仿宋_GB2312" w:hAnsi="仿宋_GB2312" w:cs="仿宋_GB2312" w:eastAsia="仿宋_GB2312"/>
                <w:sz w:val="24"/>
              </w:rPr>
              <w:t>PC、工作站等）和操作系统软件等由项目实施方推荐，经确认后由项目实施方提供并在测评中使用。</w:t>
            </w:r>
          </w:p>
          <w:p>
            <w:pPr>
              <w:pStyle w:val="null3"/>
              <w:ind w:firstLine="562"/>
              <w:jc w:val="left"/>
            </w:pPr>
            <w:r>
              <w:rPr>
                <w:rFonts w:ascii="仿宋_GB2312" w:hAnsi="仿宋_GB2312" w:cs="仿宋_GB2312" w:eastAsia="仿宋_GB2312"/>
                <w:sz w:val="24"/>
              </w:rPr>
              <w:t>4、等级保护测评内容</w:t>
            </w:r>
          </w:p>
          <w:p>
            <w:pPr>
              <w:pStyle w:val="null3"/>
              <w:ind w:firstLine="562"/>
              <w:jc w:val="left"/>
            </w:pPr>
            <w:r>
              <w:rPr>
                <w:rFonts w:ascii="仿宋_GB2312" w:hAnsi="仿宋_GB2312" w:cs="仿宋_GB2312" w:eastAsia="仿宋_GB2312"/>
                <w:sz w:val="24"/>
              </w:rPr>
              <w:t>根据国家等级保护相关标准，本次项目的安全等级保护测评应包括以下内容：</w:t>
            </w:r>
          </w:p>
          <w:p>
            <w:pPr>
              <w:pStyle w:val="null3"/>
              <w:ind w:firstLine="562"/>
              <w:jc w:val="left"/>
            </w:pPr>
            <w:r>
              <w:rPr>
                <w:rFonts w:ascii="仿宋_GB2312" w:hAnsi="仿宋_GB2312" w:cs="仿宋_GB2312" w:eastAsia="仿宋_GB2312"/>
                <w:sz w:val="24"/>
              </w:rPr>
              <w:t>安全技术测评：包括安全物理环境、安全通信网络、安全区域边界、安全计算环境和安全管理中心等五个方面的安全测评；</w:t>
            </w:r>
          </w:p>
          <w:p>
            <w:pPr>
              <w:pStyle w:val="null3"/>
              <w:ind w:firstLine="562"/>
              <w:jc w:val="left"/>
            </w:pPr>
            <w:r>
              <w:rPr>
                <w:rFonts w:ascii="仿宋_GB2312" w:hAnsi="仿宋_GB2312" w:cs="仿宋_GB2312" w:eastAsia="仿宋_GB2312"/>
                <w:sz w:val="24"/>
              </w:rPr>
              <w:t>安全管理测评：包括安全管理制度、安全管理机构、安全管理人员、安全建设管理和安全运维管理等五个方面的安全测评。</w:t>
            </w:r>
          </w:p>
          <w:p>
            <w:pPr>
              <w:pStyle w:val="null3"/>
              <w:ind w:firstLine="562"/>
              <w:jc w:val="left"/>
            </w:pPr>
            <w:r>
              <w:rPr>
                <w:rFonts w:ascii="仿宋_GB2312" w:hAnsi="仿宋_GB2312" w:cs="仿宋_GB2312" w:eastAsia="仿宋_GB2312"/>
                <w:sz w:val="24"/>
              </w:rPr>
              <w:t>4.1、安全物理环境</w:t>
            </w:r>
          </w:p>
          <w:p>
            <w:pPr>
              <w:pStyle w:val="null3"/>
              <w:ind w:firstLine="562"/>
              <w:jc w:val="left"/>
            </w:pPr>
            <w:r>
              <w:rPr>
                <w:rFonts w:ascii="仿宋_GB2312" w:hAnsi="仿宋_GB2312" w:cs="仿宋_GB2312" w:eastAsia="仿宋_GB2312"/>
                <w:sz w:val="24"/>
              </w:rPr>
              <w:t>安全物理环境针对物理机房提出了安全控制要求，主要对象为物理环境、物理设备和物理设施等；涉及的安全控制点包括物理位置的选择、物理访问控制、防盗窃和防破坏、防雷击、防火、防水和防潮、防静电、温湿度控制、电力供应、安全等级保和电磁防护。</w:t>
            </w:r>
          </w:p>
          <w:p>
            <w:pPr>
              <w:pStyle w:val="null3"/>
              <w:ind w:firstLine="562"/>
              <w:jc w:val="left"/>
            </w:pPr>
            <w:r>
              <w:rPr>
                <w:rFonts w:ascii="仿宋_GB2312" w:hAnsi="仿宋_GB2312" w:cs="仿宋_GB2312" w:eastAsia="仿宋_GB2312"/>
                <w:sz w:val="24"/>
              </w:rPr>
              <w:t>4.2、安全通信网络</w:t>
            </w:r>
          </w:p>
          <w:p>
            <w:pPr>
              <w:pStyle w:val="null3"/>
              <w:ind w:firstLine="562"/>
              <w:jc w:val="left"/>
            </w:pPr>
            <w:r>
              <w:rPr>
                <w:rFonts w:ascii="仿宋_GB2312" w:hAnsi="仿宋_GB2312" w:cs="仿宋_GB2312" w:eastAsia="仿宋_GB2312"/>
                <w:sz w:val="24"/>
              </w:rPr>
              <w:t>安全通信网络针对网络架构和通信传输提岀了安全控制要求。主要对象为广域网、城域网、局域网的通信传输以及网络架构等；涉及的安全控制点包括网络架构、通信传输和可信验证。</w:t>
            </w:r>
          </w:p>
          <w:p>
            <w:pPr>
              <w:pStyle w:val="null3"/>
              <w:ind w:firstLine="562"/>
              <w:jc w:val="left"/>
            </w:pPr>
            <w:r>
              <w:rPr>
                <w:rFonts w:ascii="仿宋_GB2312" w:hAnsi="仿宋_GB2312" w:cs="仿宋_GB2312" w:eastAsia="仿宋_GB2312"/>
                <w:sz w:val="24"/>
              </w:rPr>
              <w:t>4.3、安全区域边界</w:t>
            </w:r>
          </w:p>
          <w:p>
            <w:pPr>
              <w:pStyle w:val="null3"/>
              <w:ind w:firstLine="562"/>
              <w:jc w:val="left"/>
            </w:pPr>
            <w:r>
              <w:rPr>
                <w:rFonts w:ascii="仿宋_GB2312" w:hAnsi="仿宋_GB2312" w:cs="仿宋_GB2312" w:eastAsia="仿宋_GB2312"/>
                <w:sz w:val="24"/>
              </w:rPr>
              <w:t>安全区域边界针对网络边界提出了安全控制要求，主要对象为系统边界和区域边界等；涉及的安全控制点包括边界防护、访问控制、入侵防范、恶意代码防范、安全审计和可信验证。</w:t>
            </w:r>
          </w:p>
          <w:p>
            <w:pPr>
              <w:pStyle w:val="null3"/>
              <w:ind w:firstLine="562"/>
              <w:jc w:val="left"/>
            </w:pPr>
            <w:r>
              <w:rPr>
                <w:rFonts w:ascii="仿宋_GB2312" w:hAnsi="仿宋_GB2312" w:cs="仿宋_GB2312" w:eastAsia="仿宋_GB2312"/>
                <w:sz w:val="24"/>
              </w:rPr>
              <w:t>4.4、安全计算环境</w:t>
            </w:r>
          </w:p>
          <w:p>
            <w:pPr>
              <w:pStyle w:val="null3"/>
              <w:ind w:firstLine="562"/>
              <w:jc w:val="left"/>
            </w:pPr>
            <w:r>
              <w:rPr>
                <w:rFonts w:ascii="仿宋_GB2312" w:hAnsi="仿宋_GB2312" w:cs="仿宋_GB2312" w:eastAsia="仿宋_GB2312"/>
                <w:sz w:val="24"/>
              </w:rPr>
              <w:t>安全计算环境针对边界内部提出了安全控制要求，主要对象为边界内部的所有对象，包括网络设备、安全设备、服务器设备、终端设备、应用系统、数据对象和其他设备等；涉及的安全控制点包括身份鉴别、访问控制、安全审计、入侵防范、恶意代码防范、可信验证。</w:t>
            </w:r>
          </w:p>
          <w:p>
            <w:pPr>
              <w:pStyle w:val="null3"/>
              <w:ind w:firstLine="562"/>
              <w:jc w:val="left"/>
            </w:pPr>
            <w:r>
              <w:rPr>
                <w:rFonts w:ascii="仿宋_GB2312" w:hAnsi="仿宋_GB2312" w:cs="仿宋_GB2312" w:eastAsia="仿宋_GB2312"/>
                <w:sz w:val="24"/>
              </w:rPr>
              <w:t>4.5、安全管理中心</w:t>
            </w:r>
          </w:p>
          <w:p>
            <w:pPr>
              <w:pStyle w:val="null3"/>
              <w:ind w:firstLine="562"/>
              <w:jc w:val="left"/>
            </w:pPr>
            <w:r>
              <w:rPr>
                <w:rFonts w:ascii="仿宋_GB2312" w:hAnsi="仿宋_GB2312" w:cs="仿宋_GB2312" w:eastAsia="仿宋_GB2312"/>
                <w:sz w:val="24"/>
              </w:rPr>
              <w:t>安全管理中心针对整个系统提出了安全管理方面的技术控制要求，通过技术手段实现集中管理；涉及的安全控制点包括系统管理、审计管理、安全管理和集全等级。</w:t>
            </w:r>
          </w:p>
          <w:p>
            <w:pPr>
              <w:pStyle w:val="null3"/>
              <w:ind w:firstLine="562"/>
              <w:jc w:val="left"/>
            </w:pPr>
            <w:r>
              <w:rPr>
                <w:rFonts w:ascii="仿宋_GB2312" w:hAnsi="仿宋_GB2312" w:cs="仿宋_GB2312" w:eastAsia="仿宋_GB2312"/>
                <w:sz w:val="24"/>
              </w:rPr>
              <w:t>4.6、安全管理制度</w:t>
            </w:r>
          </w:p>
          <w:p>
            <w:pPr>
              <w:pStyle w:val="null3"/>
              <w:ind w:firstLine="562"/>
              <w:jc w:val="left"/>
            </w:pPr>
            <w:r>
              <w:rPr>
                <w:rFonts w:ascii="仿宋_GB2312" w:hAnsi="仿宋_GB2312" w:cs="仿宋_GB2312" w:eastAsia="仿宋_GB2312"/>
                <w:sz w:val="24"/>
              </w:rPr>
              <w:t>安全管理制度测评是对信息系统的安全管理制度体系和制度内容、制定和发布流程、评审和修订机制等情况进行测评。</w:t>
            </w:r>
          </w:p>
          <w:p>
            <w:pPr>
              <w:pStyle w:val="null3"/>
              <w:ind w:firstLine="562"/>
              <w:jc w:val="left"/>
            </w:pPr>
            <w:r>
              <w:rPr>
                <w:rFonts w:ascii="仿宋_GB2312" w:hAnsi="仿宋_GB2312" w:cs="仿宋_GB2312" w:eastAsia="仿宋_GB2312"/>
                <w:sz w:val="24"/>
              </w:rPr>
              <w:t>4.7、安全管理机构</w:t>
            </w:r>
          </w:p>
          <w:p>
            <w:pPr>
              <w:pStyle w:val="null3"/>
              <w:ind w:firstLine="562"/>
              <w:jc w:val="left"/>
            </w:pPr>
            <w:r>
              <w:rPr>
                <w:rFonts w:ascii="仿宋_GB2312" w:hAnsi="仿宋_GB2312" w:cs="仿宋_GB2312" w:eastAsia="仿宋_GB2312"/>
                <w:sz w:val="24"/>
              </w:rPr>
              <w:t>安全管理机构测评是对信息系统的安全管理组织和岗位设置、人员配备、授权和审批、沟通和合作、审核和检查等情况进行测评。</w:t>
            </w:r>
          </w:p>
          <w:p>
            <w:pPr>
              <w:pStyle w:val="null3"/>
              <w:ind w:firstLine="562"/>
              <w:jc w:val="left"/>
            </w:pPr>
            <w:r>
              <w:rPr>
                <w:rFonts w:ascii="仿宋_GB2312" w:hAnsi="仿宋_GB2312" w:cs="仿宋_GB2312" w:eastAsia="仿宋_GB2312"/>
                <w:sz w:val="24"/>
              </w:rPr>
              <w:t>4.8、安全管理人员</w:t>
            </w:r>
          </w:p>
          <w:p>
            <w:pPr>
              <w:pStyle w:val="null3"/>
              <w:ind w:firstLine="562"/>
              <w:jc w:val="left"/>
            </w:pPr>
            <w:r>
              <w:rPr>
                <w:rFonts w:ascii="仿宋_GB2312" w:hAnsi="仿宋_GB2312" w:cs="仿宋_GB2312" w:eastAsia="仿宋_GB2312"/>
                <w:sz w:val="24"/>
              </w:rPr>
              <w:t>人员安全管理测评是对信息系统相关内部人员的人员录用、人员离岗、人员考核、安全意识教育和培训，以及外部人员访问管理等情况进行测评。</w:t>
            </w:r>
          </w:p>
          <w:p>
            <w:pPr>
              <w:pStyle w:val="null3"/>
              <w:ind w:firstLine="562"/>
              <w:jc w:val="left"/>
            </w:pPr>
            <w:r>
              <w:rPr>
                <w:rFonts w:ascii="仿宋_GB2312" w:hAnsi="仿宋_GB2312" w:cs="仿宋_GB2312" w:eastAsia="仿宋_GB2312"/>
                <w:sz w:val="24"/>
              </w:rPr>
              <w:t>4.9、安全建设管理</w:t>
            </w:r>
          </w:p>
          <w:p>
            <w:pPr>
              <w:pStyle w:val="null3"/>
              <w:ind w:firstLine="562"/>
              <w:jc w:val="left"/>
            </w:pPr>
            <w:r>
              <w:rPr>
                <w:rFonts w:ascii="仿宋_GB2312" w:hAnsi="仿宋_GB2312" w:cs="仿宋_GB2312" w:eastAsia="仿宋_GB2312"/>
                <w:sz w:val="24"/>
              </w:rPr>
              <w:t>系统建设管理测评是对信息系统建设过程中的系统定级、安全方案设计、产品采购和使用、自主软件开发、外包软件开发、工程实施、测试验收、系统交付、系统定级备案、等级测评、安全服务商选择等情况进行测评。</w:t>
            </w:r>
          </w:p>
          <w:p>
            <w:pPr>
              <w:pStyle w:val="null3"/>
              <w:ind w:firstLine="562"/>
              <w:jc w:val="left"/>
            </w:pPr>
            <w:r>
              <w:rPr>
                <w:rFonts w:ascii="仿宋_GB2312" w:hAnsi="仿宋_GB2312" w:cs="仿宋_GB2312" w:eastAsia="仿宋_GB2312"/>
                <w:sz w:val="24"/>
              </w:rPr>
              <w:t>4.10、安全运维管理</w:t>
            </w:r>
          </w:p>
          <w:p>
            <w:pPr>
              <w:pStyle w:val="null3"/>
              <w:ind w:firstLine="562"/>
              <w:jc w:val="left"/>
            </w:pPr>
            <w:r>
              <w:rPr>
                <w:rFonts w:ascii="仿宋_GB2312" w:hAnsi="仿宋_GB2312" w:cs="仿宋_GB2312" w:eastAsia="仿宋_GB2312"/>
                <w:sz w:val="24"/>
              </w:rPr>
              <w:t>系统运维管理测评是对信息系统运行维护过程中的环境管理、资产管理、介质管理、设备管理、监控管理和安全管理中心、网络安全管理、系统安全管理、恶意代码防范管理、密码管理、变更管理、备份与恢复管理、安全事件处置、应急预案管理等情况进行测评。</w:t>
            </w:r>
          </w:p>
          <w:p>
            <w:pPr>
              <w:pStyle w:val="null3"/>
              <w:ind w:firstLine="562"/>
              <w:jc w:val="left"/>
            </w:pPr>
            <w:r>
              <w:rPr>
                <w:rFonts w:ascii="仿宋_GB2312" w:hAnsi="仿宋_GB2312" w:cs="仿宋_GB2312" w:eastAsia="仿宋_GB2312"/>
                <w:sz w:val="24"/>
              </w:rPr>
              <w:t>5、交付文档</w:t>
            </w:r>
          </w:p>
          <w:tbl>
            <w:tblPr>
              <w:tblInd w:type="dxa" w:w="135"/>
              <w:tblBorders>
                <w:top w:val="none" w:color="000000" w:sz="4"/>
                <w:left w:val="none" w:color="000000" w:sz="4"/>
                <w:bottom w:val="none" w:color="000000" w:sz="4"/>
                <w:right w:val="none" w:color="000000" w:sz="4"/>
                <w:insideH w:val="none"/>
                <w:insideV w:val="none"/>
              </w:tblBorders>
            </w:tblPr>
            <w:tblGrid>
              <w:gridCol w:w="633"/>
              <w:gridCol w:w="1137"/>
              <w:gridCol w:w="3828"/>
            </w:tblGrid>
            <w:tr>
              <w:tc>
                <w:tcPr>
                  <w:tcW w:type="dxa" w:w="633"/>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1137"/>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left"/>
                  </w:pPr>
                  <w:r>
                    <w:rPr>
                      <w:rFonts w:ascii="仿宋_GB2312" w:hAnsi="仿宋_GB2312" w:cs="仿宋_GB2312" w:eastAsia="仿宋_GB2312"/>
                      <w:sz w:val="24"/>
                    </w:rPr>
                    <w:t>项目阶段</w:t>
                  </w:r>
                </w:p>
              </w:tc>
              <w:tc>
                <w:tcPr>
                  <w:tcW w:type="dxa" w:w="3828"/>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输出成果</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2"/>
                    <w:jc w:val="center"/>
                  </w:pPr>
                  <w:r>
                    <w:rPr>
                      <w:rFonts w:ascii="仿宋_GB2312" w:hAnsi="仿宋_GB2312" w:cs="仿宋_GB2312" w:eastAsia="仿宋_GB2312"/>
                      <w:sz w:val="24"/>
                    </w:rPr>
                    <w:t>1</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测评准备阶段</w:t>
                  </w:r>
                </w:p>
              </w:tc>
              <w:tc>
                <w:tcPr>
                  <w:tcW w:type="dxa" w:w="3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《测评计划书</w:t>
                  </w:r>
                  <w:r>
                    <w:rPr>
                      <w:rFonts w:ascii="仿宋_GB2312" w:hAnsi="仿宋_GB2312" w:cs="仿宋_GB2312" w:eastAsia="仿宋_GB2312"/>
                      <w:sz w:val="24"/>
                    </w:rPr>
                    <w:t>》、《调研结果报告》、《工具清单》、《信息安全等级保护测评方案》、《测评指导书》</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2"/>
                    <w:jc w:val="center"/>
                  </w:pPr>
                  <w:r>
                    <w:rPr>
                      <w:rFonts w:ascii="仿宋_GB2312" w:hAnsi="仿宋_GB2312" w:cs="仿宋_GB2312" w:eastAsia="仿宋_GB2312"/>
                      <w:sz w:val="24"/>
                    </w:rPr>
                    <w:t>2</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现场测评阶段</w:t>
                  </w:r>
                </w:p>
              </w:tc>
              <w:tc>
                <w:tcPr>
                  <w:tcW w:type="dxa" w:w="3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《网络安全等级保护测评过程文档》</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2"/>
                    <w:jc w:val="center"/>
                  </w:pPr>
                  <w:r>
                    <w:rPr>
                      <w:rFonts w:ascii="仿宋_GB2312" w:hAnsi="仿宋_GB2312" w:cs="仿宋_GB2312" w:eastAsia="仿宋_GB2312"/>
                      <w:sz w:val="24"/>
                    </w:rPr>
                    <w:t>3</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现场结果分析</w:t>
                  </w:r>
                </w:p>
              </w:tc>
              <w:tc>
                <w:tcPr>
                  <w:tcW w:type="dxa" w:w="3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《网络等级安全保护测评建议方案》</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2"/>
                    <w:jc w:val="center"/>
                  </w:pPr>
                  <w:r>
                    <w:rPr>
                      <w:rFonts w:ascii="仿宋_GB2312" w:hAnsi="仿宋_GB2312" w:cs="仿宋_GB2312" w:eastAsia="仿宋_GB2312"/>
                      <w:sz w:val="24"/>
                    </w:rPr>
                    <w:t>4</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报告编制</w:t>
                  </w:r>
                </w:p>
              </w:tc>
              <w:tc>
                <w:tcPr>
                  <w:tcW w:type="dxa" w:w="3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《网络安全等级保护测评报告》</w:t>
                  </w:r>
                </w:p>
              </w:tc>
            </w:tr>
            <w:tr>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2"/>
                    <w:jc w:val="center"/>
                  </w:pPr>
                  <w:r>
                    <w:rPr>
                      <w:rFonts w:ascii="仿宋_GB2312" w:hAnsi="仿宋_GB2312" w:cs="仿宋_GB2312" w:eastAsia="仿宋_GB2312"/>
                      <w:sz w:val="24"/>
                    </w:rPr>
                    <w:t>5</w:t>
                  </w:r>
                </w:p>
              </w:tc>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备案</w:t>
                  </w:r>
                </w:p>
              </w:tc>
              <w:tc>
                <w:tcPr>
                  <w:tcW w:type="dxa" w:w="3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《等保定级报告》《备案表》</w:t>
                  </w:r>
                </w:p>
              </w:tc>
            </w:tr>
          </w:tbl>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ind w:firstLine="480"/>
              <w:jc w:val="left"/>
            </w:pPr>
            <w:r>
              <w:rPr>
                <w:rFonts w:ascii="仿宋_GB2312" w:hAnsi="仿宋_GB2312" w:cs="仿宋_GB2312" w:eastAsia="仿宋_GB2312"/>
                <w:sz w:val="24"/>
              </w:rPr>
              <w:t>依据《中华人民共和国网络安全法》和的相关要求，对本单位的信息系统进行网络安全等级保护测评工作。</w:t>
            </w:r>
          </w:p>
          <w:p>
            <w:pPr>
              <w:pStyle w:val="null3"/>
              <w:ind w:firstLine="480"/>
              <w:jc w:val="left"/>
            </w:pPr>
            <w:r>
              <w:rPr>
                <w:rFonts w:ascii="仿宋_GB2312" w:hAnsi="仿宋_GB2312" w:cs="仿宋_GB2312" w:eastAsia="仿宋_GB2312"/>
                <w:sz w:val="24"/>
              </w:rPr>
              <w:t>本次信息安全等级保护测评涵盖安全技术内容包括：安全技术测评：包括安全物理环境、安全通信网络、安全区域边界、安全计算环境和安全管理中心等五个方面的安全测评。安全管理测评：包括安全管理制度、安全管理机构、安全管理人员、安全建设管理和安全运维管理等五个方面的安全测评。依据相关的测评准则，结合系统的构成特点，确定具体的测评对象，制定测评方案，通过访谈、检查、测评和系统分析等方式判断其安全技术和安全管理的各方面是否达到了相应等级的国家信息系统等级保护要求，找出信息系统中存在的安全隐患，对安全性进行整体评估，制定相关的信息安全整体安全策略和中长期的安全规划，以便对被测系统进行安全方面的调整和改进，确保其安全防护水平达到信息系统安全等级保护相应能力的要求。</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其他服务要求</w:t>
            </w:r>
          </w:p>
        </w:tc>
        <w:tc>
          <w:tcPr>
            <w:tcW w:type="dxa" w:w="5814"/>
          </w:tcPr>
          <w:p>
            <w:pPr>
              <w:pStyle w:val="null3"/>
              <w:ind w:firstLine="480"/>
              <w:jc w:val="left"/>
            </w:pPr>
            <w:r>
              <w:rPr>
                <w:rFonts w:ascii="仿宋_GB2312" w:hAnsi="仿宋_GB2312" w:cs="仿宋_GB2312" w:eastAsia="仿宋_GB2312"/>
                <w:sz w:val="24"/>
              </w:rPr>
              <w:t>1、为医院提供一次全院网络安全通识意识培训</w:t>
            </w:r>
            <w:r>
              <w:rPr>
                <w:rFonts w:ascii="仿宋_GB2312" w:hAnsi="仿宋_GB2312" w:cs="仿宋_GB2312" w:eastAsia="仿宋_GB2312"/>
                <w:sz w:val="24"/>
              </w:rPr>
              <w:t>，</w:t>
            </w:r>
            <w:r>
              <w:rPr>
                <w:rFonts w:ascii="仿宋_GB2312" w:hAnsi="仿宋_GB2312" w:cs="仿宋_GB2312" w:eastAsia="仿宋_GB2312"/>
                <w:sz w:val="24"/>
              </w:rPr>
              <w:t>具体时间以采购人通知为准。（提供承诺函，格式自拟，不提供作无效响应处理）</w:t>
            </w:r>
          </w:p>
          <w:p>
            <w:pPr>
              <w:pStyle w:val="null3"/>
              <w:ind w:firstLine="480"/>
              <w:jc w:val="left"/>
            </w:pPr>
            <w:r>
              <w:rPr>
                <w:rFonts w:ascii="仿宋_GB2312" w:hAnsi="仿宋_GB2312" w:cs="仿宋_GB2312" w:eastAsia="仿宋_GB2312"/>
                <w:sz w:val="24"/>
              </w:rPr>
              <w:t>2、为医院提供一次对外的网络安全宣传或者培训</w:t>
            </w:r>
            <w:r>
              <w:rPr>
                <w:rFonts w:ascii="仿宋_GB2312" w:hAnsi="仿宋_GB2312" w:cs="仿宋_GB2312" w:eastAsia="仿宋_GB2312"/>
                <w:sz w:val="24"/>
              </w:rPr>
              <w:t>，</w:t>
            </w:r>
            <w:r>
              <w:rPr>
                <w:rFonts w:ascii="仿宋_GB2312" w:hAnsi="仿宋_GB2312" w:cs="仿宋_GB2312" w:eastAsia="仿宋_GB2312"/>
                <w:sz w:val="24"/>
              </w:rPr>
              <w:t>具体时间以采购人通知为准。</w:t>
            </w:r>
            <w:r>
              <w:rPr>
                <w:rFonts w:ascii="仿宋_GB2312" w:hAnsi="仿宋_GB2312" w:cs="仿宋_GB2312" w:eastAsia="仿宋_GB2312"/>
                <w:sz w:val="24"/>
              </w:rPr>
              <w:t>（提供承诺函，格式自拟，不提供作无效响应处理）</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自合同签订之日起12个月</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大邑县晋原镇北街323号</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①履约验收主体：采购人 ②履约验收时间：成交供应商提出验收申请之日起10日内组织验收 ③验收组织方式：自行验收 ④履约验收程序：一次性验收 ⑤技术履约验收内容：按照本项目采购文件“技术要求、服务要求”及成交供应商响应文件进行验收。 ⑥商务履约验收内容：按照本项目采购文件中“商务要求”及成交供应商响应文件进行验收。 ⑦履约验收标准：采购人严格按照政府采购相关法律法规以及《财政部关于进一步加强政府采购需求和履约验收管理的指导意见》(财库〔2016〕205 号)及《政府采购需求管理办法》(财库〔2021〕22 号)的要求，采购文件的相关要求及成交供应商的响应文件及承诺以及合同约定标准进行验收。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1、预付款，合同签订后并收到中标人提供的发票后，达到付款条件起10日内，支付合同总金额的50.00%</w:t>
            </w:r>
          </w:p>
          <w:p>
            <w:pPr>
              <w:pStyle w:val="null3"/>
              <w:jc w:val="left"/>
            </w:pPr>
            <w:r>
              <w:rPr>
                <w:rFonts w:ascii="仿宋_GB2312" w:hAnsi="仿宋_GB2312" w:cs="仿宋_GB2312" w:eastAsia="仿宋_GB2312"/>
              </w:rPr>
              <w:t>2、尾款，项目验收合格后并收到中标人提供的发票后，达到付款条件起10日内，支付合同总金额的50.00%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（以下内容中“甲方”指采购人，“乙方”指中标人） 1.违约责任 甲乙双方必须遵守本合同并执行合同中的各项规定，保证本合同的正常履行。 甲方逾期支付服务费的，除应及时付足服务外，应向乙方偿付欠款总额万分之五/天的违约金；逾期付款超过30天的，乙方有权终止合同。 2.如因乙方工作人员在履行职务过程中的疏忽、失职、过错等故意或者过失原因给甲方造成损失或侵害，包括但不限于甲方本身的财产损失、由此而导致的甲方对任何第三方的法律责任等，乙方对此均应承担全部的赔偿责任。 3.乙方未按约定期限履行合同义务的，每逾期一日，乙方应向甲方支付合同总价款万分之五的违约金。逾期达15日的，甲方有权单方解除合同并不支付任何费用，乙方应在收到甲方书面解除合同的通知之日起7日内退还甲方已支付的费用，同时乙方应按总合同价款的20%支付违约金。造成甲方损失的，乙方应承担赔偿责任。4.乙方因违约等情形应当向甲方支付的违约金、赔偿金，甲方有权在对乙方任意一笔应付款中扣除，乙方对此表示充分了解并完全认可。 5.解决争议的方法 在执行本合同中发生的或与本合同有关的争端，双方应通过友好协商解决，经协商在30天内不能达成协议时，应提交甲方所在地人民法院诉讼解决。</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因系统固化原因，3.3.2商务要求5.付款进度安排以此为准：合同签订后并收到中标人提供的发票后，达到付款条件起10个工作日内，支付合同总金额的50.00%，项目验收合格后并收到中标人提供的发票后，达到付款条件起10个工作日内，支付合同总金额的50.00%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影印件）供应商需在使用投标(响应)客户端编制响应文件时，按要求上传证明材料及填写《投标（响应）函》完成承诺并进行电子签章。</w:t>
            </w:r>
          </w:p>
        </w:tc>
        <w:tc>
          <w:tcPr>
            <w:tcW w:type="dxa" w:w="1910"/>
          </w:tcPr>
          <w:p>
            <w:pPr>
              <w:pStyle w:val="null3"/>
              <w:jc w:val="left"/>
            </w:pPr>
            <w:r>
              <w:rPr>
                <w:rFonts w:ascii="仿宋_GB2312" w:hAnsi="仿宋_GB2312" w:cs="仿宋_GB2312" w:eastAsia="仿宋_GB2312"/>
              </w:rPr>
              <w:t>投标人应提交的相关证明材料.docx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ab/>
              <w:b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投标人以联合体形式参加本采购包的，联合体各方均应当符合本采购包专门面向的企业类型；如投标人合同分包的，分包意向协议中分包意向投标人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投标人应提交的相关证明材料.docx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符合招标文件第3章的实质性要求</w:t>
            </w:r>
          </w:p>
        </w:tc>
        <w:tc>
          <w:tcPr>
            <w:tcW w:type="dxa" w:w="3322"/>
          </w:tcPr>
          <w:p>
            <w:pPr>
              <w:pStyle w:val="null3"/>
              <w:jc w:val="left"/>
            </w:pPr>
            <w:r>
              <w:rPr>
                <w:rFonts w:ascii="仿宋_GB2312" w:hAnsi="仿宋_GB2312" w:cs="仿宋_GB2312" w:eastAsia="仿宋_GB2312"/>
              </w:rPr>
              <w:t>针对本项目第3章实质性要求，供应商按照招标文件要求上传相应证明材料</w:t>
            </w:r>
          </w:p>
        </w:tc>
        <w:tc>
          <w:tcPr>
            <w:tcW w:type="dxa" w:w="1910"/>
          </w:tcPr>
          <w:p>
            <w:pPr>
              <w:pStyle w:val="null3"/>
              <w:jc w:val="left"/>
            </w:pPr>
            <w:r>
              <w:rPr>
                <w:rFonts w:ascii="仿宋_GB2312" w:hAnsi="仿宋_GB2312" w:cs="仿宋_GB2312" w:eastAsia="仿宋_GB2312"/>
              </w:rPr>
              <w:t>商务要求应答表.docx,投标人应提交的相关证明材料.docx,报价表,投标（响应）函,技术要求应答表.docx,承诺函.docx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不属于招标文件规定的无效情形</w:t>
            </w:r>
          </w:p>
        </w:tc>
        <w:tc>
          <w:tcPr>
            <w:tcW w:type="dxa" w:w="3322"/>
          </w:tcPr>
          <w:p>
            <w:pPr>
              <w:pStyle w:val="null3"/>
              <w:jc w:val="left"/>
            </w:pPr>
            <w:r>
              <w:rPr>
                <w:rFonts w:ascii="仿宋_GB2312" w:hAnsi="仿宋_GB2312" w:cs="仿宋_GB2312" w:eastAsia="仿宋_GB2312"/>
              </w:rPr>
              <w:t>供应商的投标文件中不存在招标文件规定的无效情形。</w:t>
            </w:r>
          </w:p>
        </w:tc>
        <w:tc>
          <w:tcPr>
            <w:tcW w:type="dxa" w:w="1910"/>
          </w:tcPr>
          <w:p>
            <w:pPr>
              <w:pStyle w:val="null3"/>
              <w:jc w:val="left"/>
            </w:pPr>
            <w:r>
              <w:rPr>
                <w:rFonts w:ascii="仿宋_GB2312" w:hAnsi="仿宋_GB2312" w:cs="仿宋_GB2312" w:eastAsia="仿宋_GB2312"/>
              </w:rPr>
              <w:t>投标（响应）函</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1、拟派本项目的项目负责人，具有信息安全等级测评师（高级）证书、CISP注册信息安全专业人员证书，每提供一个证书得2分，最高得4分，不提供不得分。 2、拟派本项目的项目经理，在具有信息安全等级测评师（中级）证书前提下具有： DSA数据安全评估师证书、重要信息系统保护人员CIIP-A（可信计算）证书、注册密码安全专业人员（NSATP-CSP）证书、计算机技术与软件专业技术人员资格证书（信息安全工程师）、注册信息安全工程师（CISE），每提供一个证书得2分，最高得10分，不提供不得分。 3、拟派本项目的渗透测试工程师，在具有信息安全等级测评师（中级）证书前提下具有：渗透测试高级工程师证书、注册渗透测试工程师证书（CISP-PTE）、信息安全保障人员证书（CISAW）（认证方向：风险管理）、CCSS-R-网络安全服务能力评价证书（应急响应能力认证）、商用密码应用安全性评估从业人员证书，每提供一个证书得2分，最高得10分，不提供不得分。 4、拟派本项目的测评工程师，在具有信息安全等级测评师（中级）证书的前提下具有：CCSS-M网络安全服务能力评价证书（安全管理能力认证）、注册数据安全治理专业人员（CISP-DSG）、注册密码安全专业人员（NSATP-CSP）证书、信息安全保障人员证书（CISAW）（认证方向：风险管理和应急服务）、DSO数据安全官证书，每提供一个证书得2分，最高得10分，不提供不得分。 注：提供相关人员有效的证书复印件并加盖投标人电子印章。</w:t>
            </w:r>
          </w:p>
        </w:tc>
        <w:tc>
          <w:tcPr>
            <w:tcW w:type="dxa" w:w="831"/>
          </w:tcPr>
          <w:p>
            <w:pPr>
              <w:pStyle w:val="null3"/>
              <w:jc w:val="center"/>
            </w:pPr>
            <w:r>
              <w:rPr>
                <w:rFonts w:ascii="仿宋_GB2312" w:hAnsi="仿宋_GB2312" w:cs="仿宋_GB2312" w:eastAsia="仿宋_GB2312"/>
              </w:rPr>
              <w:t>34.0000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1、具有中国合格评定国家认可委员会（CNAS）颁发的检验机构认可证书，能力范围包含“网络安全等级保护测评”得4分； 注：以上资料须提供有效证书复印件并加盖投标人电子印章。</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提供2021年1月1日（含）至递交投标文件文件截止日类似项目业绩，每提供1份得2分，本项最多得12分。未提供不得分。 注：投标人需要提供合同或协议（至少包含合同或协议首页及时间、服务内容、签字盖章页）复印件作为证明材料，未提供证明材料或材料不齐全的不得分。</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1、项目实施方案完备性进行评分： 供应商项目实施方案组成包括（1）项目实施标准、（2）测评准备、（3）方案编制、（4）现场测评、（5）报告编制、（6）项目人员安排、（7）项目实施周期、（8）售后服务方案等，以上内容不存在缺陷的得,40分，每缺少一项内容扣5分，每有一处内容有缺陷的扣2.5分，直至本项分值扣完为止 注：（缺陷是指出现方案内容生搬硬造，内容与本项目实际需求不符、凭空编造、出现内容描述简略、行文不规范、存在与项目明显无关的文字内容的情形之一）。</w:t>
            </w:r>
          </w:p>
        </w:tc>
        <w:tc>
          <w:tcPr>
            <w:tcW w:type="dxa" w:w="831"/>
          </w:tcPr>
          <w:p>
            <w:pPr>
              <w:pStyle w:val="null3"/>
              <w:jc w:val="center"/>
            </w:pPr>
            <w:r>
              <w:rPr>
                <w:rFonts w:ascii="仿宋_GB2312" w:hAnsi="仿宋_GB2312" w:cs="仿宋_GB2312" w:eastAsia="仿宋_GB2312"/>
              </w:rPr>
              <w:t>40.0000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投标文件封面</w:t>
            </w:r>
          </w:p>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详见附件：投标人应提交的相关证明材料.docx</w:t>
      </w:r>
    </w:p>
    <w:p>
      <w:pPr>
        <w:pStyle w:val="null3"/>
        <w:ind w:firstLine="960"/>
        <w:jc w:val="left"/>
      </w:pPr>
      <w:r>
        <w:rPr>
          <w:rFonts w:ascii="仿宋_GB2312" w:hAnsi="仿宋_GB2312" w:cs="仿宋_GB2312" w:eastAsia="仿宋_GB2312"/>
        </w:rPr>
        <w:t>详见附件：商务要求应答表.docx</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详见附件：承诺函.docx</w:t>
      </w:r>
    </w:p>
    <w:p>
      <w:pPr>
        <w:pStyle w:val="null3"/>
        <w:ind w:firstLine="960"/>
        <w:jc w:val="left"/>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