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版本号：SXDY-2025-03920250331002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2024年市级水利发展专项资金（蓝田县民李（片）小流域水土保持综合治理工程）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SXDY-2025-039</w:t>
      </w:r>
      <w:r>
        <w:br/>
      </w:r>
      <w:r>
        <w:br/>
      </w:r>
      <w:r>
        <w:br/>
      </w:r>
    </w:p>
    <w:p>
      <w:pPr>
        <w:pStyle w:val="null3"/>
        <w:jc w:val="center"/>
        <w:outlineLvl w:val="2"/>
      </w:pPr>
      <w:r>
        <w:rPr>
          <w:rFonts w:ascii="仿宋_GB2312" w:hAnsi="仿宋_GB2312" w:cs="仿宋_GB2312" w:eastAsia="仿宋_GB2312"/>
          <w:sz w:val="28"/>
          <w:b/>
        </w:rPr>
        <w:t>西安市蓝田县水务局（本级）</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西安市蓝田县水务局（本级）</w:t>
      </w:r>
      <w:r>
        <w:rPr>
          <w:rFonts w:ascii="仿宋_GB2312" w:hAnsi="仿宋_GB2312" w:cs="仿宋_GB2312" w:eastAsia="仿宋_GB2312"/>
        </w:rPr>
        <w:t>委托，拟对</w:t>
      </w:r>
      <w:r>
        <w:rPr>
          <w:rFonts w:ascii="仿宋_GB2312" w:hAnsi="仿宋_GB2312" w:cs="仿宋_GB2312" w:eastAsia="仿宋_GB2312"/>
        </w:rPr>
        <w:t>2024年市级水利发展专项资金（蓝田县民李（片）小流域水土保持综合治理工程）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SXDY-2025-039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2024年市级水利发展专项资金（蓝田县民李（片）小流域水土保持综合治理工程）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民李（片）小流域水土保持综合治理工程新增水土流失治理面积377.76hm²，主要建设内容包括：坡耕地改梯田12.69hm²，栽植水保林83.38hm²（栽植侧柏、白皮松），恢复排水渠0.3km，改造田间生产道路0.3km；封禁治理面积281.69hm²，封禁围栏1k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采购包1（2024年市级水利发展专项资金（蓝田县民李（片）小流域水土保持综合治理工程））：属于专门面向中小企业采购。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1、拟派项目负责人资质和专业要求：拟派项目经理须具有水利水电工程专业二级及以上注册建造师证书和行政主管部门颁发的安全生产考核合格证（B 证）且无在建工程、无不良记录（提供无在建工程、无不良记录承诺书）；</w:t>
      </w:r>
    </w:p>
    <w:p>
      <w:pPr>
        <w:pStyle w:val="null3"/>
      </w:pPr>
      <w:r>
        <w:rPr>
          <w:rFonts w:ascii="仿宋_GB2312" w:hAnsi="仿宋_GB2312" w:cs="仿宋_GB2312" w:eastAsia="仿宋_GB2312"/>
        </w:rPr>
        <w:t>2、法定代表人身份证明/法定代表人授权书：法定代表人授权书（附法定代表人、被授权人身份证复印件），法定代表人直接参加投标，须提供法定代表人身份证明）；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3、资质证书：供应商应具备行政主管部门颁发的水利水电工程施工总承包三级（含三级）以上资质证书，同时具有合格有效的安全生产许可证；</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5、非联合体：本项目不接受联合体磋商。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蓝田县新城路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15802942917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陕西省西安市雁塔区朱雀大街南段汇成天玺酒店 C 座 1101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寇悦悦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18829045399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代理服务费收费标准：参照国家计委颁布的《招标代理服务收费管理暂行办法》（计价格[2002]1980号）和（发改办价格[2003]857号）中服务类收费标准收取。不足5000元的按照5000元计。</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西安市蓝田县水务局（本级）</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达到国家规定的“合格”标准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联系人：寇悦悦</w:t>
      </w:r>
    </w:p>
    <w:p>
      <w:pPr>
        <w:pStyle w:val="null3"/>
      </w:pPr>
      <w:r>
        <w:rPr>
          <w:rFonts w:ascii="仿宋_GB2312" w:hAnsi="仿宋_GB2312" w:cs="仿宋_GB2312" w:eastAsia="仿宋_GB2312"/>
        </w:rPr>
        <w:t>联系电话：18829045399</w:t>
      </w:r>
    </w:p>
    <w:p>
      <w:pPr>
        <w:pStyle w:val="null3"/>
      </w:pPr>
      <w:r>
        <w:rPr>
          <w:rFonts w:ascii="仿宋_GB2312" w:hAnsi="仿宋_GB2312" w:cs="仿宋_GB2312" w:eastAsia="仿宋_GB2312"/>
        </w:rPr>
        <w:t>地址：陕西省西安市雁塔区朱雀大街南段汇成天玺酒店 C 座 1101 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1,865,800.00</w:t>
      </w:r>
    </w:p>
    <w:p>
      <w:pPr>
        <w:pStyle w:val="null3"/>
      </w:pPr>
      <w:r>
        <w:rPr>
          <w:rFonts w:ascii="仿宋_GB2312" w:hAnsi="仿宋_GB2312" w:cs="仿宋_GB2312" w:eastAsia="仿宋_GB2312"/>
        </w:rPr>
        <w:t>采购包最高限价（元）: 1,865,800.00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2024年市级水利发展专项资金（蓝田县民李（片）小流域水土保持综合治理工程）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1,865,800.00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标的名称：2024年市级水利发展专项资金（蓝田县民李（片）小流域水土保持综合治理工程）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60"/>
              <w:ind w:left="450"/>
            </w:pPr>
            <w:r>
              <w:rPr>
                <w:rFonts w:ascii="仿宋_GB2312" w:hAnsi="仿宋_GB2312" w:cs="仿宋_GB2312" w:eastAsia="仿宋_GB2312"/>
                <w:sz w:val="24"/>
                <w:color w:val="000000"/>
              </w:rPr>
              <w:t>一、项目概况</w:t>
            </w:r>
          </w:p>
          <w:p>
            <w:pPr>
              <w:pStyle w:val="null3"/>
              <w:spacing w:before="60"/>
              <w:ind w:left="450"/>
            </w:pPr>
            <w:r>
              <w:rPr>
                <w:rFonts w:ascii="仿宋_GB2312" w:hAnsi="仿宋_GB2312" w:cs="仿宋_GB2312" w:eastAsia="仿宋_GB2312"/>
                <w:sz w:val="24"/>
                <w:color w:val="000000"/>
              </w:rPr>
              <w:t>蓝田县民李（片）小流域水土保持综合治理工程新增水土流失治理面积</w:t>
            </w:r>
            <w:r>
              <w:rPr>
                <w:rFonts w:ascii="仿宋_GB2312" w:hAnsi="仿宋_GB2312" w:cs="仿宋_GB2312" w:eastAsia="仿宋_GB2312"/>
                <w:sz w:val="24"/>
                <w:color w:val="000000"/>
              </w:rPr>
              <w:t>377.76hm²，主要建设内容包括：坡耕地改梯田12.69hm²，栽植水保林83.38hm²（栽植侧柏、白皮松），恢复排水渠0.3km，改造田间生产道路0.3km；封禁治理面积281.69hm²，封禁围栏1km。</w:t>
            </w:r>
          </w:p>
          <w:p>
            <w:pPr>
              <w:pStyle w:val="null3"/>
              <w:spacing w:before="60"/>
              <w:ind w:left="450"/>
            </w:pPr>
            <w:r>
              <w:rPr>
                <w:rFonts w:ascii="仿宋_GB2312" w:hAnsi="仿宋_GB2312" w:cs="仿宋_GB2312" w:eastAsia="仿宋_GB2312"/>
                <w:sz w:val="24"/>
                <w:color w:val="000000"/>
              </w:rPr>
              <w:t>二、工程内容和实施地点、计划工期、缺陷责任期、质量保修期</w:t>
            </w:r>
          </w:p>
          <w:p>
            <w:pPr>
              <w:pStyle w:val="null3"/>
              <w:spacing w:before="60"/>
              <w:ind w:left="450"/>
            </w:pPr>
            <w:r>
              <w:rPr>
                <w:rFonts w:ascii="仿宋_GB2312" w:hAnsi="仿宋_GB2312" w:cs="仿宋_GB2312" w:eastAsia="仿宋_GB2312"/>
                <w:sz w:val="24"/>
                <w:color w:val="000000"/>
              </w:rPr>
              <w:t>1 、工程内容：蓝田县民李（片）小流域水土保持综合治理工程新增水土流失治理面积377.76hm²，主要建设内容包括：坡耕地改梯田12.69hm²，栽植水保林83.38hm²（栽植侧柏、白皮松），恢复排水渠0.3km，改造田间生产道路0.3km；封禁治理面积281.69hm²，封禁围栏1km。</w:t>
            </w:r>
          </w:p>
          <w:p>
            <w:pPr>
              <w:pStyle w:val="null3"/>
              <w:spacing w:before="60"/>
              <w:ind w:left="450"/>
            </w:pPr>
            <w:r>
              <w:rPr>
                <w:rFonts w:ascii="仿宋_GB2312" w:hAnsi="仿宋_GB2312" w:cs="仿宋_GB2312" w:eastAsia="仿宋_GB2312"/>
                <w:sz w:val="24"/>
                <w:color w:val="000000"/>
              </w:rPr>
              <w:t>2 、实施地点：蓝田县</w:t>
            </w:r>
            <w:r>
              <w:rPr>
                <w:rFonts w:ascii="仿宋_GB2312" w:hAnsi="仿宋_GB2312" w:cs="仿宋_GB2312" w:eastAsia="仿宋_GB2312"/>
                <w:sz w:val="24"/>
                <w:color w:val="000000"/>
              </w:rPr>
              <w:t>普化镇</w:t>
            </w:r>
            <w:r>
              <w:rPr>
                <w:rFonts w:ascii="仿宋_GB2312" w:hAnsi="仿宋_GB2312" w:cs="仿宋_GB2312" w:eastAsia="仿宋_GB2312"/>
                <w:sz w:val="24"/>
                <w:color w:val="000000"/>
              </w:rPr>
              <w:t>民李</w:t>
            </w:r>
            <w:r>
              <w:rPr>
                <w:rFonts w:ascii="仿宋_GB2312" w:hAnsi="仿宋_GB2312" w:cs="仿宋_GB2312" w:eastAsia="仿宋_GB2312"/>
                <w:sz w:val="24"/>
                <w:color w:val="000000"/>
              </w:rPr>
              <w:t>村</w:t>
            </w:r>
          </w:p>
          <w:p>
            <w:pPr>
              <w:pStyle w:val="null3"/>
              <w:spacing w:before="60"/>
              <w:ind w:left="450"/>
            </w:pPr>
            <w:r>
              <w:rPr>
                <w:rFonts w:ascii="仿宋_GB2312" w:hAnsi="仿宋_GB2312" w:cs="仿宋_GB2312" w:eastAsia="仿宋_GB2312"/>
                <w:sz w:val="24"/>
                <w:color w:val="000000"/>
              </w:rPr>
              <w:t>3 、计划工期：合同签订之日起</w:t>
            </w:r>
            <w:r>
              <w:rPr>
                <w:rFonts w:ascii="仿宋_GB2312" w:hAnsi="仿宋_GB2312" w:cs="仿宋_GB2312" w:eastAsia="仿宋_GB2312"/>
                <w:sz w:val="24"/>
                <w:color w:val="000000"/>
              </w:rPr>
              <w:t>4个月</w:t>
            </w:r>
            <w:r>
              <w:rPr>
                <w:rFonts w:ascii="仿宋_GB2312" w:hAnsi="仿宋_GB2312" w:cs="仿宋_GB2312" w:eastAsia="仿宋_GB2312"/>
                <w:sz w:val="24"/>
                <w:color w:val="000000"/>
              </w:rPr>
              <w:t>。</w:t>
            </w:r>
          </w:p>
          <w:p>
            <w:pPr>
              <w:pStyle w:val="null3"/>
              <w:spacing w:before="60"/>
              <w:ind w:left="450"/>
            </w:pPr>
            <w:r>
              <w:rPr>
                <w:rFonts w:ascii="仿宋_GB2312" w:hAnsi="仿宋_GB2312" w:cs="仿宋_GB2312" w:eastAsia="仿宋_GB2312"/>
                <w:sz w:val="24"/>
                <w:color w:val="000000"/>
              </w:rPr>
              <w:t>4 、缺陷责任期：缺陷责任期：1年。</w:t>
            </w:r>
          </w:p>
          <w:p>
            <w:pPr>
              <w:pStyle w:val="null3"/>
              <w:spacing w:before="60"/>
              <w:ind w:left="450"/>
            </w:pPr>
            <w:r>
              <w:rPr>
                <w:rFonts w:ascii="仿宋_GB2312" w:hAnsi="仿宋_GB2312" w:cs="仿宋_GB2312" w:eastAsia="仿宋_GB2312"/>
                <w:sz w:val="24"/>
                <w:color w:val="000000"/>
              </w:rPr>
              <w:t>5 、质量保修期：不少于12个月</w:t>
            </w:r>
          </w:p>
          <w:p>
            <w:pPr>
              <w:pStyle w:val="null3"/>
              <w:spacing w:before="60"/>
              <w:ind w:left="450"/>
            </w:pPr>
            <w:r>
              <w:rPr>
                <w:rFonts w:ascii="仿宋_GB2312" w:hAnsi="仿宋_GB2312" w:cs="仿宋_GB2312" w:eastAsia="仿宋_GB2312"/>
                <w:sz w:val="24"/>
                <w:color w:val="000000"/>
              </w:rPr>
              <w:t>三、施工要求</w:t>
            </w:r>
          </w:p>
          <w:p>
            <w:pPr>
              <w:pStyle w:val="null3"/>
              <w:spacing w:before="60"/>
              <w:ind w:left="450"/>
            </w:pPr>
            <w:r>
              <w:rPr>
                <w:rFonts w:ascii="仿宋_GB2312" w:hAnsi="仿宋_GB2312" w:cs="仿宋_GB2312" w:eastAsia="仿宋_GB2312"/>
                <w:sz w:val="24"/>
                <w:color w:val="000000"/>
              </w:rPr>
              <w:t>在施工期间，中标供应商必须注意施工人员的人身安全，加强安全措施，并对施工人员进行安全教育。</w:t>
            </w:r>
          </w:p>
          <w:p>
            <w:pPr>
              <w:pStyle w:val="null3"/>
              <w:spacing w:before="60"/>
              <w:ind w:left="450"/>
            </w:pPr>
            <w:r>
              <w:rPr>
                <w:rFonts w:ascii="仿宋_GB2312" w:hAnsi="仿宋_GB2312" w:cs="仿宋_GB2312" w:eastAsia="仿宋_GB2312"/>
                <w:sz w:val="24"/>
                <w:color w:val="000000"/>
              </w:rPr>
              <w:t>四、商务要求</w:t>
            </w:r>
          </w:p>
          <w:p>
            <w:pPr>
              <w:pStyle w:val="null3"/>
              <w:spacing w:before="60"/>
              <w:ind w:left="450"/>
            </w:pPr>
            <w:r>
              <w:rPr>
                <w:rFonts w:ascii="仿宋_GB2312" w:hAnsi="仿宋_GB2312" w:cs="仿宋_GB2312" w:eastAsia="仿宋_GB2312"/>
                <w:sz w:val="24"/>
                <w:color w:val="000000"/>
              </w:rPr>
              <w:t>1 、款项结算：</w:t>
            </w:r>
          </w:p>
          <w:p>
            <w:pPr>
              <w:pStyle w:val="null3"/>
              <w:spacing w:before="60"/>
              <w:ind w:left="450"/>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1）合同签订后30日内甲方向乙方支付合同价款的40%。</w:t>
            </w:r>
          </w:p>
          <w:p>
            <w:pPr>
              <w:pStyle w:val="null3"/>
              <w:spacing w:before="60"/>
              <w:ind w:left="450"/>
            </w:pPr>
            <w:r>
              <w:rPr>
                <w:rFonts w:ascii="仿宋_GB2312" w:hAnsi="仿宋_GB2312" w:cs="仿宋_GB2312" w:eastAsia="仿宋_GB2312"/>
                <w:sz w:val="24"/>
                <w:color w:val="000000"/>
              </w:rPr>
              <w:t>（</w:t>
            </w:r>
            <w:r>
              <w:rPr>
                <w:rFonts w:ascii="仿宋_GB2312" w:hAnsi="仿宋_GB2312" w:cs="仿宋_GB2312" w:eastAsia="仿宋_GB2312"/>
                <w:sz w:val="24"/>
                <w:color w:val="000000"/>
              </w:rPr>
              <w:t>2）当乙方完成全部合同工程量、工程竣工，经甲方验收合格，乙方将竣工资料及相关质量证明文件交付甲方后支付至合同总价款的85%，在完成工程审计后付清全部剩余价款。</w:t>
            </w:r>
          </w:p>
          <w:p>
            <w:pPr>
              <w:pStyle w:val="null3"/>
              <w:spacing w:before="60"/>
              <w:ind w:left="450"/>
            </w:pPr>
            <w:r>
              <w:rPr>
                <w:rFonts w:ascii="仿宋_GB2312" w:hAnsi="仿宋_GB2312" w:cs="仿宋_GB2312" w:eastAsia="仿宋_GB2312"/>
                <w:sz w:val="24"/>
                <w:color w:val="000000"/>
              </w:rPr>
              <w:t>（</w:t>
            </w:r>
            <w:r>
              <w:rPr>
                <w:rFonts w:ascii="仿宋_GB2312" w:hAnsi="仿宋_GB2312" w:cs="仿宋_GB2312" w:eastAsia="仿宋_GB2312"/>
                <w:sz w:val="24"/>
                <w:color w:val="000000"/>
              </w:rPr>
              <w:t>3）应于甲方每次付款前提供等额正规发票。最后一次付款时应提供剩余款项全额正规发票。</w:t>
            </w:r>
          </w:p>
          <w:p>
            <w:pPr>
              <w:pStyle w:val="null3"/>
              <w:spacing w:before="60"/>
              <w:ind w:left="450"/>
            </w:pPr>
            <w:r>
              <w:rPr>
                <w:rFonts w:ascii="仿宋_GB2312" w:hAnsi="仿宋_GB2312" w:cs="仿宋_GB2312" w:eastAsia="仿宋_GB2312"/>
                <w:sz w:val="24"/>
                <w:color w:val="000000"/>
              </w:rPr>
              <w:t>五、其他</w:t>
            </w:r>
          </w:p>
          <w:p>
            <w:pPr>
              <w:pStyle w:val="null3"/>
              <w:spacing w:before="60"/>
              <w:ind w:left="450"/>
            </w:pPr>
            <w:r>
              <w:rPr>
                <w:rFonts w:ascii="仿宋_GB2312" w:hAnsi="仿宋_GB2312" w:cs="仿宋_GB2312" w:eastAsia="仿宋_GB2312"/>
                <w:sz w:val="24"/>
                <w:color w:val="000000"/>
              </w:rPr>
              <w:t>1 、对供应商的业绩要求</w:t>
            </w:r>
          </w:p>
          <w:p>
            <w:pPr>
              <w:pStyle w:val="null3"/>
              <w:spacing w:before="60"/>
              <w:ind w:left="450"/>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2021 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1  日以来类似项目业绩，以合同签订日期为准，并加盖供应商公章的合同关键页复印件。</w:t>
            </w:r>
          </w:p>
          <w:p>
            <w:pPr>
              <w:pStyle w:val="null3"/>
              <w:spacing w:before="60"/>
              <w:ind w:left="450"/>
            </w:pPr>
            <w:r>
              <w:rPr>
                <w:rFonts w:ascii="仿宋_GB2312" w:hAnsi="仿宋_GB2312" w:cs="仿宋_GB2312" w:eastAsia="仿宋_GB2312"/>
                <w:sz w:val="24"/>
                <w:color w:val="000000"/>
              </w:rPr>
              <w:t>2 、质量验收标准或规范</w:t>
            </w:r>
          </w:p>
          <w:p>
            <w:pPr>
              <w:pStyle w:val="null3"/>
              <w:spacing w:before="60"/>
              <w:ind w:left="450"/>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主材到现场后，由甲方对其进行验收，确认材料的产地、规格、数量。</w:t>
            </w:r>
          </w:p>
          <w:p>
            <w:pPr>
              <w:pStyle w:val="null3"/>
              <w:spacing w:before="60"/>
              <w:ind w:left="450"/>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乙方工程完工后，进行自检，合格后准备验收文件，并书面通知甲方。</w:t>
            </w:r>
          </w:p>
          <w:p>
            <w:pPr>
              <w:pStyle w:val="null3"/>
              <w:spacing w:before="60"/>
              <w:ind w:left="450"/>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甲方确认乙方的自检内容，验收合格作为工程的最终认可。</w:t>
            </w:r>
          </w:p>
          <w:p>
            <w:pPr>
              <w:pStyle w:val="null3"/>
              <w:spacing w:before="60"/>
              <w:ind w:left="450"/>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验收依据：</w:t>
            </w:r>
          </w:p>
          <w:p>
            <w:pPr>
              <w:pStyle w:val="null3"/>
              <w:spacing w:before="60"/>
              <w:ind w:left="450"/>
            </w:pPr>
            <w:r>
              <w:rPr>
                <w:rFonts w:ascii="仿宋_GB2312" w:hAnsi="仿宋_GB2312" w:cs="仿宋_GB2312" w:eastAsia="仿宋_GB2312"/>
                <w:sz w:val="24"/>
                <w:color w:val="000000"/>
              </w:rPr>
              <w:t>4-1</w:t>
            </w:r>
            <w:r>
              <w:rPr>
                <w:rFonts w:ascii="仿宋_GB2312" w:hAnsi="仿宋_GB2312" w:cs="仿宋_GB2312" w:eastAsia="仿宋_GB2312"/>
              </w:rPr>
              <w:t xml:space="preserve"> </w:t>
            </w:r>
            <w:r>
              <w:rPr>
                <w:rFonts w:ascii="仿宋_GB2312" w:hAnsi="仿宋_GB2312" w:cs="仿宋_GB2312" w:eastAsia="仿宋_GB2312"/>
                <w:sz w:val="24"/>
                <w:color w:val="000000"/>
              </w:rPr>
              <w:t>合同、</w:t>
            </w:r>
            <w:r>
              <w:rPr>
                <w:rFonts w:ascii="仿宋_GB2312" w:hAnsi="仿宋_GB2312" w:cs="仿宋_GB2312" w:eastAsia="仿宋_GB2312"/>
                <w:sz w:val="24"/>
                <w:color w:val="000000"/>
              </w:rPr>
              <w:t>招标</w:t>
            </w:r>
            <w:r>
              <w:rPr>
                <w:rFonts w:ascii="仿宋_GB2312" w:hAnsi="仿宋_GB2312" w:cs="仿宋_GB2312" w:eastAsia="仿宋_GB2312"/>
                <w:sz w:val="24"/>
                <w:color w:val="000000"/>
              </w:rPr>
              <w:t>文件、</w:t>
            </w:r>
            <w:r>
              <w:rPr>
                <w:rFonts w:ascii="仿宋_GB2312" w:hAnsi="仿宋_GB2312" w:cs="仿宋_GB2312" w:eastAsia="仿宋_GB2312"/>
                <w:sz w:val="24"/>
                <w:color w:val="000000"/>
              </w:rPr>
              <w:t>投标</w:t>
            </w:r>
            <w:r>
              <w:rPr>
                <w:rFonts w:ascii="仿宋_GB2312" w:hAnsi="仿宋_GB2312" w:cs="仿宋_GB2312" w:eastAsia="仿宋_GB2312"/>
                <w:sz w:val="24"/>
                <w:color w:val="000000"/>
              </w:rPr>
              <w:t>文件及承诺。</w:t>
            </w:r>
          </w:p>
          <w:p>
            <w:pPr>
              <w:pStyle w:val="null3"/>
              <w:spacing w:before="60"/>
              <w:ind w:left="450"/>
            </w:pPr>
            <w:r>
              <w:rPr>
                <w:rFonts w:ascii="仿宋_GB2312" w:hAnsi="仿宋_GB2312" w:cs="仿宋_GB2312" w:eastAsia="仿宋_GB2312"/>
                <w:sz w:val="24"/>
                <w:color w:val="000000"/>
              </w:rPr>
              <w:t>4-2</w:t>
            </w:r>
            <w:r>
              <w:rPr>
                <w:rFonts w:ascii="仿宋_GB2312" w:hAnsi="仿宋_GB2312" w:cs="仿宋_GB2312" w:eastAsia="仿宋_GB2312"/>
              </w:rPr>
              <w:t xml:space="preserve"> </w:t>
            </w:r>
            <w:r>
              <w:rPr>
                <w:rFonts w:ascii="仿宋_GB2312" w:hAnsi="仿宋_GB2312" w:cs="仿宋_GB2312" w:eastAsia="仿宋_GB2312"/>
                <w:sz w:val="24"/>
                <w:color w:val="000000"/>
              </w:rPr>
              <w:t>国家相关</w:t>
            </w:r>
            <w:r>
              <w:rPr>
                <w:rFonts w:ascii="仿宋_GB2312" w:hAnsi="仿宋_GB2312" w:cs="仿宋_GB2312" w:eastAsia="仿宋_GB2312"/>
                <w:sz w:val="24"/>
                <w:color w:val="000000"/>
              </w:rPr>
              <w:t>标准、规范及有关技术文件</w:t>
            </w:r>
            <w:r>
              <w:rPr>
                <w:rFonts w:ascii="仿宋_GB2312" w:hAnsi="仿宋_GB2312" w:cs="仿宋_GB2312" w:eastAsia="仿宋_GB2312"/>
                <w:sz w:val="24"/>
                <w:color w:val="000000"/>
              </w:rPr>
              <w:t>。</w:t>
            </w:r>
          </w:p>
          <w:p>
            <w:pPr>
              <w:pStyle w:val="null3"/>
              <w:spacing w:before="60"/>
              <w:ind w:left="450"/>
            </w:pPr>
            <w:r>
              <w:rPr>
                <w:rFonts w:ascii="仿宋_GB2312" w:hAnsi="仿宋_GB2312" w:cs="仿宋_GB2312" w:eastAsia="仿宋_GB2312"/>
                <w:sz w:val="24"/>
                <w:color w:val="000000"/>
              </w:rPr>
              <w:t>3 、违约责任</w:t>
            </w:r>
          </w:p>
          <w:p>
            <w:pPr>
              <w:pStyle w:val="null3"/>
              <w:spacing w:before="60"/>
              <w:ind w:left="450"/>
            </w:pPr>
            <w:r>
              <w:rPr>
                <w:rFonts w:ascii="仿宋_GB2312" w:hAnsi="仿宋_GB2312" w:cs="仿宋_GB2312" w:eastAsia="仿宋_GB2312"/>
                <w:sz w:val="24"/>
                <w:color w:val="000000"/>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工程质量符合国家有关规范，确保达到合格。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 执照等证明文件，供应商是自然人的应提供有 效的自然人身份证明。 (2)提供2023年度或2024年度经审 计的财务报告（包括“四表一注”即《资产负债表》《利润表》《现金流量表》《所有者权益 变动表》及其附注；成立时间至提交磋商响应 文件截止时间不足一年的可提供成立后任意时段的资产负债表）或基本存款账户开户银行出 具的资信证明及基本存款账户开户许可证（基本账户信息）或财政部门认可的政府采购专业 担保机构出具的担保函； (3)提供具有履行合同 所必需的设备和专业技术能力的承诺； (4)提供磋商截止日前一年内已缴纳的至少一个月的纳 税证明或完税证明，依法免税的单位应提供相 关证明材料；(5)提供磋商截止日前一年内已缴 存的至少一个月的社会保障资金缴存单据或社 保机构开具的社会保险参保缴费情况证明，依 法不需要缴纳社会保障资金的单位应提供相关 证明材料；(6)参加政府采购活动前3年内，在经营活动中没有重大违法记录的书面声明。供应商需在项目电子化交易系统中按要求填写或上传相应证明文件并进行电子签章。</w:t>
            </w:r>
          </w:p>
        </w:tc>
        <w:tc>
          <w:tcPr>
            <w:tcW w:type="dxa" w:w="1661"/>
          </w:tcPr>
          <w:p>
            <w:pPr>
              <w:pStyle w:val="null3"/>
            </w:pPr>
            <w:r>
              <w:rPr>
                <w:rFonts w:ascii="仿宋_GB2312" w:hAnsi="仿宋_GB2312" w:cs="仿宋_GB2312" w:eastAsia="仿宋_GB2312"/>
              </w:rPr>
              <w:t>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关于财务会计制度的证明材料｛注：提供2023年度或2024年度经审 计的财务报告（包括“四表一注”即《资产负债表》《利润表》《现金流量表》《所有者权益 变动表》及其附注；成立时间至提交磋商响应 文件截止时间不足一年的可提供成立后任意时段的资产负债表）或基本存款账户开户银行出 具的资信证明及基本存款账户开户许可证（基本账户信息）或财政部门认可的政府采购专业 担保机构出具的担保函， 供应商需在项目电子化交易系统中按要求上传相应 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拟派项目经理须具有水利水电工程专业二级及以上注册建造师证书和行政主管部门颁发的安全生产考核合格证（B 证）且无在建工程、无不良记录（提供无在建工程、无不良记录承诺书）；</w:t>
            </w:r>
          </w:p>
        </w:tc>
        <w:tc>
          <w:tcPr>
            <w:tcW w:type="dxa" w:w="1661"/>
          </w:tcPr>
          <w:p>
            <w:pPr>
              <w:pStyle w:val="null3"/>
            </w:pPr>
            <w:r>
              <w:rPr>
                <w:rFonts w:ascii="仿宋_GB2312" w:hAnsi="仿宋_GB2312" w:cs="仿宋_GB2312" w:eastAsia="仿宋_GB2312"/>
              </w:rPr>
              <w:t>项目管理机构组成表 资格审查资料.docx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供应商应具备行政主管部门颁发的水利水电工程施工总承包三级（含三级）以上资质证书，同时具有合格有效的安全生产许可证；</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项目管理机构组成表 残疾人福利性单位声明函 报价函 标的清单 供应商类似项目业绩一览表 资格审查资料.docx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项目管理机构组成表 残疾人福利性单位声明函 报价函 标的清单 资格审查资料.docx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响应文件封面 报价函 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根据供应商针对本项目提供的整体施工及技术措施进行综合评审。包括但不限于①施工方案、方法②技术措施内容③重点难点分析④专项施工方案等。每项满分2分，缺项不得分，每项内容存在缺陷，扣0.5-1.5分。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根据供应商针对本项目配备的项目部人员组成进行综合评审。包括但不限于①人员搭配②人员数量③人员经验④证明材料等。每项满分2分，缺项不得分，每项内容存在缺陷，扣0.5-1.5分。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根据供应商针对本项目提供的质量管理体系与措施进行综合评审。包括但不限于①质量管理体系与措施②工程质量保证承诺③施工质量的检验制度等。每项满分2分，缺项不得分，每项内容存在缺陷，扣0.5-1.5分。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根据供应商针对本项目提供的工程进度计划与措施进行综合评审。包括但不限于①工期横道图②工期计划③保证措施等。每项满分2分，缺项不得分，每项内容存在缺陷，扣0.5-1.5分。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主要材料和机械设备选用情况</w:t>
            </w:r>
          </w:p>
        </w:tc>
        <w:tc>
          <w:tcPr>
            <w:tcW w:type="dxa" w:w="2492"/>
          </w:tcPr>
          <w:p>
            <w:pPr>
              <w:pStyle w:val="null3"/>
            </w:pPr>
            <w:r>
              <w:rPr>
                <w:rFonts w:ascii="仿宋_GB2312" w:hAnsi="仿宋_GB2312" w:cs="仿宋_GB2312" w:eastAsia="仿宋_GB2312"/>
              </w:rPr>
              <w:t>根据供应商针对本项目提供的主要材料和设备选用情况进行综合评审，包括但不限于①主要材料和机械设备投入计划②主要材料和机械设备投入一览表③主要材料和机械设备质量相关证明材料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根据供应商提供的安全管理体系与措施、安全预案等进行综合评审。包括但不限于①安全管理制度②配置安全组织机构③应急预案、医疗救援及突发事件应急保障措施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根据供应商提供的环境保护管理体系与措施进行综合评审。包括但不限于①文明施工措施②环保施工措施③防尘降噪等技术保证措施等。每项满分2分，缺项不得分，每项内容存在缺陷，扣0.5-1.5分。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劳动力计划安排</w:t>
            </w:r>
          </w:p>
        </w:tc>
        <w:tc>
          <w:tcPr>
            <w:tcW w:type="dxa" w:w="2492"/>
          </w:tcPr>
          <w:p>
            <w:pPr>
              <w:pStyle w:val="null3"/>
            </w:pPr>
            <w:r>
              <w:rPr>
                <w:rFonts w:ascii="仿宋_GB2312" w:hAnsi="仿宋_GB2312" w:cs="仿宋_GB2312" w:eastAsia="仿宋_GB2312"/>
              </w:rPr>
              <w:t>根据供应商提供的劳动力计划安排及设备配置进行综合评审。包括但不限于①施工进度需求②劳动力计划安排方案③劳动力计划表等。每项满分2分，缺项不得分，每项内容存在缺陷，扣0.5-1.5分。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根据供应商提出的合理化建议进行评审，包括但不限于①提高工程质量的合理化建议②加快工程进度的合理化建议③降低工程成本的合理化建议等。每项满分2分，缺项不得分，每项内容存在缺陷，扣0.5-1.5分。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新技术、新产品、新 工艺、新材料应用</w:t>
            </w:r>
          </w:p>
        </w:tc>
        <w:tc>
          <w:tcPr>
            <w:tcW w:type="dxa" w:w="2492"/>
          </w:tcPr>
          <w:p>
            <w:pPr>
              <w:pStyle w:val="null3"/>
            </w:pPr>
            <w:r>
              <w:rPr>
                <w:rFonts w:ascii="仿宋_GB2312" w:hAnsi="仿宋_GB2312" w:cs="仿宋_GB2312" w:eastAsia="仿宋_GB2312"/>
              </w:rPr>
              <w:t>根据供应商新技术、新产品、新工艺、新材料应用，按其响应程度赋分。包括但不限于①新技术的应用②新产品的应用③新工艺的应用④新材料的应用等。每项满分1分，缺项不得分，每项内容存在缺陷，扣0.3-0.6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根据供应商提供的施工承诺进行评审。包括但不限于①保修服务措施及承诺②不得拖欠施工人员工资承诺③给施工人员缴纳保险的承诺等。每项满分1分，缺项不得分，每项内容存在缺陷，扣0.3-0.6分。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 2021年 8月1日以来类似项目业绩，以合同签订日期为准。每提供1份业绩计1分，最高得5分。业绩证明（以合同或中标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1、经初审合格的磋商响应文件，其最终报价为有效报价。 2、有效最低报价为基准价得30分。 3、按（磋商基准价/有效最终磋商报价）×30的公式计算报价得分。计算分数时四舍五入取小数点后两位。 4、报价不完整的，不进入磋商基准价的计算，本项得0分。 注：磋商小组三分之二以上人员认为某供应商最后磋商报价有低于成本价嫌疑的，该报价为无效报价。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详见附件：资格审查资料.docx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