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版本号：N510601202400048820241217001</w:t>
      </w:r>
    </w:p>
    <w:p>
      <w:pPr>
        <w:pStyle w:val="null3"/>
        <w:jc w:val="center"/>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大楼物业管理服务（专用部分）</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N5106012024000488</w:t>
      </w:r>
    </w:p>
    <w:p>
      <w:pPr>
        <w:pStyle w:val="null3"/>
        <w:jc w:val="center"/>
        <w:outlineLvl w:val="2"/>
      </w:pPr>
      <w:r>
        <w:rPr>
          <w:rFonts w:ascii="仿宋_GB2312" w:hAnsi="仿宋_GB2312" w:cs="仿宋_GB2312" w:eastAsia="仿宋_GB2312"/>
          <w:sz w:val="28"/>
          <w:b/>
        </w:rPr>
        <w:t>德阳市政府政务服务和公共资源交易服务中心</w:t>
      </w:r>
    </w:p>
    <w:p>
      <w:pPr>
        <w:pStyle w:val="null3"/>
        <w:jc w:val="center"/>
        <w:outlineLvl w:val="2"/>
      </w:pPr>
      <w:r>
        <w:rPr>
          <w:rFonts w:ascii="仿宋_GB2312" w:hAnsi="仿宋_GB2312" w:cs="仿宋_GB2312" w:eastAsia="仿宋_GB2312"/>
          <w:sz w:val="28"/>
          <w:b/>
        </w:rPr>
        <w:t>德阳市旌阳区政府政务服务和公共资源交易服务中心（德阳市旌阳区政府采购中心）</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2024年12月17日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德阳市旌阳区政府政务服务和公共资源交易服务中心（德阳市旌阳区政府采购中心）</w:t>
      </w:r>
      <w:r>
        <w:rPr>
          <w:rFonts w:ascii="仿宋_GB2312" w:hAnsi="仿宋_GB2312" w:cs="仿宋_GB2312" w:eastAsia="仿宋_GB2312"/>
        </w:rPr>
        <w:t xml:space="preserve"> （以下简称“代理机构”）受 </w:t>
      </w:r>
      <w:r>
        <w:rPr>
          <w:rFonts w:ascii="仿宋_GB2312" w:hAnsi="仿宋_GB2312" w:cs="仿宋_GB2312" w:eastAsia="仿宋_GB2312"/>
        </w:rPr>
        <w:t>德阳市政府政务服务和公共资源交易服务中心</w:t>
      </w:r>
      <w:r>
        <w:rPr>
          <w:rFonts w:ascii="仿宋_GB2312" w:hAnsi="仿宋_GB2312" w:cs="仿宋_GB2312" w:eastAsia="仿宋_GB2312"/>
        </w:rPr>
        <w:t xml:space="preserve"> 委托，拟对 </w:t>
      </w:r>
      <w:r>
        <w:rPr>
          <w:rFonts w:ascii="仿宋_GB2312" w:hAnsi="仿宋_GB2312" w:cs="仿宋_GB2312" w:eastAsia="仿宋_GB2312"/>
        </w:rPr>
        <w:t>大楼物业管理服务（专用部分）</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德阳市市本级</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 </w:t>
      </w:r>
      <w:r>
        <w:rPr>
          <w:rFonts w:ascii="仿宋_GB2312" w:hAnsi="仿宋_GB2312" w:cs="仿宋_GB2312" w:eastAsia="仿宋_GB2312"/>
          <w:sz w:val="28"/>
          <w:b/>
        </w:rPr>
        <w:t>N5106012024000488</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 </w:t>
      </w:r>
      <w:r>
        <w:rPr>
          <w:rFonts w:ascii="仿宋_GB2312" w:hAnsi="仿宋_GB2312" w:cs="仿宋_GB2312" w:eastAsia="仿宋_GB2312"/>
          <w:sz w:val="28"/>
          <w:b/>
        </w:rPr>
        <w:t>大楼物业管理服务（专用部分）</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德阳市政府政务服务和公共资源交易服务中心拟对2025年至2027年政务大楼专用部分物业管理专项服务进行采购（含德阳市政府政务服务和公共资源交易服务中心、德阳市数据局、德阳市住房公积金管理中心）办公场地。财政预算：335.3万元/年。</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本项目以发布公告的方式邀请供应商参加磋商。公告在四川政府采购网(www.ccgp-sichuan.gov.cn)发布。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 一、磋商文件获取时间：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 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 xml:space="preserve"> ： </w:t>
      </w:r>
      <w:r>
        <w:rPr>
          <w:rFonts w:ascii="仿宋_GB2312" w:hAnsi="仿宋_GB2312" w:cs="仿宋_GB2312" w:eastAsia="仿宋_GB2312"/>
          <w:sz w:val="24"/>
          <w:b/>
        </w:rPr>
        <w:t>德阳市政府政务服务和公共资源交易服务中心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德阳市旌阳区松花江北路8号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618000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祝老师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13541715272</w:t>
      </w:r>
    </w:p>
    <w:p>
      <w:pPr>
        <w:pStyle w:val="null3"/>
        <w:ind w:firstLine="480"/>
        <w:jc w:val="left"/>
        <w:outlineLvl w:val="3"/>
      </w:pPr>
      <w:r>
        <w:rPr>
          <w:rFonts w:ascii="仿宋_GB2312" w:hAnsi="仿宋_GB2312" w:cs="仿宋_GB2312" w:eastAsia="仿宋_GB2312"/>
          <w:sz w:val="24"/>
          <w:b/>
        </w:rPr>
        <w:t>代理机构</w:t>
      </w:r>
      <w:r>
        <w:rPr>
          <w:rFonts w:ascii="仿宋_GB2312" w:hAnsi="仿宋_GB2312" w:cs="仿宋_GB2312" w:eastAsia="仿宋_GB2312"/>
          <w:sz w:val="24"/>
          <w:b/>
        </w:rPr>
        <w:t xml:space="preserve"> ： </w:t>
      </w:r>
      <w:r>
        <w:rPr>
          <w:rFonts w:ascii="仿宋_GB2312" w:hAnsi="仿宋_GB2312" w:cs="仿宋_GB2312" w:eastAsia="仿宋_GB2312"/>
          <w:sz w:val="24"/>
          <w:b/>
        </w:rPr>
        <w:t>德阳市旌阳区政府政务服务和公共资源交易服务中心（德阳市旌阳区政府采购中心）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四川省德阳市旌阳区松花江北路8号（五洲广场东侧）政务中心8楼804室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618000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江老师；陈老师（开评标）</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0838-2531185；0838-2518806（开评标）</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采购包1：3,353,000.00元</w:t>
            </w:r>
          </w:p>
          <w:p>
            <w:pPr>
              <w:pStyle w:val="null3"/>
              <w:jc w:val="left"/>
            </w:pPr>
            <w:r>
              <w:rPr>
                <w:rFonts w:ascii="仿宋_GB2312" w:hAnsi="仿宋_GB2312" w:cs="仿宋_GB2312" w:eastAsia="仿宋_GB2312"/>
              </w:rPr>
              <w:t>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如接受联合体，需符合以下要求：</w:t>
            </w:r>
          </w:p>
          <w:p>
            <w:pPr>
              <w:pStyle w:val="null3"/>
              <w:jc w:val="left"/>
            </w:pPr>
            <w:r>
              <w:rPr>
                <w:rFonts w:ascii="仿宋_GB2312" w:hAnsi="仿宋_GB2312" w:cs="仿宋_GB2312" w:eastAsia="仿宋_GB2312"/>
              </w:rPr>
              <w:t>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政府购买服务项目（含政府和社会资本合作项目）：否</w:t>
            </w:r>
          </w:p>
          <w:p>
            <w:pPr>
              <w:pStyle w:val="null3"/>
              <w:jc w:val="left"/>
            </w:pPr>
            <w:r>
              <w:rPr>
                <w:rFonts w:ascii="仿宋_GB2312" w:hAnsi="仿宋_GB2312" w:cs="仿宋_GB2312" w:eastAsia="仿宋_GB2312"/>
              </w:rPr>
              <w:t>市场竞争不充分的科研项目：否</w:t>
            </w:r>
          </w:p>
          <w:p>
            <w:pPr>
              <w:pStyle w:val="null3"/>
              <w:jc w:val="left"/>
            </w:pPr>
            <w:r>
              <w:rPr>
                <w:rFonts w:ascii="仿宋_GB2312" w:hAnsi="仿宋_GB2312" w:cs="仿宋_GB2312" w:eastAsia="仿宋_GB2312"/>
              </w:rPr>
              <w:t>需要扶持的科技成果转化项目：否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120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本项目不收取代理服务费</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一、交易系统发生故障（包括感染病毒、应用或数据库出错）而无法正常使用的；</w:t>
            </w:r>
          </w:p>
          <w:p>
            <w:pPr>
              <w:pStyle w:val="null3"/>
              <w:jc w:val="left"/>
            </w:pPr>
            <w:r>
              <w:rPr>
                <w:rFonts w:ascii="仿宋_GB2312" w:hAnsi="仿宋_GB2312" w:cs="仿宋_GB2312" w:eastAsia="仿宋_GB2312"/>
              </w:rPr>
              <w:t>二、因组织场所停电、断网等原因，导致采购活动无法继续通过交易系统实施的；</w:t>
            </w:r>
          </w:p>
          <w:p>
            <w:pPr>
              <w:pStyle w:val="null3"/>
              <w:jc w:val="left"/>
            </w:pPr>
            <w:r>
              <w:rPr>
                <w:rFonts w:ascii="仿宋_GB2312" w:hAnsi="仿宋_GB2312" w:cs="仿宋_GB2312" w:eastAsia="仿宋_GB2312"/>
              </w:rPr>
              <w:t>三、其他无法保证电子化交易的公平、公正和安全的情况。</w:t>
            </w:r>
          </w:p>
          <w:p>
            <w:pPr>
              <w:pStyle w:val="null3"/>
              <w:jc w:val="left"/>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注：</w:t>
            </w:r>
          </w:p>
          <w:p>
            <w:pPr>
              <w:pStyle w:val="null3"/>
              <w:jc w:val="left"/>
            </w:pPr>
            <w:r>
              <w:rPr>
                <w:rFonts w:ascii="仿宋_GB2312" w:hAnsi="仿宋_GB2312" w:cs="仿宋_GB2312" w:eastAsia="仿宋_GB2312"/>
              </w:rPr>
              <w:t>1.平台系统故障认定以四川政府采购网发布的系统运维通知内容为准；</w:t>
            </w:r>
          </w:p>
          <w:p>
            <w:pPr>
              <w:pStyle w:val="null3"/>
              <w:jc w:val="left"/>
            </w:pPr>
            <w:r>
              <w:rPr>
                <w:rFonts w:ascii="仿宋_GB2312" w:hAnsi="仿宋_GB2312" w:cs="仿宋_GB2312" w:eastAsia="仿宋_GB2312"/>
              </w:rPr>
              <w:t>2.故障处理详见第二章规定。</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 二、本磋商文件由 </w:t>
      </w:r>
      <w:r>
        <w:rPr>
          <w:rFonts w:ascii="仿宋_GB2312" w:hAnsi="仿宋_GB2312" w:cs="仿宋_GB2312" w:eastAsia="仿宋_GB2312"/>
        </w:rPr>
        <w:t>德阳市政府政务服务和公共资源交易服务中心</w:t>
      </w:r>
      <w:r>
        <w:rPr>
          <w:rFonts w:ascii="仿宋_GB2312" w:hAnsi="仿宋_GB2312" w:cs="仿宋_GB2312" w:eastAsia="仿宋_GB2312"/>
        </w:rPr>
        <w:t xml:space="preserve"> 和 </w:t>
      </w:r>
      <w:r>
        <w:rPr>
          <w:rFonts w:ascii="仿宋_GB2312" w:hAnsi="仿宋_GB2312" w:cs="仿宋_GB2312" w:eastAsia="仿宋_GB2312"/>
        </w:rPr>
        <w:t>德阳市旌阳区政府政务服务和公共资源交易服务中心（德阳市旌阳区政府采购中心）</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 一、“采购人”是指依法进行政府采购的国家机关、事业单位、团体组织。本次磋商的采购人是 </w:t>
      </w:r>
      <w:r>
        <w:rPr>
          <w:rFonts w:ascii="仿宋_GB2312" w:hAnsi="仿宋_GB2312" w:cs="仿宋_GB2312" w:eastAsia="仿宋_GB2312"/>
        </w:rPr>
        <w:t>德阳市政府政务服务和公共资源交易服务中心</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 三、“代理机构”是指集中采购机构和从事采购代理业务的社会中介机构。本项目的代理机构是 </w:t>
      </w:r>
      <w:r>
        <w:rPr>
          <w:rFonts w:ascii="仿宋_GB2312" w:hAnsi="仿宋_GB2312" w:cs="仿宋_GB2312" w:eastAsia="仿宋_GB2312"/>
        </w:rPr>
        <w:t>德阳市旌阳区政府政务服务和公共资源交易服务中心（德阳市旌阳区政府采购中心）</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jc w:val="left"/>
      </w:pPr>
      <w:r>
        <w:rPr>
          <w:rFonts w:ascii="仿宋_GB2312" w:hAnsi="仿宋_GB2312" w:cs="仿宋_GB2312" w:eastAsia="仿宋_GB2312"/>
        </w:rPr>
        <w:t>二、澄清或者修改的内容为磋商文件的组成部分，采购人或者代理机构将在四川政府采购网发布更正公告，并将更正后的磋商文件上传至交易系统。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三、供应商根据更正公告、更正信息要求，下载更正后的磋商文件，进行响应文件编制。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按照磋商文件第五章评审办法规定进行价格修正的，修正后的报价经供应商加盖电子印章确认后产生约束力。未在规定时间内确认的，视同供应商不确认，作无效响应处理。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 提交响应文件截止时间后，成功提交响应文件的供应商符合磋商文件规定数量的，代理机构将启动响应文件解密程序，解密时间为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分段/分期验收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甲方每月根据物业管理服务工作情况月度考核表对乙方进行考核打分</w:t>
      </w:r>
      <w:r>
        <w:rPr>
          <w:rFonts w:ascii="仿宋_GB2312" w:hAnsi="仿宋_GB2312" w:cs="仿宋_GB2312" w:eastAsia="仿宋_GB2312"/>
        </w:rPr>
        <w:t xml:space="preserve"> ，达到验收条件起 </w:t>
      </w:r>
      <w:r>
        <w:rPr>
          <w:rFonts w:ascii="仿宋_GB2312" w:hAnsi="仿宋_GB2312" w:cs="仿宋_GB2312" w:eastAsia="仿宋_GB2312"/>
        </w:rPr>
        <w:t>15</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按采购文件、供应商响应文件、合同约定进行验收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按采购文件、供应商响应文件、合同约定进行验收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采购人每月对成交供应商的大楼物业管理服务进行考核验收，并按相应分值支付当月费用，验收标准按采购文件要求、成交供应商响应文件、合同约定进行验收。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 xml:space="preserve"> 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 根据委托代理协议约定，供应商对磋商文件中采购需求的询问、质疑由 </w:t>
      </w:r>
      <w:r>
        <w:rPr>
          <w:rFonts w:ascii="仿宋_GB2312" w:hAnsi="仿宋_GB2312" w:cs="仿宋_GB2312" w:eastAsia="仿宋_GB2312"/>
        </w:rPr>
        <w:t>德阳市政府政务服务和公共资源交易服务中心</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德阳市旌阳区政府政务服务和公共资源交易服务中心（德阳市旌阳区政府采购中心）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德阳市旌阳区政府政务服务和公共资源交易服务中心（德阳市旌阳区政府采购中心）</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联系人：祝老师</w:t>
      </w:r>
    </w:p>
    <w:p>
      <w:pPr>
        <w:pStyle w:val="null3"/>
        <w:jc w:val="left"/>
      </w:pPr>
      <w:r>
        <w:rPr>
          <w:rFonts w:ascii="仿宋_GB2312" w:hAnsi="仿宋_GB2312" w:cs="仿宋_GB2312" w:eastAsia="仿宋_GB2312"/>
        </w:rPr>
        <w:t>联系电话：13541715272</w:t>
      </w:r>
    </w:p>
    <w:p>
      <w:pPr>
        <w:pStyle w:val="null3"/>
        <w:jc w:val="left"/>
      </w:pPr>
      <w:r>
        <w:rPr>
          <w:rFonts w:ascii="仿宋_GB2312" w:hAnsi="仿宋_GB2312" w:cs="仿宋_GB2312" w:eastAsia="仿宋_GB2312"/>
        </w:rPr>
        <w:t>地址：德阳市旌阳区松花江北路8号</w:t>
      </w:r>
    </w:p>
    <w:p>
      <w:pPr>
        <w:pStyle w:val="null3"/>
        <w:jc w:val="left"/>
      </w:pPr>
      <w:r>
        <w:rPr>
          <w:rFonts w:ascii="仿宋_GB2312" w:hAnsi="仿宋_GB2312" w:cs="仿宋_GB2312" w:eastAsia="仿宋_GB2312"/>
        </w:rPr>
        <w:t>邮编：618000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（一）对可以质疑的磋商文件提出质疑的，为收到磋商文件之日或者磋商文件公告期限届满之日；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3,353,000.00</w:t>
      </w:r>
    </w:p>
    <w:p>
      <w:pPr>
        <w:pStyle w:val="null3"/>
        <w:jc w:val="left"/>
      </w:pPr>
      <w:r>
        <w:rPr>
          <w:rFonts w:ascii="仿宋_GB2312" w:hAnsi="仿宋_GB2312" w:cs="仿宋_GB2312" w:eastAsia="仿宋_GB2312"/>
        </w:rPr>
        <w:t>采购包最高限价（元）: 3,353,000.00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物业管理服务</w:t>
            </w:r>
          </w:p>
        </w:tc>
        <w:tc>
          <w:tcPr>
            <w:tcW w:type="dxa" w:w="821"/>
          </w:tcPr>
          <w:p>
            <w:pPr>
              <w:pStyle w:val="null3"/>
              <w:jc w:val="left"/>
            </w:pPr>
            <w:r>
              <w:rPr>
                <w:rFonts w:ascii="仿宋_GB2312" w:hAnsi="仿宋_GB2312" w:cs="仿宋_GB2312" w:eastAsia="仿宋_GB2312"/>
              </w:rPr>
              <w:t>政务大楼专用部分物业管理专项服务</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3,353,000.00</w:t>
            </w:r>
          </w:p>
        </w:tc>
        <w:tc>
          <w:tcPr>
            <w:tcW w:type="dxa" w:w="821"/>
          </w:tcPr>
          <w:p>
            <w:pPr>
              <w:pStyle w:val="null3"/>
              <w:jc w:val="left"/>
            </w:pPr>
            <w:r>
              <w:rPr>
                <w:rFonts w:ascii="仿宋_GB2312" w:hAnsi="仿宋_GB2312" w:cs="仿宋_GB2312" w:eastAsia="仿宋_GB2312"/>
              </w:rPr>
              <w:t>物业管理</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政务大楼专用部分物业管理专项服务</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3,353,000.00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★注：本采购包涉及采购货物的，供应商响应产品应当明确品牌和规格型号并指向唯一产品，不能指向唯一产品的，应通过报价表唯一产品说明栏补充说明。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标的名称：政务大楼专用部分物业管理专项服务</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服务范围</w:t>
            </w:r>
          </w:p>
        </w:tc>
        <w:tc>
          <w:tcPr>
            <w:tcW w:type="dxa" w:w="5814"/>
          </w:tcPr>
          <w:p>
            <w:pPr>
              <w:pStyle w:val="null3"/>
              <w:jc w:val="both"/>
            </w:pPr>
            <w:r>
              <w:rPr>
                <w:rFonts w:ascii="仿宋_GB2312" w:hAnsi="仿宋_GB2312" w:cs="仿宋_GB2312" w:eastAsia="仿宋_GB2312"/>
                <w:sz w:val="24"/>
              </w:rPr>
              <w:t>1.服务类型：写字楼物业</w:t>
            </w:r>
          </w:p>
          <w:p>
            <w:pPr>
              <w:pStyle w:val="null3"/>
              <w:jc w:val="both"/>
            </w:pPr>
            <w:r>
              <w:rPr>
                <w:rFonts w:ascii="仿宋_GB2312" w:hAnsi="仿宋_GB2312" w:cs="仿宋_GB2312" w:eastAsia="仿宋_GB2312"/>
                <w:sz w:val="24"/>
              </w:rPr>
              <w:t>2.座落位置：德阳市松花江北路8号</w:t>
            </w:r>
          </w:p>
          <w:p>
            <w:pPr>
              <w:pStyle w:val="null3"/>
              <w:jc w:val="both"/>
            </w:pPr>
            <w:r>
              <w:rPr>
                <w:rFonts w:ascii="仿宋_GB2312" w:hAnsi="仿宋_GB2312" w:cs="仿宋_GB2312" w:eastAsia="仿宋_GB2312"/>
                <w:sz w:val="24"/>
              </w:rPr>
              <w:t>3.服务范围：大楼主体1-12层（30396平方米分别为机关办公楼层、办事服务大厅、会议室、办公室等功能用房。配置有安防智能系统，大厦为无围墙半敞开式，除主出入口外,还有若干个直通外围的门和窗）。</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服务事项</w:t>
            </w:r>
          </w:p>
        </w:tc>
        <w:tc>
          <w:tcPr>
            <w:tcW w:type="dxa" w:w="5814"/>
          </w:tcPr>
          <w:p>
            <w:pPr>
              <w:pStyle w:val="null3"/>
              <w:jc w:val="both"/>
            </w:pPr>
            <w:r>
              <w:rPr>
                <w:rFonts w:ascii="仿宋_GB2312" w:hAnsi="仿宋_GB2312" w:cs="仿宋_GB2312" w:eastAsia="仿宋_GB2312"/>
                <w:sz w:val="24"/>
              </w:rPr>
              <w:t>1.大楼主体1-12层专用</w:t>
            </w:r>
            <w:r>
              <w:rPr>
                <w:rFonts w:ascii="仿宋_GB2312" w:hAnsi="仿宋_GB2312" w:cs="仿宋_GB2312" w:eastAsia="仿宋_GB2312"/>
                <w:sz w:val="24"/>
                <w:b/>
              </w:rPr>
              <w:t>部份设施、设备</w:t>
            </w:r>
            <w:r>
              <w:rPr>
                <w:rFonts w:ascii="仿宋_GB2312" w:hAnsi="仿宋_GB2312" w:cs="仿宋_GB2312" w:eastAsia="仿宋_GB2312"/>
                <w:sz w:val="24"/>
              </w:rPr>
              <w:t>的日常运行、管理和巡视检查（不包含维修材料费及大、中修及特种设备专业维护保养费用）。</w:t>
            </w:r>
          </w:p>
          <w:p>
            <w:pPr>
              <w:pStyle w:val="null3"/>
              <w:jc w:val="both"/>
            </w:pPr>
            <w:r>
              <w:rPr>
                <w:rFonts w:ascii="仿宋_GB2312" w:hAnsi="仿宋_GB2312" w:cs="仿宋_GB2312" w:eastAsia="仿宋_GB2312"/>
                <w:sz w:val="24"/>
              </w:rPr>
              <w:t>2.大楼主体1-12层专用部分</w:t>
            </w:r>
            <w:r>
              <w:rPr>
                <w:rFonts w:ascii="仿宋_GB2312" w:hAnsi="仿宋_GB2312" w:cs="仿宋_GB2312" w:eastAsia="仿宋_GB2312"/>
                <w:sz w:val="24"/>
                <w:b/>
              </w:rPr>
              <w:t>环境卫生管理</w:t>
            </w:r>
            <w:r>
              <w:rPr>
                <w:rFonts w:ascii="仿宋_GB2312" w:hAnsi="仿宋_GB2312" w:cs="仿宋_GB2312" w:eastAsia="仿宋_GB2312"/>
                <w:sz w:val="24"/>
              </w:rPr>
              <w:t>服务。包括：办公室、会议室、档案室、库房、机房、工作大厅柜台内、楼内平台、设备用房等清扫保洁及除虫灭害等。</w:t>
            </w:r>
          </w:p>
          <w:p>
            <w:pPr>
              <w:pStyle w:val="null3"/>
              <w:jc w:val="both"/>
            </w:pPr>
            <w:r>
              <w:rPr>
                <w:rFonts w:ascii="仿宋_GB2312" w:hAnsi="仿宋_GB2312" w:cs="仿宋_GB2312" w:eastAsia="仿宋_GB2312"/>
                <w:sz w:val="24"/>
              </w:rPr>
              <w:t>3.维护物业管理范围内的</w:t>
            </w:r>
            <w:r>
              <w:rPr>
                <w:rFonts w:ascii="仿宋_GB2312" w:hAnsi="仿宋_GB2312" w:cs="仿宋_GB2312" w:eastAsia="仿宋_GB2312"/>
                <w:sz w:val="24"/>
                <w:b/>
              </w:rPr>
              <w:t>公共秩序及安全防范</w:t>
            </w:r>
            <w:r>
              <w:rPr>
                <w:rFonts w:ascii="仿宋_GB2312" w:hAnsi="仿宋_GB2312" w:cs="仿宋_GB2312" w:eastAsia="仿宋_GB2312"/>
                <w:sz w:val="24"/>
              </w:rPr>
              <w:t>,包括：安防监控值守、出入口值勤、办事群众引导和咨询服务、巡视等安全防范工作。</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b/>
              </w:rPr>
              <w:t>会务服务</w:t>
            </w:r>
            <w:r>
              <w:rPr>
                <w:rFonts w:ascii="仿宋_GB2312" w:hAnsi="仿宋_GB2312" w:cs="仿宋_GB2312" w:eastAsia="仿宋_GB2312"/>
                <w:sz w:val="24"/>
              </w:rPr>
              <w:t>、</w:t>
            </w:r>
            <w:r>
              <w:rPr>
                <w:rFonts w:ascii="仿宋_GB2312" w:hAnsi="仿宋_GB2312" w:cs="仿宋_GB2312" w:eastAsia="仿宋_GB2312"/>
                <w:sz w:val="24"/>
                <w:b/>
              </w:rPr>
              <w:t>导服服务</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.其他未尽</w:t>
            </w:r>
            <w:r>
              <w:rPr>
                <w:rFonts w:ascii="仿宋_GB2312" w:hAnsi="仿宋_GB2312" w:cs="仿宋_GB2312" w:eastAsia="仿宋_GB2312"/>
                <w:sz w:val="24"/>
                <w:b/>
              </w:rPr>
              <w:t>物业管理相关事项</w:t>
            </w:r>
            <w:r>
              <w:rPr>
                <w:rFonts w:ascii="仿宋_GB2312" w:hAnsi="仿宋_GB2312" w:cs="仿宋_GB2312" w:eastAsia="仿宋_GB2312"/>
                <w:sz w:val="24"/>
              </w:rPr>
              <w:t>。</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服务内容及标准</w:t>
            </w:r>
          </w:p>
        </w:tc>
        <w:tc>
          <w:tcPr>
            <w:tcW w:type="dxa" w:w="5814"/>
          </w:tcPr>
          <w:p>
            <w:pPr>
              <w:pStyle w:val="null3"/>
              <w:ind w:firstLine="482"/>
              <w:jc w:val="both"/>
            </w:pPr>
            <w:r>
              <w:rPr>
                <w:rFonts w:ascii="仿宋_GB2312" w:hAnsi="仿宋_GB2312" w:cs="仿宋_GB2312" w:eastAsia="仿宋_GB2312"/>
                <w:sz w:val="24"/>
                <w:b/>
              </w:rPr>
              <w:t>1.1</w:t>
            </w:r>
            <w:r>
              <w:rPr>
                <w:rFonts w:ascii="仿宋_GB2312" w:hAnsi="仿宋_GB2312" w:cs="仿宋_GB2312" w:eastAsia="仿宋_GB2312"/>
                <w:sz w:val="24"/>
                <w:b/>
              </w:rPr>
              <w:t>环境维护服务内容</w:t>
            </w:r>
          </w:p>
          <w:p>
            <w:pPr>
              <w:pStyle w:val="null3"/>
              <w:ind w:firstLine="480"/>
              <w:jc w:val="both"/>
            </w:pPr>
            <w:r>
              <w:rPr>
                <w:rFonts w:ascii="仿宋_GB2312" w:hAnsi="仿宋_GB2312" w:cs="仿宋_GB2312" w:eastAsia="仿宋_GB2312"/>
                <w:sz w:val="24"/>
              </w:rPr>
              <w:t>对服务事项中所列的责任区域随时保持整洁，室内墙体、地面、天花板、玻璃门窗，会议室台面、椅子、沙发等每天清洁、保洁；定期进行卫生消毒、灭鼠、杀虫。按疫情防控常态化要求，做好防疫消杀工作。</w:t>
            </w:r>
          </w:p>
          <w:p>
            <w:pPr>
              <w:pStyle w:val="null3"/>
              <w:ind w:firstLine="482"/>
              <w:jc w:val="both"/>
            </w:pPr>
            <w:r>
              <w:rPr>
                <w:rFonts w:ascii="仿宋_GB2312" w:hAnsi="仿宋_GB2312" w:cs="仿宋_GB2312" w:eastAsia="仿宋_GB2312"/>
                <w:sz w:val="24"/>
                <w:b/>
              </w:rPr>
              <w:t>1.2</w:t>
            </w:r>
            <w:r>
              <w:rPr>
                <w:rFonts w:ascii="仿宋_GB2312" w:hAnsi="仿宋_GB2312" w:cs="仿宋_GB2312" w:eastAsia="仿宋_GB2312"/>
                <w:sz w:val="24"/>
                <w:b/>
              </w:rPr>
              <w:t>环境维护服务质量标准</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（1）垃圾每日清运一次，走道内垃圾桶每日擦洗一次，保持桶外清洁，无污渍，桶内无异味，每周消毒一次。</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（2）地面随时保持干净、无垃圾、无污渍、无印迹；扶手无灰尘、污物；室内玻璃每周清洁1次；灯具等每月清洁一次；保持墙面和天花板无灰尘、污物、蜘蛛网。</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（3）服务台面干净、清爽、无印迹，物品摆放整齐，随时保持干净，每天清理垃圾筐、更换垃圾袋。</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（4）会议室要求保洁做好会议前保洁服务，会后10钟内及时清理。</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（5）保洁人员谦和有礼，着装整齐；动作规范文明，不影响办公。保洁工具整齐摆放，不影响美观。</w:t>
            </w:r>
          </w:p>
          <w:p>
            <w:pPr>
              <w:pStyle w:val="null3"/>
              <w:ind w:firstLine="482"/>
              <w:jc w:val="both"/>
            </w:pPr>
            <w:r>
              <w:rPr>
                <w:rFonts w:ascii="仿宋_GB2312" w:hAnsi="仿宋_GB2312" w:cs="仿宋_GB2312" w:eastAsia="仿宋_GB2312"/>
                <w:sz w:val="24"/>
                <w:b/>
              </w:rPr>
              <w:t>2.1</w:t>
            </w:r>
            <w:r>
              <w:rPr>
                <w:rFonts w:ascii="仿宋_GB2312" w:hAnsi="仿宋_GB2312" w:cs="仿宋_GB2312" w:eastAsia="仿宋_GB2312"/>
                <w:sz w:val="24"/>
                <w:b/>
              </w:rPr>
              <w:t>秩序维护和安全保卫服务内容</w:t>
            </w:r>
          </w:p>
          <w:p>
            <w:pPr>
              <w:pStyle w:val="null3"/>
              <w:ind w:firstLine="482"/>
              <w:jc w:val="both"/>
            </w:pPr>
            <w:r>
              <w:rPr>
                <w:rFonts w:ascii="仿宋_GB2312" w:hAnsi="仿宋_GB2312" w:cs="仿宋_GB2312" w:eastAsia="仿宋_GB2312"/>
                <w:sz w:val="24"/>
              </w:rPr>
              <w:t>（1）大楼主、次出入口保安、导服员实行8小时站立式服务，行注目礼，为办事群众提供优质的咨询服务，注重整体形象。</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（2）对管理区划实行24小时值勤，对安防控制室进行24小时监控值守。</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（3）协助公安机关作好办公区域的安全防范工作，实行昼夜24小时巡查。</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（4）定时或不定时巡视办公区的安全情况及设备设施、公共物品的完好情况并记录。</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（5）对自然灾害、治安等突发事件有应急预案，事发时及时报告有关部门，并协助采取相应措施。</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（6）对任何可能危及工作人员及外来人员安全的地方，有预见性地设置提示标识，采取有效防范措施。</w:t>
            </w:r>
          </w:p>
          <w:p>
            <w:pPr>
              <w:pStyle w:val="null3"/>
              <w:jc w:val="both"/>
            </w:pPr>
            <w:r>
              <w:rPr>
                <w:rFonts w:ascii="仿宋_GB2312" w:hAnsi="仿宋_GB2312" w:cs="仿宋_GB2312" w:eastAsia="仿宋_GB2312"/>
                <w:sz w:val="24"/>
              </w:rPr>
              <w:t xml:space="preserve"> （7）对大楼主体1-12层实施不间断巡视，协助有关单位做好纠纷劝导和应急事件的处理。</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b/>
              </w:rPr>
              <w:t>2.2</w:t>
            </w:r>
            <w:r>
              <w:rPr>
                <w:rFonts w:ascii="仿宋_GB2312" w:hAnsi="仿宋_GB2312" w:cs="仿宋_GB2312" w:eastAsia="仿宋_GB2312"/>
                <w:sz w:val="24"/>
                <w:b/>
              </w:rPr>
              <w:t>秩序维护和安全保卫服务质量标准</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（1）大厅、办公区域、大楼周围责任区的公共秩序正常，外来人员及物品管理有序，无失窃、无外来人员损坏区域内公共设施等现象发生。</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（2）24小时不间断监控，按规定保存并提供信息。</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（3）保安员昼夜室内外巡查，采取交叉巡查方式，每小时一次，重要部位和开放式管理区域应派人值守,防止和禁止无关人员进入,做到夜间看守无死角,无盲区,并做好值班记录。</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（4）严格履行职责，作好防范工作，杜绝因失职造成的不安全现象发生。</w:t>
            </w:r>
          </w:p>
          <w:p>
            <w:pPr>
              <w:pStyle w:val="null3"/>
              <w:ind w:firstLine="602"/>
              <w:jc w:val="both"/>
            </w:pPr>
            <w:r>
              <w:rPr>
                <w:rFonts w:ascii="仿宋_GB2312" w:hAnsi="仿宋_GB2312" w:cs="仿宋_GB2312" w:eastAsia="仿宋_GB2312"/>
                <w:sz w:val="24"/>
                <w:b/>
              </w:rPr>
              <w:t>3.1</w:t>
            </w:r>
            <w:r>
              <w:rPr>
                <w:rFonts w:ascii="仿宋_GB2312" w:hAnsi="仿宋_GB2312" w:cs="仿宋_GB2312" w:eastAsia="仿宋_GB2312"/>
                <w:sz w:val="24"/>
                <w:b/>
              </w:rPr>
              <w:t>系统运行和工程维护服务内容</w:t>
            </w:r>
          </w:p>
          <w:p>
            <w:pPr>
              <w:pStyle w:val="null3"/>
              <w:ind w:firstLine="480"/>
              <w:jc w:val="both"/>
            </w:pPr>
            <w:r>
              <w:rPr>
                <w:rFonts w:ascii="仿宋_GB2312" w:hAnsi="仿宋_GB2312" w:cs="仿宋_GB2312" w:eastAsia="仿宋_GB2312"/>
                <w:sz w:val="24"/>
              </w:rPr>
              <w:t>（1）配置专业的智能楼宇工程人员负责大楼的系统管理。</w:t>
            </w:r>
          </w:p>
          <w:p>
            <w:pPr>
              <w:pStyle w:val="null3"/>
              <w:ind w:firstLine="480"/>
              <w:jc w:val="both"/>
            </w:pPr>
            <w:r>
              <w:rPr>
                <w:rFonts w:ascii="仿宋_GB2312" w:hAnsi="仿宋_GB2312" w:cs="仿宋_GB2312" w:eastAsia="仿宋_GB2312"/>
                <w:sz w:val="24"/>
              </w:rPr>
              <w:t>（2）确保安防控制系统正常运行，画面清晰；设专人对控制室进行24小时监控值守，按规定保存并提供信息，发现可疑情况及时处理。</w:t>
            </w:r>
          </w:p>
          <w:p>
            <w:pPr>
              <w:pStyle w:val="null3"/>
              <w:ind w:firstLine="480"/>
              <w:jc w:val="both"/>
            </w:pPr>
            <w:r>
              <w:rPr>
                <w:rFonts w:ascii="仿宋_GB2312" w:hAnsi="仿宋_GB2312" w:cs="仿宋_GB2312" w:eastAsia="仿宋_GB2312"/>
                <w:sz w:val="24"/>
              </w:rPr>
              <w:t>（3）供配电、给排水系统：负责供电低压系统配电的运行及维护检修工作，保证供电畅通；作好供配电系统运行情况的记录并存档；负责照明的维修维护工作。</w:t>
            </w:r>
          </w:p>
          <w:p>
            <w:pPr>
              <w:pStyle w:val="null3"/>
              <w:ind w:firstLine="480"/>
              <w:jc w:val="both"/>
            </w:pPr>
            <w:r>
              <w:rPr>
                <w:rFonts w:ascii="仿宋_GB2312" w:hAnsi="仿宋_GB2312" w:cs="仿宋_GB2312" w:eastAsia="仿宋_GB2312"/>
                <w:sz w:val="24"/>
              </w:rPr>
              <w:t>（4）做好办公桌椅、文件柜、服务台、门锁等办公设施的维护保养；对办公桌椅、文件柜、服务台、门锁等办公设施出现损坏时，应及时做好维修工作。</w:t>
            </w:r>
          </w:p>
          <w:p>
            <w:pPr>
              <w:pStyle w:val="null3"/>
              <w:ind w:firstLine="602"/>
              <w:jc w:val="both"/>
            </w:pPr>
            <w:r>
              <w:rPr>
                <w:rFonts w:ascii="仿宋_GB2312" w:hAnsi="仿宋_GB2312" w:cs="仿宋_GB2312" w:eastAsia="仿宋_GB2312"/>
                <w:sz w:val="24"/>
                <w:b/>
              </w:rPr>
              <w:t>3.2</w:t>
            </w:r>
            <w:r>
              <w:rPr>
                <w:rFonts w:ascii="仿宋_GB2312" w:hAnsi="仿宋_GB2312" w:cs="仿宋_GB2312" w:eastAsia="仿宋_GB2312"/>
                <w:sz w:val="24"/>
                <w:b/>
              </w:rPr>
              <w:t>系统运行和工程维护服务质量标准</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（1）配备相关专业人员对公用设施、设备的进行日常管理和巡视检查。</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（2）建立设施设备档案（设备台帐），设施设备的运行、检查、维修、保养等记录齐全。</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3）对设施设备定期组织巡查，做好巡查记录，需要维修，属于小修（单件单次修理金额在200元以内、含200元范围的，及时组织修复；属于大、中修范围（单件单次修理金额在200元以上的）或者需要更新改造的，及时编制维修、更新改造计划向采购人提出报告与建议，根据采购人的决定，组织维修或者更新改造。</w:t>
            </w:r>
          </w:p>
          <w:p>
            <w:pPr>
              <w:pStyle w:val="null3"/>
              <w:jc w:val="both"/>
            </w:pPr>
            <w:r>
              <w:rPr>
                <w:rFonts w:ascii="仿宋_GB2312" w:hAnsi="仿宋_GB2312" w:cs="仿宋_GB2312" w:eastAsia="仿宋_GB2312"/>
                <w:sz w:val="24"/>
              </w:rPr>
              <w:t xml:space="preserve"> （4）设施设备标志齐全、规范，责任人明确；操作维护人员严格执行设施设备操作规程及保养规范；确保设施设备运行正常。</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（5）办公配电系统按规定时间开启，正常运行，发现事故隐患，5分钟内到场处理，杜绝影响正常办公的情况发生。</w:t>
            </w:r>
          </w:p>
          <w:p>
            <w:pPr>
              <w:pStyle w:val="null3"/>
              <w:jc w:val="both"/>
            </w:pPr>
            <w:r>
              <w:rPr>
                <w:rFonts w:ascii="仿宋_GB2312" w:hAnsi="仿宋_GB2312" w:cs="仿宋_GB2312" w:eastAsia="仿宋_GB2312"/>
                <w:sz w:val="24"/>
              </w:rPr>
              <w:t xml:space="preserve"> （6）音视频系统按需求随时操控，保证会议正常进行。</w:t>
            </w:r>
          </w:p>
          <w:p>
            <w:pPr>
              <w:pStyle w:val="null3"/>
              <w:jc w:val="both"/>
            </w:pPr>
            <w:r>
              <w:rPr>
                <w:rFonts w:ascii="仿宋_GB2312" w:hAnsi="仿宋_GB2312" w:cs="仿宋_GB2312" w:eastAsia="仿宋_GB2312"/>
                <w:sz w:val="24"/>
              </w:rPr>
              <w:t xml:space="preserve"> （7）安防监控系统24小时不间断值班，按规定保存记录并提供信息。</w:t>
            </w:r>
          </w:p>
          <w:p>
            <w:pPr>
              <w:pStyle w:val="null3"/>
              <w:jc w:val="both"/>
            </w:pPr>
            <w:r>
              <w:rPr>
                <w:rFonts w:ascii="仿宋_GB2312" w:hAnsi="仿宋_GB2312" w:cs="仿宋_GB2312" w:eastAsia="仿宋_GB2312"/>
                <w:sz w:val="24"/>
              </w:rPr>
              <w:t xml:space="preserve"> （8）低压供电线路畅通。</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（9）排水系统：室内排水管道畅通，发生堵塞，1小时内疏通。污水管无堵塞现象。</w:t>
            </w:r>
          </w:p>
          <w:p>
            <w:pPr>
              <w:pStyle w:val="null3"/>
              <w:jc w:val="both"/>
            </w:pPr>
            <w:r>
              <w:rPr>
                <w:rFonts w:ascii="仿宋_GB2312" w:hAnsi="仿宋_GB2312" w:cs="仿宋_GB2312" w:eastAsia="仿宋_GB2312"/>
                <w:sz w:val="24"/>
              </w:rPr>
              <w:t xml:space="preserve"> （10）给排水系统运行正常，无跑、冒、滴、漏现象。</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rPr>
              <w:t>（11）注意事项：</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遵循厉行节约原则，设施配件做到能修不换。本次采购项目中所涉的设施设备，日常运行维护保养涉及更换配件，如灯、门把手、门碰、锁具、合页、螺丝、钉子等配件，单件单次修理金额在200元以内（含）的由成交供应商承担，更换件单价在200元以上的由业主单位据实支付（提前申报，更换不得高于市场平均价格）。上述设施设备包含但不限于消防、安防监控、会议音控及LED和高清视频会议系统等。</w:t>
            </w:r>
          </w:p>
          <w:p>
            <w:pPr>
              <w:pStyle w:val="null3"/>
              <w:ind w:firstLine="602"/>
              <w:jc w:val="both"/>
            </w:pPr>
            <w:r>
              <w:rPr>
                <w:rFonts w:ascii="仿宋_GB2312" w:hAnsi="仿宋_GB2312" w:cs="仿宋_GB2312" w:eastAsia="仿宋_GB2312"/>
                <w:sz w:val="24"/>
                <w:b/>
              </w:rPr>
              <w:t>4.1</w:t>
            </w:r>
            <w:r>
              <w:rPr>
                <w:rFonts w:ascii="仿宋_GB2312" w:hAnsi="仿宋_GB2312" w:cs="仿宋_GB2312" w:eastAsia="仿宋_GB2312"/>
                <w:sz w:val="24"/>
                <w:b/>
              </w:rPr>
              <w:t>会务服务内容</w:t>
            </w:r>
          </w:p>
          <w:p>
            <w:pPr>
              <w:pStyle w:val="null3"/>
              <w:spacing w:after="120"/>
              <w:ind w:firstLine="240"/>
              <w:jc w:val="both"/>
            </w:pPr>
            <w:r>
              <w:rPr>
                <w:rFonts w:ascii="仿宋_GB2312" w:hAnsi="仿宋_GB2312" w:cs="仿宋_GB2312" w:eastAsia="仿宋_GB2312"/>
                <w:sz w:val="24"/>
              </w:rPr>
              <w:t>主要负责大楼各单位日常机关会议服务和大型会议服务。</w:t>
            </w:r>
          </w:p>
          <w:p>
            <w:pPr>
              <w:pStyle w:val="null3"/>
              <w:ind w:firstLine="602"/>
              <w:jc w:val="both"/>
            </w:pPr>
            <w:r>
              <w:rPr>
                <w:rFonts w:ascii="仿宋_GB2312" w:hAnsi="仿宋_GB2312" w:cs="仿宋_GB2312" w:eastAsia="仿宋_GB2312"/>
                <w:sz w:val="24"/>
                <w:b/>
              </w:rPr>
              <w:t>4.2</w:t>
            </w:r>
            <w:r>
              <w:rPr>
                <w:rFonts w:ascii="仿宋_GB2312" w:hAnsi="仿宋_GB2312" w:cs="仿宋_GB2312" w:eastAsia="仿宋_GB2312"/>
                <w:sz w:val="24"/>
                <w:b/>
              </w:rPr>
              <w:t>会务服务质量标准</w:t>
            </w:r>
          </w:p>
          <w:p>
            <w:pPr>
              <w:pStyle w:val="null3"/>
              <w:jc w:val="both"/>
            </w:pPr>
            <w:r>
              <w:rPr>
                <w:rFonts w:ascii="仿宋_GB2312" w:hAnsi="仿宋_GB2312" w:cs="仿宋_GB2312" w:eastAsia="仿宋_GB2312"/>
                <w:sz w:val="24"/>
              </w:rPr>
              <w:t xml:space="preserve"> （1）负责协助做好会场的布置。</w:t>
            </w:r>
          </w:p>
          <w:p>
            <w:pPr>
              <w:pStyle w:val="null3"/>
              <w:jc w:val="both"/>
            </w:pPr>
            <w:r>
              <w:rPr>
                <w:rFonts w:ascii="仿宋_GB2312" w:hAnsi="仿宋_GB2312" w:cs="仿宋_GB2312" w:eastAsia="仿宋_GB2312"/>
                <w:sz w:val="24"/>
              </w:rPr>
              <w:t xml:space="preserve"> （2）会务服务人员根据会议大小，及时配合做好会场服务工作。</w:t>
            </w:r>
          </w:p>
          <w:p>
            <w:pPr>
              <w:pStyle w:val="null3"/>
              <w:jc w:val="both"/>
            </w:pPr>
            <w:r>
              <w:rPr>
                <w:rFonts w:ascii="仿宋_GB2312" w:hAnsi="仿宋_GB2312" w:cs="仿宋_GB2312" w:eastAsia="仿宋_GB2312"/>
                <w:sz w:val="24"/>
              </w:rPr>
              <w:t xml:space="preserve">  (3)</w:t>
            </w:r>
            <w:r>
              <w:rPr>
                <w:rFonts w:ascii="仿宋_GB2312" w:hAnsi="仿宋_GB2312" w:cs="仿宋_GB2312" w:eastAsia="仿宋_GB2312"/>
                <w:sz w:val="24"/>
              </w:rPr>
              <w:t>及时做好会议室的会后整理清洁工作。</w:t>
            </w:r>
          </w:p>
          <w:p>
            <w:pPr>
              <w:pStyle w:val="null3"/>
              <w:ind w:firstLine="602"/>
              <w:jc w:val="both"/>
            </w:pPr>
            <w:r>
              <w:rPr>
                <w:rFonts w:ascii="仿宋_GB2312" w:hAnsi="仿宋_GB2312" w:cs="仿宋_GB2312" w:eastAsia="仿宋_GB2312"/>
                <w:sz w:val="24"/>
                <w:b/>
              </w:rPr>
              <w:t>5.1</w:t>
            </w:r>
            <w:r>
              <w:rPr>
                <w:rFonts w:ascii="仿宋_GB2312" w:hAnsi="仿宋_GB2312" w:cs="仿宋_GB2312" w:eastAsia="仿宋_GB2312"/>
                <w:sz w:val="24"/>
                <w:b/>
              </w:rPr>
              <w:t>导服服务内容</w:t>
            </w:r>
          </w:p>
          <w:p>
            <w:pPr>
              <w:pStyle w:val="null3"/>
              <w:jc w:val="both"/>
            </w:pPr>
            <w:r>
              <w:rPr>
                <w:rFonts w:ascii="仿宋_GB2312" w:hAnsi="仿宋_GB2312" w:cs="仿宋_GB2312" w:eastAsia="仿宋_GB2312"/>
                <w:sz w:val="24"/>
              </w:rPr>
              <w:t>主要负责根据办事群众需求，掌握大楼及楼层各部门分布，熟悉楼层各窗口主要业务，能及时准确指引办事群众到各楼层进行业务办理，陪同障碍人士办理所需业务。</w:t>
            </w:r>
          </w:p>
          <w:p>
            <w:pPr>
              <w:pStyle w:val="null3"/>
              <w:ind w:firstLine="602"/>
              <w:jc w:val="both"/>
            </w:pPr>
            <w:r>
              <w:rPr>
                <w:rFonts w:ascii="仿宋_GB2312" w:hAnsi="仿宋_GB2312" w:cs="仿宋_GB2312" w:eastAsia="仿宋_GB2312"/>
                <w:sz w:val="24"/>
                <w:b/>
              </w:rPr>
              <w:t>5.2</w:t>
            </w:r>
            <w:r>
              <w:rPr>
                <w:rFonts w:ascii="仿宋_GB2312" w:hAnsi="仿宋_GB2312" w:cs="仿宋_GB2312" w:eastAsia="仿宋_GB2312"/>
                <w:sz w:val="24"/>
                <w:b/>
              </w:rPr>
              <w:t>导服服务质量标准</w:t>
            </w:r>
          </w:p>
          <w:p>
            <w:pPr>
              <w:pStyle w:val="null3"/>
              <w:jc w:val="both"/>
            </w:pPr>
            <w:r>
              <w:rPr>
                <w:rFonts w:ascii="仿宋_GB2312" w:hAnsi="仿宋_GB2312" w:cs="仿宋_GB2312" w:eastAsia="仿宋_GB2312"/>
                <w:sz w:val="24"/>
              </w:rPr>
              <w:t xml:space="preserve"> （1）基本认知大楼办公人员。</w:t>
            </w:r>
          </w:p>
          <w:p>
            <w:pPr>
              <w:pStyle w:val="null3"/>
              <w:jc w:val="both"/>
            </w:pPr>
            <w:r>
              <w:rPr>
                <w:rFonts w:ascii="仿宋_GB2312" w:hAnsi="仿宋_GB2312" w:cs="仿宋_GB2312" w:eastAsia="仿宋_GB2312"/>
                <w:sz w:val="24"/>
              </w:rPr>
              <w:t xml:space="preserve"> （2）熟悉大楼各楼层各职能部门办公分布情况。</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pPr>
              <w:pStyle w:val="null3"/>
              <w:jc w:val="left"/>
            </w:pPr>
            <w:r>
              <w:rPr>
                <w:rFonts w:ascii="仿宋_GB2312" w:hAnsi="仿宋_GB2312" w:cs="仿宋_GB2312" w:eastAsia="仿宋_GB2312"/>
              </w:rPr>
              <w:t>人员配备</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1004"/>
              <w:gridCol w:w="1584"/>
              <w:gridCol w:w="3011"/>
            </w:tblGrid>
            <w:tr>
              <w:tc>
                <w:tcPr>
                  <w:tcW w:type="dxa" w:w="100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岗位</w:t>
                  </w:r>
                </w:p>
              </w:tc>
              <w:tc>
                <w:tcPr>
                  <w:tcW w:type="dxa" w:w="158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w:t>
                  </w:r>
                  <w:r>
                    <w:rPr>
                      <w:rFonts w:ascii="仿宋_GB2312" w:hAnsi="仿宋_GB2312" w:cs="仿宋_GB2312" w:eastAsia="仿宋_GB2312"/>
                      <w:sz w:val="24"/>
                      <w:color w:val="000000"/>
                    </w:rPr>
                    <w:t>岗位所需最低人数</w:t>
                  </w:r>
                </w:p>
              </w:tc>
              <w:tc>
                <w:tcPr>
                  <w:tcW w:type="dxa" w:w="301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备注</w:t>
                  </w:r>
                </w:p>
              </w:tc>
            </w:tr>
            <w:tr>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管理人员</w:t>
                  </w:r>
                </w:p>
              </w:tc>
              <w:tc>
                <w:tcPr>
                  <w:tcW w:type="dxa" w:w="15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人</w:t>
                  </w:r>
                </w:p>
              </w:tc>
              <w:tc>
                <w:tcPr>
                  <w:tcW w:type="dxa" w:w="3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管理人员18-50岁，大专以上学历，提供毕业证复印件扫描件（原件备查）；全面负责大楼物业管理服务工作的指挥和协调，使其物管各部门正常运转，同时协助楼长单位办公室做好大楼1-12层机关和相关窗口单位的后勤管理，确保各项工作有序进行。</w:t>
                  </w:r>
                </w:p>
              </w:tc>
            </w:tr>
            <w:tr>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项目经理</w:t>
                  </w:r>
                </w:p>
              </w:tc>
              <w:tc>
                <w:tcPr>
                  <w:tcW w:type="dxa" w:w="15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人</w:t>
                  </w:r>
                </w:p>
              </w:tc>
              <w:tc>
                <w:tcPr>
                  <w:tcW w:type="dxa" w:w="3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★1.项目经理18-50岁，熟悉日常办公软件，责任心强，耐心细致，服务意识强。</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有三年以上项目管理经验，有中级及以上职称。</w:t>
                  </w:r>
                </w:p>
              </w:tc>
            </w:tr>
            <w:tr>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保安员</w:t>
                  </w:r>
                </w:p>
              </w:tc>
              <w:tc>
                <w:tcPr>
                  <w:tcW w:type="dxa" w:w="15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w:t>
                  </w:r>
                  <w:r>
                    <w:rPr>
                      <w:rFonts w:ascii="仿宋_GB2312" w:hAnsi="仿宋_GB2312" w:cs="仿宋_GB2312" w:eastAsia="仿宋_GB2312"/>
                      <w:sz w:val="24"/>
                      <w:color w:val="000000"/>
                    </w:rPr>
                    <w:t>人</w:t>
                  </w:r>
                </w:p>
              </w:tc>
              <w:tc>
                <w:tcPr>
                  <w:tcW w:type="dxa" w:w="3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color w:val="000000"/>
                    </w:rPr>
                    <w:t>保安员</w:t>
                  </w:r>
                  <w:r>
                    <w:rPr>
                      <w:rFonts w:ascii="仿宋_GB2312" w:hAnsi="仿宋_GB2312" w:cs="仿宋_GB2312" w:eastAsia="仿宋_GB2312"/>
                      <w:sz w:val="24"/>
                      <w:color w:val="000000"/>
                    </w:rPr>
                    <w:t>年龄18-55岁（性别：男，责任</w:t>
                  </w:r>
                  <w:r>
                    <w:rPr>
                      <w:rFonts w:ascii="仿宋_GB2312" w:hAnsi="仿宋_GB2312" w:cs="仿宋_GB2312" w:eastAsia="仿宋_GB2312"/>
                      <w:sz w:val="24"/>
                    </w:rPr>
                    <w:t>心强，耐心细致，退伍军人优先）；</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须持有《保安员证》。</w:t>
                  </w:r>
                </w:p>
              </w:tc>
            </w:tr>
            <w:tr>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after="120"/>
                    <w:jc w:val="center"/>
                  </w:pPr>
                  <w:r>
                    <w:rPr>
                      <w:rFonts w:ascii="仿宋_GB2312" w:hAnsi="仿宋_GB2312" w:cs="仿宋_GB2312" w:eastAsia="仿宋_GB2312"/>
                      <w:sz w:val="24"/>
                      <w:color w:val="000000"/>
                    </w:rPr>
                    <w:t>环境维护员</w:t>
                  </w:r>
                </w:p>
              </w:tc>
              <w:tc>
                <w:tcPr>
                  <w:tcW w:type="dxa" w:w="15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18</w:t>
                  </w:r>
                  <w:r>
                    <w:rPr>
                      <w:rFonts w:ascii="仿宋_GB2312" w:hAnsi="仿宋_GB2312" w:cs="仿宋_GB2312" w:eastAsia="仿宋_GB2312"/>
                      <w:sz w:val="24"/>
                      <w:color w:val="000000"/>
                    </w:rPr>
                    <w:t>人</w:t>
                  </w:r>
                </w:p>
              </w:tc>
              <w:tc>
                <w:tcPr>
                  <w:tcW w:type="dxa" w:w="3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★环境维护员年龄18-50岁（性别：女，勤劳踏实，熟悉保洁工作）。</w:t>
                  </w:r>
                </w:p>
              </w:tc>
            </w:tr>
            <w:tr>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工程维修员</w:t>
                  </w:r>
                </w:p>
              </w:tc>
              <w:tc>
                <w:tcPr>
                  <w:tcW w:type="dxa" w:w="15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r>
                    <w:rPr>
                      <w:rFonts w:ascii="仿宋_GB2312" w:hAnsi="仿宋_GB2312" w:cs="仿宋_GB2312" w:eastAsia="仿宋_GB2312"/>
                      <w:sz w:val="24"/>
                      <w:color w:val="000000"/>
                    </w:rPr>
                    <w:t>人</w:t>
                  </w:r>
                </w:p>
              </w:tc>
              <w:tc>
                <w:tcPr>
                  <w:tcW w:type="dxa" w:w="3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★工程维修人员18-50岁；具备有效的低压电工作业证。</w:t>
                  </w:r>
                </w:p>
              </w:tc>
            </w:tr>
            <w:tr>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导服员</w:t>
                  </w:r>
                </w:p>
              </w:tc>
              <w:tc>
                <w:tcPr>
                  <w:tcW w:type="dxa" w:w="15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w:t>
                  </w:r>
                  <w:r>
                    <w:rPr>
                      <w:rFonts w:ascii="仿宋_GB2312" w:hAnsi="仿宋_GB2312" w:cs="仿宋_GB2312" w:eastAsia="仿宋_GB2312"/>
                      <w:sz w:val="24"/>
                      <w:color w:val="000000"/>
                    </w:rPr>
                    <w:t>人</w:t>
                  </w:r>
                </w:p>
              </w:tc>
              <w:tc>
                <w:tcPr>
                  <w:tcW w:type="dxa" w:w="3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★导服人员18-35岁（性别：女，形象端正，熟悉接待礼仪，责任心强，耐心细致，服务意识强）。</w:t>
                  </w:r>
                </w:p>
              </w:tc>
            </w:tr>
            <w:tr>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会务员</w:t>
                  </w:r>
                </w:p>
              </w:tc>
              <w:tc>
                <w:tcPr>
                  <w:tcW w:type="dxa" w:w="15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r>
                    <w:rPr>
                      <w:rFonts w:ascii="仿宋_GB2312" w:hAnsi="仿宋_GB2312" w:cs="仿宋_GB2312" w:eastAsia="仿宋_GB2312"/>
                      <w:sz w:val="24"/>
                      <w:color w:val="000000"/>
                    </w:rPr>
                    <w:t>人</w:t>
                  </w:r>
                </w:p>
              </w:tc>
              <w:tc>
                <w:tcPr>
                  <w:tcW w:type="dxa" w:w="3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★会务人员18-35岁（性别：女，形象端正，熟悉会务服务与接待礼仪）。</w:t>
                  </w:r>
                </w:p>
              </w:tc>
            </w:tr>
            <w:tr>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综合服务员</w:t>
                  </w:r>
                </w:p>
              </w:tc>
              <w:tc>
                <w:tcPr>
                  <w:tcW w:type="dxa" w:w="15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r>
                    <w:rPr>
                      <w:rFonts w:ascii="仿宋_GB2312" w:hAnsi="仿宋_GB2312" w:cs="仿宋_GB2312" w:eastAsia="仿宋_GB2312"/>
                      <w:sz w:val="24"/>
                      <w:color w:val="000000"/>
                    </w:rPr>
                    <w:t>人</w:t>
                  </w:r>
                </w:p>
              </w:tc>
              <w:tc>
                <w:tcPr>
                  <w:tcW w:type="dxa" w:w="3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color w:val="000000"/>
                    </w:rPr>
                    <w:t>综合服务人员18-35岁（全日制大专以上学历，熟练使用电脑和各类办公软件，并熟悉各类办公设备性能，全面配合办公室综合服务工作，主动勤学、耐心细致。）</w:t>
                  </w:r>
                </w:p>
              </w:tc>
            </w:tr>
            <w:tr>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合计</w:t>
                  </w:r>
                </w:p>
              </w:tc>
              <w:tc>
                <w:tcPr>
                  <w:tcW w:type="dxa" w:w="15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50</w:t>
                  </w:r>
                  <w:r>
                    <w:rPr>
                      <w:rFonts w:ascii="仿宋_GB2312" w:hAnsi="仿宋_GB2312" w:cs="仿宋_GB2312" w:eastAsia="仿宋_GB2312"/>
                      <w:sz w:val="24"/>
                      <w:color w:val="000000"/>
                    </w:rPr>
                    <w:t>人</w:t>
                  </w:r>
                </w:p>
              </w:tc>
              <w:tc>
                <w:tcPr>
                  <w:tcW w:type="dxa" w:w="3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拟派遣的所有服务人员不得为兼职人员、返聘人员。</w:t>
                  </w:r>
                </w:p>
                <w:p>
                  <w:pPr>
                    <w:pStyle w:val="null3"/>
                    <w:spacing w:after="120"/>
                    <w:ind w:firstLine="24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拟派遣的服务人员中有持有救护员证书的，遇有办事群众或市民受伤、突发疾病等意外情况时，能及时进行伤口包扎、心肺复苏等临时性救护工作。</w:t>
                  </w:r>
                </w:p>
                <w:p>
                  <w:pPr>
                    <w:pStyle w:val="null3"/>
                    <w:spacing w:after="120"/>
                    <w:ind w:firstLine="24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拟派遣的服务人员中有持有应急部门的安全生产培训证书的。</w:t>
                  </w:r>
                </w:p>
              </w:tc>
            </w:tr>
          </w:tbl>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pPr>
              <w:pStyle w:val="null3"/>
              <w:jc w:val="left"/>
            </w:pPr>
            <w:r>
              <w:rPr>
                <w:rFonts w:ascii="仿宋_GB2312" w:hAnsi="仿宋_GB2312" w:cs="仿宋_GB2312" w:eastAsia="仿宋_GB2312"/>
              </w:rPr>
              <w:t>其他要求</w:t>
            </w:r>
          </w:p>
        </w:tc>
        <w:tc>
          <w:tcPr>
            <w:tcW w:type="dxa" w:w="5814"/>
          </w:tcPr>
          <w:p>
            <w:pPr>
              <w:pStyle w:val="null3"/>
              <w:ind w:firstLine="241"/>
              <w:jc w:val="both"/>
            </w:pPr>
            <w:r>
              <w:rPr>
                <w:rFonts w:ascii="仿宋_GB2312" w:hAnsi="仿宋_GB2312" w:cs="仿宋_GB2312" w:eastAsia="仿宋_GB2312"/>
                <w:sz w:val="24"/>
                <w:b/>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成交供应商须对拟派遣的服务人员做岗前培训，确保所派遣的服务人员能够满足本项目的服务要求。</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采购人为物业公司提供工作场所。包括管理用房（办公室、值班室、工具房）、管理人员办公室的办公桌椅和文件档案柜。</w:t>
            </w:r>
          </w:p>
          <w:p>
            <w:pPr>
              <w:pStyle w:val="null3"/>
              <w:spacing w:after="120"/>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供应商有对本物业日常管理中突发重大应急的保障力量（即在30分钟内能够派遣其他在管项目人员到达本项目服务地点参与应急救援）</w:t>
            </w:r>
          </w:p>
          <w:p>
            <w:pPr>
              <w:pStyle w:val="null3"/>
              <w:ind w:firstLine="241"/>
              <w:jc w:val="both"/>
            </w:pPr>
            <w:r>
              <w:rPr>
                <w:rFonts w:ascii="仿宋_GB2312" w:hAnsi="仿宋_GB2312" w:cs="仿宋_GB2312" w:eastAsia="仿宋_GB2312"/>
                <w:sz w:val="24"/>
                <w:b/>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物业公司负责员工的工资、福利、保险、服装、学习教育、员工工作餐等，为员工提供办公所需的设施设备（电脑、打印机等），基层一线职工所需的办公桌椅，负责各部门所需的对讲机，秩序维护所需防暴设施设备、工程维修员维修工具费用，环境维护所需的工具和材料费用。</w:t>
            </w:r>
          </w:p>
          <w:p>
            <w:pPr>
              <w:pStyle w:val="null3"/>
              <w:ind w:firstLine="241"/>
              <w:jc w:val="both"/>
            </w:pPr>
            <w:r>
              <w:rPr>
                <w:rFonts w:ascii="仿宋_GB2312" w:hAnsi="仿宋_GB2312" w:cs="仿宋_GB2312" w:eastAsia="仿宋_GB2312"/>
                <w:sz w:val="24"/>
                <w:b/>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物业公司用工必须符合劳动用工相关法律法规及政策，</w:t>
            </w:r>
            <w:r>
              <w:rPr>
                <w:rFonts w:ascii="仿宋_GB2312" w:hAnsi="仿宋_GB2312" w:cs="仿宋_GB2312" w:eastAsia="仿宋_GB2312"/>
                <w:sz w:val="24"/>
                <w:b/>
                <w:color w:val="000000"/>
              </w:rPr>
              <w:t>必须与聘用人员签订劳动合同，</w:t>
            </w:r>
            <w:r>
              <w:rPr>
                <w:rFonts w:ascii="仿宋_GB2312" w:hAnsi="仿宋_GB2312" w:cs="仿宋_GB2312" w:eastAsia="仿宋_GB2312"/>
                <w:sz w:val="24"/>
                <w:color w:val="000000"/>
              </w:rPr>
              <w:t>所有服务人员的工资标准不得低于当前德阳市政府规定标准，同时需考虑三年服务期内调整因素。还需为所有服务人员购买社会保险。</w:t>
            </w:r>
            <w:r>
              <w:rPr>
                <w:rFonts w:ascii="仿宋_GB2312" w:hAnsi="仿宋_GB2312" w:cs="仿宋_GB2312" w:eastAsia="仿宋_GB2312"/>
                <w:sz w:val="24"/>
                <w:color w:val="000000"/>
              </w:rPr>
              <w:t>物业公司负责所属员工的学习、教育和管理工作，与采购人无隶属和聘用关系，承担安全生产主体责任及矛盾化解责任。</w:t>
            </w:r>
          </w:p>
        </w:tc>
      </w:tr>
      <w:tr>
        <w:tc>
          <w:tcPr>
            <w:tcW w:type="dxa" w:w="415"/>
          </w:tcPr>
          <w:p>
            <w:pPr>
              <w:pStyle w:val="null3"/>
              <w:jc w:val="center"/>
            </w:pPr>
            <w:r>
              <w:rPr>
                <w:rFonts w:ascii="仿宋_GB2312" w:hAnsi="仿宋_GB2312" w:cs="仿宋_GB2312" w:eastAsia="仿宋_GB2312"/>
              </w:rPr>
              <w:t>6</w:t>
            </w:r>
          </w:p>
        </w:tc>
        <w:tc>
          <w:tcPr>
            <w:tcW w:type="dxa" w:w="581"/>
          </w:tcPr>
          <w:p/>
        </w:tc>
        <w:tc>
          <w:tcPr>
            <w:tcW w:type="dxa" w:w="1495"/>
          </w:tcPr>
          <w:p>
            <w:pPr>
              <w:pStyle w:val="null3"/>
              <w:jc w:val="left"/>
            </w:pPr>
            <w:r>
              <w:rPr>
                <w:rFonts w:ascii="仿宋_GB2312" w:hAnsi="仿宋_GB2312" w:cs="仿宋_GB2312" w:eastAsia="仿宋_GB2312"/>
              </w:rPr>
              <w:t>投标要求</w:t>
            </w:r>
          </w:p>
        </w:tc>
        <w:tc>
          <w:tcPr>
            <w:tcW w:type="dxa" w:w="5814"/>
          </w:tcPr>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b/>
                <w:color w:val="000000"/>
              </w:rPr>
              <w:t>★</w:t>
            </w:r>
            <w:r>
              <w:rPr>
                <w:rFonts w:ascii="仿宋_GB2312" w:hAnsi="仿宋_GB2312" w:cs="仿宋_GB2312" w:eastAsia="仿宋_GB2312"/>
                <w:sz w:val="24"/>
              </w:rPr>
              <w:t>1.</w:t>
            </w:r>
            <w:r>
              <w:rPr>
                <w:rFonts w:ascii="仿宋_GB2312" w:hAnsi="仿宋_GB2312" w:cs="仿宋_GB2312" w:eastAsia="仿宋_GB2312"/>
                <w:sz w:val="24"/>
              </w:rPr>
              <w:t>投标供应商须注明在本项目各区域长期固定</w:t>
            </w:r>
            <w:r>
              <w:rPr>
                <w:rFonts w:ascii="仿宋_GB2312" w:hAnsi="仿宋_GB2312" w:cs="仿宋_GB2312" w:eastAsia="仿宋_GB2312"/>
                <w:sz w:val="24"/>
              </w:rPr>
              <w:t>保安员</w:t>
            </w:r>
            <w:r>
              <w:rPr>
                <w:rFonts w:ascii="仿宋_GB2312" w:hAnsi="仿宋_GB2312" w:cs="仿宋_GB2312" w:eastAsia="仿宋_GB2312"/>
                <w:sz w:val="24"/>
              </w:rPr>
              <w:t>人数、环境维护员人数、工程维护员人数、导服员人数、会务员人数，综合服务员人数、项目经理人数、管理人员人数。中标后，采购人对照响应文件进行人数复核，如不实，采购人有权单方面终止合同，由此产生的一切不良后果由成交供应商承担。</w:t>
            </w:r>
          </w:p>
          <w:p>
            <w:pPr>
              <w:pStyle w:val="null3"/>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2.</w:t>
            </w:r>
            <w:r>
              <w:rPr>
                <w:rFonts w:ascii="仿宋_GB2312" w:hAnsi="仿宋_GB2312" w:cs="仿宋_GB2312" w:eastAsia="仿宋_GB2312"/>
                <w:sz w:val="24"/>
                <w:color w:val="000000"/>
              </w:rPr>
              <w:t>供应商需提供本项目总体服务方案，包含：（1）项目整体定位及整体策划；(2)项目现状及对项目需求的理解；(3)项目服务标准及承诺；(4)项目管理机构运作方法；(5)项目服务保障具体措施；(6)项目监管及考核办法。</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供应商需提供本项目环境维护服务方案，包含：（1）岗位设置和工作职责；⑵环境维护和操作规程；⑶日常环境维护和计划环境维护方案（含工作安排及值班安排表）；⑷培训和考核办法。</w:t>
            </w:r>
          </w:p>
          <w:p>
            <w:pPr>
              <w:pStyle w:val="null3"/>
              <w:ind w:firstLine="48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供应商需提供本项目系统运行和工程维护服务方案，包含：（1）岗位设置和工作职责；⑵服务标准和服务规程；⑶房屋和公用设施管理服务方案；⑷强电、弱电、给排水、空调、电梯等设备运行维护方案；⑸节能降耗方案：⑹培训和考核办法；</w:t>
            </w:r>
          </w:p>
          <w:p>
            <w:pPr>
              <w:pStyle w:val="null3"/>
              <w:ind w:firstLine="480"/>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供应商需提供本项目会务服务方案，包含：（1）岗位设置和工作职责；⑵服务标准和服务规程；⑶会务服务方案；（4）培训和考核办法。</w:t>
            </w:r>
          </w:p>
          <w:p>
            <w:pPr>
              <w:pStyle w:val="null3"/>
              <w:ind w:firstLine="480"/>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供应商需提供本项目导服服务方案，包含：(1)岗位设置和工作职责；(2)服务标准和服务规程；(3)导服服务方案；(4)培训和考核办法。</w:t>
            </w:r>
          </w:p>
          <w:p>
            <w:pPr>
              <w:pStyle w:val="null3"/>
              <w:ind w:firstLine="480"/>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供应商需提供本项目综合服务方案，包含：(1)岗位设置和工作职责；(2)服务标准和服务规程；(3)综合服务方案；(4)培训和考核办法。</w:t>
            </w:r>
          </w:p>
          <w:p>
            <w:pPr>
              <w:pStyle w:val="null3"/>
              <w:ind w:firstLine="480"/>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供应商需提供本项目秩序维护和安全保卫服务方案，包含：（1）岗位设置和工作职责；⑵服务标准和服务规程：⑶公共秩序维护和安全保卫方案、消防安全管理方案（含工作安排及值班安排表）；⑷培训和考核办法。</w:t>
            </w:r>
          </w:p>
          <w:p>
            <w:pPr>
              <w:pStyle w:val="null3"/>
              <w:ind w:firstLine="480"/>
              <w:jc w:val="both"/>
            </w:pPr>
            <w:r>
              <w:rPr>
                <w:rFonts w:ascii="仿宋_GB2312" w:hAnsi="仿宋_GB2312" w:cs="仿宋_GB2312" w:eastAsia="仿宋_GB2312"/>
                <w:sz w:val="24"/>
                <w:color w:val="000000"/>
              </w:rPr>
              <w:t>9.</w:t>
            </w:r>
            <w:r>
              <w:rPr>
                <w:rFonts w:ascii="仿宋_GB2312" w:hAnsi="仿宋_GB2312" w:cs="仿宋_GB2312" w:eastAsia="仿宋_GB2312"/>
                <w:sz w:val="24"/>
                <w:color w:val="000000"/>
              </w:rPr>
              <w:t>供应商需提供本项目应急预案，包含：(1)重大突发事件应急预案；(2)突发治安事件应急预案；(3)突发意外伤亡事件应急预案；(4)突发火灾应急预案；(5)突发群体性事件应急预案。 注：在方案中应有疏散的图表说明</w:t>
            </w:r>
          </w:p>
          <w:p>
            <w:pPr>
              <w:pStyle w:val="null3"/>
              <w:ind w:firstLine="480"/>
              <w:jc w:val="both"/>
            </w:pPr>
            <w:r>
              <w:rPr>
                <w:rFonts w:ascii="仿宋_GB2312" w:hAnsi="仿宋_GB2312" w:cs="仿宋_GB2312" w:eastAsia="仿宋_GB2312"/>
                <w:sz w:val="24"/>
                <w:color w:val="000000"/>
              </w:rPr>
              <w:t>10.</w:t>
            </w:r>
            <w:r>
              <w:rPr>
                <w:rFonts w:ascii="仿宋_GB2312" w:hAnsi="仿宋_GB2312" w:cs="仿宋_GB2312" w:eastAsia="仿宋_GB2312"/>
                <w:sz w:val="24"/>
                <w:color w:val="000000"/>
              </w:rPr>
              <w:t>其他未尽事宜，在运行过程中协商一致解决。</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考核</w:t>
            </w:r>
          </w:p>
        </w:tc>
        <w:tc>
          <w:tcPr>
            <w:tcW w:type="dxa" w:w="5814"/>
          </w:tcPr>
          <w:p>
            <w:pPr>
              <w:pStyle w:val="null3"/>
              <w:jc w:val="center"/>
            </w:pPr>
            <w:r>
              <w:rPr>
                <w:rFonts w:ascii="仿宋_GB2312" w:hAnsi="仿宋_GB2312" w:cs="仿宋_GB2312" w:eastAsia="仿宋_GB2312"/>
                <w:sz w:val="30"/>
                <w:b/>
              </w:rPr>
              <w:t>物业管理专项服务工作情况月度考核表</w:t>
            </w:r>
          </w:p>
          <w:tbl>
            <w:tblPr>
              <w:tblBorders>
                <w:top w:val="single"/>
                <w:left w:val="single"/>
                <w:bottom w:val="single"/>
                <w:right w:val="single"/>
                <w:insideH w:val="single"/>
                <w:insideV w:val="single"/>
              </w:tblBorders>
            </w:tblPr>
            <w:tblGrid>
              <w:gridCol w:w="522"/>
              <w:gridCol w:w="1697"/>
              <w:gridCol w:w="426"/>
              <w:gridCol w:w="1314"/>
              <w:gridCol w:w="513"/>
              <w:gridCol w:w="565"/>
              <w:gridCol w:w="548"/>
            </w:tblGrid>
            <w:tr>
              <w:tc>
                <w:tcPr>
                  <w:tcW w:type="dxa" w:w="522"/>
                  <w:tcMar>
                    <w:top w:type="dxa" w:w="0"/>
                    <w:left w:type="dxa" w:w="0"/>
                    <w:bottom w:type="dxa" w:w="0"/>
                    <w:right w:type="dxa" w:w="0"/>
                  </w:tcMar>
                </w:tcPr>
                <w:p>
                  <w:pPr>
                    <w:pStyle w:val="null3"/>
                    <w:spacing w:after="75"/>
                    <w:jc w:val="center"/>
                  </w:pPr>
                  <w:r>
                    <w:rPr>
                      <w:rFonts w:ascii="仿宋_GB2312" w:hAnsi="仿宋_GB2312" w:cs="仿宋_GB2312" w:eastAsia="仿宋_GB2312"/>
                      <w:sz w:val="21"/>
                      <w:b/>
                    </w:rPr>
                    <w:t>序号</w:t>
                  </w:r>
                </w:p>
              </w:tc>
              <w:tc>
                <w:tcPr>
                  <w:tcW w:type="dxa" w:w="1697"/>
                  <w:tcMar>
                    <w:top w:type="dxa" w:w="0"/>
                    <w:left w:type="dxa" w:w="0"/>
                    <w:bottom w:type="dxa" w:w="0"/>
                    <w:right w:type="dxa" w:w="0"/>
                  </w:tcMar>
                </w:tcPr>
                <w:p>
                  <w:pPr>
                    <w:pStyle w:val="null3"/>
                    <w:spacing w:after="75"/>
                    <w:jc w:val="center"/>
                  </w:pPr>
                  <w:r>
                    <w:rPr>
                      <w:rFonts w:ascii="仿宋_GB2312" w:hAnsi="仿宋_GB2312" w:cs="仿宋_GB2312" w:eastAsia="仿宋_GB2312"/>
                      <w:sz w:val="21"/>
                      <w:b/>
                    </w:rPr>
                    <w:t>标准内容</w:t>
                  </w:r>
                </w:p>
              </w:tc>
              <w:tc>
                <w:tcPr>
                  <w:tcW w:type="dxa" w:w="426"/>
                  <w:tcMar>
                    <w:top w:type="dxa" w:w="0"/>
                    <w:left w:type="dxa" w:w="0"/>
                    <w:bottom w:type="dxa" w:w="0"/>
                    <w:right w:type="dxa" w:w="0"/>
                  </w:tcMar>
                </w:tcPr>
                <w:p>
                  <w:pPr>
                    <w:pStyle w:val="null3"/>
                    <w:spacing w:after="75"/>
                    <w:jc w:val="center"/>
                  </w:pPr>
                  <w:r>
                    <w:rPr>
                      <w:rFonts w:ascii="仿宋_GB2312" w:hAnsi="仿宋_GB2312" w:cs="仿宋_GB2312" w:eastAsia="仿宋_GB2312"/>
                      <w:sz w:val="21"/>
                      <w:b/>
                    </w:rPr>
                    <w:t>规定分值</w:t>
                  </w:r>
                </w:p>
              </w:tc>
              <w:tc>
                <w:tcPr>
                  <w:tcW w:type="dxa" w:w="1314"/>
                  <w:tcMar>
                    <w:top w:type="dxa" w:w="0"/>
                    <w:left w:type="dxa" w:w="0"/>
                    <w:bottom w:type="dxa" w:w="0"/>
                    <w:right w:type="dxa" w:w="0"/>
                  </w:tcMar>
                </w:tcPr>
                <w:p>
                  <w:pPr>
                    <w:pStyle w:val="null3"/>
                    <w:spacing w:after="75"/>
                    <w:jc w:val="center"/>
                  </w:pPr>
                  <w:r>
                    <w:rPr>
                      <w:rFonts w:ascii="仿宋_GB2312" w:hAnsi="仿宋_GB2312" w:cs="仿宋_GB2312" w:eastAsia="仿宋_GB2312"/>
                      <w:sz w:val="21"/>
                      <w:b/>
                    </w:rPr>
                    <w:t>评分细则</w:t>
                  </w:r>
                </w:p>
              </w:tc>
              <w:tc>
                <w:tcPr>
                  <w:tcW w:type="dxa" w:w="513"/>
                  <w:tcMar>
                    <w:top w:type="dxa" w:w="0"/>
                    <w:left w:type="dxa" w:w="0"/>
                    <w:bottom w:type="dxa" w:w="0"/>
                    <w:right w:type="dxa" w:w="0"/>
                  </w:tcMar>
                </w:tcPr>
                <w:p>
                  <w:pPr>
                    <w:pStyle w:val="null3"/>
                    <w:jc w:val="center"/>
                  </w:pPr>
                  <w:r>
                    <w:rPr>
                      <w:rFonts w:ascii="仿宋_GB2312" w:hAnsi="仿宋_GB2312" w:cs="仿宋_GB2312" w:eastAsia="仿宋_GB2312"/>
                      <w:sz w:val="21"/>
                      <w:b/>
                    </w:rPr>
                    <w:t>考评分</w:t>
                  </w:r>
                </w:p>
              </w:tc>
              <w:tc>
                <w:tcPr>
                  <w:tcW w:type="dxa" w:w="565"/>
                  <w:tcMar>
                    <w:top w:type="dxa" w:w="0"/>
                    <w:left w:type="dxa" w:w="0"/>
                    <w:bottom w:type="dxa" w:w="0"/>
                    <w:right w:type="dxa" w:w="0"/>
                  </w:tcMar>
                </w:tcPr>
                <w:p>
                  <w:pPr>
                    <w:pStyle w:val="null3"/>
                    <w:jc w:val="center"/>
                  </w:pPr>
                  <w:r>
                    <w:rPr>
                      <w:rFonts w:ascii="仿宋_GB2312" w:hAnsi="仿宋_GB2312" w:cs="仿宋_GB2312" w:eastAsia="仿宋_GB2312"/>
                      <w:sz w:val="21"/>
                      <w:b/>
                    </w:rPr>
                    <w:t>扣分原因</w:t>
                  </w:r>
                </w:p>
              </w:tc>
              <w:tc>
                <w:tcPr>
                  <w:tcW w:type="dxa" w:w="548"/>
                  <w:tcMar>
                    <w:top w:type="dxa" w:w="0"/>
                    <w:left w:type="dxa" w:w="0"/>
                    <w:bottom w:type="dxa" w:w="0"/>
                    <w:right w:type="dxa" w:w="0"/>
                  </w:tcMar>
                </w:tcPr>
                <w:p>
                  <w:pPr>
                    <w:pStyle w:val="null3"/>
                    <w:spacing w:after="75"/>
                    <w:jc w:val="center"/>
                  </w:pPr>
                  <w:r>
                    <w:rPr>
                      <w:rFonts w:ascii="仿宋_GB2312" w:hAnsi="仿宋_GB2312" w:cs="仿宋_GB2312" w:eastAsia="仿宋_GB2312"/>
                      <w:sz w:val="21"/>
                      <w:b/>
                    </w:rPr>
                    <w:t>备注</w:t>
                  </w:r>
                </w:p>
              </w:tc>
            </w:tr>
            <w:tr>
              <w:tc>
                <w:tcPr>
                  <w:tcW w:type="dxa" w:w="522"/>
                  <w:vMerge w:val="restart"/>
                  <w:tcMar>
                    <w:top w:type="dxa" w:w="0"/>
                    <w:left w:type="dxa" w:w="0"/>
                    <w:bottom w:type="dxa" w:w="0"/>
                    <w:right w:type="dxa" w:w="0"/>
                  </w:tcMar>
                </w:tcPr>
                <w:p>
                  <w:pPr>
                    <w:pStyle w:val="null3"/>
                    <w:spacing w:after="75"/>
                    <w:jc w:val="center"/>
                  </w:pPr>
                  <w:r>
                    <w:rPr>
                      <w:rFonts w:ascii="仿宋_GB2312" w:hAnsi="仿宋_GB2312" w:cs="仿宋_GB2312" w:eastAsia="仿宋_GB2312"/>
                      <w:sz w:val="18"/>
                      <w:b/>
                    </w:rPr>
                    <w:t>一</w:t>
                  </w:r>
                </w:p>
              </w:tc>
              <w:tc>
                <w:tcPr>
                  <w:tcW w:type="dxa" w:w="1697"/>
                  <w:tcMar>
                    <w:top w:type="dxa" w:w="0"/>
                    <w:left w:type="dxa" w:w="0"/>
                    <w:bottom w:type="dxa" w:w="0"/>
                    <w:right w:type="dxa" w:w="0"/>
                  </w:tcMar>
                  <w:vAlign w:val="top"/>
                </w:tcPr>
                <w:p>
                  <w:pPr>
                    <w:pStyle w:val="null3"/>
                    <w:spacing w:after="75"/>
                    <w:jc w:val="left"/>
                  </w:pPr>
                  <w:r>
                    <w:rPr>
                      <w:rFonts w:ascii="仿宋_GB2312" w:hAnsi="仿宋_GB2312" w:cs="仿宋_GB2312" w:eastAsia="仿宋_GB2312"/>
                      <w:sz w:val="18"/>
                      <w:b/>
                    </w:rPr>
                    <w:t>综合服务</w:t>
                  </w:r>
                </w:p>
              </w:tc>
              <w:tc>
                <w:tcPr>
                  <w:tcW w:type="dxa" w:w="426"/>
                  <w:tcMar>
                    <w:top w:type="dxa" w:w="0"/>
                    <w:left w:type="dxa" w:w="0"/>
                    <w:bottom w:type="dxa" w:w="0"/>
                    <w:right w:type="dxa" w:w="0"/>
                  </w:tcMar>
                </w:tcPr>
                <w:p>
                  <w:pPr>
                    <w:pStyle w:val="null3"/>
                    <w:spacing w:after="75"/>
                    <w:jc w:val="center"/>
                  </w:pPr>
                  <w:r>
                    <w:rPr>
                      <w:rFonts w:ascii="仿宋_GB2312" w:hAnsi="仿宋_GB2312" w:cs="仿宋_GB2312" w:eastAsia="仿宋_GB2312"/>
                      <w:sz w:val="18"/>
                      <w:b/>
                    </w:rPr>
                    <w:t>26</w:t>
                  </w:r>
                </w:p>
              </w:tc>
              <w:tc>
                <w:tcPr>
                  <w:tcW w:type="dxa" w:w="1314"/>
                  <w:tcMar>
                    <w:top w:type="dxa" w:w="0"/>
                    <w:left w:type="dxa" w:w="0"/>
                    <w:bottom w:type="dxa" w:w="0"/>
                    <w:right w:type="dxa" w:w="0"/>
                  </w:tcMar>
                  <w:vAlign w:val="top"/>
                </w:tcPr>
                <w:p>
                  <w:pPr>
                    <w:pStyle w:val="null3"/>
                    <w:spacing w:after="75"/>
                    <w:jc w:val="left"/>
                  </w:pPr>
                  <w:r>
                    <w:rPr>
                      <w:rFonts w:ascii="仿宋_GB2312" w:hAnsi="仿宋_GB2312" w:cs="仿宋_GB2312" w:eastAsia="仿宋_GB2312"/>
                      <w:sz w:val="21"/>
                    </w:rPr>
                    <w:t>　</w:t>
                  </w:r>
                </w:p>
              </w:tc>
              <w:tc>
                <w:tcPr>
                  <w:tcW w:type="dxa" w:w="513"/>
                  <w:tcMar>
                    <w:top w:type="dxa" w:w="0"/>
                    <w:left w:type="dxa" w:w="0"/>
                    <w:bottom w:type="dxa" w:w="0"/>
                    <w:right w:type="dxa" w:w="0"/>
                  </w:tcMar>
                  <w:vAlign w:val="top"/>
                </w:tcPr>
                <w:p>
                  <w:pPr>
                    <w:pStyle w:val="null3"/>
                    <w:spacing w:after="75"/>
                    <w:jc w:val="left"/>
                  </w:pPr>
                </w:p>
              </w:tc>
              <w:tc>
                <w:tcPr>
                  <w:tcW w:type="dxa" w:w="565"/>
                  <w:tcMar>
                    <w:top w:type="dxa" w:w="0"/>
                    <w:left w:type="dxa" w:w="0"/>
                    <w:bottom w:type="dxa" w:w="0"/>
                    <w:right w:type="dxa" w:w="0"/>
                  </w:tcMar>
                  <w:vAlign w:val="top"/>
                </w:tcPr>
                <w:p/>
              </w:tc>
              <w:tc>
                <w:tcPr>
                  <w:tcW w:type="dxa" w:w="548"/>
                  <w:tcMar>
                    <w:top w:type="dxa" w:w="0"/>
                    <w:left w:type="dxa" w:w="0"/>
                    <w:bottom w:type="dxa" w:w="0"/>
                    <w:right w:type="dxa" w:w="0"/>
                  </w:tcMar>
                  <w:vAlign w:val="top"/>
                </w:tcPr>
                <w:p/>
              </w:tc>
            </w:tr>
            <w:tr>
              <w:tc>
                <w:tcPr>
                  <w:tcW w:type="dxa" w:w="522"/>
                  <w:vMerge/>
                </w:tcPr>
                <w:p/>
              </w:tc>
              <w:tc>
                <w:tcPr>
                  <w:tcW w:type="dxa" w:w="1697"/>
                  <w:tcMar>
                    <w:top w:type="dxa" w:w="0"/>
                    <w:left w:type="dxa" w:w="0"/>
                    <w:bottom w:type="dxa" w:w="0"/>
                    <w:right w:type="dxa" w:w="0"/>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、物业服务企业持有效证照，签订规范的物业服务合同，双方权利义务关系明确</w:t>
                  </w:r>
                </w:p>
              </w:tc>
              <w:tc>
                <w:tcPr>
                  <w:tcW w:type="dxa" w:w="426"/>
                  <w:tcMar>
                    <w:top w:type="dxa" w:w="0"/>
                    <w:left w:type="dxa" w:w="0"/>
                    <w:bottom w:type="dxa" w:w="0"/>
                    <w:right w:type="dxa" w:w="0"/>
                  </w:tcMar>
                </w:tcPr>
                <w:p>
                  <w:pPr>
                    <w:pStyle w:val="null3"/>
                    <w:spacing w:after="75"/>
                    <w:jc w:val="center"/>
                  </w:pPr>
                  <w:r>
                    <w:rPr>
                      <w:rFonts w:ascii="仿宋_GB2312" w:hAnsi="仿宋_GB2312" w:cs="仿宋_GB2312" w:eastAsia="仿宋_GB2312"/>
                      <w:sz w:val="20"/>
                    </w:rPr>
                    <w:t>4</w:t>
                  </w:r>
                </w:p>
              </w:tc>
              <w:tc>
                <w:tcPr>
                  <w:tcW w:type="dxa" w:w="1314"/>
                  <w:tcMar>
                    <w:top w:type="dxa" w:w="0"/>
                    <w:left w:type="dxa" w:w="0"/>
                    <w:bottom w:type="dxa" w:w="0"/>
                    <w:right w:type="dxa" w:w="0"/>
                  </w:tcMar>
                  <w:vAlign w:val="top"/>
                </w:tcPr>
                <w:p>
                  <w:pPr>
                    <w:pStyle w:val="null3"/>
                    <w:spacing w:after="75"/>
                    <w:jc w:val="left"/>
                  </w:pPr>
                  <w:r>
                    <w:rPr>
                      <w:rFonts w:ascii="仿宋_GB2312" w:hAnsi="仿宋_GB2312" w:cs="仿宋_GB2312" w:eastAsia="仿宋_GB2312"/>
                      <w:sz w:val="20"/>
                    </w:rPr>
                    <w:t>每发现一处不符合扣</w:t>
                  </w:r>
                  <w:r>
                    <w:rPr>
                      <w:rFonts w:ascii="仿宋_GB2312" w:hAnsi="仿宋_GB2312" w:cs="仿宋_GB2312" w:eastAsia="仿宋_GB2312"/>
                      <w:sz w:val="20"/>
                    </w:rPr>
                    <w:t>0.5</w:t>
                  </w:r>
                  <w:r>
                    <w:rPr>
                      <w:rFonts w:ascii="仿宋_GB2312" w:hAnsi="仿宋_GB2312" w:cs="仿宋_GB2312" w:eastAsia="仿宋_GB2312"/>
                      <w:sz w:val="20"/>
                    </w:rPr>
                    <w:t>分</w:t>
                  </w:r>
                </w:p>
              </w:tc>
              <w:tc>
                <w:tcPr>
                  <w:tcW w:type="dxa" w:w="513"/>
                  <w:tcMar>
                    <w:top w:type="dxa" w:w="0"/>
                    <w:left w:type="dxa" w:w="0"/>
                    <w:bottom w:type="dxa" w:w="0"/>
                    <w:right w:type="dxa" w:w="0"/>
                  </w:tcMar>
                  <w:vAlign w:val="top"/>
                </w:tcPr>
                <w:p>
                  <w:pPr>
                    <w:pStyle w:val="null3"/>
                    <w:spacing w:after="75"/>
                    <w:jc w:val="left"/>
                  </w:pPr>
                </w:p>
              </w:tc>
              <w:tc>
                <w:tcPr>
                  <w:tcW w:type="dxa" w:w="565"/>
                  <w:tcMar>
                    <w:top w:type="dxa" w:w="0"/>
                    <w:left w:type="dxa" w:w="0"/>
                    <w:bottom w:type="dxa" w:w="0"/>
                    <w:right w:type="dxa" w:w="0"/>
                  </w:tcMar>
                  <w:vAlign w:val="top"/>
                </w:tcPr>
                <w:p/>
              </w:tc>
              <w:tc>
                <w:tcPr>
                  <w:tcW w:type="dxa" w:w="548"/>
                  <w:tcMar>
                    <w:top w:type="dxa" w:w="0"/>
                    <w:left w:type="dxa" w:w="0"/>
                    <w:bottom w:type="dxa" w:w="0"/>
                    <w:right w:type="dxa" w:w="0"/>
                  </w:tcMar>
                  <w:vAlign w:val="top"/>
                </w:tcPr>
                <w:p/>
              </w:tc>
            </w:tr>
            <w:tr>
              <w:tc>
                <w:tcPr>
                  <w:tcW w:type="dxa" w:w="522"/>
                  <w:vMerge/>
                </w:tcPr>
                <w:p/>
              </w:tc>
              <w:tc>
                <w:tcPr>
                  <w:tcW w:type="dxa" w:w="1697"/>
                  <w:tcMar>
                    <w:top w:type="dxa" w:w="0"/>
                    <w:left w:type="dxa" w:w="0"/>
                    <w:bottom w:type="dxa" w:w="0"/>
                    <w:right w:type="dxa" w:w="0"/>
                  </w:tcMar>
                  <w:vAlign w:val="top"/>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、设有物业服务部，办公设施设备较先进完备，应用计算机等现代化手段进行科学管理，办公场所整洁有序</w:t>
                  </w:r>
                </w:p>
              </w:tc>
              <w:tc>
                <w:tcPr>
                  <w:tcW w:type="dxa" w:w="426"/>
                  <w:tcMar>
                    <w:top w:type="dxa" w:w="0"/>
                    <w:left w:type="dxa" w:w="0"/>
                    <w:bottom w:type="dxa" w:w="0"/>
                    <w:right w:type="dxa" w:w="0"/>
                  </w:tcMar>
                </w:tcPr>
                <w:p>
                  <w:pPr>
                    <w:pStyle w:val="null3"/>
                    <w:spacing w:after="75"/>
                    <w:jc w:val="center"/>
                  </w:pPr>
                  <w:r>
                    <w:rPr>
                      <w:rFonts w:ascii="仿宋_GB2312" w:hAnsi="仿宋_GB2312" w:cs="仿宋_GB2312" w:eastAsia="仿宋_GB2312"/>
                      <w:sz w:val="20"/>
                    </w:rPr>
                    <w:t>3</w:t>
                  </w:r>
                </w:p>
              </w:tc>
              <w:tc>
                <w:tcPr>
                  <w:tcW w:type="dxa" w:w="1314"/>
                  <w:tcMar>
                    <w:top w:type="dxa" w:w="0"/>
                    <w:left w:type="dxa" w:w="0"/>
                    <w:bottom w:type="dxa" w:w="0"/>
                    <w:right w:type="dxa" w:w="0"/>
                  </w:tcMar>
                  <w:vAlign w:val="top"/>
                </w:tcPr>
                <w:p>
                  <w:pPr>
                    <w:pStyle w:val="null3"/>
                    <w:spacing w:after="75"/>
                    <w:jc w:val="left"/>
                  </w:pPr>
                  <w:r>
                    <w:rPr>
                      <w:rFonts w:ascii="仿宋_GB2312" w:hAnsi="仿宋_GB2312" w:cs="仿宋_GB2312" w:eastAsia="仿宋_GB2312"/>
                      <w:sz w:val="20"/>
                    </w:rPr>
                    <w:t>每发现一处不符合扣</w:t>
                  </w:r>
                  <w:r>
                    <w:rPr>
                      <w:rFonts w:ascii="仿宋_GB2312" w:hAnsi="仿宋_GB2312" w:cs="仿宋_GB2312" w:eastAsia="仿宋_GB2312"/>
                      <w:sz w:val="20"/>
                    </w:rPr>
                    <w:t>0.2</w:t>
                  </w:r>
                  <w:r>
                    <w:rPr>
                      <w:rFonts w:ascii="仿宋_GB2312" w:hAnsi="仿宋_GB2312" w:cs="仿宋_GB2312" w:eastAsia="仿宋_GB2312"/>
                      <w:sz w:val="20"/>
                    </w:rPr>
                    <w:t>分</w:t>
                  </w:r>
                </w:p>
              </w:tc>
              <w:tc>
                <w:tcPr>
                  <w:tcW w:type="dxa" w:w="513"/>
                  <w:tcMar>
                    <w:top w:type="dxa" w:w="0"/>
                    <w:left w:type="dxa" w:w="0"/>
                    <w:bottom w:type="dxa" w:w="0"/>
                    <w:right w:type="dxa" w:w="0"/>
                  </w:tcMar>
                  <w:vAlign w:val="top"/>
                </w:tcPr>
                <w:p>
                  <w:pPr>
                    <w:pStyle w:val="null3"/>
                    <w:spacing w:after="75"/>
                    <w:jc w:val="left"/>
                  </w:pPr>
                </w:p>
              </w:tc>
              <w:tc>
                <w:tcPr>
                  <w:tcW w:type="dxa" w:w="565"/>
                  <w:tcMar>
                    <w:top w:type="dxa" w:w="0"/>
                    <w:left w:type="dxa" w:w="0"/>
                    <w:bottom w:type="dxa" w:w="0"/>
                    <w:right w:type="dxa" w:w="0"/>
                  </w:tcMar>
                  <w:vAlign w:val="top"/>
                </w:tcPr>
                <w:p/>
              </w:tc>
              <w:tc>
                <w:tcPr>
                  <w:tcW w:type="dxa" w:w="548"/>
                  <w:tcMar>
                    <w:top w:type="dxa" w:w="0"/>
                    <w:left w:type="dxa" w:w="0"/>
                    <w:bottom w:type="dxa" w:w="0"/>
                    <w:right w:type="dxa" w:w="0"/>
                  </w:tcMar>
                  <w:vAlign w:val="top"/>
                </w:tcPr>
                <w:p/>
              </w:tc>
            </w:tr>
            <w:tr>
              <w:tc>
                <w:tcPr>
                  <w:tcW w:type="dxa" w:w="522"/>
                  <w:vMerge/>
                </w:tcPr>
                <w:p/>
              </w:tc>
              <w:tc>
                <w:tcPr>
                  <w:tcW w:type="dxa" w:w="1697"/>
                  <w:tcMar>
                    <w:top w:type="dxa" w:w="0"/>
                    <w:left w:type="dxa" w:w="0"/>
                    <w:bottom w:type="dxa" w:w="0"/>
                    <w:right w:type="dxa" w:w="0"/>
                  </w:tcMar>
                  <w:vAlign w:val="top"/>
                </w:tcPr>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、物业管理服务人员配备合理，有管理人员、水、电等专业人员，统一着装，佩戴明显标志，工作规范，作风严谨，服务主动热情，提倡微笑服务</w:t>
                  </w:r>
                </w:p>
              </w:tc>
              <w:tc>
                <w:tcPr>
                  <w:tcW w:type="dxa" w:w="426"/>
                  <w:tcMar>
                    <w:top w:type="dxa" w:w="0"/>
                    <w:left w:type="dxa" w:w="0"/>
                    <w:bottom w:type="dxa" w:w="0"/>
                    <w:right w:type="dxa" w:w="0"/>
                  </w:tcMar>
                </w:tcPr>
                <w:p>
                  <w:pPr>
                    <w:pStyle w:val="null3"/>
                    <w:spacing w:after="75"/>
                    <w:jc w:val="center"/>
                  </w:pPr>
                  <w:r>
                    <w:rPr>
                      <w:rFonts w:ascii="仿宋_GB2312" w:hAnsi="仿宋_GB2312" w:cs="仿宋_GB2312" w:eastAsia="仿宋_GB2312"/>
                      <w:sz w:val="20"/>
                    </w:rPr>
                    <w:t>4</w:t>
                  </w:r>
                </w:p>
              </w:tc>
              <w:tc>
                <w:tcPr>
                  <w:tcW w:type="dxa" w:w="1314"/>
                  <w:tcMar>
                    <w:top w:type="dxa" w:w="0"/>
                    <w:left w:type="dxa" w:w="0"/>
                    <w:bottom w:type="dxa" w:w="0"/>
                    <w:right w:type="dxa" w:w="0"/>
                  </w:tcMar>
                  <w:vAlign w:val="top"/>
                </w:tcPr>
                <w:p>
                  <w:pPr>
                    <w:pStyle w:val="null3"/>
                    <w:spacing w:after="75"/>
                    <w:jc w:val="left"/>
                  </w:pPr>
                  <w:r>
                    <w:rPr>
                      <w:rFonts w:ascii="仿宋_GB2312" w:hAnsi="仿宋_GB2312" w:cs="仿宋_GB2312" w:eastAsia="仿宋_GB2312"/>
                      <w:sz w:val="20"/>
                    </w:rPr>
                    <w:t>每发现一处不符合扣</w:t>
                  </w:r>
                  <w:r>
                    <w:rPr>
                      <w:rFonts w:ascii="仿宋_GB2312" w:hAnsi="仿宋_GB2312" w:cs="仿宋_GB2312" w:eastAsia="仿宋_GB2312"/>
                      <w:sz w:val="20"/>
                    </w:rPr>
                    <w:t>0.2</w:t>
                  </w:r>
                  <w:r>
                    <w:rPr>
                      <w:rFonts w:ascii="仿宋_GB2312" w:hAnsi="仿宋_GB2312" w:cs="仿宋_GB2312" w:eastAsia="仿宋_GB2312"/>
                      <w:sz w:val="20"/>
                    </w:rPr>
                    <w:t>分</w:t>
                  </w:r>
                </w:p>
              </w:tc>
              <w:tc>
                <w:tcPr>
                  <w:tcW w:type="dxa" w:w="513"/>
                  <w:tcMar>
                    <w:top w:type="dxa" w:w="0"/>
                    <w:left w:type="dxa" w:w="0"/>
                    <w:bottom w:type="dxa" w:w="0"/>
                    <w:right w:type="dxa" w:w="0"/>
                  </w:tcMar>
                  <w:vAlign w:val="top"/>
                </w:tcPr>
                <w:p>
                  <w:pPr>
                    <w:pStyle w:val="null3"/>
                    <w:spacing w:after="75"/>
                    <w:jc w:val="left"/>
                  </w:pPr>
                </w:p>
              </w:tc>
              <w:tc>
                <w:tcPr>
                  <w:tcW w:type="dxa" w:w="565"/>
                  <w:tcMar>
                    <w:top w:type="dxa" w:w="0"/>
                    <w:left w:type="dxa" w:w="0"/>
                    <w:bottom w:type="dxa" w:w="0"/>
                    <w:right w:type="dxa" w:w="0"/>
                  </w:tcMar>
                  <w:vAlign w:val="top"/>
                </w:tcPr>
                <w:p/>
              </w:tc>
              <w:tc>
                <w:tcPr>
                  <w:tcW w:type="dxa" w:w="548"/>
                  <w:tcMar>
                    <w:top w:type="dxa" w:w="0"/>
                    <w:left w:type="dxa" w:w="0"/>
                    <w:bottom w:type="dxa" w:w="0"/>
                    <w:right w:type="dxa" w:w="0"/>
                  </w:tcMar>
                  <w:vAlign w:val="top"/>
                </w:tcPr>
                <w:p/>
              </w:tc>
            </w:tr>
            <w:tr>
              <w:tc>
                <w:tcPr>
                  <w:tcW w:type="dxa" w:w="522"/>
                  <w:vMerge/>
                </w:tcPr>
                <w:p/>
              </w:tc>
              <w:tc>
                <w:tcPr>
                  <w:tcW w:type="dxa" w:w="1697"/>
                  <w:tcMar>
                    <w:top w:type="dxa" w:w="0"/>
                    <w:left w:type="dxa" w:w="0"/>
                    <w:bottom w:type="dxa" w:w="0"/>
                    <w:right w:type="dxa" w:w="0"/>
                  </w:tcMar>
                  <w:vAlign w:val="top"/>
                </w:tcPr>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、物业管理建立健全各项管理制度、作业流程及物业管理工作计划及实施时间、各岗位工作标准，并制定具体的落实措施和考核办法</w:t>
                  </w:r>
                </w:p>
              </w:tc>
              <w:tc>
                <w:tcPr>
                  <w:tcW w:type="dxa" w:w="426"/>
                  <w:tcMar>
                    <w:top w:type="dxa" w:w="0"/>
                    <w:left w:type="dxa" w:w="0"/>
                    <w:bottom w:type="dxa" w:w="0"/>
                    <w:right w:type="dxa" w:w="0"/>
                  </w:tcMar>
                </w:tcPr>
                <w:p>
                  <w:pPr>
                    <w:pStyle w:val="null3"/>
                    <w:spacing w:after="75"/>
                    <w:jc w:val="center"/>
                  </w:pPr>
                  <w:r>
                    <w:rPr>
                      <w:rFonts w:ascii="仿宋_GB2312" w:hAnsi="仿宋_GB2312" w:cs="仿宋_GB2312" w:eastAsia="仿宋_GB2312"/>
                      <w:sz w:val="20"/>
                    </w:rPr>
                    <w:t>3</w:t>
                  </w:r>
                </w:p>
              </w:tc>
              <w:tc>
                <w:tcPr>
                  <w:tcW w:type="dxa" w:w="1314"/>
                  <w:tcMar>
                    <w:top w:type="dxa" w:w="0"/>
                    <w:left w:type="dxa" w:w="0"/>
                    <w:bottom w:type="dxa" w:w="0"/>
                    <w:right w:type="dxa" w:w="0"/>
                  </w:tcMar>
                  <w:vAlign w:val="top"/>
                </w:tcPr>
                <w:p>
                  <w:pPr>
                    <w:pStyle w:val="null3"/>
                    <w:spacing w:after="75"/>
                    <w:jc w:val="left"/>
                  </w:pPr>
                  <w:r>
                    <w:rPr>
                      <w:rFonts w:ascii="仿宋_GB2312" w:hAnsi="仿宋_GB2312" w:cs="仿宋_GB2312" w:eastAsia="仿宋_GB2312"/>
                      <w:sz w:val="20"/>
                    </w:rPr>
                    <w:t>每发现一处不完整规范扣</w:t>
                  </w:r>
                  <w:r>
                    <w:rPr>
                      <w:rFonts w:ascii="仿宋_GB2312" w:hAnsi="仿宋_GB2312" w:cs="仿宋_GB2312" w:eastAsia="仿宋_GB2312"/>
                      <w:sz w:val="20"/>
                    </w:rPr>
                    <w:t>0.2</w:t>
                  </w:r>
                  <w:r>
                    <w:rPr>
                      <w:rFonts w:ascii="仿宋_GB2312" w:hAnsi="仿宋_GB2312" w:cs="仿宋_GB2312" w:eastAsia="仿宋_GB2312"/>
                      <w:sz w:val="20"/>
                    </w:rPr>
                    <w:t>分，未制定具体的落实措施扣</w:t>
                  </w:r>
                  <w:r>
                    <w:rPr>
                      <w:rFonts w:ascii="仿宋_GB2312" w:hAnsi="仿宋_GB2312" w:cs="仿宋_GB2312" w:eastAsia="仿宋_GB2312"/>
                      <w:sz w:val="20"/>
                    </w:rPr>
                    <w:t>0.5</w:t>
                  </w:r>
                  <w:r>
                    <w:rPr>
                      <w:rFonts w:ascii="仿宋_GB2312" w:hAnsi="仿宋_GB2312" w:cs="仿宋_GB2312" w:eastAsia="仿宋_GB2312"/>
                      <w:sz w:val="20"/>
                    </w:rPr>
                    <w:t>分，未制定考核办法扣</w:t>
                  </w:r>
                  <w:r>
                    <w:rPr>
                      <w:rFonts w:ascii="仿宋_GB2312" w:hAnsi="仿宋_GB2312" w:cs="仿宋_GB2312" w:eastAsia="仿宋_GB2312"/>
                      <w:sz w:val="20"/>
                    </w:rPr>
                    <w:t>0.5</w:t>
                  </w:r>
                  <w:r>
                    <w:rPr>
                      <w:rFonts w:ascii="仿宋_GB2312" w:hAnsi="仿宋_GB2312" w:cs="仿宋_GB2312" w:eastAsia="仿宋_GB2312"/>
                      <w:sz w:val="20"/>
                    </w:rPr>
                    <w:t>分</w:t>
                  </w:r>
                </w:p>
              </w:tc>
              <w:tc>
                <w:tcPr>
                  <w:tcW w:type="dxa" w:w="513"/>
                  <w:tcMar>
                    <w:top w:type="dxa" w:w="0"/>
                    <w:left w:type="dxa" w:w="0"/>
                    <w:bottom w:type="dxa" w:w="0"/>
                    <w:right w:type="dxa" w:w="0"/>
                  </w:tcMar>
                  <w:vAlign w:val="top"/>
                </w:tcPr>
                <w:p>
                  <w:pPr>
                    <w:pStyle w:val="null3"/>
                    <w:spacing w:after="75"/>
                    <w:jc w:val="left"/>
                  </w:pPr>
                </w:p>
              </w:tc>
              <w:tc>
                <w:tcPr>
                  <w:tcW w:type="dxa" w:w="565"/>
                  <w:tcMar>
                    <w:top w:type="dxa" w:w="0"/>
                    <w:left w:type="dxa" w:w="0"/>
                    <w:bottom w:type="dxa" w:w="0"/>
                    <w:right w:type="dxa" w:w="0"/>
                  </w:tcMar>
                  <w:vAlign w:val="top"/>
                </w:tcPr>
                <w:p/>
              </w:tc>
              <w:tc>
                <w:tcPr>
                  <w:tcW w:type="dxa" w:w="548"/>
                  <w:tcMar>
                    <w:top w:type="dxa" w:w="0"/>
                    <w:left w:type="dxa" w:w="0"/>
                    <w:bottom w:type="dxa" w:w="0"/>
                    <w:right w:type="dxa" w:w="0"/>
                  </w:tcMar>
                  <w:vAlign w:val="top"/>
                </w:tcPr>
                <w:p/>
              </w:tc>
            </w:tr>
            <w:tr>
              <w:tc>
                <w:tcPr>
                  <w:tcW w:type="dxa" w:w="522"/>
                  <w:vMerge/>
                </w:tcPr>
                <w:p/>
              </w:tc>
              <w:tc>
                <w:tcPr>
                  <w:tcW w:type="dxa" w:w="1697"/>
                  <w:tcMar>
                    <w:top w:type="dxa" w:w="0"/>
                    <w:left w:type="dxa" w:w="0"/>
                    <w:bottom w:type="dxa" w:w="0"/>
                    <w:right w:type="dxa" w:w="0"/>
                  </w:tcMar>
                  <w:vAlign w:val="top"/>
                </w:tcPr>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、设有服务接待中心，公示</w:t>
                  </w:r>
                  <w:r>
                    <w:rPr>
                      <w:rFonts w:ascii="仿宋_GB2312" w:hAnsi="仿宋_GB2312" w:cs="仿宋_GB2312" w:eastAsia="仿宋_GB2312"/>
                      <w:sz w:val="20"/>
                    </w:rPr>
                    <w:t>24</w:t>
                  </w:r>
                  <w:r>
                    <w:rPr>
                      <w:rFonts w:ascii="仿宋_GB2312" w:hAnsi="仿宋_GB2312" w:cs="仿宋_GB2312" w:eastAsia="仿宋_GB2312"/>
                      <w:sz w:val="20"/>
                    </w:rPr>
                    <w:t>小时服务电话，及时接受业主和使用人对物业管理服务的报修、求助、建议、问询、质疑、投诉等，业主咨询、投诉在一周内予以答复处理；业主急修</w:t>
                  </w:r>
                  <w:r>
                    <w:rPr>
                      <w:rFonts w:ascii="仿宋_GB2312" w:hAnsi="仿宋_GB2312" w:cs="仿宋_GB2312" w:eastAsia="仿宋_GB2312"/>
                      <w:sz w:val="20"/>
                    </w:rPr>
                    <w:t>2</w:t>
                  </w:r>
                  <w:r>
                    <w:rPr>
                      <w:rFonts w:ascii="仿宋_GB2312" w:hAnsi="仿宋_GB2312" w:cs="仿宋_GB2312" w:eastAsia="仿宋_GB2312"/>
                      <w:sz w:val="20"/>
                    </w:rPr>
                    <w:t>小时内、其他报修按双方约定时间到达现场，有完整的报修、维修记录，并有回访制度和记录，满意率达</w:t>
                  </w:r>
                  <w:r>
                    <w:rPr>
                      <w:rFonts w:ascii="仿宋_GB2312" w:hAnsi="仿宋_GB2312" w:cs="仿宋_GB2312" w:eastAsia="仿宋_GB2312"/>
                      <w:sz w:val="20"/>
                    </w:rPr>
                    <w:t>90%</w:t>
                  </w:r>
                  <w:r>
                    <w:rPr>
                      <w:rFonts w:ascii="仿宋_GB2312" w:hAnsi="仿宋_GB2312" w:cs="仿宋_GB2312" w:eastAsia="仿宋_GB2312"/>
                      <w:sz w:val="20"/>
                    </w:rPr>
                    <w:t>以上</w:t>
                  </w:r>
                </w:p>
              </w:tc>
              <w:tc>
                <w:tcPr>
                  <w:tcW w:type="dxa" w:w="426"/>
                  <w:tcMar>
                    <w:top w:type="dxa" w:w="0"/>
                    <w:left w:type="dxa" w:w="0"/>
                    <w:bottom w:type="dxa" w:w="0"/>
                    <w:right w:type="dxa" w:w="0"/>
                  </w:tcMar>
                </w:tcPr>
                <w:p>
                  <w:pPr>
                    <w:pStyle w:val="null3"/>
                    <w:spacing w:after="75"/>
                    <w:jc w:val="center"/>
                  </w:pPr>
                  <w:r>
                    <w:rPr>
                      <w:rFonts w:ascii="仿宋_GB2312" w:hAnsi="仿宋_GB2312" w:cs="仿宋_GB2312" w:eastAsia="仿宋_GB2312"/>
                      <w:sz w:val="20"/>
                    </w:rPr>
                    <w:t>3</w:t>
                  </w:r>
                </w:p>
              </w:tc>
              <w:tc>
                <w:tcPr>
                  <w:tcW w:type="dxa" w:w="1314"/>
                  <w:tcMar>
                    <w:top w:type="dxa" w:w="0"/>
                    <w:left w:type="dxa" w:w="0"/>
                    <w:bottom w:type="dxa" w:w="0"/>
                    <w:right w:type="dxa" w:w="0"/>
                  </w:tcMar>
                  <w:vAlign w:val="top"/>
                </w:tcPr>
                <w:p>
                  <w:pPr>
                    <w:pStyle w:val="null3"/>
                    <w:spacing w:after="75"/>
                    <w:jc w:val="left"/>
                  </w:pPr>
                  <w:r>
                    <w:rPr>
                      <w:rFonts w:ascii="仿宋_GB2312" w:hAnsi="仿宋_GB2312" w:cs="仿宋_GB2312" w:eastAsia="仿宋_GB2312"/>
                      <w:sz w:val="20"/>
                    </w:rPr>
                    <w:t>值班制度不符合扣</w:t>
                  </w:r>
                  <w:r>
                    <w:rPr>
                      <w:rFonts w:ascii="仿宋_GB2312" w:hAnsi="仿宋_GB2312" w:cs="仿宋_GB2312" w:eastAsia="仿宋_GB2312"/>
                      <w:sz w:val="20"/>
                    </w:rPr>
                    <w:t>0.5</w:t>
                  </w:r>
                  <w:r>
                    <w:rPr>
                      <w:rFonts w:ascii="仿宋_GB2312" w:hAnsi="仿宋_GB2312" w:cs="仿宋_GB2312" w:eastAsia="仿宋_GB2312"/>
                      <w:sz w:val="20"/>
                    </w:rPr>
                    <w:t>分，发现一处处理不及时扣</w:t>
                  </w:r>
                  <w:r>
                    <w:rPr>
                      <w:rFonts w:ascii="仿宋_GB2312" w:hAnsi="仿宋_GB2312" w:cs="仿宋_GB2312" w:eastAsia="仿宋_GB2312"/>
                      <w:sz w:val="20"/>
                    </w:rPr>
                    <w:t>0.2</w:t>
                  </w:r>
                  <w:r>
                    <w:rPr>
                      <w:rFonts w:ascii="仿宋_GB2312" w:hAnsi="仿宋_GB2312" w:cs="仿宋_GB2312" w:eastAsia="仿宋_GB2312"/>
                      <w:sz w:val="20"/>
                    </w:rPr>
                    <w:t>分，没有回访录每次扣</w:t>
                  </w:r>
                  <w:r>
                    <w:rPr>
                      <w:rFonts w:ascii="仿宋_GB2312" w:hAnsi="仿宋_GB2312" w:cs="仿宋_GB2312" w:eastAsia="仿宋_GB2312"/>
                      <w:sz w:val="20"/>
                    </w:rPr>
                    <w:t>0.1</w:t>
                  </w:r>
                  <w:r>
                    <w:rPr>
                      <w:rFonts w:ascii="仿宋_GB2312" w:hAnsi="仿宋_GB2312" w:cs="仿宋_GB2312" w:eastAsia="仿宋_GB2312"/>
                      <w:sz w:val="20"/>
                    </w:rPr>
                    <w:t>分，满意率达不到扣</w:t>
                  </w:r>
                  <w:r>
                    <w:rPr>
                      <w:rFonts w:ascii="仿宋_GB2312" w:hAnsi="仿宋_GB2312" w:cs="仿宋_GB2312" w:eastAsia="仿宋_GB2312"/>
                      <w:sz w:val="20"/>
                    </w:rPr>
                    <w:t>1.0</w:t>
                  </w:r>
                  <w:r>
                    <w:rPr>
                      <w:rFonts w:ascii="仿宋_GB2312" w:hAnsi="仿宋_GB2312" w:cs="仿宋_GB2312" w:eastAsia="仿宋_GB2312"/>
                      <w:sz w:val="20"/>
                    </w:rPr>
                    <w:t>分</w:t>
                  </w:r>
                </w:p>
              </w:tc>
              <w:tc>
                <w:tcPr>
                  <w:tcW w:type="dxa" w:w="513"/>
                  <w:tcMar>
                    <w:top w:type="dxa" w:w="0"/>
                    <w:left w:type="dxa" w:w="0"/>
                    <w:bottom w:type="dxa" w:w="0"/>
                    <w:right w:type="dxa" w:w="0"/>
                  </w:tcMar>
                  <w:vAlign w:val="top"/>
                </w:tcPr>
                <w:p>
                  <w:pPr>
                    <w:pStyle w:val="null3"/>
                    <w:spacing w:after="75"/>
                    <w:jc w:val="left"/>
                  </w:pPr>
                </w:p>
              </w:tc>
              <w:tc>
                <w:tcPr>
                  <w:tcW w:type="dxa" w:w="565"/>
                  <w:tcMar>
                    <w:top w:type="dxa" w:w="0"/>
                    <w:left w:type="dxa" w:w="0"/>
                    <w:bottom w:type="dxa" w:w="0"/>
                    <w:right w:type="dxa" w:w="0"/>
                  </w:tcMar>
                  <w:vAlign w:val="top"/>
                </w:tcPr>
                <w:p/>
              </w:tc>
              <w:tc>
                <w:tcPr>
                  <w:tcW w:type="dxa" w:w="548"/>
                  <w:tcMar>
                    <w:top w:type="dxa" w:w="0"/>
                    <w:left w:type="dxa" w:w="0"/>
                    <w:bottom w:type="dxa" w:w="0"/>
                    <w:right w:type="dxa" w:w="0"/>
                  </w:tcMar>
                  <w:vAlign w:val="top"/>
                </w:tcPr>
                <w:p/>
              </w:tc>
            </w:tr>
            <w:tr>
              <w:tc>
                <w:tcPr>
                  <w:tcW w:type="dxa" w:w="522"/>
                  <w:vMerge/>
                </w:tcPr>
                <w:p/>
              </w:tc>
              <w:tc>
                <w:tcPr>
                  <w:tcW w:type="dxa" w:w="1697"/>
                  <w:tcMar>
                    <w:top w:type="dxa" w:w="0"/>
                    <w:left w:type="dxa" w:w="0"/>
                    <w:bottom w:type="dxa" w:w="0"/>
                    <w:right w:type="dxa" w:w="0"/>
                  </w:tcMar>
                  <w:vAlign w:val="top"/>
                </w:tcPr>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、每年至少</w:t>
                  </w:r>
                  <w:r>
                    <w:rPr>
                      <w:rFonts w:ascii="仿宋_GB2312" w:hAnsi="仿宋_GB2312" w:cs="仿宋_GB2312" w:eastAsia="仿宋_GB2312"/>
                      <w:sz w:val="20"/>
                    </w:rPr>
                    <w:t>1</w:t>
                  </w:r>
                  <w:r>
                    <w:rPr>
                      <w:rFonts w:ascii="仿宋_GB2312" w:hAnsi="仿宋_GB2312" w:cs="仿宋_GB2312" w:eastAsia="仿宋_GB2312"/>
                      <w:sz w:val="20"/>
                    </w:rPr>
                    <w:t>次征询业主对物业服务的意见，满意率</w:t>
                  </w:r>
                  <w:r>
                    <w:rPr>
                      <w:rFonts w:ascii="仿宋_GB2312" w:hAnsi="仿宋_GB2312" w:cs="仿宋_GB2312" w:eastAsia="仿宋_GB2312"/>
                      <w:sz w:val="20"/>
                    </w:rPr>
                    <w:t>90%</w:t>
                  </w:r>
                  <w:r>
                    <w:rPr>
                      <w:rFonts w:ascii="仿宋_GB2312" w:hAnsi="仿宋_GB2312" w:cs="仿宋_GB2312" w:eastAsia="仿宋_GB2312"/>
                      <w:sz w:val="20"/>
                    </w:rPr>
                    <w:t>以上，持续提升服务质量。</w:t>
                  </w:r>
                </w:p>
              </w:tc>
              <w:tc>
                <w:tcPr>
                  <w:tcW w:type="dxa" w:w="426"/>
                  <w:tcMar>
                    <w:top w:type="dxa" w:w="0"/>
                    <w:left w:type="dxa" w:w="0"/>
                    <w:bottom w:type="dxa" w:w="0"/>
                    <w:right w:type="dxa" w:w="0"/>
                  </w:tcMar>
                </w:tcPr>
                <w:p>
                  <w:pPr>
                    <w:pStyle w:val="null3"/>
                    <w:spacing w:after="75"/>
                    <w:jc w:val="center"/>
                  </w:pPr>
                  <w:r>
                    <w:rPr>
                      <w:rFonts w:ascii="仿宋_GB2312" w:hAnsi="仿宋_GB2312" w:cs="仿宋_GB2312" w:eastAsia="仿宋_GB2312"/>
                      <w:sz w:val="20"/>
                    </w:rPr>
                    <w:t>4</w:t>
                  </w:r>
                </w:p>
              </w:tc>
              <w:tc>
                <w:tcPr>
                  <w:tcW w:type="dxa" w:w="1314"/>
                  <w:tcMar>
                    <w:top w:type="dxa" w:w="0"/>
                    <w:left w:type="dxa" w:w="0"/>
                    <w:bottom w:type="dxa" w:w="0"/>
                    <w:right w:type="dxa" w:w="0"/>
                  </w:tcMar>
                  <w:vAlign w:val="top"/>
                </w:tcPr>
                <w:p>
                  <w:pPr>
                    <w:pStyle w:val="null3"/>
                    <w:spacing w:after="75"/>
                    <w:jc w:val="left"/>
                  </w:pPr>
                  <w:r>
                    <w:rPr>
                      <w:rFonts w:ascii="仿宋_GB2312" w:hAnsi="仿宋_GB2312" w:cs="仿宋_GB2312" w:eastAsia="仿宋_GB2312"/>
                      <w:sz w:val="20"/>
                    </w:rPr>
                    <w:t>没有征询记录扣</w:t>
                  </w:r>
                  <w:r>
                    <w:rPr>
                      <w:rFonts w:ascii="仿宋_GB2312" w:hAnsi="仿宋_GB2312" w:cs="仿宋_GB2312" w:eastAsia="仿宋_GB2312"/>
                      <w:sz w:val="20"/>
                    </w:rPr>
                    <w:t>3.0</w:t>
                  </w:r>
                  <w:r>
                    <w:rPr>
                      <w:rFonts w:ascii="仿宋_GB2312" w:hAnsi="仿宋_GB2312" w:cs="仿宋_GB2312" w:eastAsia="仿宋_GB2312"/>
                      <w:sz w:val="20"/>
                    </w:rPr>
                    <w:t>分，满意率达不到扣</w:t>
                  </w:r>
                  <w:r>
                    <w:rPr>
                      <w:rFonts w:ascii="仿宋_GB2312" w:hAnsi="仿宋_GB2312" w:cs="仿宋_GB2312" w:eastAsia="仿宋_GB2312"/>
                      <w:sz w:val="20"/>
                    </w:rPr>
                    <w:t>1.0</w:t>
                  </w:r>
                  <w:r>
                    <w:rPr>
                      <w:rFonts w:ascii="仿宋_GB2312" w:hAnsi="仿宋_GB2312" w:cs="仿宋_GB2312" w:eastAsia="仿宋_GB2312"/>
                      <w:sz w:val="20"/>
                    </w:rPr>
                    <w:t>分；收到业主、办事群众投诉查实的每次扣</w:t>
                  </w:r>
                  <w:r>
                    <w:rPr>
                      <w:rFonts w:ascii="仿宋_GB2312" w:hAnsi="仿宋_GB2312" w:cs="仿宋_GB2312" w:eastAsia="仿宋_GB2312"/>
                      <w:sz w:val="20"/>
                    </w:rPr>
                    <w:t>0.5</w:t>
                  </w:r>
                  <w:r>
                    <w:rPr>
                      <w:rFonts w:ascii="仿宋_GB2312" w:hAnsi="仿宋_GB2312" w:cs="仿宋_GB2312" w:eastAsia="仿宋_GB2312"/>
                      <w:sz w:val="20"/>
                    </w:rPr>
                    <w:t>分</w:t>
                  </w:r>
                </w:p>
              </w:tc>
              <w:tc>
                <w:tcPr>
                  <w:tcW w:type="dxa" w:w="513"/>
                  <w:tcMar>
                    <w:top w:type="dxa" w:w="0"/>
                    <w:left w:type="dxa" w:w="0"/>
                    <w:bottom w:type="dxa" w:w="0"/>
                    <w:right w:type="dxa" w:w="0"/>
                  </w:tcMar>
                  <w:vAlign w:val="top"/>
                </w:tcPr>
                <w:p>
                  <w:pPr>
                    <w:pStyle w:val="null3"/>
                    <w:spacing w:after="75"/>
                    <w:jc w:val="left"/>
                  </w:pPr>
                </w:p>
              </w:tc>
              <w:tc>
                <w:tcPr>
                  <w:tcW w:type="dxa" w:w="565"/>
                  <w:tcMar>
                    <w:top w:type="dxa" w:w="0"/>
                    <w:left w:type="dxa" w:w="0"/>
                    <w:bottom w:type="dxa" w:w="0"/>
                    <w:right w:type="dxa" w:w="0"/>
                  </w:tcMar>
                  <w:vAlign w:val="top"/>
                </w:tcPr>
                <w:p/>
              </w:tc>
              <w:tc>
                <w:tcPr>
                  <w:tcW w:type="dxa" w:w="548"/>
                  <w:tcMar>
                    <w:top w:type="dxa" w:w="0"/>
                    <w:left w:type="dxa" w:w="0"/>
                    <w:bottom w:type="dxa" w:w="0"/>
                    <w:right w:type="dxa" w:w="0"/>
                  </w:tcMar>
                  <w:vAlign w:val="top"/>
                </w:tcPr>
                <w:p/>
              </w:tc>
            </w:tr>
            <w:tr>
              <w:tc>
                <w:tcPr>
                  <w:tcW w:type="dxa" w:w="522"/>
                  <w:vMerge/>
                </w:tcPr>
                <w:p/>
              </w:tc>
              <w:tc>
                <w:tcPr>
                  <w:tcW w:type="dxa" w:w="1697"/>
                  <w:tcMar>
                    <w:top w:type="dxa" w:w="0"/>
                    <w:left w:type="dxa" w:w="0"/>
                    <w:bottom w:type="dxa" w:w="0"/>
                    <w:right w:type="dxa" w:w="0"/>
                  </w:tcMar>
                  <w:vAlign w:val="top"/>
                </w:tcPr>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、物业服务管理人员积极协助、配合业主交办的与物业服务相关的工作</w:t>
                  </w:r>
                </w:p>
              </w:tc>
              <w:tc>
                <w:tcPr>
                  <w:tcW w:type="dxa" w:w="426"/>
                  <w:tcMar>
                    <w:top w:type="dxa" w:w="0"/>
                    <w:left w:type="dxa" w:w="0"/>
                    <w:bottom w:type="dxa" w:w="0"/>
                    <w:right w:type="dxa" w:w="0"/>
                  </w:tcMar>
                </w:tcPr>
                <w:p>
                  <w:pPr>
                    <w:pStyle w:val="null3"/>
                    <w:spacing w:after="75"/>
                    <w:jc w:val="center"/>
                  </w:pPr>
                  <w:r>
                    <w:rPr>
                      <w:rFonts w:ascii="仿宋_GB2312" w:hAnsi="仿宋_GB2312" w:cs="仿宋_GB2312" w:eastAsia="仿宋_GB2312"/>
                      <w:sz w:val="20"/>
                    </w:rPr>
                    <w:t>5</w:t>
                  </w:r>
                </w:p>
              </w:tc>
              <w:tc>
                <w:tcPr>
                  <w:tcW w:type="dxa" w:w="1314"/>
                  <w:tcMar>
                    <w:top w:type="dxa" w:w="0"/>
                    <w:left w:type="dxa" w:w="0"/>
                    <w:bottom w:type="dxa" w:w="0"/>
                    <w:right w:type="dxa" w:w="0"/>
                  </w:tcMar>
                  <w:vAlign w:val="top"/>
                </w:tcPr>
                <w:p>
                  <w:pPr>
                    <w:pStyle w:val="null3"/>
                    <w:spacing w:after="75"/>
                    <w:jc w:val="left"/>
                  </w:pPr>
                  <w:r>
                    <w:rPr>
                      <w:rFonts w:ascii="仿宋_GB2312" w:hAnsi="仿宋_GB2312" w:cs="仿宋_GB2312" w:eastAsia="仿宋_GB2312"/>
                      <w:sz w:val="20"/>
                    </w:rPr>
                    <w:t>发现一次不及时完成扣</w:t>
                  </w:r>
                  <w:r>
                    <w:rPr>
                      <w:rFonts w:ascii="仿宋_GB2312" w:hAnsi="仿宋_GB2312" w:cs="仿宋_GB2312" w:eastAsia="仿宋_GB2312"/>
                      <w:sz w:val="20"/>
                    </w:rPr>
                    <w:t>0.5</w:t>
                  </w:r>
                  <w:r>
                    <w:rPr>
                      <w:rFonts w:ascii="仿宋_GB2312" w:hAnsi="仿宋_GB2312" w:cs="仿宋_GB2312" w:eastAsia="仿宋_GB2312"/>
                      <w:sz w:val="20"/>
                    </w:rPr>
                    <w:t>分，不规范、不符合要求扣</w:t>
                  </w:r>
                  <w:r>
                    <w:rPr>
                      <w:rFonts w:ascii="仿宋_GB2312" w:hAnsi="仿宋_GB2312" w:cs="仿宋_GB2312" w:eastAsia="仿宋_GB2312"/>
                      <w:sz w:val="20"/>
                    </w:rPr>
                    <w:t>0.2</w:t>
                  </w:r>
                  <w:r>
                    <w:rPr>
                      <w:rFonts w:ascii="仿宋_GB2312" w:hAnsi="仿宋_GB2312" w:cs="仿宋_GB2312" w:eastAsia="仿宋_GB2312"/>
                      <w:sz w:val="20"/>
                    </w:rPr>
                    <w:t>分</w:t>
                  </w:r>
                </w:p>
              </w:tc>
              <w:tc>
                <w:tcPr>
                  <w:tcW w:type="dxa" w:w="513"/>
                  <w:tcMar>
                    <w:top w:type="dxa" w:w="0"/>
                    <w:left w:type="dxa" w:w="0"/>
                    <w:bottom w:type="dxa" w:w="0"/>
                    <w:right w:type="dxa" w:w="0"/>
                  </w:tcMar>
                  <w:vAlign w:val="top"/>
                </w:tcPr>
                <w:p>
                  <w:pPr>
                    <w:pStyle w:val="null3"/>
                    <w:spacing w:after="75"/>
                    <w:jc w:val="left"/>
                  </w:pPr>
                </w:p>
              </w:tc>
              <w:tc>
                <w:tcPr>
                  <w:tcW w:type="dxa" w:w="565"/>
                  <w:tcMar>
                    <w:top w:type="dxa" w:w="0"/>
                    <w:left w:type="dxa" w:w="0"/>
                    <w:bottom w:type="dxa" w:w="0"/>
                    <w:right w:type="dxa" w:w="0"/>
                  </w:tcMar>
                  <w:vAlign w:val="top"/>
                </w:tcPr>
                <w:p/>
              </w:tc>
              <w:tc>
                <w:tcPr>
                  <w:tcW w:type="dxa" w:w="548"/>
                  <w:tcMar>
                    <w:top w:type="dxa" w:w="0"/>
                    <w:left w:type="dxa" w:w="0"/>
                    <w:bottom w:type="dxa" w:w="0"/>
                    <w:right w:type="dxa" w:w="0"/>
                  </w:tcMar>
                  <w:vAlign w:val="top"/>
                </w:tcPr>
                <w:p/>
              </w:tc>
            </w:tr>
            <w:tr>
              <w:tc>
                <w:tcPr>
                  <w:tcW w:type="dxa" w:w="522"/>
                  <w:vMerge w:val="restart"/>
                  <w:tcBorders>
                    <w:top w:val="inset" w:color="000000" w:sz="4"/>
                    <w:left w:val="inset" w:color="000000" w:sz="4"/>
                    <w:bottom w:val="none" w:color="000000" w:sz="4"/>
                    <w:right w:val="inset" w:color="000000" w:sz="4"/>
                  </w:tcBorders>
                  <w:tcMar>
                    <w:top w:type="dxa" w:w="0"/>
                    <w:left w:type="dxa" w:w="0"/>
                    <w:bottom w:type="dxa" w:w="0"/>
                    <w:right w:type="dxa" w:w="0"/>
                  </w:tcMar>
                </w:tcPr>
                <w:p>
                  <w:pPr>
                    <w:pStyle w:val="null3"/>
                    <w:jc w:val="center"/>
                  </w:pPr>
                  <w:r>
                    <w:rPr>
                      <w:rFonts w:ascii="仿宋_GB2312" w:hAnsi="仿宋_GB2312" w:cs="仿宋_GB2312" w:eastAsia="仿宋_GB2312"/>
                      <w:sz w:val="18"/>
                      <w:b/>
                    </w:rPr>
                    <w:t>二</w:t>
                  </w:r>
                </w:p>
              </w:tc>
              <w:tc>
                <w:tcPr>
                  <w:tcW w:type="dxa" w:w="1697"/>
                  <w:tcMar>
                    <w:top w:type="dxa" w:w="0"/>
                    <w:left w:type="dxa" w:w="0"/>
                    <w:bottom w:type="dxa" w:w="0"/>
                    <w:right w:type="dxa" w:w="0"/>
                  </w:tcMar>
                  <w:vAlign w:val="top"/>
                </w:tcPr>
                <w:p>
                  <w:pPr>
                    <w:pStyle w:val="null3"/>
                    <w:spacing w:after="75"/>
                    <w:jc w:val="left"/>
                  </w:pPr>
                  <w:r>
                    <w:rPr>
                      <w:rFonts w:ascii="仿宋_GB2312" w:hAnsi="仿宋_GB2312" w:cs="仿宋_GB2312" w:eastAsia="仿宋_GB2312"/>
                      <w:sz w:val="20"/>
                      <w:b/>
                    </w:rPr>
                    <w:t>公共秩序维护</w:t>
                  </w:r>
                </w:p>
              </w:tc>
              <w:tc>
                <w:tcPr>
                  <w:tcW w:type="dxa" w:w="426"/>
                  <w:tcMar>
                    <w:top w:type="dxa" w:w="0"/>
                    <w:left w:type="dxa" w:w="0"/>
                    <w:bottom w:type="dxa" w:w="0"/>
                    <w:right w:type="dxa" w:w="0"/>
                  </w:tcMar>
                </w:tcPr>
                <w:p>
                  <w:pPr>
                    <w:pStyle w:val="null3"/>
                    <w:spacing w:after="75"/>
                    <w:jc w:val="center"/>
                  </w:pPr>
                  <w:r>
                    <w:rPr>
                      <w:rFonts w:ascii="仿宋_GB2312" w:hAnsi="仿宋_GB2312" w:cs="仿宋_GB2312" w:eastAsia="仿宋_GB2312"/>
                      <w:sz w:val="20"/>
                      <w:b/>
                    </w:rPr>
                    <w:t>13</w:t>
                  </w:r>
                </w:p>
              </w:tc>
              <w:tc>
                <w:tcPr>
                  <w:tcW w:type="dxa" w:w="1314"/>
                  <w:tcMar>
                    <w:top w:type="dxa" w:w="0"/>
                    <w:left w:type="dxa" w:w="0"/>
                    <w:bottom w:type="dxa" w:w="0"/>
                    <w:right w:type="dxa" w:w="0"/>
                  </w:tcMar>
                  <w:vAlign w:val="top"/>
                </w:tcPr>
                <w:p>
                  <w:pPr>
                    <w:pStyle w:val="null3"/>
                    <w:spacing w:after="75"/>
                    <w:jc w:val="left"/>
                  </w:pPr>
                  <w:r>
                    <w:rPr>
                      <w:rFonts w:ascii="仿宋_GB2312" w:hAnsi="仿宋_GB2312" w:cs="仿宋_GB2312" w:eastAsia="仿宋_GB2312"/>
                      <w:sz w:val="21"/>
                      <w:b/>
                    </w:rPr>
                    <w:t>　</w:t>
                  </w:r>
                </w:p>
              </w:tc>
              <w:tc>
                <w:tcPr>
                  <w:tcW w:type="dxa" w:w="513"/>
                  <w:tcMar>
                    <w:top w:type="dxa" w:w="0"/>
                    <w:left w:type="dxa" w:w="0"/>
                    <w:bottom w:type="dxa" w:w="0"/>
                    <w:right w:type="dxa" w:w="0"/>
                  </w:tcMar>
                  <w:vAlign w:val="top"/>
                </w:tcPr>
                <w:p>
                  <w:pPr>
                    <w:pStyle w:val="null3"/>
                    <w:spacing w:after="75"/>
                    <w:jc w:val="left"/>
                  </w:pPr>
                </w:p>
              </w:tc>
              <w:tc>
                <w:tcPr>
                  <w:tcW w:type="dxa" w:w="565"/>
                  <w:tcMar>
                    <w:top w:type="dxa" w:w="0"/>
                    <w:left w:type="dxa" w:w="0"/>
                    <w:bottom w:type="dxa" w:w="0"/>
                    <w:right w:type="dxa" w:w="0"/>
                  </w:tcMar>
                  <w:vAlign w:val="top"/>
                </w:tcPr>
                <w:p/>
              </w:tc>
              <w:tc>
                <w:tcPr>
                  <w:tcW w:type="dxa" w:w="548"/>
                  <w:tcMar>
                    <w:top w:type="dxa" w:w="0"/>
                    <w:left w:type="dxa" w:w="0"/>
                    <w:bottom w:type="dxa" w:w="0"/>
                    <w:right w:type="dxa" w:w="0"/>
                  </w:tcMar>
                  <w:vAlign w:val="top"/>
                </w:tcPr>
                <w:p/>
              </w:tc>
            </w:tr>
            <w:tr>
              <w:tc>
                <w:tcPr>
                  <w:tcW w:type="dxa" w:w="522"/>
                  <w:vMerge/>
                  <w:tcBorders>
                    <w:top w:val="inset" w:color="000000" w:sz="4"/>
                    <w:left w:val="inset" w:color="000000" w:sz="4"/>
                    <w:bottom w:val="none" w:color="000000" w:sz="4"/>
                    <w:right w:val="inset" w:color="000000" w:sz="4"/>
                  </w:tcBorders>
                </w:tcPr>
                <w:p/>
              </w:tc>
              <w:tc>
                <w:tcPr>
                  <w:tcW w:type="dxa" w:w="1697"/>
                  <w:tcMar>
                    <w:top w:type="dxa" w:w="0"/>
                    <w:left w:type="dxa" w:w="0"/>
                    <w:bottom w:type="dxa" w:w="0"/>
                    <w:right w:type="dxa" w:w="0"/>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、楼内</w:t>
                  </w:r>
                  <w:r>
                    <w:rPr>
                      <w:rFonts w:ascii="仿宋_GB2312" w:hAnsi="仿宋_GB2312" w:cs="仿宋_GB2312" w:eastAsia="仿宋_GB2312"/>
                      <w:sz w:val="20"/>
                    </w:rPr>
                    <w:t>1-12</w:t>
                  </w:r>
                  <w:r>
                    <w:rPr>
                      <w:rFonts w:ascii="仿宋_GB2312" w:hAnsi="仿宋_GB2312" w:cs="仿宋_GB2312" w:eastAsia="仿宋_GB2312"/>
                      <w:sz w:val="20"/>
                    </w:rPr>
                    <w:t>层</w:t>
                  </w:r>
                  <w:r>
                    <w:rPr>
                      <w:rFonts w:ascii="仿宋_GB2312" w:hAnsi="仿宋_GB2312" w:cs="仿宋_GB2312" w:eastAsia="仿宋_GB2312"/>
                      <w:sz w:val="20"/>
                      <w:color w:val="FF0000"/>
                    </w:rPr>
                    <w:t>专用</w:t>
                  </w:r>
                  <w:r>
                    <w:rPr>
                      <w:rFonts w:ascii="仿宋_GB2312" w:hAnsi="仿宋_GB2312" w:cs="仿宋_GB2312" w:eastAsia="仿宋_GB2312"/>
                      <w:sz w:val="20"/>
                    </w:rPr>
                    <w:t>部分各公共配套设施场地标号、标志完好</w:t>
                  </w:r>
                </w:p>
              </w:tc>
              <w:tc>
                <w:tcPr>
                  <w:tcW w:type="dxa" w:w="426"/>
                  <w:tcMar>
                    <w:top w:type="dxa" w:w="0"/>
                    <w:left w:type="dxa" w:w="0"/>
                    <w:bottom w:type="dxa" w:w="0"/>
                    <w:right w:type="dxa" w:w="0"/>
                  </w:tcMar>
                </w:tcPr>
                <w:p>
                  <w:pPr>
                    <w:pStyle w:val="null3"/>
                    <w:spacing w:after="75"/>
                    <w:jc w:val="center"/>
                  </w:pPr>
                  <w:r>
                    <w:rPr>
                      <w:rFonts w:ascii="仿宋_GB2312" w:hAnsi="仿宋_GB2312" w:cs="仿宋_GB2312" w:eastAsia="仿宋_GB2312"/>
                      <w:sz w:val="20"/>
                    </w:rPr>
                    <w:t>2</w:t>
                  </w:r>
                </w:p>
              </w:tc>
              <w:tc>
                <w:tcPr>
                  <w:tcW w:type="dxa" w:w="1314"/>
                  <w:tcMar>
                    <w:top w:type="dxa" w:w="0"/>
                    <w:left w:type="dxa" w:w="0"/>
                    <w:bottom w:type="dxa" w:w="0"/>
                    <w:right w:type="dxa" w:w="0"/>
                  </w:tcMar>
                  <w:vAlign w:val="top"/>
                </w:tcPr>
                <w:p>
                  <w:pPr>
                    <w:pStyle w:val="null3"/>
                    <w:spacing w:after="75"/>
                    <w:jc w:val="left"/>
                  </w:pPr>
                  <w:r>
                    <w:rPr>
                      <w:rFonts w:ascii="仿宋_GB2312" w:hAnsi="仿宋_GB2312" w:cs="仿宋_GB2312" w:eastAsia="仿宋_GB2312"/>
                      <w:sz w:val="20"/>
                    </w:rPr>
                    <w:t>发现一处不完好扣</w:t>
                  </w:r>
                  <w:r>
                    <w:rPr>
                      <w:rFonts w:ascii="仿宋_GB2312" w:hAnsi="仿宋_GB2312" w:cs="仿宋_GB2312" w:eastAsia="仿宋_GB2312"/>
                      <w:sz w:val="20"/>
                    </w:rPr>
                    <w:t>0.2</w:t>
                  </w:r>
                  <w:r>
                    <w:rPr>
                      <w:rFonts w:ascii="仿宋_GB2312" w:hAnsi="仿宋_GB2312" w:cs="仿宋_GB2312" w:eastAsia="仿宋_GB2312"/>
                      <w:sz w:val="20"/>
                    </w:rPr>
                    <w:t>分</w:t>
                  </w:r>
                </w:p>
              </w:tc>
              <w:tc>
                <w:tcPr>
                  <w:tcW w:type="dxa" w:w="513"/>
                  <w:tcMar>
                    <w:top w:type="dxa" w:w="0"/>
                    <w:left w:type="dxa" w:w="0"/>
                    <w:bottom w:type="dxa" w:w="0"/>
                    <w:right w:type="dxa" w:w="0"/>
                  </w:tcMar>
                  <w:vAlign w:val="top"/>
                </w:tcPr>
                <w:p>
                  <w:pPr>
                    <w:pStyle w:val="null3"/>
                    <w:spacing w:after="75"/>
                    <w:jc w:val="left"/>
                  </w:pPr>
                </w:p>
              </w:tc>
              <w:tc>
                <w:tcPr>
                  <w:tcW w:type="dxa" w:w="565"/>
                  <w:tcMar>
                    <w:top w:type="dxa" w:w="0"/>
                    <w:left w:type="dxa" w:w="0"/>
                    <w:bottom w:type="dxa" w:w="0"/>
                    <w:right w:type="dxa" w:w="0"/>
                  </w:tcMar>
                  <w:vAlign w:val="top"/>
                </w:tcPr>
                <w:p/>
              </w:tc>
              <w:tc>
                <w:tcPr>
                  <w:tcW w:type="dxa" w:w="548"/>
                  <w:tcMar>
                    <w:top w:type="dxa" w:w="0"/>
                    <w:left w:type="dxa" w:w="0"/>
                    <w:bottom w:type="dxa" w:w="0"/>
                    <w:right w:type="dxa" w:w="0"/>
                  </w:tcMar>
                  <w:vAlign w:val="top"/>
                </w:tcPr>
                <w:p>
                  <w:pPr>
                    <w:pStyle w:val="null3"/>
                    <w:jc w:val="left"/>
                  </w:pPr>
                  <w:r>
                    <w:rPr>
                      <w:rFonts w:ascii="仿宋_GB2312" w:hAnsi="仿宋_GB2312" w:cs="仿宋_GB2312" w:eastAsia="仿宋_GB2312"/>
                      <w:sz w:val="18"/>
                    </w:rPr>
                    <w:t>检查发现后及时汇报</w:t>
                  </w:r>
                </w:p>
              </w:tc>
            </w:tr>
            <w:tr>
              <w:tc>
                <w:tcPr>
                  <w:tcW w:type="dxa" w:w="522"/>
                  <w:vMerge/>
                  <w:tcBorders>
                    <w:top w:val="inset" w:color="000000" w:sz="4"/>
                    <w:left w:val="inset" w:color="000000" w:sz="4"/>
                    <w:bottom w:val="none" w:color="000000" w:sz="4"/>
                    <w:right w:val="inset" w:color="000000" w:sz="4"/>
                  </w:tcBorders>
                </w:tcPr>
                <w:p/>
              </w:tc>
              <w:tc>
                <w:tcPr>
                  <w:tcW w:type="dxa" w:w="1697"/>
                  <w:tcMar>
                    <w:top w:type="dxa" w:w="0"/>
                    <w:left w:type="dxa" w:w="0"/>
                    <w:bottom w:type="dxa" w:w="0"/>
                    <w:right w:type="dxa" w:w="0"/>
                  </w:tcMar>
                  <w:vAlign w:val="top"/>
                </w:tcPr>
                <w:p>
                  <w:pPr>
                    <w:pStyle w:val="null3"/>
                    <w:spacing w:after="75"/>
                    <w:jc w:val="left"/>
                  </w:pPr>
                  <w:r>
                    <w:rPr>
                      <w:rFonts w:ascii="仿宋_GB2312" w:hAnsi="仿宋_GB2312" w:cs="仿宋_GB2312" w:eastAsia="仿宋_GB2312"/>
                      <w:sz w:val="20"/>
                    </w:rPr>
                    <w:t>2</w:t>
                  </w:r>
                  <w:r>
                    <w:rPr>
                      <w:rFonts w:ascii="仿宋_GB2312" w:hAnsi="仿宋_GB2312" w:cs="仿宋_GB2312" w:eastAsia="仿宋_GB2312"/>
                      <w:sz w:val="20"/>
                    </w:rPr>
                    <w:t>、有保安队伍，实行</w:t>
                  </w:r>
                  <w:r>
                    <w:rPr>
                      <w:rFonts w:ascii="仿宋_GB2312" w:hAnsi="仿宋_GB2312" w:cs="仿宋_GB2312" w:eastAsia="仿宋_GB2312"/>
                      <w:sz w:val="20"/>
                    </w:rPr>
                    <w:t>24</w:t>
                  </w:r>
                  <w:r>
                    <w:rPr>
                      <w:rFonts w:ascii="仿宋_GB2312" w:hAnsi="仿宋_GB2312" w:cs="仿宋_GB2312" w:eastAsia="仿宋_GB2312"/>
                      <w:sz w:val="20"/>
                    </w:rPr>
                    <w:t>小时值班及巡逻制度；保安人员熟悉环境，文明值勤，训练有素，言语规范，认真负责</w:t>
                  </w:r>
                </w:p>
              </w:tc>
              <w:tc>
                <w:tcPr>
                  <w:tcW w:type="dxa" w:w="426"/>
                  <w:tcMar>
                    <w:top w:type="dxa" w:w="0"/>
                    <w:left w:type="dxa" w:w="0"/>
                    <w:bottom w:type="dxa" w:w="0"/>
                    <w:right w:type="dxa" w:w="0"/>
                  </w:tcMar>
                </w:tcPr>
                <w:p>
                  <w:pPr>
                    <w:pStyle w:val="null3"/>
                    <w:spacing w:after="75"/>
                    <w:jc w:val="center"/>
                  </w:pPr>
                  <w:r>
                    <w:rPr>
                      <w:rFonts w:ascii="仿宋_GB2312" w:hAnsi="仿宋_GB2312" w:cs="仿宋_GB2312" w:eastAsia="仿宋_GB2312"/>
                      <w:sz w:val="20"/>
                    </w:rPr>
                    <w:t>4</w:t>
                  </w:r>
                </w:p>
              </w:tc>
              <w:tc>
                <w:tcPr>
                  <w:tcW w:type="dxa" w:w="1314"/>
                  <w:tcMar>
                    <w:top w:type="dxa" w:w="0"/>
                    <w:left w:type="dxa" w:w="0"/>
                    <w:bottom w:type="dxa" w:w="0"/>
                    <w:right w:type="dxa" w:w="0"/>
                  </w:tcMar>
                  <w:vAlign w:val="top"/>
                </w:tcPr>
                <w:p>
                  <w:pPr>
                    <w:pStyle w:val="null3"/>
                    <w:spacing w:after="75"/>
                    <w:jc w:val="left"/>
                  </w:pPr>
                  <w:r>
                    <w:rPr>
                      <w:rFonts w:ascii="仿宋_GB2312" w:hAnsi="仿宋_GB2312" w:cs="仿宋_GB2312" w:eastAsia="仿宋_GB2312"/>
                      <w:sz w:val="20"/>
                    </w:rPr>
                    <w:t>无保安队伍扣</w:t>
                  </w:r>
                  <w:r>
                    <w:rPr>
                      <w:rFonts w:ascii="仿宋_GB2312" w:hAnsi="仿宋_GB2312" w:cs="仿宋_GB2312" w:eastAsia="仿宋_GB2312"/>
                      <w:sz w:val="20"/>
                    </w:rPr>
                    <w:t>4</w:t>
                  </w:r>
                  <w:r>
                    <w:rPr>
                      <w:rFonts w:ascii="仿宋_GB2312" w:hAnsi="仿宋_GB2312" w:cs="仿宋_GB2312" w:eastAsia="仿宋_GB2312"/>
                      <w:sz w:val="20"/>
                    </w:rPr>
                    <w:t>分，其它每发现一处不符合扣</w:t>
                  </w:r>
                  <w:r>
                    <w:rPr>
                      <w:rFonts w:ascii="仿宋_GB2312" w:hAnsi="仿宋_GB2312" w:cs="仿宋_GB2312" w:eastAsia="仿宋_GB2312"/>
                      <w:sz w:val="20"/>
                    </w:rPr>
                    <w:t>0.2</w:t>
                  </w:r>
                </w:p>
              </w:tc>
              <w:tc>
                <w:tcPr>
                  <w:tcW w:type="dxa" w:w="513"/>
                  <w:tcMar>
                    <w:top w:type="dxa" w:w="0"/>
                    <w:left w:type="dxa" w:w="0"/>
                    <w:bottom w:type="dxa" w:w="0"/>
                    <w:right w:type="dxa" w:w="0"/>
                  </w:tcMar>
                  <w:vAlign w:val="top"/>
                </w:tcPr>
                <w:p>
                  <w:pPr>
                    <w:pStyle w:val="null3"/>
                    <w:spacing w:after="75"/>
                    <w:jc w:val="left"/>
                  </w:pPr>
                </w:p>
              </w:tc>
              <w:tc>
                <w:tcPr>
                  <w:tcW w:type="dxa" w:w="565"/>
                  <w:tcMar>
                    <w:top w:type="dxa" w:w="0"/>
                    <w:left w:type="dxa" w:w="0"/>
                    <w:bottom w:type="dxa" w:w="0"/>
                    <w:right w:type="dxa" w:w="0"/>
                  </w:tcMar>
                  <w:vAlign w:val="top"/>
                </w:tcPr>
                <w:p/>
              </w:tc>
              <w:tc>
                <w:tcPr>
                  <w:tcW w:type="dxa" w:w="548"/>
                  <w:tcMar>
                    <w:top w:type="dxa" w:w="0"/>
                    <w:left w:type="dxa" w:w="0"/>
                    <w:bottom w:type="dxa" w:w="0"/>
                    <w:right w:type="dxa" w:w="0"/>
                  </w:tcMar>
                  <w:vAlign w:val="top"/>
                </w:tcPr>
                <w:p/>
              </w:tc>
            </w:tr>
            <w:tr>
              <w:tc>
                <w:tcPr>
                  <w:tcW w:type="dxa" w:w="522"/>
                  <w:vMerge/>
                  <w:tcBorders>
                    <w:top w:val="inset" w:color="000000" w:sz="4"/>
                    <w:left w:val="inset" w:color="000000" w:sz="4"/>
                    <w:bottom w:val="none" w:color="000000" w:sz="4"/>
                    <w:right w:val="inset" w:color="000000" w:sz="4"/>
                  </w:tcBorders>
                </w:tcPr>
                <w:p/>
              </w:tc>
              <w:tc>
                <w:tcPr>
                  <w:tcW w:type="dxa" w:w="1697"/>
                  <w:tcMar>
                    <w:top w:type="dxa" w:w="0"/>
                    <w:left w:type="dxa" w:w="0"/>
                    <w:bottom w:type="dxa" w:w="0"/>
                    <w:right w:type="dxa" w:w="0"/>
                  </w:tcMar>
                  <w:vAlign w:val="top"/>
                </w:tcPr>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、配有安全电子监控设施，实施</w:t>
                  </w:r>
                  <w:r>
                    <w:rPr>
                      <w:rFonts w:ascii="仿宋_GB2312" w:hAnsi="仿宋_GB2312" w:cs="仿宋_GB2312" w:eastAsia="仿宋_GB2312"/>
                      <w:sz w:val="20"/>
                    </w:rPr>
                    <w:t>24</w:t>
                  </w:r>
                  <w:r>
                    <w:rPr>
                      <w:rFonts w:ascii="仿宋_GB2312" w:hAnsi="仿宋_GB2312" w:cs="仿宋_GB2312" w:eastAsia="仿宋_GB2312"/>
                      <w:sz w:val="20"/>
                    </w:rPr>
                    <w:t>小时监控并及时记录，发现问题</w:t>
                  </w:r>
                  <w:r>
                    <w:rPr>
                      <w:rFonts w:ascii="仿宋_GB2312" w:hAnsi="仿宋_GB2312" w:cs="仿宋_GB2312" w:eastAsia="仿宋_GB2312"/>
                      <w:sz w:val="20"/>
                    </w:rPr>
                    <w:t>30</w:t>
                  </w:r>
                  <w:r>
                    <w:rPr>
                      <w:rFonts w:ascii="仿宋_GB2312" w:hAnsi="仿宋_GB2312" w:cs="仿宋_GB2312" w:eastAsia="仿宋_GB2312"/>
                      <w:sz w:val="20"/>
                    </w:rPr>
                    <w:t>分钟内有专人到现场处理，对重点区域、重点部位有巡查并记录</w:t>
                  </w:r>
                </w:p>
              </w:tc>
              <w:tc>
                <w:tcPr>
                  <w:tcW w:type="dxa" w:w="426"/>
                  <w:tcMar>
                    <w:top w:type="dxa" w:w="0"/>
                    <w:left w:type="dxa" w:w="0"/>
                    <w:bottom w:type="dxa" w:w="0"/>
                    <w:right w:type="dxa" w:w="0"/>
                  </w:tcMar>
                </w:tcPr>
                <w:p>
                  <w:pPr>
                    <w:pStyle w:val="null3"/>
                    <w:spacing w:after="75"/>
                    <w:jc w:val="center"/>
                  </w:pPr>
                  <w:r>
                    <w:rPr>
                      <w:rFonts w:ascii="仿宋_GB2312" w:hAnsi="仿宋_GB2312" w:cs="仿宋_GB2312" w:eastAsia="仿宋_GB2312"/>
                      <w:sz w:val="20"/>
                    </w:rPr>
                    <w:t>4</w:t>
                  </w:r>
                </w:p>
              </w:tc>
              <w:tc>
                <w:tcPr>
                  <w:tcW w:type="dxa" w:w="1314"/>
                  <w:tcMar>
                    <w:top w:type="dxa" w:w="0"/>
                    <w:left w:type="dxa" w:w="0"/>
                    <w:bottom w:type="dxa" w:w="0"/>
                    <w:right w:type="dxa" w:w="0"/>
                  </w:tcMar>
                  <w:vAlign w:val="top"/>
                </w:tcPr>
                <w:p>
                  <w:pPr>
                    <w:pStyle w:val="null3"/>
                    <w:spacing w:after="75"/>
                    <w:jc w:val="left"/>
                  </w:pPr>
                  <w:r>
                    <w:rPr>
                      <w:rFonts w:ascii="仿宋_GB2312" w:hAnsi="仿宋_GB2312" w:cs="仿宋_GB2312" w:eastAsia="仿宋_GB2312"/>
                      <w:sz w:val="20"/>
                    </w:rPr>
                    <w:t>无巡逻记录每项扣</w:t>
                  </w:r>
                  <w:r>
                    <w:rPr>
                      <w:rFonts w:ascii="仿宋_GB2312" w:hAnsi="仿宋_GB2312" w:cs="仿宋_GB2312" w:eastAsia="仿宋_GB2312"/>
                      <w:sz w:val="20"/>
                    </w:rPr>
                    <w:t>0.5</w:t>
                  </w:r>
                  <w:r>
                    <w:rPr>
                      <w:rFonts w:ascii="仿宋_GB2312" w:hAnsi="仿宋_GB2312" w:cs="仿宋_GB2312" w:eastAsia="仿宋_GB2312"/>
                      <w:sz w:val="20"/>
                    </w:rPr>
                    <w:t>分</w:t>
                  </w:r>
                </w:p>
              </w:tc>
              <w:tc>
                <w:tcPr>
                  <w:tcW w:type="dxa" w:w="513"/>
                  <w:tcMar>
                    <w:top w:type="dxa" w:w="0"/>
                    <w:left w:type="dxa" w:w="0"/>
                    <w:bottom w:type="dxa" w:w="0"/>
                    <w:right w:type="dxa" w:w="0"/>
                  </w:tcMar>
                  <w:vAlign w:val="top"/>
                </w:tcPr>
                <w:p>
                  <w:pPr>
                    <w:pStyle w:val="null3"/>
                    <w:spacing w:after="75"/>
                    <w:jc w:val="left"/>
                  </w:pPr>
                </w:p>
              </w:tc>
              <w:tc>
                <w:tcPr>
                  <w:tcW w:type="dxa" w:w="565"/>
                  <w:tcMar>
                    <w:top w:type="dxa" w:w="0"/>
                    <w:left w:type="dxa" w:w="0"/>
                    <w:bottom w:type="dxa" w:w="0"/>
                    <w:right w:type="dxa" w:w="0"/>
                  </w:tcMar>
                  <w:vAlign w:val="top"/>
                </w:tcPr>
                <w:p/>
              </w:tc>
              <w:tc>
                <w:tcPr>
                  <w:tcW w:type="dxa" w:w="548"/>
                  <w:tcMar>
                    <w:top w:type="dxa" w:w="0"/>
                    <w:left w:type="dxa" w:w="0"/>
                    <w:bottom w:type="dxa" w:w="0"/>
                    <w:right w:type="dxa" w:w="0"/>
                  </w:tcMar>
                  <w:vAlign w:val="top"/>
                </w:tcPr>
                <w:p/>
              </w:tc>
            </w:tr>
            <w:tr>
              <w:tc>
                <w:tcPr>
                  <w:tcW w:type="dxa" w:w="522"/>
                  <w:vMerge/>
                  <w:tcBorders>
                    <w:top w:val="inset" w:color="000000" w:sz="4"/>
                    <w:left w:val="inset" w:color="000000" w:sz="4"/>
                    <w:bottom w:val="none" w:color="000000" w:sz="4"/>
                    <w:right w:val="inset" w:color="000000" w:sz="4"/>
                  </w:tcBorders>
                </w:tcPr>
                <w:p/>
              </w:tc>
              <w:tc>
                <w:tcPr>
                  <w:tcW w:type="dxa" w:w="1697"/>
                  <w:tcMar>
                    <w:top w:type="dxa" w:w="0"/>
                    <w:left w:type="dxa" w:w="0"/>
                    <w:bottom w:type="dxa" w:w="0"/>
                    <w:right w:type="dxa" w:w="0"/>
                  </w:tcMar>
                  <w:vAlign w:val="top"/>
                </w:tcPr>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、对火灾、治安、公共卫生等突发事件有应急预案，事发时及时告知相关业主并报告有关部门，同时协助采取相应措施</w:t>
                  </w:r>
                </w:p>
              </w:tc>
              <w:tc>
                <w:tcPr>
                  <w:tcW w:type="dxa" w:w="426"/>
                  <w:tcMar>
                    <w:top w:type="dxa" w:w="0"/>
                    <w:left w:type="dxa" w:w="0"/>
                    <w:bottom w:type="dxa" w:w="0"/>
                    <w:right w:type="dxa" w:w="0"/>
                  </w:tcMar>
                </w:tcPr>
                <w:p>
                  <w:pPr>
                    <w:pStyle w:val="null3"/>
                    <w:spacing w:after="75"/>
                    <w:jc w:val="center"/>
                  </w:pPr>
                  <w:r>
                    <w:rPr>
                      <w:rFonts w:ascii="仿宋_GB2312" w:hAnsi="仿宋_GB2312" w:cs="仿宋_GB2312" w:eastAsia="仿宋_GB2312"/>
                      <w:sz w:val="20"/>
                    </w:rPr>
                    <w:t>3</w:t>
                  </w:r>
                </w:p>
              </w:tc>
              <w:tc>
                <w:tcPr>
                  <w:tcW w:type="dxa" w:w="1314"/>
                  <w:tcMar>
                    <w:top w:type="dxa" w:w="0"/>
                    <w:left w:type="dxa" w:w="0"/>
                    <w:bottom w:type="dxa" w:w="0"/>
                    <w:right w:type="dxa" w:w="0"/>
                  </w:tcMar>
                  <w:vAlign w:val="top"/>
                </w:tcPr>
                <w:p>
                  <w:pPr>
                    <w:pStyle w:val="null3"/>
                    <w:spacing w:after="75"/>
                    <w:jc w:val="left"/>
                  </w:pPr>
                  <w:r>
                    <w:rPr>
                      <w:rFonts w:ascii="仿宋_GB2312" w:hAnsi="仿宋_GB2312" w:cs="仿宋_GB2312" w:eastAsia="仿宋_GB2312"/>
                      <w:sz w:val="20"/>
                    </w:rPr>
                    <w:t>制度不全或不落实的每项扣</w:t>
                  </w:r>
                  <w:r>
                    <w:rPr>
                      <w:rFonts w:ascii="仿宋_GB2312" w:hAnsi="仿宋_GB2312" w:cs="仿宋_GB2312" w:eastAsia="仿宋_GB2312"/>
                      <w:sz w:val="20"/>
                    </w:rPr>
                    <w:t>1.0</w:t>
                  </w:r>
                  <w:r>
                    <w:rPr>
                      <w:rFonts w:ascii="仿宋_GB2312" w:hAnsi="仿宋_GB2312" w:cs="仿宋_GB2312" w:eastAsia="仿宋_GB2312"/>
                      <w:sz w:val="20"/>
                    </w:rPr>
                    <w:t>分，不符合扣</w:t>
                  </w:r>
                  <w:r>
                    <w:rPr>
                      <w:rFonts w:ascii="仿宋_GB2312" w:hAnsi="仿宋_GB2312" w:cs="仿宋_GB2312" w:eastAsia="仿宋_GB2312"/>
                      <w:sz w:val="20"/>
                    </w:rPr>
                    <w:t>0.5</w:t>
                  </w:r>
                  <w:r>
                    <w:rPr>
                      <w:rFonts w:ascii="仿宋_GB2312" w:hAnsi="仿宋_GB2312" w:cs="仿宋_GB2312" w:eastAsia="仿宋_GB2312"/>
                      <w:sz w:val="20"/>
                    </w:rPr>
                    <w:t>分</w:t>
                  </w:r>
                </w:p>
              </w:tc>
              <w:tc>
                <w:tcPr>
                  <w:tcW w:type="dxa" w:w="513"/>
                  <w:tcMar>
                    <w:top w:type="dxa" w:w="0"/>
                    <w:left w:type="dxa" w:w="0"/>
                    <w:bottom w:type="dxa" w:w="0"/>
                    <w:right w:type="dxa" w:w="0"/>
                  </w:tcMar>
                  <w:vAlign w:val="top"/>
                </w:tcPr>
                <w:p>
                  <w:pPr>
                    <w:pStyle w:val="null3"/>
                    <w:spacing w:after="75"/>
                    <w:jc w:val="left"/>
                  </w:pPr>
                </w:p>
              </w:tc>
              <w:tc>
                <w:tcPr>
                  <w:tcW w:type="dxa" w:w="565"/>
                  <w:tcMar>
                    <w:top w:type="dxa" w:w="0"/>
                    <w:left w:type="dxa" w:w="0"/>
                    <w:bottom w:type="dxa" w:w="0"/>
                    <w:right w:type="dxa" w:w="0"/>
                  </w:tcMar>
                  <w:vAlign w:val="top"/>
                </w:tcPr>
                <w:p/>
              </w:tc>
              <w:tc>
                <w:tcPr>
                  <w:tcW w:type="dxa" w:w="548"/>
                  <w:tcMar>
                    <w:top w:type="dxa" w:w="0"/>
                    <w:left w:type="dxa" w:w="0"/>
                    <w:bottom w:type="dxa" w:w="0"/>
                    <w:right w:type="dxa" w:w="0"/>
                  </w:tcMar>
                  <w:vAlign w:val="top"/>
                </w:tcPr>
                <w:p/>
              </w:tc>
            </w:tr>
            <w:tr>
              <w:tc>
                <w:tcPr>
                  <w:tcW w:type="dxa" w:w="522"/>
                  <w:vMerge w:val="restart"/>
                  <w:tcMar>
                    <w:top w:type="dxa" w:w="0"/>
                    <w:left w:type="dxa" w:w="0"/>
                    <w:bottom w:type="dxa" w:w="0"/>
                    <w:right w:type="dxa" w:w="0"/>
                  </w:tcMar>
                </w:tcPr>
                <w:p>
                  <w:pPr>
                    <w:pStyle w:val="null3"/>
                    <w:jc w:val="center"/>
                  </w:pPr>
                  <w:r>
                    <w:rPr>
                      <w:rFonts w:ascii="仿宋_GB2312" w:hAnsi="仿宋_GB2312" w:cs="仿宋_GB2312" w:eastAsia="仿宋_GB2312"/>
                      <w:sz w:val="18"/>
                      <w:b/>
                    </w:rPr>
                    <w:t>三</w:t>
                  </w:r>
                </w:p>
              </w:tc>
              <w:tc>
                <w:tcPr>
                  <w:tcW w:type="dxa" w:w="1697"/>
                  <w:tcMar>
                    <w:top w:type="dxa" w:w="0"/>
                    <w:left w:type="dxa" w:w="0"/>
                    <w:bottom w:type="dxa" w:w="0"/>
                    <w:right w:type="dxa" w:w="0"/>
                  </w:tcMar>
                  <w:vAlign w:val="top"/>
                </w:tcPr>
                <w:p>
                  <w:pPr>
                    <w:pStyle w:val="null3"/>
                    <w:spacing w:after="75"/>
                    <w:jc w:val="left"/>
                  </w:pPr>
                  <w:r>
                    <w:rPr>
                      <w:rFonts w:ascii="仿宋_GB2312" w:hAnsi="仿宋_GB2312" w:cs="仿宋_GB2312" w:eastAsia="仿宋_GB2312"/>
                      <w:sz w:val="20"/>
                      <w:b/>
                    </w:rPr>
                    <w:t>维修养护</w:t>
                  </w:r>
                </w:p>
              </w:tc>
              <w:tc>
                <w:tcPr>
                  <w:tcW w:type="dxa" w:w="426"/>
                  <w:tcMar>
                    <w:top w:type="dxa" w:w="0"/>
                    <w:left w:type="dxa" w:w="0"/>
                    <w:bottom w:type="dxa" w:w="0"/>
                    <w:right w:type="dxa" w:w="0"/>
                  </w:tcMar>
                </w:tcPr>
                <w:p>
                  <w:pPr>
                    <w:pStyle w:val="null3"/>
                    <w:spacing w:after="75"/>
                    <w:jc w:val="center"/>
                  </w:pPr>
                  <w:r>
                    <w:rPr>
                      <w:rFonts w:ascii="仿宋_GB2312" w:hAnsi="仿宋_GB2312" w:cs="仿宋_GB2312" w:eastAsia="仿宋_GB2312"/>
                      <w:sz w:val="20"/>
                      <w:b/>
                    </w:rPr>
                    <w:t>26</w:t>
                  </w:r>
                </w:p>
              </w:tc>
              <w:tc>
                <w:tcPr>
                  <w:tcW w:type="dxa" w:w="1314"/>
                  <w:tcMar>
                    <w:top w:type="dxa" w:w="0"/>
                    <w:left w:type="dxa" w:w="0"/>
                    <w:bottom w:type="dxa" w:w="0"/>
                    <w:right w:type="dxa" w:w="0"/>
                  </w:tcMar>
                  <w:vAlign w:val="top"/>
                </w:tcPr>
                <w:p>
                  <w:pPr>
                    <w:pStyle w:val="null3"/>
                    <w:spacing w:after="75"/>
                    <w:jc w:val="left"/>
                  </w:pPr>
                  <w:r>
                    <w:rPr>
                      <w:rFonts w:ascii="仿宋_GB2312" w:hAnsi="仿宋_GB2312" w:cs="仿宋_GB2312" w:eastAsia="仿宋_GB2312"/>
                      <w:sz w:val="21"/>
                    </w:rPr>
                    <w:t>　</w:t>
                  </w:r>
                </w:p>
              </w:tc>
              <w:tc>
                <w:tcPr>
                  <w:tcW w:type="dxa" w:w="513"/>
                  <w:tcMar>
                    <w:top w:type="dxa" w:w="0"/>
                    <w:left w:type="dxa" w:w="0"/>
                    <w:bottom w:type="dxa" w:w="0"/>
                    <w:right w:type="dxa" w:w="0"/>
                  </w:tcMar>
                  <w:vAlign w:val="top"/>
                </w:tcPr>
                <w:p>
                  <w:pPr>
                    <w:pStyle w:val="null3"/>
                    <w:spacing w:after="75"/>
                    <w:jc w:val="left"/>
                  </w:pPr>
                </w:p>
              </w:tc>
              <w:tc>
                <w:tcPr>
                  <w:tcW w:type="dxa" w:w="565"/>
                  <w:tcMar>
                    <w:top w:type="dxa" w:w="0"/>
                    <w:left w:type="dxa" w:w="0"/>
                    <w:bottom w:type="dxa" w:w="0"/>
                    <w:right w:type="dxa" w:w="0"/>
                  </w:tcMar>
                  <w:vAlign w:val="top"/>
                </w:tcPr>
                <w:p/>
              </w:tc>
              <w:tc>
                <w:tcPr>
                  <w:tcW w:type="dxa" w:w="548"/>
                  <w:tcMar>
                    <w:top w:type="dxa" w:w="0"/>
                    <w:left w:type="dxa" w:w="0"/>
                    <w:bottom w:type="dxa" w:w="0"/>
                    <w:right w:type="dxa" w:w="0"/>
                  </w:tcMar>
                  <w:vAlign w:val="top"/>
                </w:tcPr>
                <w:p/>
              </w:tc>
            </w:tr>
            <w:tr>
              <w:tc>
                <w:tcPr>
                  <w:tcW w:type="dxa" w:w="522"/>
                  <w:vMerge/>
                </w:tcPr>
                <w:p/>
              </w:tc>
              <w:tc>
                <w:tcPr>
                  <w:tcW w:type="dxa" w:w="1697"/>
                  <w:tcMar>
                    <w:top w:type="dxa" w:w="0"/>
                    <w:left w:type="dxa" w:w="0"/>
                    <w:bottom w:type="dxa" w:w="0"/>
                    <w:right w:type="dxa" w:w="0"/>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1-12</w:t>
                  </w:r>
                  <w:r>
                    <w:rPr>
                      <w:rFonts w:ascii="仿宋_GB2312" w:hAnsi="仿宋_GB2312" w:cs="仿宋_GB2312" w:eastAsia="仿宋_GB2312"/>
                      <w:sz w:val="20"/>
                    </w:rPr>
                    <w:t>层</w:t>
                  </w:r>
                  <w:r>
                    <w:rPr>
                      <w:rFonts w:ascii="仿宋_GB2312" w:hAnsi="仿宋_GB2312" w:cs="仿宋_GB2312" w:eastAsia="仿宋_GB2312"/>
                      <w:sz w:val="20"/>
                      <w:color w:val="FF0000"/>
                    </w:rPr>
                    <w:t>专用</w:t>
                  </w:r>
                  <w:r>
                    <w:rPr>
                      <w:rFonts w:ascii="仿宋_GB2312" w:hAnsi="仿宋_GB2312" w:cs="仿宋_GB2312" w:eastAsia="仿宋_GB2312"/>
                      <w:sz w:val="20"/>
                    </w:rPr>
                    <w:t>部分外观完好、整洁，符合原设计要求；内墙砖、涂料等装饰材料无脱落、无污迹</w:t>
                  </w:r>
                </w:p>
              </w:tc>
              <w:tc>
                <w:tcPr>
                  <w:tcW w:type="dxa" w:w="426"/>
                  <w:tcMar>
                    <w:top w:type="dxa" w:w="0"/>
                    <w:left w:type="dxa" w:w="0"/>
                    <w:bottom w:type="dxa" w:w="0"/>
                    <w:right w:type="dxa" w:w="0"/>
                  </w:tcMar>
                </w:tcPr>
                <w:p>
                  <w:pPr>
                    <w:pStyle w:val="null3"/>
                    <w:spacing w:after="75"/>
                    <w:jc w:val="center"/>
                  </w:pPr>
                  <w:r>
                    <w:rPr>
                      <w:rFonts w:ascii="仿宋_GB2312" w:hAnsi="仿宋_GB2312" w:cs="仿宋_GB2312" w:eastAsia="仿宋_GB2312"/>
                      <w:sz w:val="20"/>
                    </w:rPr>
                    <w:t>5</w:t>
                  </w:r>
                </w:p>
              </w:tc>
              <w:tc>
                <w:tcPr>
                  <w:tcW w:type="dxa" w:w="1314"/>
                  <w:tcMar>
                    <w:top w:type="dxa" w:w="0"/>
                    <w:left w:type="dxa" w:w="0"/>
                    <w:bottom w:type="dxa" w:w="0"/>
                    <w:right w:type="dxa" w:w="0"/>
                  </w:tcMar>
                  <w:vAlign w:val="top"/>
                </w:tcPr>
                <w:p>
                  <w:pPr>
                    <w:pStyle w:val="null3"/>
                    <w:spacing w:after="75"/>
                    <w:jc w:val="left"/>
                  </w:pPr>
                  <w:r>
                    <w:rPr>
                      <w:rFonts w:ascii="仿宋_GB2312" w:hAnsi="仿宋_GB2312" w:cs="仿宋_GB2312" w:eastAsia="仿宋_GB2312"/>
                      <w:sz w:val="20"/>
                    </w:rPr>
                    <w:t>每发现一处不完好、不整洁、脱落、污损扣</w:t>
                  </w:r>
                  <w:r>
                    <w:rPr>
                      <w:rFonts w:ascii="仿宋_GB2312" w:hAnsi="仿宋_GB2312" w:cs="仿宋_GB2312" w:eastAsia="仿宋_GB2312"/>
                      <w:sz w:val="20"/>
                    </w:rPr>
                    <w:t>0.2</w:t>
                  </w:r>
                  <w:r>
                    <w:rPr>
                      <w:rFonts w:ascii="仿宋_GB2312" w:hAnsi="仿宋_GB2312" w:cs="仿宋_GB2312" w:eastAsia="仿宋_GB2312"/>
                      <w:sz w:val="20"/>
                    </w:rPr>
                    <w:t>分</w:t>
                  </w:r>
                </w:p>
              </w:tc>
              <w:tc>
                <w:tcPr>
                  <w:tcW w:type="dxa" w:w="513"/>
                  <w:tcMar>
                    <w:top w:type="dxa" w:w="0"/>
                    <w:left w:type="dxa" w:w="0"/>
                    <w:bottom w:type="dxa" w:w="0"/>
                    <w:right w:type="dxa" w:w="0"/>
                  </w:tcMar>
                  <w:vAlign w:val="top"/>
                </w:tcPr>
                <w:p>
                  <w:pPr>
                    <w:pStyle w:val="null3"/>
                    <w:spacing w:after="75"/>
                    <w:jc w:val="left"/>
                  </w:pPr>
                </w:p>
              </w:tc>
              <w:tc>
                <w:tcPr>
                  <w:tcW w:type="dxa" w:w="565"/>
                  <w:tcMar>
                    <w:top w:type="dxa" w:w="0"/>
                    <w:left w:type="dxa" w:w="0"/>
                    <w:bottom w:type="dxa" w:w="0"/>
                    <w:right w:type="dxa" w:w="0"/>
                  </w:tcMar>
                  <w:vAlign w:val="top"/>
                </w:tcPr>
                <w:p/>
              </w:tc>
              <w:tc>
                <w:tcPr>
                  <w:tcW w:type="dxa" w:w="548"/>
                  <w:tcMar>
                    <w:top w:type="dxa" w:w="0"/>
                    <w:left w:type="dxa" w:w="0"/>
                    <w:bottom w:type="dxa" w:w="0"/>
                    <w:right w:type="dxa" w:w="0"/>
                  </w:tcMar>
                  <w:vAlign w:val="top"/>
                </w:tcPr>
                <w:p>
                  <w:pPr>
                    <w:pStyle w:val="null3"/>
                    <w:jc w:val="left"/>
                  </w:pPr>
                  <w:r>
                    <w:rPr>
                      <w:rFonts w:ascii="仿宋_GB2312" w:hAnsi="仿宋_GB2312" w:cs="仿宋_GB2312" w:eastAsia="仿宋_GB2312"/>
                      <w:sz w:val="18"/>
                    </w:rPr>
                    <w:t>检查发现后及时汇报</w:t>
                  </w:r>
                </w:p>
              </w:tc>
            </w:tr>
            <w:tr>
              <w:tc>
                <w:tcPr>
                  <w:tcW w:type="dxa" w:w="522"/>
                  <w:vMerge/>
                </w:tcPr>
                <w:p/>
              </w:tc>
              <w:tc>
                <w:tcPr>
                  <w:tcW w:type="dxa" w:w="1697"/>
                  <w:tcMar>
                    <w:top w:type="dxa" w:w="0"/>
                    <w:left w:type="dxa" w:w="0"/>
                    <w:bottom w:type="dxa" w:w="0"/>
                    <w:right w:type="dxa" w:w="0"/>
                  </w:tcMar>
                  <w:vAlign w:val="top"/>
                </w:tcPr>
                <w:p>
                  <w:pPr>
                    <w:pStyle w:val="null3"/>
                    <w:spacing w:after="75"/>
                    <w:jc w:val="left"/>
                  </w:pPr>
                  <w:r>
                    <w:rPr>
                      <w:rFonts w:ascii="仿宋_GB2312" w:hAnsi="仿宋_GB2312" w:cs="仿宋_GB2312" w:eastAsia="仿宋_GB2312"/>
                      <w:sz w:val="20"/>
                    </w:rPr>
                    <w:t>2</w:t>
                  </w:r>
                  <w:r>
                    <w:rPr>
                      <w:rFonts w:ascii="仿宋_GB2312" w:hAnsi="仿宋_GB2312" w:cs="仿宋_GB2312" w:eastAsia="仿宋_GB2312"/>
                      <w:sz w:val="20"/>
                    </w:rPr>
                    <w:t>、每半年编制一次</w:t>
                  </w:r>
                  <w:r>
                    <w:rPr>
                      <w:rFonts w:ascii="仿宋_GB2312" w:hAnsi="仿宋_GB2312" w:cs="仿宋_GB2312" w:eastAsia="仿宋_GB2312"/>
                      <w:sz w:val="20"/>
                    </w:rPr>
                    <w:t>1-12</w:t>
                  </w:r>
                  <w:r>
                    <w:rPr>
                      <w:rFonts w:ascii="仿宋_GB2312" w:hAnsi="仿宋_GB2312" w:cs="仿宋_GB2312" w:eastAsia="仿宋_GB2312"/>
                      <w:sz w:val="20"/>
                    </w:rPr>
                    <w:t>层</w:t>
                  </w:r>
                  <w:r>
                    <w:rPr>
                      <w:rFonts w:ascii="仿宋_GB2312" w:hAnsi="仿宋_GB2312" w:cs="仿宋_GB2312" w:eastAsia="仿宋_GB2312"/>
                      <w:sz w:val="20"/>
                      <w:color w:val="FF0000"/>
                    </w:rPr>
                    <w:t>专用</w:t>
                  </w:r>
                  <w:r>
                    <w:rPr>
                      <w:rFonts w:ascii="仿宋_GB2312" w:hAnsi="仿宋_GB2312" w:cs="仿宋_GB2312" w:eastAsia="仿宋_GB2312"/>
                      <w:sz w:val="20"/>
                    </w:rPr>
                    <w:t>部分日常管理和养护计划，每日至少巡查一次专有部分通道的门窗、玻璃、等，并做好巡查记录，有损坏现象的一周内恢复正常，并及时维修养护，巡查、维修记录和保养记录齐全</w:t>
                  </w:r>
                </w:p>
              </w:tc>
              <w:tc>
                <w:tcPr>
                  <w:tcW w:type="dxa" w:w="426"/>
                  <w:tcMar>
                    <w:top w:type="dxa" w:w="0"/>
                    <w:left w:type="dxa" w:w="0"/>
                    <w:bottom w:type="dxa" w:w="0"/>
                    <w:right w:type="dxa" w:w="0"/>
                  </w:tcMar>
                </w:tcPr>
                <w:p>
                  <w:pPr>
                    <w:pStyle w:val="null3"/>
                    <w:spacing w:after="75"/>
                    <w:jc w:val="center"/>
                  </w:pPr>
                  <w:r>
                    <w:rPr>
                      <w:rFonts w:ascii="仿宋_GB2312" w:hAnsi="仿宋_GB2312" w:cs="仿宋_GB2312" w:eastAsia="仿宋_GB2312"/>
                      <w:sz w:val="20"/>
                    </w:rPr>
                    <w:t>5</w:t>
                  </w:r>
                </w:p>
              </w:tc>
              <w:tc>
                <w:tcPr>
                  <w:tcW w:type="dxa" w:w="1314"/>
                  <w:tcMar>
                    <w:top w:type="dxa" w:w="0"/>
                    <w:left w:type="dxa" w:w="0"/>
                    <w:bottom w:type="dxa" w:w="0"/>
                    <w:right w:type="dxa" w:w="0"/>
                  </w:tcMar>
                  <w:vAlign w:val="top"/>
                </w:tcPr>
                <w:p>
                  <w:pPr>
                    <w:pStyle w:val="null3"/>
                    <w:spacing w:after="75"/>
                    <w:jc w:val="left"/>
                  </w:pPr>
                  <w:r>
                    <w:rPr>
                      <w:rFonts w:ascii="仿宋_GB2312" w:hAnsi="仿宋_GB2312" w:cs="仿宋_GB2312" w:eastAsia="仿宋_GB2312"/>
                      <w:sz w:val="20"/>
                    </w:rPr>
                    <w:t>每发现一处不符合扣</w:t>
                  </w:r>
                  <w:r>
                    <w:rPr>
                      <w:rFonts w:ascii="仿宋_GB2312" w:hAnsi="仿宋_GB2312" w:cs="仿宋_GB2312" w:eastAsia="仿宋_GB2312"/>
                      <w:sz w:val="20"/>
                    </w:rPr>
                    <w:t>0.2</w:t>
                  </w:r>
                  <w:r>
                    <w:rPr>
                      <w:rFonts w:ascii="仿宋_GB2312" w:hAnsi="仿宋_GB2312" w:cs="仿宋_GB2312" w:eastAsia="仿宋_GB2312"/>
                      <w:sz w:val="20"/>
                    </w:rPr>
                    <w:t>分</w:t>
                  </w:r>
                </w:p>
              </w:tc>
              <w:tc>
                <w:tcPr>
                  <w:tcW w:type="dxa" w:w="513"/>
                  <w:tcMar>
                    <w:top w:type="dxa" w:w="0"/>
                    <w:left w:type="dxa" w:w="0"/>
                    <w:bottom w:type="dxa" w:w="0"/>
                    <w:right w:type="dxa" w:w="0"/>
                  </w:tcMar>
                  <w:vAlign w:val="top"/>
                </w:tcPr>
                <w:p>
                  <w:pPr>
                    <w:pStyle w:val="null3"/>
                    <w:spacing w:after="75"/>
                    <w:jc w:val="left"/>
                  </w:pPr>
                </w:p>
              </w:tc>
              <w:tc>
                <w:tcPr>
                  <w:tcW w:type="dxa" w:w="565"/>
                  <w:tcMar>
                    <w:top w:type="dxa" w:w="0"/>
                    <w:left w:type="dxa" w:w="0"/>
                    <w:bottom w:type="dxa" w:w="0"/>
                    <w:right w:type="dxa" w:w="0"/>
                  </w:tcMar>
                  <w:vAlign w:val="top"/>
                </w:tcPr>
                <w:p/>
              </w:tc>
              <w:tc>
                <w:tcPr>
                  <w:tcW w:type="dxa" w:w="548"/>
                  <w:tcMar>
                    <w:top w:type="dxa" w:w="0"/>
                    <w:left w:type="dxa" w:w="0"/>
                    <w:bottom w:type="dxa" w:w="0"/>
                    <w:right w:type="dxa" w:w="0"/>
                  </w:tcMar>
                  <w:vAlign w:val="top"/>
                </w:tcPr>
                <w:p/>
              </w:tc>
            </w:tr>
            <w:tr>
              <w:tc>
                <w:tcPr>
                  <w:tcW w:type="dxa" w:w="522"/>
                  <w:vMerge/>
                </w:tcPr>
                <w:p/>
              </w:tc>
              <w:tc>
                <w:tcPr>
                  <w:tcW w:type="dxa" w:w="1697"/>
                  <w:tcMar>
                    <w:top w:type="dxa" w:w="0"/>
                    <w:left w:type="dxa" w:w="0"/>
                    <w:bottom w:type="dxa" w:w="0"/>
                    <w:right w:type="dxa" w:w="0"/>
                  </w:tcMar>
                  <w:vAlign w:val="top"/>
                </w:tcPr>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、协助做好</w:t>
                  </w:r>
                  <w:r>
                    <w:rPr>
                      <w:rFonts w:ascii="仿宋_GB2312" w:hAnsi="仿宋_GB2312" w:cs="仿宋_GB2312" w:eastAsia="仿宋_GB2312"/>
                      <w:sz w:val="20"/>
                    </w:rPr>
                    <w:t>1-12</w:t>
                  </w:r>
                  <w:r>
                    <w:rPr>
                      <w:rFonts w:ascii="仿宋_GB2312" w:hAnsi="仿宋_GB2312" w:cs="仿宋_GB2312" w:eastAsia="仿宋_GB2312"/>
                      <w:sz w:val="20"/>
                    </w:rPr>
                    <w:t>层</w:t>
                  </w:r>
                  <w:r>
                    <w:rPr>
                      <w:rFonts w:ascii="仿宋_GB2312" w:hAnsi="仿宋_GB2312" w:cs="仿宋_GB2312" w:eastAsia="仿宋_GB2312"/>
                      <w:sz w:val="20"/>
                      <w:color w:val="FF0000"/>
                    </w:rPr>
                    <w:t>专用</w:t>
                  </w:r>
                  <w:r>
                    <w:rPr>
                      <w:rFonts w:ascii="仿宋_GB2312" w:hAnsi="仿宋_GB2312" w:cs="仿宋_GB2312" w:eastAsia="仿宋_GB2312"/>
                      <w:sz w:val="20"/>
                    </w:rPr>
                    <w:t>部分设施设备的日常养护工作</w:t>
                  </w:r>
                </w:p>
              </w:tc>
              <w:tc>
                <w:tcPr>
                  <w:tcW w:type="dxa" w:w="426"/>
                  <w:tcMar>
                    <w:top w:type="dxa" w:w="0"/>
                    <w:left w:type="dxa" w:w="0"/>
                    <w:bottom w:type="dxa" w:w="0"/>
                    <w:right w:type="dxa" w:w="0"/>
                  </w:tcMar>
                </w:tcPr>
                <w:p>
                  <w:pPr>
                    <w:pStyle w:val="null3"/>
                    <w:spacing w:after="75"/>
                    <w:jc w:val="center"/>
                  </w:pPr>
                  <w:r>
                    <w:rPr>
                      <w:rFonts w:ascii="仿宋_GB2312" w:hAnsi="仿宋_GB2312" w:cs="仿宋_GB2312" w:eastAsia="仿宋_GB2312"/>
                      <w:sz w:val="20"/>
                    </w:rPr>
                    <w:t>5</w:t>
                  </w:r>
                </w:p>
              </w:tc>
              <w:tc>
                <w:tcPr>
                  <w:tcW w:type="dxa" w:w="1314"/>
                  <w:tcMar>
                    <w:top w:type="dxa" w:w="0"/>
                    <w:left w:type="dxa" w:w="0"/>
                    <w:bottom w:type="dxa" w:w="0"/>
                    <w:right w:type="dxa" w:w="0"/>
                  </w:tcMar>
                  <w:vAlign w:val="top"/>
                </w:tcPr>
                <w:p>
                  <w:pPr>
                    <w:pStyle w:val="null3"/>
                    <w:spacing w:after="75"/>
                    <w:jc w:val="left"/>
                  </w:pPr>
                  <w:r>
                    <w:rPr>
                      <w:rFonts w:ascii="仿宋_GB2312" w:hAnsi="仿宋_GB2312" w:cs="仿宋_GB2312" w:eastAsia="仿宋_GB2312"/>
                      <w:sz w:val="20"/>
                    </w:rPr>
                    <w:t>每发现一处不符合扣</w:t>
                  </w:r>
                  <w:r>
                    <w:rPr>
                      <w:rFonts w:ascii="仿宋_GB2312" w:hAnsi="仿宋_GB2312" w:cs="仿宋_GB2312" w:eastAsia="仿宋_GB2312"/>
                      <w:sz w:val="20"/>
                    </w:rPr>
                    <w:t>0.2</w:t>
                  </w:r>
                  <w:r>
                    <w:rPr>
                      <w:rFonts w:ascii="仿宋_GB2312" w:hAnsi="仿宋_GB2312" w:cs="仿宋_GB2312" w:eastAsia="仿宋_GB2312"/>
                      <w:sz w:val="20"/>
                    </w:rPr>
                    <w:t>分</w:t>
                  </w:r>
                </w:p>
              </w:tc>
              <w:tc>
                <w:tcPr>
                  <w:tcW w:type="dxa" w:w="513"/>
                  <w:tcMar>
                    <w:top w:type="dxa" w:w="0"/>
                    <w:left w:type="dxa" w:w="0"/>
                    <w:bottom w:type="dxa" w:w="0"/>
                    <w:right w:type="dxa" w:w="0"/>
                  </w:tcMar>
                  <w:vAlign w:val="top"/>
                </w:tcPr>
                <w:p>
                  <w:pPr>
                    <w:pStyle w:val="null3"/>
                    <w:spacing w:after="75"/>
                    <w:jc w:val="left"/>
                  </w:pPr>
                </w:p>
              </w:tc>
              <w:tc>
                <w:tcPr>
                  <w:tcW w:type="dxa" w:w="565"/>
                  <w:tcMar>
                    <w:top w:type="dxa" w:w="0"/>
                    <w:left w:type="dxa" w:w="0"/>
                    <w:bottom w:type="dxa" w:w="0"/>
                    <w:right w:type="dxa" w:w="0"/>
                  </w:tcMar>
                  <w:vAlign w:val="top"/>
                </w:tcPr>
                <w:p/>
              </w:tc>
              <w:tc>
                <w:tcPr>
                  <w:tcW w:type="dxa" w:w="548"/>
                  <w:tcMar>
                    <w:top w:type="dxa" w:w="0"/>
                    <w:left w:type="dxa" w:w="0"/>
                    <w:bottom w:type="dxa" w:w="0"/>
                    <w:right w:type="dxa" w:w="0"/>
                  </w:tcMar>
                  <w:vAlign w:val="top"/>
                </w:tcPr>
                <w:p/>
              </w:tc>
            </w:tr>
            <w:tr>
              <w:tc>
                <w:tcPr>
                  <w:tcW w:type="dxa" w:w="522"/>
                  <w:vMerge/>
                </w:tcPr>
                <w:p/>
              </w:tc>
              <w:tc>
                <w:tcPr>
                  <w:tcW w:type="dxa" w:w="1697"/>
                  <w:tcMar>
                    <w:top w:type="dxa" w:w="0"/>
                    <w:left w:type="dxa" w:w="0"/>
                    <w:bottom w:type="dxa" w:w="0"/>
                    <w:right w:type="dxa" w:w="0"/>
                  </w:tcMar>
                  <w:vAlign w:val="top"/>
                </w:tcPr>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、各类设施设备无安全隐患或破损</w:t>
                  </w:r>
                </w:p>
              </w:tc>
              <w:tc>
                <w:tcPr>
                  <w:tcW w:type="dxa" w:w="426"/>
                  <w:tcMar>
                    <w:top w:type="dxa" w:w="0"/>
                    <w:left w:type="dxa" w:w="0"/>
                    <w:bottom w:type="dxa" w:w="0"/>
                    <w:right w:type="dxa" w:w="0"/>
                  </w:tcMar>
                </w:tcPr>
                <w:p>
                  <w:pPr>
                    <w:pStyle w:val="null3"/>
                    <w:spacing w:after="75"/>
                    <w:jc w:val="center"/>
                  </w:pPr>
                  <w:r>
                    <w:rPr>
                      <w:rFonts w:ascii="仿宋_GB2312" w:hAnsi="仿宋_GB2312" w:cs="仿宋_GB2312" w:eastAsia="仿宋_GB2312"/>
                      <w:sz w:val="20"/>
                    </w:rPr>
                    <w:t>5</w:t>
                  </w:r>
                </w:p>
              </w:tc>
              <w:tc>
                <w:tcPr>
                  <w:tcW w:type="dxa" w:w="1314"/>
                  <w:tcMar>
                    <w:top w:type="dxa" w:w="0"/>
                    <w:left w:type="dxa" w:w="0"/>
                    <w:bottom w:type="dxa" w:w="0"/>
                    <w:right w:type="dxa" w:w="0"/>
                  </w:tcMar>
                  <w:vAlign w:val="top"/>
                </w:tcPr>
                <w:p>
                  <w:pPr>
                    <w:pStyle w:val="null3"/>
                    <w:spacing w:after="75"/>
                    <w:jc w:val="left"/>
                  </w:pPr>
                  <w:r>
                    <w:rPr>
                      <w:rFonts w:ascii="仿宋_GB2312" w:hAnsi="仿宋_GB2312" w:cs="仿宋_GB2312" w:eastAsia="仿宋_GB2312"/>
                      <w:sz w:val="20"/>
                    </w:rPr>
                    <w:t>每发现一处不整齐或有破损每处扣</w:t>
                  </w:r>
                  <w:r>
                    <w:rPr>
                      <w:rFonts w:ascii="仿宋_GB2312" w:hAnsi="仿宋_GB2312" w:cs="仿宋_GB2312" w:eastAsia="仿宋_GB2312"/>
                      <w:sz w:val="20"/>
                    </w:rPr>
                    <w:t>0.1</w:t>
                  </w:r>
                  <w:r>
                    <w:rPr>
                      <w:rFonts w:ascii="仿宋_GB2312" w:hAnsi="仿宋_GB2312" w:cs="仿宋_GB2312" w:eastAsia="仿宋_GB2312"/>
                      <w:sz w:val="20"/>
                    </w:rPr>
                    <w:t>分，有安全隐患每处扣</w:t>
                  </w:r>
                  <w:r>
                    <w:rPr>
                      <w:rFonts w:ascii="仿宋_GB2312" w:hAnsi="仿宋_GB2312" w:cs="仿宋_GB2312" w:eastAsia="仿宋_GB2312"/>
                      <w:sz w:val="20"/>
                    </w:rPr>
                    <w:t>0.5</w:t>
                  </w:r>
                  <w:r>
                    <w:rPr>
                      <w:rFonts w:ascii="仿宋_GB2312" w:hAnsi="仿宋_GB2312" w:cs="仿宋_GB2312" w:eastAsia="仿宋_GB2312"/>
                      <w:sz w:val="20"/>
                    </w:rPr>
                    <w:t>分</w:t>
                  </w:r>
                </w:p>
              </w:tc>
              <w:tc>
                <w:tcPr>
                  <w:tcW w:type="dxa" w:w="513"/>
                  <w:tcMar>
                    <w:top w:type="dxa" w:w="0"/>
                    <w:left w:type="dxa" w:w="0"/>
                    <w:bottom w:type="dxa" w:w="0"/>
                    <w:right w:type="dxa" w:w="0"/>
                  </w:tcMar>
                  <w:vAlign w:val="top"/>
                </w:tcPr>
                <w:p>
                  <w:pPr>
                    <w:pStyle w:val="null3"/>
                    <w:spacing w:after="75"/>
                    <w:jc w:val="left"/>
                  </w:pPr>
                </w:p>
              </w:tc>
              <w:tc>
                <w:tcPr>
                  <w:tcW w:type="dxa" w:w="565"/>
                  <w:tcMar>
                    <w:top w:type="dxa" w:w="0"/>
                    <w:left w:type="dxa" w:w="0"/>
                    <w:bottom w:type="dxa" w:w="0"/>
                    <w:right w:type="dxa" w:w="0"/>
                  </w:tcMar>
                  <w:vAlign w:val="top"/>
                </w:tcPr>
                <w:p/>
              </w:tc>
              <w:tc>
                <w:tcPr>
                  <w:tcW w:type="dxa" w:w="548"/>
                  <w:tcMar>
                    <w:top w:type="dxa" w:w="0"/>
                    <w:left w:type="dxa" w:w="0"/>
                    <w:bottom w:type="dxa" w:w="0"/>
                    <w:right w:type="dxa" w:w="0"/>
                  </w:tcMar>
                  <w:vAlign w:val="top"/>
                </w:tcPr>
                <w:p>
                  <w:pPr>
                    <w:pStyle w:val="null3"/>
                    <w:jc w:val="left"/>
                  </w:pPr>
                  <w:r>
                    <w:rPr>
                      <w:rFonts w:ascii="仿宋_GB2312" w:hAnsi="仿宋_GB2312" w:cs="仿宋_GB2312" w:eastAsia="仿宋_GB2312"/>
                      <w:sz w:val="18"/>
                    </w:rPr>
                    <w:t>检查发现后及时汇报业主</w:t>
                  </w:r>
                </w:p>
              </w:tc>
            </w:tr>
            <w:tr>
              <w:tc>
                <w:tcPr>
                  <w:tcW w:type="dxa" w:w="522"/>
                  <w:vMerge/>
                </w:tcPr>
                <w:p/>
              </w:tc>
              <w:tc>
                <w:tcPr>
                  <w:tcW w:type="dxa" w:w="1697"/>
                  <w:tcMar>
                    <w:top w:type="dxa" w:w="0"/>
                    <w:left w:type="dxa" w:w="0"/>
                    <w:bottom w:type="dxa" w:w="0"/>
                    <w:right w:type="dxa" w:w="0"/>
                  </w:tcMar>
                  <w:vAlign w:val="top"/>
                </w:tcPr>
                <w:p>
                  <w:pPr>
                    <w:pStyle w:val="null3"/>
                    <w:spacing w:after="75"/>
                    <w:jc w:val="left"/>
                  </w:pPr>
                  <w:r>
                    <w:rPr>
                      <w:rFonts w:ascii="仿宋_GB2312" w:hAnsi="仿宋_GB2312" w:cs="仿宋_GB2312" w:eastAsia="仿宋_GB2312"/>
                      <w:sz w:val="20"/>
                    </w:rPr>
                    <w:t>5</w:t>
                  </w:r>
                  <w:r>
                    <w:rPr>
                      <w:rFonts w:ascii="仿宋_GB2312" w:hAnsi="仿宋_GB2312" w:cs="仿宋_GB2312" w:eastAsia="仿宋_GB2312"/>
                      <w:sz w:val="20"/>
                    </w:rPr>
                    <w:t>、每周至少三次</w:t>
                  </w:r>
                  <w:r>
                    <w:rPr>
                      <w:rFonts w:ascii="仿宋_GB2312" w:hAnsi="仿宋_GB2312" w:cs="仿宋_GB2312" w:eastAsia="仿宋_GB2312"/>
                      <w:sz w:val="20"/>
                      <w:color w:val="FF0000"/>
                    </w:rPr>
                    <w:t>专用</w:t>
                  </w:r>
                  <w:r>
                    <w:rPr>
                      <w:rFonts w:ascii="仿宋_GB2312" w:hAnsi="仿宋_GB2312" w:cs="仿宋_GB2312" w:eastAsia="仿宋_GB2312"/>
                      <w:sz w:val="20"/>
                    </w:rPr>
                    <w:t>区域灯具检查，完好率不低于</w:t>
                  </w:r>
                  <w:r>
                    <w:rPr>
                      <w:rFonts w:ascii="仿宋_GB2312" w:hAnsi="仿宋_GB2312" w:cs="仿宋_GB2312" w:eastAsia="仿宋_GB2312"/>
                      <w:sz w:val="20"/>
                    </w:rPr>
                    <w:t>90%</w:t>
                  </w:r>
                  <w:r>
                    <w:rPr>
                      <w:rFonts w:ascii="仿宋_GB2312" w:hAnsi="仿宋_GB2312" w:cs="仿宋_GB2312" w:eastAsia="仿宋_GB2312"/>
                      <w:sz w:val="20"/>
                    </w:rPr>
                    <w:t>，并按规定时间定时开关</w:t>
                  </w:r>
                </w:p>
              </w:tc>
              <w:tc>
                <w:tcPr>
                  <w:tcW w:type="dxa" w:w="426"/>
                  <w:tcMar>
                    <w:top w:type="dxa" w:w="0"/>
                    <w:left w:type="dxa" w:w="0"/>
                    <w:bottom w:type="dxa" w:w="0"/>
                    <w:right w:type="dxa" w:w="0"/>
                  </w:tcMar>
                </w:tcPr>
                <w:p>
                  <w:pPr>
                    <w:pStyle w:val="null3"/>
                    <w:spacing w:after="75"/>
                    <w:jc w:val="center"/>
                  </w:pPr>
                  <w:r>
                    <w:rPr>
                      <w:rFonts w:ascii="仿宋_GB2312" w:hAnsi="仿宋_GB2312" w:cs="仿宋_GB2312" w:eastAsia="仿宋_GB2312"/>
                      <w:sz w:val="20"/>
                    </w:rPr>
                    <w:t>6</w:t>
                  </w:r>
                </w:p>
              </w:tc>
              <w:tc>
                <w:tcPr>
                  <w:tcW w:type="dxa" w:w="1314"/>
                  <w:tcMar>
                    <w:top w:type="dxa" w:w="0"/>
                    <w:left w:type="dxa" w:w="0"/>
                    <w:bottom w:type="dxa" w:w="0"/>
                    <w:right w:type="dxa" w:w="0"/>
                  </w:tcMar>
                  <w:vAlign w:val="top"/>
                </w:tcPr>
                <w:p>
                  <w:pPr>
                    <w:pStyle w:val="null3"/>
                    <w:spacing w:after="75"/>
                    <w:jc w:val="left"/>
                  </w:pPr>
                  <w:r>
                    <w:rPr>
                      <w:rFonts w:ascii="仿宋_GB2312" w:hAnsi="仿宋_GB2312" w:cs="仿宋_GB2312" w:eastAsia="仿宋_GB2312"/>
                      <w:sz w:val="20"/>
                    </w:rPr>
                    <w:t>每发现一处不符合扣</w:t>
                  </w:r>
                  <w:r>
                    <w:rPr>
                      <w:rFonts w:ascii="仿宋_GB2312" w:hAnsi="仿宋_GB2312" w:cs="仿宋_GB2312" w:eastAsia="仿宋_GB2312"/>
                      <w:sz w:val="20"/>
                    </w:rPr>
                    <w:t>0.2</w:t>
                  </w:r>
                  <w:r>
                    <w:rPr>
                      <w:rFonts w:ascii="仿宋_GB2312" w:hAnsi="仿宋_GB2312" w:cs="仿宋_GB2312" w:eastAsia="仿宋_GB2312"/>
                      <w:sz w:val="20"/>
                    </w:rPr>
                    <w:t>分，完好率低于要求扣</w:t>
                  </w:r>
                  <w:r>
                    <w:rPr>
                      <w:rFonts w:ascii="仿宋_GB2312" w:hAnsi="仿宋_GB2312" w:cs="仿宋_GB2312" w:eastAsia="仿宋_GB2312"/>
                      <w:sz w:val="20"/>
                    </w:rPr>
                    <w:t>1.0</w:t>
                  </w:r>
                  <w:r>
                    <w:rPr>
                      <w:rFonts w:ascii="仿宋_GB2312" w:hAnsi="仿宋_GB2312" w:cs="仿宋_GB2312" w:eastAsia="仿宋_GB2312"/>
                      <w:sz w:val="20"/>
                    </w:rPr>
                    <w:t>分</w:t>
                  </w:r>
                </w:p>
              </w:tc>
              <w:tc>
                <w:tcPr>
                  <w:tcW w:type="dxa" w:w="513"/>
                  <w:tcMar>
                    <w:top w:type="dxa" w:w="0"/>
                    <w:left w:type="dxa" w:w="0"/>
                    <w:bottom w:type="dxa" w:w="0"/>
                    <w:right w:type="dxa" w:w="0"/>
                  </w:tcMar>
                  <w:vAlign w:val="top"/>
                </w:tcPr>
                <w:p>
                  <w:pPr>
                    <w:pStyle w:val="null3"/>
                    <w:spacing w:after="75"/>
                    <w:jc w:val="left"/>
                  </w:pPr>
                </w:p>
              </w:tc>
              <w:tc>
                <w:tcPr>
                  <w:tcW w:type="dxa" w:w="565"/>
                  <w:tcMar>
                    <w:top w:type="dxa" w:w="0"/>
                    <w:left w:type="dxa" w:w="0"/>
                    <w:bottom w:type="dxa" w:w="0"/>
                    <w:right w:type="dxa" w:w="0"/>
                  </w:tcMar>
                  <w:vAlign w:val="top"/>
                </w:tcPr>
                <w:p/>
              </w:tc>
              <w:tc>
                <w:tcPr>
                  <w:tcW w:type="dxa" w:w="548"/>
                  <w:tcMar>
                    <w:top w:type="dxa" w:w="0"/>
                    <w:left w:type="dxa" w:w="0"/>
                    <w:bottom w:type="dxa" w:w="0"/>
                    <w:right w:type="dxa" w:w="0"/>
                  </w:tcMar>
                  <w:vAlign w:val="top"/>
                </w:tcPr>
                <w:p/>
              </w:tc>
            </w:tr>
            <w:tr>
              <w:tc>
                <w:tcPr>
                  <w:tcW w:type="dxa" w:w="522"/>
                  <w:vMerge w:val="restart"/>
                  <w:tcMar>
                    <w:top w:type="dxa" w:w="0"/>
                    <w:left w:type="dxa" w:w="0"/>
                    <w:bottom w:type="dxa" w:w="0"/>
                    <w:right w:type="dxa" w:w="0"/>
                  </w:tcMar>
                </w:tcPr>
                <w:p>
                  <w:pPr>
                    <w:pStyle w:val="null3"/>
                    <w:jc w:val="center"/>
                  </w:pPr>
                  <w:r>
                    <w:rPr>
                      <w:rFonts w:ascii="仿宋_GB2312" w:hAnsi="仿宋_GB2312" w:cs="仿宋_GB2312" w:eastAsia="仿宋_GB2312"/>
                      <w:sz w:val="18"/>
                      <w:b/>
                    </w:rPr>
                    <w:t>四</w:t>
                  </w:r>
                </w:p>
              </w:tc>
              <w:tc>
                <w:tcPr>
                  <w:tcW w:type="dxa" w:w="1697"/>
                  <w:tcMar>
                    <w:top w:type="dxa" w:w="0"/>
                    <w:left w:type="dxa" w:w="0"/>
                    <w:bottom w:type="dxa" w:w="0"/>
                    <w:right w:type="dxa" w:w="0"/>
                  </w:tcMar>
                  <w:vAlign w:val="top"/>
                </w:tcPr>
                <w:p>
                  <w:pPr>
                    <w:pStyle w:val="null3"/>
                    <w:spacing w:after="75"/>
                    <w:jc w:val="left"/>
                  </w:pPr>
                  <w:r>
                    <w:rPr>
                      <w:rFonts w:ascii="仿宋_GB2312" w:hAnsi="仿宋_GB2312" w:cs="仿宋_GB2312" w:eastAsia="仿宋_GB2312"/>
                      <w:sz w:val="20"/>
                      <w:b/>
                    </w:rPr>
                    <w:t>公共区域卫生清洁服务</w:t>
                  </w:r>
                </w:p>
              </w:tc>
              <w:tc>
                <w:tcPr>
                  <w:tcW w:type="dxa" w:w="426"/>
                  <w:tcMar>
                    <w:top w:type="dxa" w:w="0"/>
                    <w:left w:type="dxa" w:w="0"/>
                    <w:bottom w:type="dxa" w:w="0"/>
                    <w:right w:type="dxa" w:w="0"/>
                  </w:tcMar>
                </w:tcPr>
                <w:p>
                  <w:pPr>
                    <w:pStyle w:val="null3"/>
                    <w:spacing w:after="75"/>
                    <w:jc w:val="center"/>
                  </w:pPr>
                  <w:r>
                    <w:rPr>
                      <w:rFonts w:ascii="仿宋_GB2312" w:hAnsi="仿宋_GB2312" w:cs="仿宋_GB2312" w:eastAsia="仿宋_GB2312"/>
                      <w:sz w:val="20"/>
                      <w:b/>
                    </w:rPr>
                    <w:t>21</w:t>
                  </w:r>
                </w:p>
              </w:tc>
              <w:tc>
                <w:tcPr>
                  <w:tcW w:type="dxa" w:w="1314"/>
                  <w:tcMar>
                    <w:top w:type="dxa" w:w="0"/>
                    <w:left w:type="dxa" w:w="0"/>
                    <w:bottom w:type="dxa" w:w="0"/>
                    <w:right w:type="dxa" w:w="0"/>
                  </w:tcMar>
                  <w:vAlign w:val="top"/>
                </w:tcPr>
                <w:p>
                  <w:pPr>
                    <w:pStyle w:val="null3"/>
                    <w:spacing w:after="75"/>
                    <w:jc w:val="left"/>
                  </w:pPr>
                </w:p>
              </w:tc>
              <w:tc>
                <w:tcPr>
                  <w:tcW w:type="dxa" w:w="513"/>
                  <w:tcMar>
                    <w:top w:type="dxa" w:w="0"/>
                    <w:left w:type="dxa" w:w="0"/>
                    <w:bottom w:type="dxa" w:w="0"/>
                    <w:right w:type="dxa" w:w="0"/>
                  </w:tcMar>
                  <w:vAlign w:val="top"/>
                </w:tcPr>
                <w:p/>
              </w:tc>
              <w:tc>
                <w:tcPr>
                  <w:tcW w:type="dxa" w:w="565"/>
                  <w:tcMar>
                    <w:top w:type="dxa" w:w="0"/>
                    <w:left w:type="dxa" w:w="0"/>
                    <w:bottom w:type="dxa" w:w="0"/>
                    <w:right w:type="dxa" w:w="0"/>
                  </w:tcMar>
                  <w:vAlign w:val="top"/>
                </w:tcPr>
                <w:p/>
              </w:tc>
              <w:tc>
                <w:tcPr>
                  <w:tcW w:type="dxa" w:w="548"/>
                  <w:tcMar>
                    <w:top w:type="dxa" w:w="0"/>
                    <w:left w:type="dxa" w:w="0"/>
                    <w:bottom w:type="dxa" w:w="0"/>
                    <w:right w:type="dxa" w:w="0"/>
                  </w:tcMar>
                  <w:vAlign w:val="top"/>
                </w:tcPr>
                <w:p/>
              </w:tc>
            </w:tr>
            <w:tr>
              <w:tc>
                <w:tcPr>
                  <w:tcW w:type="dxa" w:w="522"/>
                  <w:vMerge/>
                </w:tcPr>
                <w:p/>
              </w:tc>
              <w:tc>
                <w:tcPr>
                  <w:tcW w:type="dxa" w:w="1697"/>
                  <w:tcMar>
                    <w:top w:type="dxa" w:w="0"/>
                    <w:left w:type="dxa" w:w="0"/>
                    <w:bottom w:type="dxa" w:w="0"/>
                    <w:right w:type="dxa" w:w="0"/>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color w:val="FF0000"/>
                    </w:rPr>
                    <w:t>专用</w:t>
                  </w:r>
                  <w:r>
                    <w:rPr>
                      <w:rFonts w:ascii="仿宋_GB2312" w:hAnsi="仿宋_GB2312" w:cs="仿宋_GB2312" w:eastAsia="仿宋_GB2312"/>
                      <w:sz w:val="20"/>
                    </w:rPr>
                    <w:t>圾袋装，每日清运</w:t>
                  </w:r>
                  <w:r>
                    <w:rPr>
                      <w:rFonts w:ascii="仿宋_GB2312" w:hAnsi="仿宋_GB2312" w:cs="仿宋_GB2312" w:eastAsia="仿宋_GB2312"/>
                      <w:sz w:val="20"/>
                    </w:rPr>
                    <w:t>1</w:t>
                  </w:r>
                  <w:r>
                    <w:rPr>
                      <w:rFonts w:ascii="仿宋_GB2312" w:hAnsi="仿宋_GB2312" w:cs="仿宋_GB2312" w:eastAsia="仿宋_GB2312"/>
                      <w:sz w:val="20"/>
                    </w:rPr>
                    <w:t>次。</w:t>
                  </w:r>
                </w:p>
              </w:tc>
              <w:tc>
                <w:tcPr>
                  <w:tcW w:type="dxa" w:w="426"/>
                  <w:tcMar>
                    <w:top w:type="dxa" w:w="0"/>
                    <w:left w:type="dxa" w:w="0"/>
                    <w:bottom w:type="dxa" w:w="0"/>
                    <w:right w:type="dxa" w:w="0"/>
                  </w:tcMar>
                </w:tcPr>
                <w:p>
                  <w:pPr>
                    <w:pStyle w:val="null3"/>
                    <w:spacing w:after="75"/>
                    <w:jc w:val="center"/>
                  </w:pPr>
                  <w:r>
                    <w:rPr>
                      <w:rFonts w:ascii="仿宋_GB2312" w:hAnsi="仿宋_GB2312" w:cs="仿宋_GB2312" w:eastAsia="仿宋_GB2312"/>
                      <w:sz w:val="20"/>
                    </w:rPr>
                    <w:t>5</w:t>
                  </w:r>
                </w:p>
              </w:tc>
              <w:tc>
                <w:tcPr>
                  <w:tcW w:type="dxa" w:w="1314"/>
                  <w:tcMar>
                    <w:top w:type="dxa" w:w="0"/>
                    <w:left w:type="dxa" w:w="0"/>
                    <w:bottom w:type="dxa" w:w="0"/>
                    <w:right w:type="dxa" w:w="0"/>
                  </w:tcMar>
                  <w:vAlign w:val="top"/>
                </w:tcPr>
                <w:p>
                  <w:pPr>
                    <w:pStyle w:val="null3"/>
                    <w:spacing w:after="75"/>
                    <w:jc w:val="left"/>
                  </w:pPr>
                  <w:r>
                    <w:rPr>
                      <w:rFonts w:ascii="仿宋_GB2312" w:hAnsi="仿宋_GB2312" w:cs="仿宋_GB2312" w:eastAsia="仿宋_GB2312"/>
                      <w:sz w:val="20"/>
                    </w:rPr>
                    <w:t>每发现一处不符合扣</w:t>
                  </w:r>
                  <w:r>
                    <w:rPr>
                      <w:rFonts w:ascii="仿宋_GB2312" w:hAnsi="仿宋_GB2312" w:cs="仿宋_GB2312" w:eastAsia="仿宋_GB2312"/>
                      <w:sz w:val="20"/>
                    </w:rPr>
                    <w:t>0.2</w:t>
                  </w:r>
                  <w:r>
                    <w:rPr>
                      <w:rFonts w:ascii="仿宋_GB2312" w:hAnsi="仿宋_GB2312" w:cs="仿宋_GB2312" w:eastAsia="仿宋_GB2312"/>
                      <w:sz w:val="20"/>
                    </w:rPr>
                    <w:t>分，垃圾未达到日产日清扣</w:t>
                  </w:r>
                  <w:r>
                    <w:rPr>
                      <w:rFonts w:ascii="仿宋_GB2312" w:hAnsi="仿宋_GB2312" w:cs="仿宋_GB2312" w:eastAsia="仿宋_GB2312"/>
                      <w:sz w:val="20"/>
                    </w:rPr>
                    <w:t>1</w:t>
                  </w:r>
                  <w:r>
                    <w:rPr>
                      <w:rFonts w:ascii="仿宋_GB2312" w:hAnsi="仿宋_GB2312" w:cs="仿宋_GB2312" w:eastAsia="仿宋_GB2312"/>
                      <w:sz w:val="20"/>
                    </w:rPr>
                    <w:t>分</w:t>
                  </w:r>
                </w:p>
              </w:tc>
              <w:tc>
                <w:tcPr>
                  <w:tcW w:type="dxa" w:w="513"/>
                  <w:tcMar>
                    <w:top w:type="dxa" w:w="0"/>
                    <w:left w:type="dxa" w:w="0"/>
                    <w:bottom w:type="dxa" w:w="0"/>
                    <w:right w:type="dxa" w:w="0"/>
                  </w:tcMar>
                  <w:vAlign w:val="top"/>
                </w:tcPr>
                <w:p>
                  <w:pPr>
                    <w:pStyle w:val="null3"/>
                    <w:spacing w:after="75"/>
                    <w:jc w:val="left"/>
                  </w:pPr>
                </w:p>
              </w:tc>
              <w:tc>
                <w:tcPr>
                  <w:tcW w:type="dxa" w:w="565"/>
                  <w:tcMar>
                    <w:top w:type="dxa" w:w="0"/>
                    <w:left w:type="dxa" w:w="0"/>
                    <w:bottom w:type="dxa" w:w="0"/>
                    <w:right w:type="dxa" w:w="0"/>
                  </w:tcMar>
                  <w:vAlign w:val="top"/>
                </w:tcPr>
                <w:p/>
              </w:tc>
              <w:tc>
                <w:tcPr>
                  <w:tcW w:type="dxa" w:w="548"/>
                  <w:tcMar>
                    <w:top w:type="dxa" w:w="0"/>
                    <w:left w:type="dxa" w:w="0"/>
                    <w:bottom w:type="dxa" w:w="0"/>
                    <w:right w:type="dxa" w:w="0"/>
                  </w:tcMar>
                  <w:vAlign w:val="top"/>
                </w:tcPr>
                <w:p/>
              </w:tc>
            </w:tr>
            <w:tr>
              <w:tc>
                <w:tcPr>
                  <w:tcW w:type="dxa" w:w="522"/>
                  <w:vMerge/>
                </w:tcPr>
                <w:p/>
              </w:tc>
              <w:tc>
                <w:tcPr>
                  <w:tcW w:type="dxa" w:w="1697"/>
                  <w:tcMar>
                    <w:top w:type="dxa" w:w="0"/>
                    <w:left w:type="dxa" w:w="0"/>
                    <w:bottom w:type="dxa" w:w="0"/>
                    <w:right w:type="dxa" w:w="0"/>
                  </w:tcMar>
                  <w:vAlign w:val="top"/>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、室内地面每天清拖</w:t>
                  </w:r>
                  <w:r>
                    <w:rPr>
                      <w:rFonts w:ascii="仿宋_GB2312" w:hAnsi="仿宋_GB2312" w:cs="仿宋_GB2312" w:eastAsia="仿宋_GB2312"/>
                      <w:sz w:val="20"/>
                    </w:rPr>
                    <w:t>2</w:t>
                  </w:r>
                  <w:r>
                    <w:rPr>
                      <w:rFonts w:ascii="仿宋_GB2312" w:hAnsi="仿宋_GB2312" w:cs="仿宋_GB2312" w:eastAsia="仿宋_GB2312"/>
                      <w:sz w:val="20"/>
                    </w:rPr>
                    <w:t>次，并随时保洁；办公桌椅、台面每日清洁</w:t>
                  </w:r>
                  <w:r>
                    <w:rPr>
                      <w:rFonts w:ascii="仿宋_GB2312" w:hAnsi="仿宋_GB2312" w:cs="仿宋_GB2312" w:eastAsia="仿宋_GB2312"/>
                      <w:sz w:val="20"/>
                    </w:rPr>
                    <w:t>2</w:t>
                  </w:r>
                  <w:r>
                    <w:rPr>
                      <w:rFonts w:ascii="仿宋_GB2312" w:hAnsi="仿宋_GB2312" w:cs="仿宋_GB2312" w:eastAsia="仿宋_GB2312"/>
                      <w:sz w:val="20"/>
                    </w:rPr>
                    <w:t>次，每小时巡回保洁</w:t>
                  </w:r>
                  <w:r>
                    <w:rPr>
                      <w:rFonts w:ascii="仿宋_GB2312" w:hAnsi="仿宋_GB2312" w:cs="仿宋_GB2312" w:eastAsia="仿宋_GB2312"/>
                      <w:sz w:val="20"/>
                    </w:rPr>
                    <w:t>1</w:t>
                  </w:r>
                  <w:r>
                    <w:rPr>
                      <w:rFonts w:ascii="仿宋_GB2312" w:hAnsi="仿宋_GB2312" w:cs="仿宋_GB2312" w:eastAsia="仿宋_GB2312"/>
                      <w:sz w:val="20"/>
                    </w:rPr>
                    <w:t>次，随时保持清洁。</w:t>
                  </w:r>
                </w:p>
              </w:tc>
              <w:tc>
                <w:tcPr>
                  <w:tcW w:type="dxa" w:w="426"/>
                  <w:tcMar>
                    <w:top w:type="dxa" w:w="0"/>
                    <w:left w:type="dxa" w:w="0"/>
                    <w:bottom w:type="dxa" w:w="0"/>
                    <w:right w:type="dxa" w:w="0"/>
                  </w:tcMar>
                </w:tcPr>
                <w:p>
                  <w:pPr>
                    <w:pStyle w:val="null3"/>
                    <w:spacing w:after="75"/>
                    <w:jc w:val="center"/>
                  </w:pPr>
                  <w:r>
                    <w:rPr>
                      <w:rFonts w:ascii="仿宋_GB2312" w:hAnsi="仿宋_GB2312" w:cs="仿宋_GB2312" w:eastAsia="仿宋_GB2312"/>
                      <w:sz w:val="20"/>
                    </w:rPr>
                    <w:t>4</w:t>
                  </w:r>
                </w:p>
              </w:tc>
              <w:tc>
                <w:tcPr>
                  <w:tcW w:type="dxa" w:w="1314"/>
                  <w:tcMar>
                    <w:top w:type="dxa" w:w="0"/>
                    <w:left w:type="dxa" w:w="0"/>
                    <w:bottom w:type="dxa" w:w="0"/>
                    <w:right w:type="dxa" w:w="0"/>
                  </w:tcMar>
                  <w:vAlign w:val="top"/>
                </w:tcPr>
                <w:p>
                  <w:pPr>
                    <w:pStyle w:val="null3"/>
                    <w:spacing w:after="75"/>
                    <w:jc w:val="left"/>
                  </w:pPr>
                  <w:r>
                    <w:rPr>
                      <w:rFonts w:ascii="仿宋_GB2312" w:hAnsi="仿宋_GB2312" w:cs="仿宋_GB2312" w:eastAsia="仿宋_GB2312"/>
                      <w:sz w:val="20"/>
                    </w:rPr>
                    <w:t>未实行责任制的扣</w:t>
                  </w:r>
                  <w:r>
                    <w:rPr>
                      <w:rFonts w:ascii="仿宋_GB2312" w:hAnsi="仿宋_GB2312" w:cs="仿宋_GB2312" w:eastAsia="仿宋_GB2312"/>
                      <w:sz w:val="20"/>
                    </w:rPr>
                    <w:t>1.0</w:t>
                  </w:r>
                  <w:r>
                    <w:rPr>
                      <w:rFonts w:ascii="仿宋_GB2312" w:hAnsi="仿宋_GB2312" w:cs="仿宋_GB2312" w:eastAsia="仿宋_GB2312"/>
                      <w:sz w:val="20"/>
                    </w:rPr>
                    <w:t>分，无专职清洁人员和责任范围的扣</w:t>
                  </w:r>
                  <w:r>
                    <w:rPr>
                      <w:rFonts w:ascii="仿宋_GB2312" w:hAnsi="仿宋_GB2312" w:cs="仿宋_GB2312" w:eastAsia="仿宋_GB2312"/>
                      <w:sz w:val="20"/>
                    </w:rPr>
                    <w:t>0.5</w:t>
                  </w:r>
                  <w:r>
                    <w:rPr>
                      <w:rFonts w:ascii="仿宋_GB2312" w:hAnsi="仿宋_GB2312" w:cs="仿宋_GB2312" w:eastAsia="仿宋_GB2312"/>
                      <w:sz w:val="20"/>
                    </w:rPr>
                    <w:t>分，未实行标准化保洁的每发现一处扣</w:t>
                  </w:r>
                  <w:r>
                    <w:rPr>
                      <w:rFonts w:ascii="仿宋_GB2312" w:hAnsi="仿宋_GB2312" w:cs="仿宋_GB2312" w:eastAsia="仿宋_GB2312"/>
                      <w:sz w:val="20"/>
                    </w:rPr>
                    <w:t>0.2</w:t>
                  </w:r>
                  <w:r>
                    <w:rPr>
                      <w:rFonts w:ascii="仿宋_GB2312" w:hAnsi="仿宋_GB2312" w:cs="仿宋_GB2312" w:eastAsia="仿宋_GB2312"/>
                      <w:sz w:val="20"/>
                    </w:rPr>
                    <w:t>分</w:t>
                  </w:r>
                </w:p>
              </w:tc>
              <w:tc>
                <w:tcPr>
                  <w:tcW w:type="dxa" w:w="513"/>
                  <w:tcMar>
                    <w:top w:type="dxa" w:w="0"/>
                    <w:left w:type="dxa" w:w="0"/>
                    <w:bottom w:type="dxa" w:w="0"/>
                    <w:right w:type="dxa" w:w="0"/>
                  </w:tcMar>
                  <w:vAlign w:val="top"/>
                </w:tcPr>
                <w:p>
                  <w:pPr>
                    <w:pStyle w:val="null3"/>
                    <w:spacing w:after="75"/>
                    <w:jc w:val="left"/>
                  </w:pPr>
                </w:p>
              </w:tc>
              <w:tc>
                <w:tcPr>
                  <w:tcW w:type="dxa" w:w="565"/>
                  <w:tcMar>
                    <w:top w:type="dxa" w:w="0"/>
                    <w:left w:type="dxa" w:w="0"/>
                    <w:bottom w:type="dxa" w:w="0"/>
                    <w:right w:type="dxa" w:w="0"/>
                  </w:tcMar>
                  <w:vAlign w:val="top"/>
                </w:tcPr>
                <w:p/>
              </w:tc>
              <w:tc>
                <w:tcPr>
                  <w:tcW w:type="dxa" w:w="548"/>
                  <w:tcMar>
                    <w:top w:type="dxa" w:w="0"/>
                    <w:left w:type="dxa" w:w="0"/>
                    <w:bottom w:type="dxa" w:w="0"/>
                    <w:right w:type="dxa" w:w="0"/>
                  </w:tcMar>
                  <w:vAlign w:val="top"/>
                </w:tcPr>
                <w:p/>
              </w:tc>
            </w:tr>
            <w:tr>
              <w:tc>
                <w:tcPr>
                  <w:tcW w:type="dxa" w:w="522"/>
                  <w:vMerge/>
                </w:tcPr>
                <w:p/>
              </w:tc>
              <w:tc>
                <w:tcPr>
                  <w:tcW w:type="dxa" w:w="1697"/>
                  <w:tcMar>
                    <w:top w:type="dxa" w:w="0"/>
                    <w:left w:type="dxa" w:w="0"/>
                    <w:bottom w:type="dxa" w:w="0"/>
                    <w:right w:type="dxa" w:w="0"/>
                  </w:tcMar>
                  <w:vAlign w:val="top"/>
                </w:tcPr>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color w:val="FF0000"/>
                    </w:rPr>
                    <w:t>专用</w:t>
                  </w:r>
                  <w:r>
                    <w:rPr>
                      <w:rFonts w:ascii="仿宋_GB2312" w:hAnsi="仿宋_GB2312" w:cs="仿宋_GB2312" w:eastAsia="仿宋_GB2312"/>
                      <w:sz w:val="20"/>
                    </w:rPr>
                    <w:t>部位玻璃、标识、宣传栏等每周至少清洁</w:t>
                  </w:r>
                  <w:r>
                    <w:rPr>
                      <w:rFonts w:ascii="仿宋_GB2312" w:hAnsi="仿宋_GB2312" w:cs="仿宋_GB2312" w:eastAsia="仿宋_GB2312"/>
                      <w:sz w:val="20"/>
                    </w:rPr>
                    <w:t>1</w:t>
                  </w:r>
                  <w:r>
                    <w:rPr>
                      <w:rFonts w:ascii="仿宋_GB2312" w:hAnsi="仿宋_GB2312" w:cs="仿宋_GB2312" w:eastAsia="仿宋_GB2312"/>
                      <w:sz w:val="20"/>
                    </w:rPr>
                    <w:t>次。</w:t>
                  </w:r>
                </w:p>
              </w:tc>
              <w:tc>
                <w:tcPr>
                  <w:tcW w:type="dxa" w:w="426"/>
                  <w:tcMar>
                    <w:top w:type="dxa" w:w="0"/>
                    <w:left w:type="dxa" w:w="0"/>
                    <w:bottom w:type="dxa" w:w="0"/>
                    <w:right w:type="dxa" w:w="0"/>
                  </w:tcMar>
                </w:tcPr>
                <w:p>
                  <w:pPr>
                    <w:pStyle w:val="null3"/>
                    <w:spacing w:after="75"/>
                    <w:jc w:val="center"/>
                  </w:pPr>
                  <w:r>
                    <w:rPr>
                      <w:rFonts w:ascii="仿宋_GB2312" w:hAnsi="仿宋_GB2312" w:cs="仿宋_GB2312" w:eastAsia="仿宋_GB2312"/>
                      <w:sz w:val="20"/>
                    </w:rPr>
                    <w:t>4</w:t>
                  </w:r>
                </w:p>
              </w:tc>
              <w:tc>
                <w:tcPr>
                  <w:tcW w:type="dxa" w:w="1314"/>
                  <w:tcMar>
                    <w:top w:type="dxa" w:w="0"/>
                    <w:left w:type="dxa" w:w="0"/>
                    <w:bottom w:type="dxa" w:w="0"/>
                    <w:right w:type="dxa" w:w="0"/>
                  </w:tcMar>
                  <w:vAlign w:val="top"/>
                </w:tcPr>
                <w:p>
                  <w:pPr>
                    <w:pStyle w:val="null3"/>
                    <w:spacing w:after="75"/>
                    <w:jc w:val="left"/>
                  </w:pPr>
                  <w:r>
                    <w:rPr>
                      <w:rFonts w:ascii="仿宋_GB2312" w:hAnsi="仿宋_GB2312" w:cs="仿宋_GB2312" w:eastAsia="仿宋_GB2312"/>
                      <w:sz w:val="20"/>
                    </w:rPr>
                    <w:t>每发现一次扣</w:t>
                  </w:r>
                  <w:r>
                    <w:rPr>
                      <w:rFonts w:ascii="仿宋_GB2312" w:hAnsi="仿宋_GB2312" w:cs="仿宋_GB2312" w:eastAsia="仿宋_GB2312"/>
                      <w:sz w:val="20"/>
                    </w:rPr>
                    <w:t>0.2</w:t>
                  </w:r>
                  <w:r>
                    <w:rPr>
                      <w:rFonts w:ascii="仿宋_GB2312" w:hAnsi="仿宋_GB2312" w:cs="仿宋_GB2312" w:eastAsia="仿宋_GB2312"/>
                      <w:sz w:val="20"/>
                    </w:rPr>
                    <w:t>分</w:t>
                  </w:r>
                </w:p>
              </w:tc>
              <w:tc>
                <w:tcPr>
                  <w:tcW w:type="dxa" w:w="513"/>
                  <w:tcMar>
                    <w:top w:type="dxa" w:w="0"/>
                    <w:left w:type="dxa" w:w="0"/>
                    <w:bottom w:type="dxa" w:w="0"/>
                    <w:right w:type="dxa" w:w="0"/>
                  </w:tcMar>
                  <w:vAlign w:val="top"/>
                </w:tcPr>
                <w:p>
                  <w:pPr>
                    <w:pStyle w:val="null3"/>
                    <w:spacing w:after="75"/>
                    <w:jc w:val="left"/>
                  </w:pPr>
                </w:p>
              </w:tc>
              <w:tc>
                <w:tcPr>
                  <w:tcW w:type="dxa" w:w="565"/>
                  <w:tcMar>
                    <w:top w:type="dxa" w:w="0"/>
                    <w:left w:type="dxa" w:w="0"/>
                    <w:bottom w:type="dxa" w:w="0"/>
                    <w:right w:type="dxa" w:w="0"/>
                  </w:tcMar>
                  <w:vAlign w:val="top"/>
                </w:tcPr>
                <w:p/>
              </w:tc>
              <w:tc>
                <w:tcPr>
                  <w:tcW w:type="dxa" w:w="548"/>
                  <w:tcMar>
                    <w:top w:type="dxa" w:w="0"/>
                    <w:left w:type="dxa" w:w="0"/>
                    <w:bottom w:type="dxa" w:w="0"/>
                    <w:right w:type="dxa" w:w="0"/>
                  </w:tcMar>
                  <w:vAlign w:val="top"/>
                </w:tcPr>
                <w:p/>
              </w:tc>
            </w:tr>
            <w:tr>
              <w:tc>
                <w:tcPr>
                  <w:tcW w:type="dxa" w:w="522"/>
                  <w:vMerge/>
                </w:tcPr>
                <w:p/>
              </w:tc>
              <w:tc>
                <w:tcPr>
                  <w:tcW w:type="dxa" w:w="1697"/>
                  <w:tcMar>
                    <w:top w:type="dxa" w:w="0"/>
                    <w:left w:type="dxa" w:w="0"/>
                    <w:bottom w:type="dxa" w:w="0"/>
                    <w:right w:type="dxa" w:w="0"/>
                  </w:tcMar>
                  <w:vAlign w:val="top"/>
                </w:tcPr>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、电梯轿厢每日</w:t>
                  </w:r>
                  <w:r>
                    <w:rPr>
                      <w:rFonts w:ascii="仿宋_GB2312" w:hAnsi="仿宋_GB2312" w:cs="仿宋_GB2312" w:eastAsia="仿宋_GB2312"/>
                      <w:sz w:val="20"/>
                    </w:rPr>
                    <w:t>1</w:t>
                  </w:r>
                  <w:r>
                    <w:rPr>
                      <w:rFonts w:ascii="仿宋_GB2312" w:hAnsi="仿宋_GB2312" w:cs="仿宋_GB2312" w:eastAsia="仿宋_GB2312"/>
                      <w:sz w:val="20"/>
                    </w:rPr>
                    <w:t>次保洁，扶梯扶手每日</w:t>
                  </w:r>
                  <w:r>
                    <w:rPr>
                      <w:rFonts w:ascii="仿宋_GB2312" w:hAnsi="仿宋_GB2312" w:cs="仿宋_GB2312" w:eastAsia="仿宋_GB2312"/>
                      <w:sz w:val="20"/>
                    </w:rPr>
                    <w:t>1</w:t>
                  </w:r>
                  <w:r>
                    <w:rPr>
                      <w:rFonts w:ascii="仿宋_GB2312" w:hAnsi="仿宋_GB2312" w:cs="仿宋_GB2312" w:eastAsia="仿宋_GB2312"/>
                      <w:sz w:val="20"/>
                    </w:rPr>
                    <w:t>次保洁，梯步每周吸尘</w:t>
                  </w:r>
                  <w:r>
                    <w:rPr>
                      <w:rFonts w:ascii="仿宋_GB2312" w:hAnsi="仿宋_GB2312" w:cs="仿宋_GB2312" w:eastAsia="仿宋_GB2312"/>
                      <w:sz w:val="20"/>
                    </w:rPr>
                    <w:t>1</w:t>
                  </w:r>
                  <w:r>
                    <w:rPr>
                      <w:rFonts w:ascii="仿宋_GB2312" w:hAnsi="仿宋_GB2312" w:cs="仿宋_GB2312" w:eastAsia="仿宋_GB2312"/>
                      <w:sz w:val="20"/>
                    </w:rPr>
                    <w:t>次，</w:t>
                  </w:r>
                </w:p>
              </w:tc>
              <w:tc>
                <w:tcPr>
                  <w:tcW w:type="dxa" w:w="426"/>
                  <w:tcMar>
                    <w:top w:type="dxa" w:w="0"/>
                    <w:left w:type="dxa" w:w="0"/>
                    <w:bottom w:type="dxa" w:w="0"/>
                    <w:right w:type="dxa" w:w="0"/>
                  </w:tcMar>
                </w:tcPr>
                <w:p>
                  <w:pPr>
                    <w:pStyle w:val="null3"/>
                    <w:spacing w:after="75"/>
                    <w:jc w:val="center"/>
                  </w:pPr>
                  <w:r>
                    <w:rPr>
                      <w:rFonts w:ascii="仿宋_GB2312" w:hAnsi="仿宋_GB2312" w:cs="仿宋_GB2312" w:eastAsia="仿宋_GB2312"/>
                      <w:sz w:val="20"/>
                    </w:rPr>
                    <w:t>4</w:t>
                  </w:r>
                </w:p>
              </w:tc>
              <w:tc>
                <w:tcPr>
                  <w:tcW w:type="dxa" w:w="1314"/>
                  <w:tcMar>
                    <w:top w:type="dxa" w:w="0"/>
                    <w:left w:type="dxa" w:w="0"/>
                    <w:bottom w:type="dxa" w:w="0"/>
                    <w:right w:type="dxa" w:w="0"/>
                  </w:tcMar>
                  <w:vAlign w:val="top"/>
                </w:tcPr>
                <w:p>
                  <w:pPr>
                    <w:pStyle w:val="null3"/>
                    <w:spacing w:after="75"/>
                    <w:jc w:val="left"/>
                  </w:pPr>
                  <w:r>
                    <w:rPr>
                      <w:rFonts w:ascii="仿宋_GB2312" w:hAnsi="仿宋_GB2312" w:cs="仿宋_GB2312" w:eastAsia="仿宋_GB2312"/>
                      <w:sz w:val="20"/>
                    </w:rPr>
                    <w:t>每发现一处不符合扣</w:t>
                  </w:r>
                  <w:r>
                    <w:rPr>
                      <w:rFonts w:ascii="仿宋_GB2312" w:hAnsi="仿宋_GB2312" w:cs="仿宋_GB2312" w:eastAsia="仿宋_GB2312"/>
                      <w:sz w:val="20"/>
                    </w:rPr>
                    <w:t>0.2</w:t>
                  </w:r>
                  <w:r>
                    <w:rPr>
                      <w:rFonts w:ascii="仿宋_GB2312" w:hAnsi="仿宋_GB2312" w:cs="仿宋_GB2312" w:eastAsia="仿宋_GB2312"/>
                      <w:sz w:val="20"/>
                    </w:rPr>
                    <w:t>分，未定期进行清洁保养扣</w:t>
                  </w:r>
                  <w:r>
                    <w:rPr>
                      <w:rFonts w:ascii="仿宋_GB2312" w:hAnsi="仿宋_GB2312" w:cs="仿宋_GB2312" w:eastAsia="仿宋_GB2312"/>
                      <w:sz w:val="20"/>
                    </w:rPr>
                    <w:t>0.5</w:t>
                  </w:r>
                  <w:r>
                    <w:rPr>
                      <w:rFonts w:ascii="仿宋_GB2312" w:hAnsi="仿宋_GB2312" w:cs="仿宋_GB2312" w:eastAsia="仿宋_GB2312"/>
                      <w:sz w:val="20"/>
                    </w:rPr>
                    <w:t>分</w:t>
                  </w:r>
                </w:p>
              </w:tc>
              <w:tc>
                <w:tcPr>
                  <w:tcW w:type="dxa" w:w="513"/>
                  <w:tcMar>
                    <w:top w:type="dxa" w:w="0"/>
                    <w:left w:type="dxa" w:w="0"/>
                    <w:bottom w:type="dxa" w:w="0"/>
                    <w:right w:type="dxa" w:w="0"/>
                  </w:tcMar>
                  <w:vAlign w:val="top"/>
                </w:tcPr>
                <w:p>
                  <w:pPr>
                    <w:pStyle w:val="null3"/>
                    <w:spacing w:after="75"/>
                    <w:jc w:val="left"/>
                  </w:pPr>
                </w:p>
              </w:tc>
              <w:tc>
                <w:tcPr>
                  <w:tcW w:type="dxa" w:w="565"/>
                  <w:tcMar>
                    <w:top w:type="dxa" w:w="0"/>
                    <w:left w:type="dxa" w:w="0"/>
                    <w:bottom w:type="dxa" w:w="0"/>
                    <w:right w:type="dxa" w:w="0"/>
                  </w:tcMar>
                  <w:vAlign w:val="top"/>
                </w:tcPr>
                <w:p/>
              </w:tc>
              <w:tc>
                <w:tcPr>
                  <w:tcW w:type="dxa" w:w="548"/>
                  <w:tcMar>
                    <w:top w:type="dxa" w:w="0"/>
                    <w:left w:type="dxa" w:w="0"/>
                    <w:bottom w:type="dxa" w:w="0"/>
                    <w:right w:type="dxa" w:w="0"/>
                  </w:tcMar>
                  <w:vAlign w:val="top"/>
                </w:tcPr>
                <w:p/>
              </w:tc>
            </w:tr>
            <w:tr>
              <w:tc>
                <w:tcPr>
                  <w:tcW w:type="dxa" w:w="522"/>
                  <w:vMerge/>
                </w:tcPr>
                <w:p/>
              </w:tc>
              <w:tc>
                <w:tcPr>
                  <w:tcW w:type="dxa" w:w="1697"/>
                  <w:tcMar>
                    <w:top w:type="dxa" w:w="0"/>
                    <w:left w:type="dxa" w:w="0"/>
                    <w:bottom w:type="dxa" w:w="0"/>
                    <w:right w:type="dxa" w:w="0"/>
                  </w:tcMar>
                  <w:vAlign w:val="top"/>
                </w:tcPr>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、进行保洁巡查，楼道内无乱悬挂、乱贴乱画、乱堆放，无明显暴露垃圾、无卫生死角等现象，干净整洁</w:t>
                  </w:r>
                </w:p>
              </w:tc>
              <w:tc>
                <w:tcPr>
                  <w:tcW w:type="dxa" w:w="426"/>
                  <w:tcMar>
                    <w:top w:type="dxa" w:w="0"/>
                    <w:left w:type="dxa" w:w="0"/>
                    <w:bottom w:type="dxa" w:w="0"/>
                    <w:right w:type="dxa" w:w="0"/>
                  </w:tcMar>
                </w:tcPr>
                <w:p>
                  <w:pPr>
                    <w:pStyle w:val="null3"/>
                    <w:spacing w:after="75"/>
                    <w:jc w:val="center"/>
                  </w:pPr>
                  <w:r>
                    <w:rPr>
                      <w:rFonts w:ascii="仿宋_GB2312" w:hAnsi="仿宋_GB2312" w:cs="仿宋_GB2312" w:eastAsia="仿宋_GB2312"/>
                      <w:sz w:val="20"/>
                    </w:rPr>
                    <w:t>4</w:t>
                  </w:r>
                </w:p>
              </w:tc>
              <w:tc>
                <w:tcPr>
                  <w:tcW w:type="dxa" w:w="1314"/>
                  <w:tcMar>
                    <w:top w:type="dxa" w:w="0"/>
                    <w:left w:type="dxa" w:w="0"/>
                    <w:bottom w:type="dxa" w:w="0"/>
                    <w:right w:type="dxa" w:w="0"/>
                  </w:tcMar>
                  <w:vAlign w:val="top"/>
                </w:tcPr>
                <w:p>
                  <w:pPr>
                    <w:pStyle w:val="null3"/>
                    <w:spacing w:after="75"/>
                    <w:jc w:val="left"/>
                  </w:pPr>
                  <w:r>
                    <w:rPr>
                      <w:rFonts w:ascii="仿宋_GB2312" w:hAnsi="仿宋_GB2312" w:cs="仿宋_GB2312" w:eastAsia="仿宋_GB2312"/>
                      <w:sz w:val="20"/>
                    </w:rPr>
                    <w:t>每发现一处不符合扣</w:t>
                  </w:r>
                  <w:r>
                    <w:rPr>
                      <w:rFonts w:ascii="仿宋_GB2312" w:hAnsi="仿宋_GB2312" w:cs="仿宋_GB2312" w:eastAsia="仿宋_GB2312"/>
                      <w:sz w:val="20"/>
                    </w:rPr>
                    <w:t>0.2</w:t>
                  </w:r>
                  <w:r>
                    <w:rPr>
                      <w:rFonts w:ascii="仿宋_GB2312" w:hAnsi="仿宋_GB2312" w:cs="仿宋_GB2312" w:eastAsia="仿宋_GB2312"/>
                      <w:sz w:val="20"/>
                    </w:rPr>
                    <w:t>分</w:t>
                  </w:r>
                </w:p>
              </w:tc>
              <w:tc>
                <w:tcPr>
                  <w:tcW w:type="dxa" w:w="513"/>
                  <w:tcMar>
                    <w:top w:type="dxa" w:w="0"/>
                    <w:left w:type="dxa" w:w="0"/>
                    <w:bottom w:type="dxa" w:w="0"/>
                    <w:right w:type="dxa" w:w="0"/>
                  </w:tcMar>
                  <w:vAlign w:val="top"/>
                </w:tcPr>
                <w:p>
                  <w:pPr>
                    <w:pStyle w:val="null3"/>
                    <w:spacing w:after="75"/>
                    <w:jc w:val="left"/>
                  </w:pPr>
                </w:p>
              </w:tc>
              <w:tc>
                <w:tcPr>
                  <w:tcW w:type="dxa" w:w="565"/>
                  <w:tcMar>
                    <w:top w:type="dxa" w:w="0"/>
                    <w:left w:type="dxa" w:w="0"/>
                    <w:bottom w:type="dxa" w:w="0"/>
                    <w:right w:type="dxa" w:w="0"/>
                  </w:tcMar>
                  <w:vAlign w:val="top"/>
                </w:tcPr>
                <w:p/>
              </w:tc>
              <w:tc>
                <w:tcPr>
                  <w:tcW w:type="dxa" w:w="548"/>
                  <w:tcMar>
                    <w:top w:type="dxa" w:w="0"/>
                    <w:left w:type="dxa" w:w="0"/>
                    <w:bottom w:type="dxa" w:w="0"/>
                    <w:right w:type="dxa" w:w="0"/>
                  </w:tcMar>
                  <w:vAlign w:val="top"/>
                </w:tcPr>
                <w:p/>
              </w:tc>
            </w:tr>
            <w:tr>
              <w:tc>
                <w:tcPr>
                  <w:tcW w:type="dxa" w:w="522"/>
                  <w:vMerge w:val="restart"/>
                  <w:tcBorders>
                    <w:top w:val="inset" w:color="000000" w:sz="4"/>
                    <w:left w:val="inset" w:color="000000" w:sz="4"/>
                    <w:bottom w:val="none" w:color="000000" w:sz="4"/>
                    <w:right w:val="inset" w:color="000000" w:sz="4"/>
                  </w:tcBorders>
                  <w:tcMar>
                    <w:top w:type="dxa" w:w="0"/>
                    <w:left w:type="dxa" w:w="0"/>
                    <w:bottom w:type="dxa" w:w="0"/>
                    <w:right w:type="dxa" w:w="0"/>
                  </w:tcMar>
                </w:tcPr>
                <w:p>
                  <w:pPr>
                    <w:pStyle w:val="null3"/>
                    <w:jc w:val="center"/>
                  </w:pPr>
                  <w:r>
                    <w:rPr>
                      <w:rFonts w:ascii="仿宋_GB2312" w:hAnsi="仿宋_GB2312" w:cs="仿宋_GB2312" w:eastAsia="仿宋_GB2312"/>
                      <w:sz w:val="18"/>
                    </w:rPr>
                    <w:t>五</w:t>
                  </w:r>
                </w:p>
              </w:tc>
              <w:tc>
                <w:tcPr>
                  <w:tcW w:type="dxa" w:w="1697"/>
                  <w:tcMar>
                    <w:top w:type="dxa" w:w="0"/>
                    <w:left w:type="dxa" w:w="0"/>
                    <w:bottom w:type="dxa" w:w="0"/>
                    <w:right w:type="dxa" w:w="0"/>
                  </w:tcMar>
                  <w:vAlign w:val="top"/>
                </w:tcPr>
                <w:p>
                  <w:pPr>
                    <w:pStyle w:val="null3"/>
                    <w:spacing w:after="75"/>
                    <w:jc w:val="left"/>
                  </w:pPr>
                  <w:r>
                    <w:rPr>
                      <w:rFonts w:ascii="仿宋_GB2312" w:hAnsi="仿宋_GB2312" w:cs="仿宋_GB2312" w:eastAsia="仿宋_GB2312"/>
                      <w:sz w:val="20"/>
                      <w:b/>
                    </w:rPr>
                    <w:t>接待及文会服务</w:t>
                  </w:r>
                </w:p>
              </w:tc>
              <w:tc>
                <w:tcPr>
                  <w:tcW w:type="dxa" w:w="426"/>
                  <w:tcMar>
                    <w:top w:type="dxa" w:w="0"/>
                    <w:left w:type="dxa" w:w="0"/>
                    <w:bottom w:type="dxa" w:w="0"/>
                    <w:right w:type="dxa" w:w="0"/>
                  </w:tcMar>
                </w:tcPr>
                <w:p>
                  <w:pPr>
                    <w:pStyle w:val="null3"/>
                    <w:spacing w:after="75"/>
                    <w:jc w:val="center"/>
                  </w:pPr>
                  <w:r>
                    <w:rPr>
                      <w:rFonts w:ascii="仿宋_GB2312" w:hAnsi="仿宋_GB2312" w:cs="仿宋_GB2312" w:eastAsia="仿宋_GB2312"/>
                      <w:sz w:val="20"/>
                      <w:b/>
                    </w:rPr>
                    <w:t>14</w:t>
                  </w:r>
                </w:p>
              </w:tc>
              <w:tc>
                <w:tcPr>
                  <w:tcW w:type="dxa" w:w="1314"/>
                  <w:tcMar>
                    <w:top w:type="dxa" w:w="0"/>
                    <w:left w:type="dxa" w:w="0"/>
                    <w:bottom w:type="dxa" w:w="0"/>
                    <w:right w:type="dxa" w:w="0"/>
                  </w:tcMar>
                  <w:vAlign w:val="top"/>
                </w:tcPr>
                <w:p>
                  <w:pPr>
                    <w:pStyle w:val="null3"/>
                    <w:spacing w:after="75"/>
                    <w:jc w:val="left"/>
                  </w:pPr>
                  <w:r>
                    <w:rPr>
                      <w:rFonts w:ascii="仿宋_GB2312" w:hAnsi="仿宋_GB2312" w:cs="仿宋_GB2312" w:eastAsia="仿宋_GB2312"/>
                      <w:sz w:val="21"/>
                    </w:rPr>
                    <w:t>　</w:t>
                  </w:r>
                </w:p>
              </w:tc>
              <w:tc>
                <w:tcPr>
                  <w:tcW w:type="dxa" w:w="513"/>
                  <w:tcMar>
                    <w:top w:type="dxa" w:w="0"/>
                    <w:left w:type="dxa" w:w="0"/>
                    <w:bottom w:type="dxa" w:w="0"/>
                    <w:right w:type="dxa" w:w="0"/>
                  </w:tcMar>
                  <w:vAlign w:val="top"/>
                </w:tcPr>
                <w:p>
                  <w:pPr>
                    <w:pStyle w:val="null3"/>
                    <w:spacing w:after="75"/>
                    <w:jc w:val="left"/>
                  </w:pPr>
                </w:p>
              </w:tc>
              <w:tc>
                <w:tcPr>
                  <w:tcW w:type="dxa" w:w="565"/>
                  <w:tcMar>
                    <w:top w:type="dxa" w:w="0"/>
                    <w:left w:type="dxa" w:w="0"/>
                    <w:bottom w:type="dxa" w:w="0"/>
                    <w:right w:type="dxa" w:w="0"/>
                  </w:tcMar>
                  <w:vAlign w:val="top"/>
                </w:tcPr>
                <w:p/>
              </w:tc>
              <w:tc>
                <w:tcPr>
                  <w:tcW w:type="dxa" w:w="548"/>
                  <w:tcMar>
                    <w:top w:type="dxa" w:w="0"/>
                    <w:left w:type="dxa" w:w="0"/>
                    <w:bottom w:type="dxa" w:w="0"/>
                    <w:right w:type="dxa" w:w="0"/>
                  </w:tcMar>
                  <w:vAlign w:val="top"/>
                </w:tcPr>
                <w:p/>
              </w:tc>
            </w:tr>
            <w:tr>
              <w:tc>
                <w:tcPr>
                  <w:tcW w:type="dxa" w:w="522"/>
                  <w:vMerge/>
                  <w:tcBorders>
                    <w:top w:val="inset" w:color="000000" w:sz="4"/>
                    <w:left w:val="inset" w:color="000000" w:sz="4"/>
                    <w:bottom w:val="none" w:color="000000" w:sz="4"/>
                    <w:right w:val="inset" w:color="000000" w:sz="4"/>
                  </w:tcBorders>
                </w:tcPr>
                <w:p/>
              </w:tc>
              <w:tc>
                <w:tcPr>
                  <w:tcW w:type="dxa" w:w="1697"/>
                  <w:tcMar>
                    <w:top w:type="dxa" w:w="0"/>
                    <w:left w:type="dxa" w:w="0"/>
                    <w:bottom w:type="dxa" w:w="0"/>
                    <w:right w:type="dxa" w:w="0"/>
                  </w:tcMar>
                  <w:vAlign w:val="top"/>
                </w:tcPr>
                <w:p>
                  <w:pPr>
                    <w:pStyle w:val="null3"/>
                    <w:jc w:val="left"/>
                  </w:pPr>
                  <w:r>
                    <w:rPr>
                      <w:rFonts w:ascii="仿宋_GB2312" w:hAnsi="仿宋_GB2312" w:cs="仿宋_GB2312" w:eastAsia="仿宋_GB2312"/>
                      <w:sz w:val="20"/>
                    </w:rPr>
                    <w:t>l</w:t>
                  </w:r>
                  <w:r>
                    <w:rPr>
                      <w:rFonts w:ascii="仿宋_GB2312" w:hAnsi="仿宋_GB2312" w:cs="仿宋_GB2312" w:eastAsia="仿宋_GB2312"/>
                      <w:sz w:val="20"/>
                    </w:rPr>
                    <w:t>、接待及文会人员服务规范、热情、主动</w:t>
                  </w:r>
                </w:p>
              </w:tc>
              <w:tc>
                <w:tcPr>
                  <w:tcW w:type="dxa" w:w="426"/>
                  <w:tcMar>
                    <w:top w:type="dxa" w:w="0"/>
                    <w:left w:type="dxa" w:w="0"/>
                    <w:bottom w:type="dxa" w:w="0"/>
                    <w:right w:type="dxa" w:w="0"/>
                  </w:tcMar>
                </w:tcPr>
                <w:p>
                  <w:pPr>
                    <w:pStyle w:val="null3"/>
                    <w:spacing w:after="75"/>
                    <w:jc w:val="center"/>
                  </w:pPr>
                  <w:r>
                    <w:rPr>
                      <w:rFonts w:ascii="仿宋_GB2312" w:hAnsi="仿宋_GB2312" w:cs="仿宋_GB2312" w:eastAsia="仿宋_GB2312"/>
                      <w:sz w:val="20"/>
                    </w:rPr>
                    <w:t>4</w:t>
                  </w:r>
                </w:p>
              </w:tc>
              <w:tc>
                <w:tcPr>
                  <w:tcW w:type="dxa" w:w="1314"/>
                  <w:tcMar>
                    <w:top w:type="dxa" w:w="0"/>
                    <w:left w:type="dxa" w:w="0"/>
                    <w:bottom w:type="dxa" w:w="0"/>
                    <w:right w:type="dxa" w:w="0"/>
                  </w:tcMar>
                  <w:vAlign w:val="top"/>
                </w:tcPr>
                <w:p>
                  <w:pPr>
                    <w:pStyle w:val="null3"/>
                    <w:spacing w:after="75"/>
                    <w:jc w:val="left"/>
                  </w:pPr>
                  <w:r>
                    <w:rPr>
                      <w:rFonts w:ascii="仿宋_GB2312" w:hAnsi="仿宋_GB2312" w:cs="仿宋_GB2312" w:eastAsia="仿宋_GB2312"/>
                      <w:sz w:val="20"/>
                    </w:rPr>
                    <w:t>每发现一处不符合扣</w:t>
                  </w:r>
                  <w:r>
                    <w:rPr>
                      <w:rFonts w:ascii="仿宋_GB2312" w:hAnsi="仿宋_GB2312" w:cs="仿宋_GB2312" w:eastAsia="仿宋_GB2312"/>
                      <w:sz w:val="20"/>
                    </w:rPr>
                    <w:t>0.2</w:t>
                  </w:r>
                </w:p>
              </w:tc>
              <w:tc>
                <w:tcPr>
                  <w:tcW w:type="dxa" w:w="513"/>
                  <w:tcMar>
                    <w:top w:type="dxa" w:w="0"/>
                    <w:left w:type="dxa" w:w="0"/>
                    <w:bottom w:type="dxa" w:w="0"/>
                    <w:right w:type="dxa" w:w="0"/>
                  </w:tcMar>
                  <w:vAlign w:val="top"/>
                </w:tcPr>
                <w:p>
                  <w:pPr>
                    <w:pStyle w:val="null3"/>
                    <w:spacing w:after="75"/>
                    <w:jc w:val="left"/>
                  </w:pPr>
                </w:p>
              </w:tc>
              <w:tc>
                <w:tcPr>
                  <w:tcW w:type="dxa" w:w="565"/>
                  <w:tcMar>
                    <w:top w:type="dxa" w:w="0"/>
                    <w:left w:type="dxa" w:w="0"/>
                    <w:bottom w:type="dxa" w:w="0"/>
                    <w:right w:type="dxa" w:w="0"/>
                  </w:tcMar>
                  <w:vAlign w:val="top"/>
                </w:tcPr>
                <w:p/>
              </w:tc>
              <w:tc>
                <w:tcPr>
                  <w:tcW w:type="dxa" w:w="548"/>
                  <w:tcMar>
                    <w:top w:type="dxa" w:w="0"/>
                    <w:left w:type="dxa" w:w="0"/>
                    <w:bottom w:type="dxa" w:w="0"/>
                    <w:right w:type="dxa" w:w="0"/>
                  </w:tcMar>
                  <w:vAlign w:val="top"/>
                </w:tcPr>
                <w:p/>
              </w:tc>
            </w:tr>
            <w:tr>
              <w:tc>
                <w:tcPr>
                  <w:tcW w:type="dxa" w:w="522"/>
                  <w:vMerge/>
                  <w:tcBorders>
                    <w:top w:val="inset" w:color="000000" w:sz="4"/>
                    <w:left w:val="inset" w:color="000000" w:sz="4"/>
                    <w:bottom w:val="none" w:color="000000" w:sz="4"/>
                    <w:right w:val="inset" w:color="000000" w:sz="4"/>
                  </w:tcBorders>
                </w:tcPr>
                <w:p/>
              </w:tc>
              <w:tc>
                <w:tcPr>
                  <w:tcW w:type="dxa" w:w="1697"/>
                  <w:tcMar>
                    <w:top w:type="dxa" w:w="0"/>
                    <w:left w:type="dxa" w:w="0"/>
                    <w:bottom w:type="dxa" w:w="0"/>
                    <w:right w:type="dxa" w:w="0"/>
                  </w:tcMar>
                  <w:vAlign w:val="top"/>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、邮件、报刊分发及时，无私拆、私藏业主信件及其他物品现象发生</w:t>
                  </w:r>
                </w:p>
              </w:tc>
              <w:tc>
                <w:tcPr>
                  <w:tcW w:type="dxa" w:w="426"/>
                  <w:tcMar>
                    <w:top w:type="dxa" w:w="0"/>
                    <w:left w:type="dxa" w:w="0"/>
                    <w:bottom w:type="dxa" w:w="0"/>
                    <w:right w:type="dxa" w:w="0"/>
                  </w:tcMar>
                </w:tcPr>
                <w:p>
                  <w:pPr>
                    <w:pStyle w:val="null3"/>
                    <w:spacing w:after="75"/>
                    <w:jc w:val="center"/>
                  </w:pPr>
                  <w:r>
                    <w:rPr>
                      <w:rFonts w:ascii="仿宋_GB2312" w:hAnsi="仿宋_GB2312" w:cs="仿宋_GB2312" w:eastAsia="仿宋_GB2312"/>
                      <w:sz w:val="20"/>
                    </w:rPr>
                    <w:t>3</w:t>
                  </w:r>
                </w:p>
              </w:tc>
              <w:tc>
                <w:tcPr>
                  <w:tcW w:type="dxa" w:w="1314"/>
                  <w:tcMar>
                    <w:top w:type="dxa" w:w="0"/>
                    <w:left w:type="dxa" w:w="0"/>
                    <w:bottom w:type="dxa" w:w="0"/>
                    <w:right w:type="dxa" w:w="0"/>
                  </w:tcMar>
                  <w:vAlign w:val="top"/>
                </w:tcPr>
                <w:p>
                  <w:pPr>
                    <w:pStyle w:val="null3"/>
                    <w:spacing w:after="75"/>
                    <w:jc w:val="left"/>
                  </w:pPr>
                  <w:r>
                    <w:rPr>
                      <w:rFonts w:ascii="仿宋_GB2312" w:hAnsi="仿宋_GB2312" w:cs="仿宋_GB2312" w:eastAsia="仿宋_GB2312"/>
                      <w:sz w:val="20"/>
                    </w:rPr>
                    <w:t>每发现一处不符合扣</w:t>
                  </w:r>
                  <w:r>
                    <w:rPr>
                      <w:rFonts w:ascii="仿宋_GB2312" w:hAnsi="仿宋_GB2312" w:cs="仿宋_GB2312" w:eastAsia="仿宋_GB2312"/>
                      <w:sz w:val="20"/>
                    </w:rPr>
                    <w:t>0.2</w:t>
                  </w:r>
                </w:p>
              </w:tc>
              <w:tc>
                <w:tcPr>
                  <w:tcW w:type="dxa" w:w="513"/>
                  <w:tcMar>
                    <w:top w:type="dxa" w:w="0"/>
                    <w:left w:type="dxa" w:w="0"/>
                    <w:bottom w:type="dxa" w:w="0"/>
                    <w:right w:type="dxa" w:w="0"/>
                  </w:tcMar>
                  <w:vAlign w:val="top"/>
                </w:tcPr>
                <w:p>
                  <w:pPr>
                    <w:pStyle w:val="null3"/>
                    <w:spacing w:after="75"/>
                    <w:jc w:val="left"/>
                  </w:pPr>
                </w:p>
              </w:tc>
              <w:tc>
                <w:tcPr>
                  <w:tcW w:type="dxa" w:w="565"/>
                  <w:tcMar>
                    <w:top w:type="dxa" w:w="0"/>
                    <w:left w:type="dxa" w:w="0"/>
                    <w:bottom w:type="dxa" w:w="0"/>
                    <w:right w:type="dxa" w:w="0"/>
                  </w:tcMar>
                  <w:vAlign w:val="top"/>
                </w:tcPr>
                <w:p/>
              </w:tc>
              <w:tc>
                <w:tcPr>
                  <w:tcW w:type="dxa" w:w="548"/>
                  <w:tcMar>
                    <w:top w:type="dxa" w:w="0"/>
                    <w:left w:type="dxa" w:w="0"/>
                    <w:bottom w:type="dxa" w:w="0"/>
                    <w:right w:type="dxa" w:w="0"/>
                  </w:tcMar>
                  <w:vAlign w:val="top"/>
                </w:tcPr>
                <w:p/>
              </w:tc>
            </w:tr>
            <w:tr>
              <w:tc>
                <w:tcPr>
                  <w:tcW w:type="dxa" w:w="522"/>
                  <w:vMerge/>
                  <w:tcBorders>
                    <w:top w:val="inset" w:color="000000" w:sz="4"/>
                    <w:left w:val="inset" w:color="000000" w:sz="4"/>
                    <w:bottom w:val="none" w:color="000000" w:sz="4"/>
                    <w:right w:val="inset" w:color="000000" w:sz="4"/>
                  </w:tcBorders>
                </w:tcPr>
                <w:p/>
              </w:tc>
              <w:tc>
                <w:tcPr>
                  <w:tcW w:type="dxa" w:w="1697"/>
                  <w:tcMar>
                    <w:top w:type="dxa" w:w="0"/>
                    <w:left w:type="dxa" w:w="0"/>
                    <w:bottom w:type="dxa" w:w="0"/>
                    <w:right w:type="dxa" w:w="0"/>
                  </w:tcMar>
                  <w:vAlign w:val="top"/>
                </w:tcPr>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、会务需用设施、施备摆放规范，水杯</w:t>
                  </w:r>
                  <w:r>
                    <w:rPr>
                      <w:rFonts w:ascii="仿宋_GB2312" w:hAnsi="仿宋_GB2312" w:cs="仿宋_GB2312" w:eastAsia="仿宋_GB2312"/>
                      <w:sz w:val="20"/>
                    </w:rPr>
                    <w:t>无破损、</w:t>
                  </w:r>
                  <w:r>
                    <w:rPr>
                      <w:rFonts w:ascii="仿宋_GB2312" w:hAnsi="仿宋_GB2312" w:cs="仿宋_GB2312" w:eastAsia="仿宋_GB2312"/>
                      <w:sz w:val="20"/>
                    </w:rPr>
                    <w:t>干净、已消毒</w:t>
                  </w:r>
                </w:p>
              </w:tc>
              <w:tc>
                <w:tcPr>
                  <w:tcW w:type="dxa" w:w="426"/>
                  <w:tcMar>
                    <w:top w:type="dxa" w:w="0"/>
                    <w:left w:type="dxa" w:w="0"/>
                    <w:bottom w:type="dxa" w:w="0"/>
                    <w:right w:type="dxa" w:w="0"/>
                  </w:tcMar>
                </w:tcPr>
                <w:p>
                  <w:pPr>
                    <w:pStyle w:val="null3"/>
                    <w:spacing w:after="75"/>
                    <w:jc w:val="center"/>
                  </w:pPr>
                  <w:r>
                    <w:rPr>
                      <w:rFonts w:ascii="仿宋_GB2312" w:hAnsi="仿宋_GB2312" w:cs="仿宋_GB2312" w:eastAsia="仿宋_GB2312"/>
                      <w:sz w:val="20"/>
                    </w:rPr>
                    <w:t>3</w:t>
                  </w:r>
                </w:p>
              </w:tc>
              <w:tc>
                <w:tcPr>
                  <w:tcW w:type="dxa" w:w="1314"/>
                  <w:tcMar>
                    <w:top w:type="dxa" w:w="0"/>
                    <w:left w:type="dxa" w:w="0"/>
                    <w:bottom w:type="dxa" w:w="0"/>
                    <w:right w:type="dxa" w:w="0"/>
                  </w:tcMar>
                  <w:vAlign w:val="top"/>
                </w:tcPr>
                <w:p>
                  <w:pPr>
                    <w:pStyle w:val="null3"/>
                    <w:jc w:val="both"/>
                  </w:pPr>
                  <w:r>
                    <w:rPr>
                      <w:rFonts w:ascii="仿宋_GB2312" w:hAnsi="仿宋_GB2312" w:cs="仿宋_GB2312" w:eastAsia="仿宋_GB2312"/>
                      <w:sz w:val="20"/>
                    </w:rPr>
                    <w:t>每发现一处不符合扣</w:t>
                  </w:r>
                  <w:r>
                    <w:rPr>
                      <w:rFonts w:ascii="仿宋_GB2312" w:hAnsi="仿宋_GB2312" w:cs="仿宋_GB2312" w:eastAsia="仿宋_GB2312"/>
                      <w:sz w:val="20"/>
                    </w:rPr>
                    <w:t>0.2</w:t>
                  </w:r>
                </w:p>
              </w:tc>
              <w:tc>
                <w:tcPr>
                  <w:tcW w:type="dxa" w:w="513"/>
                  <w:tcMar>
                    <w:top w:type="dxa" w:w="0"/>
                    <w:left w:type="dxa" w:w="0"/>
                    <w:bottom w:type="dxa" w:w="0"/>
                    <w:right w:type="dxa" w:w="0"/>
                  </w:tcMar>
                  <w:vAlign w:val="top"/>
                </w:tcPr>
                <w:p>
                  <w:pPr>
                    <w:pStyle w:val="null3"/>
                    <w:spacing w:after="75"/>
                    <w:jc w:val="left"/>
                  </w:pPr>
                </w:p>
              </w:tc>
              <w:tc>
                <w:tcPr>
                  <w:tcW w:type="dxa" w:w="565"/>
                  <w:tcMar>
                    <w:top w:type="dxa" w:w="0"/>
                    <w:left w:type="dxa" w:w="0"/>
                    <w:bottom w:type="dxa" w:w="0"/>
                    <w:right w:type="dxa" w:w="0"/>
                  </w:tcMar>
                  <w:vAlign w:val="top"/>
                </w:tcPr>
                <w:p/>
              </w:tc>
              <w:tc>
                <w:tcPr>
                  <w:tcW w:type="dxa" w:w="548"/>
                  <w:tcMar>
                    <w:top w:type="dxa" w:w="0"/>
                    <w:left w:type="dxa" w:w="0"/>
                    <w:bottom w:type="dxa" w:w="0"/>
                    <w:right w:type="dxa" w:w="0"/>
                  </w:tcMar>
                  <w:vAlign w:val="top"/>
                </w:tcPr>
                <w:p/>
              </w:tc>
            </w:tr>
            <w:tr>
              <w:tc>
                <w:tcPr>
                  <w:tcW w:type="dxa" w:w="522"/>
                  <w:vMerge/>
                  <w:tcBorders>
                    <w:top w:val="inset" w:color="000000" w:sz="4"/>
                    <w:left w:val="inset" w:color="000000" w:sz="4"/>
                    <w:bottom w:val="none" w:color="000000" w:sz="4"/>
                    <w:right w:val="inset" w:color="000000" w:sz="4"/>
                  </w:tcBorders>
                </w:tcPr>
                <w:p/>
              </w:tc>
              <w:tc>
                <w:tcPr>
                  <w:tcW w:type="dxa" w:w="1697"/>
                  <w:tcMar>
                    <w:top w:type="dxa" w:w="0"/>
                    <w:left w:type="dxa" w:w="0"/>
                    <w:bottom w:type="dxa" w:w="0"/>
                    <w:right w:type="dxa" w:w="0"/>
                  </w:tcMar>
                  <w:vAlign w:val="top"/>
                </w:tcPr>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、配合办文办会严谨仔细</w:t>
                  </w:r>
                </w:p>
              </w:tc>
              <w:tc>
                <w:tcPr>
                  <w:tcW w:type="dxa" w:w="426"/>
                  <w:tcMar>
                    <w:top w:type="dxa" w:w="0"/>
                    <w:left w:type="dxa" w:w="0"/>
                    <w:bottom w:type="dxa" w:w="0"/>
                    <w:right w:type="dxa" w:w="0"/>
                  </w:tcMar>
                </w:tcPr>
                <w:p>
                  <w:pPr>
                    <w:pStyle w:val="null3"/>
                    <w:spacing w:after="75"/>
                    <w:jc w:val="center"/>
                  </w:pPr>
                  <w:r>
                    <w:rPr>
                      <w:rFonts w:ascii="仿宋_GB2312" w:hAnsi="仿宋_GB2312" w:cs="仿宋_GB2312" w:eastAsia="仿宋_GB2312"/>
                      <w:sz w:val="20"/>
                    </w:rPr>
                    <w:t>4</w:t>
                  </w:r>
                </w:p>
              </w:tc>
              <w:tc>
                <w:tcPr>
                  <w:tcW w:type="dxa" w:w="1314"/>
                  <w:tcMar>
                    <w:top w:type="dxa" w:w="0"/>
                    <w:left w:type="dxa" w:w="0"/>
                    <w:bottom w:type="dxa" w:w="0"/>
                    <w:right w:type="dxa" w:w="0"/>
                  </w:tcMar>
                  <w:vAlign w:val="top"/>
                </w:tcPr>
                <w:p>
                  <w:pPr>
                    <w:pStyle w:val="null3"/>
                    <w:jc w:val="both"/>
                  </w:pPr>
                  <w:r>
                    <w:rPr>
                      <w:rFonts w:ascii="仿宋_GB2312" w:hAnsi="仿宋_GB2312" w:cs="仿宋_GB2312" w:eastAsia="仿宋_GB2312"/>
                      <w:sz w:val="20"/>
                    </w:rPr>
                    <w:t>每发现一处不符合扣</w:t>
                  </w:r>
                  <w:r>
                    <w:rPr>
                      <w:rFonts w:ascii="仿宋_GB2312" w:hAnsi="仿宋_GB2312" w:cs="仿宋_GB2312" w:eastAsia="仿宋_GB2312"/>
                      <w:sz w:val="20"/>
                    </w:rPr>
                    <w:t>0.2</w:t>
                  </w:r>
                </w:p>
              </w:tc>
              <w:tc>
                <w:tcPr>
                  <w:tcW w:type="dxa" w:w="513"/>
                  <w:tcMar>
                    <w:top w:type="dxa" w:w="0"/>
                    <w:left w:type="dxa" w:w="0"/>
                    <w:bottom w:type="dxa" w:w="0"/>
                    <w:right w:type="dxa" w:w="0"/>
                  </w:tcMar>
                  <w:vAlign w:val="top"/>
                </w:tcPr>
                <w:p>
                  <w:pPr>
                    <w:pStyle w:val="null3"/>
                    <w:spacing w:after="75"/>
                    <w:jc w:val="left"/>
                  </w:pPr>
                </w:p>
              </w:tc>
              <w:tc>
                <w:tcPr>
                  <w:tcW w:type="dxa" w:w="565"/>
                  <w:tcMar>
                    <w:top w:type="dxa" w:w="0"/>
                    <w:left w:type="dxa" w:w="0"/>
                    <w:bottom w:type="dxa" w:w="0"/>
                    <w:right w:type="dxa" w:w="0"/>
                  </w:tcMar>
                  <w:vAlign w:val="top"/>
                </w:tcPr>
                <w:p/>
              </w:tc>
              <w:tc>
                <w:tcPr>
                  <w:tcW w:type="dxa" w:w="548"/>
                  <w:tcMar>
                    <w:top w:type="dxa" w:w="0"/>
                    <w:left w:type="dxa" w:w="0"/>
                    <w:bottom w:type="dxa" w:w="0"/>
                    <w:right w:type="dxa" w:w="0"/>
                  </w:tcMar>
                  <w:vAlign w:val="top"/>
                </w:tcPr>
                <w:p/>
              </w:tc>
            </w:tr>
            <w:tr>
              <w:tc>
                <w:tcPr>
                  <w:tcW w:type="dxa" w:w="522"/>
                  <w:tcBorders>
                    <w:top w:val="none" w:color="000000" w:sz="4"/>
                    <w:left w:val="none" w:color="000000" w:sz="4"/>
                    <w:bottom w:val="none" w:color="000000" w:sz="4"/>
                    <w:right w:val="none" w:color="000000" w:sz="4"/>
                  </w:tcBorders>
                  <w:tcMar>
                    <w:top w:type="dxa" w:w="0"/>
                    <w:left w:type="dxa" w:w="0"/>
                    <w:bottom w:type="dxa" w:w="0"/>
                    <w:right w:type="dxa" w:w="0"/>
                  </w:tcMar>
                </w:tcPr>
                <w:p/>
              </w:tc>
              <w:tc>
                <w:tcPr>
                  <w:tcW w:type="dxa" w:w="3437"/>
                  <w:gridSpan w:val="3"/>
                  <w:tcBorders>
                    <w:top w:val="inset" w:color="000000" w:sz="4"/>
                    <w:left w:val="inset" w:color="000000" w:sz="4"/>
                    <w:bottom w:val="none" w:color="000000" w:sz="4"/>
                    <w:right w:val="inset"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2"/>
                      <w:b/>
                    </w:rPr>
                    <w:t>总评分</w:t>
                  </w:r>
                  <w:r>
                    <w:rPr>
                      <w:rFonts w:ascii="仿宋_GB2312" w:hAnsi="仿宋_GB2312" w:cs="仿宋_GB2312" w:eastAsia="仿宋_GB2312"/>
                      <w:sz w:val="21"/>
                    </w:rPr>
                    <w:t>：</w:t>
                  </w:r>
                </w:p>
              </w:tc>
              <w:tc>
                <w:tcPr>
                  <w:tcW w:type="dxa" w:w="1626"/>
                  <w:gridSpan w:val="3"/>
                  <w:tcBorders>
                    <w:top w:val="inset" w:color="000000" w:sz="4"/>
                    <w:left w:val="inset" w:color="000000" w:sz="4"/>
                    <w:bottom w:val="none" w:color="000000" w:sz="4"/>
                    <w:right w:val="inset" w:color="000000" w:sz="4"/>
                  </w:tcBorders>
                  <w:tcMar>
                    <w:top w:type="dxa" w:w="0"/>
                    <w:left w:type="dxa" w:w="0"/>
                    <w:bottom w:type="dxa" w:w="0"/>
                    <w:right w:type="dxa" w:w="0"/>
                  </w:tcMar>
                  <w:vAlign w:val="top"/>
                </w:tcPr>
                <w:p>
                  <w:pPr>
                    <w:pStyle w:val="null3"/>
                    <w:spacing w:after="75"/>
                    <w:jc w:val="left"/>
                  </w:pPr>
                </w:p>
              </w:tc>
            </w:tr>
          </w:tbl>
          <w:p>
            <w:pPr>
              <w:pStyle w:val="null3"/>
              <w:jc w:val="both"/>
            </w:pPr>
            <w:r>
              <w:rPr>
                <w:rFonts w:ascii="仿宋_GB2312" w:hAnsi="仿宋_GB2312" w:cs="仿宋_GB2312" w:eastAsia="仿宋_GB2312"/>
                <w:sz w:val="24"/>
              </w:rPr>
              <w:t>备注：考核办法：</w:t>
            </w:r>
          </w:p>
          <w:p>
            <w:pPr>
              <w:pStyle w:val="null3"/>
              <w:ind w:firstLine="720"/>
              <w:jc w:val="both"/>
            </w:pPr>
            <w:r>
              <w:rPr>
                <w:rFonts w:ascii="仿宋_GB2312" w:hAnsi="仿宋_GB2312" w:cs="仿宋_GB2312" w:eastAsia="仿宋_GB2312"/>
                <w:sz w:val="24"/>
              </w:rPr>
              <w:t>1</w:t>
            </w:r>
            <w:r>
              <w:rPr>
                <w:rFonts w:ascii="仿宋_GB2312" w:hAnsi="仿宋_GB2312" w:cs="仿宋_GB2312" w:eastAsia="仿宋_GB2312"/>
                <w:sz w:val="24"/>
              </w:rPr>
              <w:t>、甲方每月根据物业管理服务工作情况月度考核表对乙方进行考核打分，并按相应分值确定当月实际支付费用。</w:t>
            </w:r>
          </w:p>
          <w:p>
            <w:pPr>
              <w:pStyle w:val="null3"/>
              <w:ind w:firstLine="720"/>
              <w:jc w:val="both"/>
            </w:pPr>
            <w:r>
              <w:rPr>
                <w:rFonts w:ascii="仿宋_GB2312" w:hAnsi="仿宋_GB2312" w:cs="仿宋_GB2312" w:eastAsia="仿宋_GB2312"/>
                <w:sz w:val="24"/>
              </w:rPr>
              <w:t>2</w:t>
            </w:r>
            <w:r>
              <w:rPr>
                <w:rFonts w:ascii="仿宋_GB2312" w:hAnsi="仿宋_GB2312" w:cs="仿宋_GB2312" w:eastAsia="仿宋_GB2312"/>
                <w:sz w:val="24"/>
              </w:rPr>
              <w:t>、考核扣分扣款计算系数：⑴当月考评得分在95分及以上的，按合同当月应付金额的100%支付。</w:t>
            </w:r>
          </w:p>
          <w:p>
            <w:pPr>
              <w:pStyle w:val="null3"/>
              <w:ind w:firstLine="720"/>
              <w:jc w:val="both"/>
            </w:pPr>
            <w:r>
              <w:rPr>
                <w:rFonts w:ascii="仿宋_GB2312" w:hAnsi="仿宋_GB2312" w:cs="仿宋_GB2312" w:eastAsia="仿宋_GB2312"/>
                <w:sz w:val="24"/>
              </w:rPr>
              <w:t>⑵当月考评得分在90-95分（不含），按合同当月应付金额的95%支付。</w:t>
            </w:r>
          </w:p>
          <w:p>
            <w:pPr>
              <w:pStyle w:val="null3"/>
              <w:ind w:firstLine="720"/>
              <w:jc w:val="both"/>
            </w:pPr>
            <w:r>
              <w:rPr>
                <w:rFonts w:ascii="仿宋_GB2312" w:hAnsi="仿宋_GB2312" w:cs="仿宋_GB2312" w:eastAsia="仿宋_GB2312"/>
                <w:sz w:val="24"/>
              </w:rPr>
              <w:t>⑶当月考评得分在85-90分（不含）的，按合同当月应付金额的85%支付。</w:t>
            </w:r>
          </w:p>
          <w:p>
            <w:pPr>
              <w:pStyle w:val="null3"/>
              <w:ind w:firstLine="720"/>
              <w:jc w:val="both"/>
            </w:pPr>
            <w:r>
              <w:rPr>
                <w:rFonts w:ascii="仿宋_GB2312" w:hAnsi="仿宋_GB2312" w:cs="仿宋_GB2312" w:eastAsia="仿宋_GB2312"/>
                <w:sz w:val="24"/>
              </w:rPr>
              <w:t>(4)</w:t>
            </w:r>
            <w:r>
              <w:rPr>
                <w:rFonts w:ascii="仿宋_GB2312" w:hAnsi="仿宋_GB2312" w:cs="仿宋_GB2312" w:eastAsia="仿宋_GB2312"/>
                <w:sz w:val="24"/>
              </w:rPr>
              <w:t>当月考评得分在85及以下分的，按合同当月应付金额的75%支付。</w:t>
            </w:r>
          </w:p>
          <w:p>
            <w:pPr>
              <w:pStyle w:val="null3"/>
              <w:ind w:firstLine="720"/>
              <w:jc w:val="both"/>
            </w:pPr>
            <w:r>
              <w:rPr>
                <w:rFonts w:ascii="仿宋_GB2312" w:hAnsi="仿宋_GB2312" w:cs="仿宋_GB2312" w:eastAsia="仿宋_GB2312"/>
                <w:sz w:val="24"/>
              </w:rPr>
              <w:t>3、</w:t>
            </w:r>
            <w:r>
              <w:rPr>
                <w:rFonts w:ascii="仿宋_GB2312" w:hAnsi="仿宋_GB2312" w:cs="仿宋_GB2312" w:eastAsia="仿宋_GB2312"/>
                <w:sz w:val="24"/>
                <w:color w:val="FF0000"/>
              </w:rPr>
              <w:t>成交供</w:t>
            </w:r>
            <w:r>
              <w:rPr>
                <w:rFonts w:ascii="仿宋_GB2312" w:hAnsi="仿宋_GB2312" w:cs="仿宋_GB2312" w:eastAsia="仿宋_GB2312"/>
                <w:sz w:val="24"/>
              </w:rPr>
              <w:t>应商履约过程考核得分连续3个月低于85分的，采购人有权单方面解除合同。</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服务期限三年，合同一年一签（具体起止时间以签订合同时间为准）。</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德阳市政务大楼1-12楼</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1、甲方每月根据物业管理服务工作情况月度考核表对乙方进行考核打分，并按相应分值确定当月实际支付费用。 2、考核扣分扣款计算系数：⑴当月考评得分在95分及以上的，按合同当月应付金额的100%支付。 ⑵当月考评得分在90-95分（不含），按合同当月应付金额的95%支付。 ⑶当月考评得分在85-90分（不含）的，按合同当月应付金额的85%支付。 (4)当月考评得分在85及以下分的，按合同当月应付金额的75%支付。 3、中标供应商履约过程考核得分连续3个月低于85分的，采购人有权单方面解除合同。</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采购人按月考核得分情况计算成交供应商的物业管理服务费，达到付款条件起15日内，据实情况说明为成交供应商出具正式合法发票，采购人依据对成交供应商的履约行为考评得分情况通过银行转账的方式拨付当月管理服务费用</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根据《中华人民共和国民法典》第五百七十七条的规定，当事人一方不履行合同义务或者履行合同义务不符合约定的，应当承担继续履行、采取补救措施或者赔偿损失等违约责任</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第三章中标注“★”号的条款，为本次磋商采购项目的可变动的实质性要求，供应商在磋商结束后应全部满足。</w:t>
      </w:r>
    </w:p>
    <w:p>
      <w:pPr>
        <w:pStyle w:val="null3"/>
        <w:ind w:firstLine="480"/>
        <w:jc w:val="left"/>
      </w:pPr>
      <w:r>
        <w:rPr>
          <w:rFonts w:ascii="仿宋_GB2312" w:hAnsi="仿宋_GB2312" w:cs="仿宋_GB2312" w:eastAsia="仿宋_GB2312"/>
        </w:rPr>
        <w:t xml:space="preserve"> 二、第七章“拟签订采购合同文本”：</w:t>
      </w:r>
    </w:p>
    <w:p>
      <w:pPr>
        <w:pStyle w:val="null3"/>
        <w:ind w:firstLine="480"/>
        <w:jc w:val="left"/>
      </w:pPr>
      <w:r>
        <w:rPr>
          <w:rFonts w:ascii="仿宋_GB2312" w:hAnsi="仿宋_GB2312" w:cs="仿宋_GB2312" w:eastAsia="仿宋_GB2312"/>
        </w:rPr>
        <w:t>第七章拟签订采购合同文本，为本次磋商采购项目的可变动的实质性要求，供应商在磋商结束后应全部满足。</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成员获取解密后的响应文件，开展评审活动。出现评审专家请假、回避等情况时，采购人或者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 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七、磋商文件有违反国家其他有关强制性规定的情形。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响应文件封面,投标（响应）函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需要供应商进行响应的其他实质性要求。</w:t>
            </w:r>
          </w:p>
        </w:tc>
        <w:tc>
          <w:tcPr>
            <w:tcW w:type="dxa" w:w="3322"/>
          </w:tcPr>
          <w:p>
            <w:pPr>
              <w:pStyle w:val="null3"/>
              <w:jc w:val="left"/>
            </w:pPr>
            <w:r>
              <w:rPr>
                <w:rFonts w:ascii="仿宋_GB2312" w:hAnsi="仿宋_GB2312" w:cs="仿宋_GB2312" w:eastAsia="仿宋_GB2312"/>
              </w:rPr>
              <w:t>供应商提供相关证明材料进行响应。</w:t>
            </w:r>
          </w:p>
        </w:tc>
        <w:tc>
          <w:tcPr>
            <w:tcW w:type="dxa" w:w="1910"/>
          </w:tcPr>
          <w:p>
            <w:pPr>
              <w:pStyle w:val="null3"/>
              <w:jc w:val="left"/>
            </w:pPr>
            <w:r>
              <w:rPr>
                <w:rFonts w:ascii="仿宋_GB2312" w:hAnsi="仿宋_GB2312" w:cs="仿宋_GB2312" w:eastAsia="仿宋_GB2312"/>
              </w:rPr>
              <w:t>响应文件封面,供应商应提交的相关证明材料,报价表</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二、磋商小组所有成员集中与单一供应商对技术、服务、合同条款等内容分别进行一轮或多轮的磋商。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评审结束后，磋商小组应当进行复核，特别要对拟推荐为成交候选供应商的、报价最低的、响应文件被认定为无效的进行重点复核。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并编写磋商报告。如本项目属于政府购买服务项目（含政府和社会资本合作项目）、市场竞争不充分的科研项目或者需要扶持的科技成果转化项目，当提交最后报价的供应商为2家时，可以推荐2家成交候选供应商。</w:t>
      </w:r>
    </w:p>
    <w:p>
      <w:pPr>
        <w:pStyle w:val="null3"/>
        <w:ind w:firstLine="480"/>
        <w:jc w:val="left"/>
      </w:pPr>
      <w:r>
        <w:rPr>
          <w:rFonts w:ascii="仿宋_GB2312" w:hAnsi="仿宋_GB2312" w:cs="仿宋_GB2312" w:eastAsia="仿宋_GB2312"/>
        </w:rPr>
        <w:t xml:space="preserve"> 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无</w:t>
      </w:r>
      <w:r>
        <w:rPr>
          <w:rFonts w:ascii="仿宋_GB2312" w:hAnsi="仿宋_GB2312" w:cs="仿宋_GB2312" w:eastAsia="仿宋_GB2312"/>
        </w:rPr>
        <w:t xml:space="preserve"> ，按照技术指标得分确定优劣）顺序排列；评审得分且最后报价且技术指标得分均相同的，按供应商提供的经评审认定有效的优先采购产品认证证书数量由多到少顺序排列；评审得分且最后报价且技术指标且提供的经评审认定有效的优先采购产品认证证书数量相同的并列。供应商响应的产品同时具有节能产品认证证书、环境标志产品认证证书的，按认定有效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磋商报告应当由磋商小组全体人员签字或加盖电子印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印章又不书面说明其不同意见和理由的，视为同意磋商报告。</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对磋商报告有异议的，应当在磋商报告上签署不同意见并说明理由，否则视为同意磋商报告。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jc w:val="left"/>
        <w:outlineLvl w:val="3"/>
      </w:pPr>
      <w:r>
        <w:rPr>
          <w:rFonts w:ascii="仿宋_GB2312" w:hAnsi="仿宋_GB2312" w:cs="仿宋_GB2312" w:eastAsia="仿宋_GB2312"/>
          <w:sz w:val="24"/>
          <w:b/>
        </w:rPr>
        <w:t>5.4.2.评审细则及标准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详细评审70.00分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总体服务方案</w:t>
            </w:r>
          </w:p>
        </w:tc>
        <w:tc>
          <w:tcPr>
            <w:tcW w:type="dxa" w:w="2575"/>
          </w:tcPr>
          <w:p>
            <w:pPr>
              <w:pStyle w:val="null3"/>
              <w:jc w:val="left"/>
            </w:pPr>
            <w:r>
              <w:rPr>
                <w:rFonts w:ascii="仿宋_GB2312" w:hAnsi="仿宋_GB2312" w:cs="仿宋_GB2312" w:eastAsia="仿宋_GB2312"/>
              </w:rPr>
              <w:t>根据投标人总体服务方案进行评审，包含： （1）项目整体定位及整体策划；(2)项目现状及对项目需求的理解；(3)项目服务标准及承诺；(4)项目管理机构运作方法；(5)项目服务保障具体措施；(6)项目监管及考核办法。以上6项所有内容都包括且完全满足磋商文件采购需求的得9分，方案中每有一项内容要素存在缺失的扣1.5分，方案内容要素中每存在一处缺陷扣0.75分，单项扣完为止。注：缺陷是指存在项目名称错误、地点区域错误，内容与本项目需求无关、方案内容矛盾或表述前后不一致、仅有框架或标题、适用的标准(方法)错误等任意一种情形。</w:t>
            </w:r>
          </w:p>
        </w:tc>
        <w:tc>
          <w:tcPr>
            <w:tcW w:type="dxa" w:w="831"/>
          </w:tcPr>
          <w:p>
            <w:pPr>
              <w:pStyle w:val="null3"/>
              <w:jc w:val="center"/>
            </w:pPr>
            <w:r>
              <w:rPr>
                <w:rFonts w:ascii="仿宋_GB2312" w:hAnsi="仿宋_GB2312" w:cs="仿宋_GB2312" w:eastAsia="仿宋_GB2312"/>
              </w:rPr>
              <w:t>9.0000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环境维护服务方案</w:t>
            </w:r>
          </w:p>
        </w:tc>
        <w:tc>
          <w:tcPr>
            <w:tcW w:type="dxa" w:w="2575"/>
          </w:tcPr>
          <w:p>
            <w:pPr>
              <w:pStyle w:val="null3"/>
              <w:jc w:val="left"/>
            </w:pPr>
            <w:r>
              <w:rPr>
                <w:rFonts w:ascii="仿宋_GB2312" w:hAnsi="仿宋_GB2312" w:cs="仿宋_GB2312" w:eastAsia="仿宋_GB2312"/>
              </w:rPr>
              <w:t>根据投标人环境维护服务方案进行评审，包含： 包含：（1）岗位设置和工作职责；⑵环境维护和操作规程；⑶日常环境维护和计划环境维护方案（含工作安排及值班安排表）；⑷培训和考核办法。以上4项所有内容都包括且完全满足磋商文件采购需求的得8分，方案中每有一项内容要素存在缺失的扣2分，方案内容要素中每存在一处缺陷扣0.5分，单项扣完为止。注：缺陷是指存在项目名称错误、地点区域错误，内容与本项目需求无关、方案内容矛盾或表述前后不一致、仅有框架或标题、适用的标准(方法)错误等任意一种情形。</w:t>
            </w:r>
          </w:p>
        </w:tc>
        <w:tc>
          <w:tcPr>
            <w:tcW w:type="dxa" w:w="831"/>
          </w:tcPr>
          <w:p>
            <w:pPr>
              <w:pStyle w:val="null3"/>
              <w:jc w:val="center"/>
            </w:pPr>
            <w:r>
              <w:rPr>
                <w:rFonts w:ascii="仿宋_GB2312" w:hAnsi="仿宋_GB2312" w:cs="仿宋_GB2312" w:eastAsia="仿宋_GB2312"/>
              </w:rPr>
              <w:t>8.0000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系统运行和工程维护服务方案</w:t>
            </w:r>
          </w:p>
        </w:tc>
        <w:tc>
          <w:tcPr>
            <w:tcW w:type="dxa" w:w="2575"/>
          </w:tcPr>
          <w:p>
            <w:pPr>
              <w:pStyle w:val="null3"/>
              <w:jc w:val="left"/>
            </w:pPr>
            <w:r>
              <w:rPr>
                <w:rFonts w:ascii="仿宋_GB2312" w:hAnsi="仿宋_GB2312" w:cs="仿宋_GB2312" w:eastAsia="仿宋_GB2312"/>
              </w:rPr>
              <w:t>根据投标人系统运行和工程维护服务方案进行评审，包含： （1）岗位设置和工作职责；⑵服务标准和服务规程；⑶房屋和公用设施管理服务方案；⑷强电、弱电、给排水、空调、电梯等设备运行维护方案；⑸节能降耗方案：⑹培训和考核办法；以上6项所有内容都包括且完全满足磋商文件采购需求的得6分，方案中每有一项内容要素存在缺失的扣1分，方案内容要素中每存在一处缺陷扣0.5分，单项扣完为止。注：缺陷是指存在项目名称错误、地点区域错误，内容与本项目需求无关、方案内容矛盾或表述前后不一致、仅有框架或标题、适用的标准(方法)错误等任意一种情形。</w:t>
            </w:r>
          </w:p>
        </w:tc>
        <w:tc>
          <w:tcPr>
            <w:tcW w:type="dxa" w:w="831"/>
          </w:tcPr>
          <w:p>
            <w:pPr>
              <w:pStyle w:val="null3"/>
              <w:jc w:val="center"/>
            </w:pPr>
            <w:r>
              <w:rPr>
                <w:rFonts w:ascii="仿宋_GB2312" w:hAnsi="仿宋_GB2312" w:cs="仿宋_GB2312" w:eastAsia="仿宋_GB2312"/>
              </w:rPr>
              <w:t>6.0000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会务服务方案</w:t>
            </w:r>
          </w:p>
        </w:tc>
        <w:tc>
          <w:tcPr>
            <w:tcW w:type="dxa" w:w="2575"/>
          </w:tcPr>
          <w:p>
            <w:pPr>
              <w:pStyle w:val="null3"/>
              <w:jc w:val="left"/>
            </w:pPr>
            <w:r>
              <w:rPr>
                <w:rFonts w:ascii="仿宋_GB2312" w:hAnsi="仿宋_GB2312" w:cs="仿宋_GB2312" w:eastAsia="仿宋_GB2312"/>
              </w:rPr>
              <w:t>根据投标人会务服务方案进行评审，包含： （1）岗位设置和工作职责；⑵服务标准和服务规程；⑶会务服务方案；（4）培训和考核办法。以上4项所有内容都包括且完全满足磋商文件采购需求的得4分，方案中每有一项内容要素存在缺失的扣1分，方案内容要素中每存在一处缺陷扣0.5分，单项扣完为止。注：缺陷是指存在项目名称错误、地点区域错误，内容与本项目需求无关、方案内容矛盾或表述前后不一致、仅有框架或标题、适用的标准(方法)错误等任意一种情形。</w:t>
            </w:r>
          </w:p>
        </w:tc>
        <w:tc>
          <w:tcPr>
            <w:tcW w:type="dxa" w:w="831"/>
          </w:tcPr>
          <w:p>
            <w:pPr>
              <w:pStyle w:val="null3"/>
              <w:jc w:val="center"/>
            </w:pPr>
            <w:r>
              <w:rPr>
                <w:rFonts w:ascii="仿宋_GB2312" w:hAnsi="仿宋_GB2312" w:cs="仿宋_GB2312" w:eastAsia="仿宋_GB2312"/>
              </w:rPr>
              <w:t>4.0000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导服服务方案</w:t>
            </w:r>
          </w:p>
        </w:tc>
        <w:tc>
          <w:tcPr>
            <w:tcW w:type="dxa" w:w="2575"/>
          </w:tcPr>
          <w:p>
            <w:pPr>
              <w:pStyle w:val="null3"/>
              <w:jc w:val="left"/>
            </w:pPr>
            <w:r>
              <w:rPr>
                <w:rFonts w:ascii="仿宋_GB2312" w:hAnsi="仿宋_GB2312" w:cs="仿宋_GB2312" w:eastAsia="仿宋_GB2312"/>
              </w:rPr>
              <w:t>根据投标人导服服务方案进行评审，包含： (1)岗位设置和工作职责；(2)服务标准和服务规程；(3)导服服务方案；(4)培训和考核办法。以上4项所有内容都包括且完全满足磋商文件采购需求的得4分，方案中每有一项内容要素存在缺失的扣1分，方案内容要素中每存在一处缺陷扣0.5分，单项扣完为止。注：缺陷是指存在项目名称错误、地点区域错误，内容与本项目需求无关、方案内容矛盾或表述前后不一致、仅有框架或标题、适用的标准(方法)错误等任意一种情形。</w:t>
            </w:r>
          </w:p>
        </w:tc>
        <w:tc>
          <w:tcPr>
            <w:tcW w:type="dxa" w:w="831"/>
          </w:tcPr>
          <w:p>
            <w:pPr>
              <w:pStyle w:val="null3"/>
              <w:jc w:val="center"/>
            </w:pPr>
            <w:r>
              <w:rPr>
                <w:rFonts w:ascii="仿宋_GB2312" w:hAnsi="仿宋_GB2312" w:cs="仿宋_GB2312" w:eastAsia="仿宋_GB2312"/>
              </w:rPr>
              <w:t>4.0000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综合服务方案</w:t>
            </w:r>
          </w:p>
        </w:tc>
        <w:tc>
          <w:tcPr>
            <w:tcW w:type="dxa" w:w="2575"/>
          </w:tcPr>
          <w:p>
            <w:pPr>
              <w:pStyle w:val="null3"/>
              <w:jc w:val="left"/>
            </w:pPr>
            <w:r>
              <w:rPr>
                <w:rFonts w:ascii="仿宋_GB2312" w:hAnsi="仿宋_GB2312" w:cs="仿宋_GB2312" w:eastAsia="仿宋_GB2312"/>
              </w:rPr>
              <w:t>根据投标人综合服务方案进行评审，包含： (1)岗位设置和工作职责；(2)服务标准和服务规程；(3)综合服务方案；(4)培训和考核办法。以上4项所有内容都包括且完全满足磋商文件采购需求的得3分，方案中每有一项内容要素存在缺失的扣0.75分，方案内容要素中每存在一处缺陷扣0.5分，单项扣完为止。注：缺陷是指存在项目名称错误、地点区域错误，内容与本项目需求无关、方案内容矛盾或表述前后不一致、仅有框架或标题、适用的标准(方法)错误等任意一种情形。</w:t>
            </w:r>
          </w:p>
        </w:tc>
        <w:tc>
          <w:tcPr>
            <w:tcW w:type="dxa" w:w="831"/>
          </w:tcPr>
          <w:p>
            <w:pPr>
              <w:pStyle w:val="null3"/>
              <w:jc w:val="center"/>
            </w:pPr>
            <w:r>
              <w:rPr>
                <w:rFonts w:ascii="仿宋_GB2312" w:hAnsi="仿宋_GB2312" w:cs="仿宋_GB2312" w:eastAsia="仿宋_GB2312"/>
              </w:rPr>
              <w:t>3.0000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秩序维护服务方案</w:t>
            </w:r>
          </w:p>
        </w:tc>
        <w:tc>
          <w:tcPr>
            <w:tcW w:type="dxa" w:w="2575"/>
          </w:tcPr>
          <w:p>
            <w:pPr>
              <w:pStyle w:val="null3"/>
              <w:jc w:val="left"/>
            </w:pPr>
            <w:r>
              <w:rPr>
                <w:rFonts w:ascii="仿宋_GB2312" w:hAnsi="仿宋_GB2312" w:cs="仿宋_GB2312" w:eastAsia="仿宋_GB2312"/>
              </w:rPr>
              <w:t>根据投标人秩序维护和安全保卫服务方案进行评审，包含： 包含：（1）岗位设置和工作职责；⑵服务标准和服务规程：⑶公共秩序维护和安全保卫方案、消防安全管理方案（含工作安排及值班安排表）；⑷培训和考核办法。以上4项所有内容都包括且完全满足磋商文件采购需求的得4分，方案中每有一项内容要素存在缺失的扣1分，方案内容要素中每存在一处缺陷扣0.5分，单项扣完为止。注：缺陷是指存在项目名称错误、地点区域错误，内容与本项目需求无关、方案内容矛盾或表述前后不一致、仅有框架或标题、适用的标准(方法)错误等任意一种情形。</w:t>
            </w:r>
          </w:p>
        </w:tc>
        <w:tc>
          <w:tcPr>
            <w:tcW w:type="dxa" w:w="831"/>
          </w:tcPr>
          <w:p>
            <w:pPr>
              <w:pStyle w:val="null3"/>
              <w:jc w:val="center"/>
            </w:pPr>
            <w:r>
              <w:rPr>
                <w:rFonts w:ascii="仿宋_GB2312" w:hAnsi="仿宋_GB2312" w:cs="仿宋_GB2312" w:eastAsia="仿宋_GB2312"/>
              </w:rPr>
              <w:t>4.0000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应急预案</w:t>
            </w:r>
          </w:p>
        </w:tc>
        <w:tc>
          <w:tcPr>
            <w:tcW w:type="dxa" w:w="2575"/>
          </w:tcPr>
          <w:p>
            <w:pPr>
              <w:pStyle w:val="null3"/>
              <w:jc w:val="left"/>
            </w:pPr>
            <w:r>
              <w:rPr>
                <w:rFonts w:ascii="仿宋_GB2312" w:hAnsi="仿宋_GB2312" w:cs="仿宋_GB2312" w:eastAsia="仿宋_GB2312"/>
              </w:rPr>
              <w:t>根据投标人应急预案进行评审，包含： (1)重大突发事件应急预案；(2)突发治安事件应急预案；(3)突发意外伤亡事件应急预案；(4)突发火灾应急预案；(5)突发群体性事件应急预案。以上5项所有内容都包括且完全满足磋商文件采购需求的得5分，方案中每有一项内容要素存在缺失的扣1分，方案内容要素中每存在一处缺陷扣0.5分，单项扣完为止。注：缺陷是指存在项目名称错误、地点区域错误，内容与本项目需求无关、方案内容矛盾或表述前后不一致、仅有框架或标题、适用的标准(方法)错误等任意一种情形。</w:t>
            </w:r>
          </w:p>
        </w:tc>
        <w:tc>
          <w:tcPr>
            <w:tcW w:type="dxa" w:w="831"/>
          </w:tcPr>
          <w:p>
            <w:pPr>
              <w:pStyle w:val="null3"/>
              <w:jc w:val="center"/>
            </w:pPr>
            <w:r>
              <w:rPr>
                <w:rFonts w:ascii="仿宋_GB2312" w:hAnsi="仿宋_GB2312" w:cs="仿宋_GB2312" w:eastAsia="仿宋_GB2312"/>
              </w:rPr>
              <w:t>5.0000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信誉</w:t>
            </w:r>
          </w:p>
        </w:tc>
        <w:tc>
          <w:tcPr>
            <w:tcW w:type="dxa" w:w="2575"/>
          </w:tcPr>
          <w:p>
            <w:pPr>
              <w:pStyle w:val="null3"/>
              <w:jc w:val="left"/>
            </w:pPr>
            <w:r>
              <w:rPr>
                <w:rFonts w:ascii="仿宋_GB2312" w:hAnsi="仿宋_GB2312" w:cs="仿宋_GB2312" w:eastAsia="仿宋_GB2312"/>
              </w:rPr>
              <w:t>供应商持有质量管理体系认证、环境管理体系认证、职业健康安全管理体系认证、企业诚信管理体系认证、信息安全管理体系认证的得6分,每少一个，扣1.2分。须提供相应有效期内证书原件扫描件并加盖公章；没有提供的或证书未在有效期的不得分。</w:t>
            </w:r>
          </w:p>
        </w:tc>
        <w:tc>
          <w:tcPr>
            <w:tcW w:type="dxa" w:w="831"/>
          </w:tcPr>
          <w:p>
            <w:pPr>
              <w:pStyle w:val="null3"/>
              <w:jc w:val="center"/>
            </w:pPr>
            <w:r>
              <w:rPr>
                <w:rFonts w:ascii="仿宋_GB2312" w:hAnsi="仿宋_GB2312" w:cs="仿宋_GB2312" w:eastAsia="仿宋_GB2312"/>
              </w:rPr>
              <w:t>6.0000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业绩</w:t>
            </w:r>
          </w:p>
        </w:tc>
        <w:tc>
          <w:tcPr>
            <w:tcW w:type="dxa" w:w="2575"/>
          </w:tcPr>
          <w:p>
            <w:pPr>
              <w:pStyle w:val="null3"/>
              <w:jc w:val="left"/>
            </w:pPr>
            <w:r>
              <w:rPr>
                <w:rFonts w:ascii="仿宋_GB2312" w:hAnsi="仿宋_GB2312" w:cs="仿宋_GB2312" w:eastAsia="仿宋_GB2312"/>
              </w:rPr>
              <w:t>提供2021年1月1日（含）以来的类似（在管或已完成项目）业绩,业绩应包括秩序维护服务或保安服务、环境维护服务或保洁服务、设施设备运行管理服务或工程维修服务、会议服务、导服服务中4项服务内容，每有1个业绩得2分，最高得12分。 注：1、提供合同复印件和中标（成交）通知书复印件，同一甲方的多个合同按一个业绩计算，合同时间以签订之日为准。 2、提供合同对应的1次转款收款银行凭证复印件。</w:t>
            </w:r>
          </w:p>
        </w:tc>
        <w:tc>
          <w:tcPr>
            <w:tcW w:type="dxa" w:w="831"/>
          </w:tcPr>
          <w:p>
            <w:pPr>
              <w:pStyle w:val="null3"/>
              <w:jc w:val="center"/>
            </w:pPr>
            <w:r>
              <w:rPr>
                <w:rFonts w:ascii="仿宋_GB2312" w:hAnsi="仿宋_GB2312" w:cs="仿宋_GB2312" w:eastAsia="仿宋_GB2312"/>
              </w:rPr>
              <w:t>12.0000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人员配置及服务团队实力</w:t>
            </w:r>
          </w:p>
        </w:tc>
        <w:tc>
          <w:tcPr>
            <w:tcW w:type="dxa" w:w="2575"/>
          </w:tcPr>
          <w:p>
            <w:pPr>
              <w:pStyle w:val="null3"/>
              <w:jc w:val="left"/>
            </w:pPr>
            <w:r>
              <w:rPr>
                <w:rFonts w:ascii="仿宋_GB2312" w:hAnsi="仿宋_GB2312" w:cs="仿宋_GB2312" w:eastAsia="仿宋_GB2312"/>
              </w:rPr>
              <w:t>（1）投标人拟派往本项目的经理具有中级及以上职称的得1分，没有不得分；拟派的项目经理具有办公楼物业管理从业经3年（含）及以上的得1分。管理经验需提供管理合同，并由业主单位提供加盖印章的书面证明材料，没有提供的不得分。 （2）投标人针对本物业日常管理中突发重大应急的保障力量（即在30分钟内到达本项目服务地点参与应急支援的投标人其他在管项目人员数量）配备：每1人得0.5分，最多得3分，没有的不得分）。需提供管理合同，并由业主单位提供加盖印章的书面证明材料，没有提供的不得分。 （3）持有应急部门的安全生产培训证书的加2分；持有救护员证书的，提供1人得1分，本项最多2分；没有的不得分。 注：（1）（3）项投标人须提供相关人员证书或相关证明材料或扫描件。（2）项投标人提供承诺函。</w:t>
            </w:r>
          </w:p>
        </w:tc>
        <w:tc>
          <w:tcPr>
            <w:tcW w:type="dxa" w:w="831"/>
          </w:tcPr>
          <w:p>
            <w:pPr>
              <w:pStyle w:val="null3"/>
              <w:jc w:val="center"/>
            </w:pPr>
            <w:r>
              <w:rPr>
                <w:rFonts w:ascii="仿宋_GB2312" w:hAnsi="仿宋_GB2312" w:cs="仿宋_GB2312" w:eastAsia="仿宋_GB2312"/>
              </w:rPr>
              <w:t>9.0000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服务应答表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除政府购买服务项目（含政府和社会资本合作项目）、市场竞争不充分的科研项目、需要扶持的科技成果转化项目，提交最后报价的供应商可以为2家外，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 xml:space="preserve"> 本项目授权磋商小组在磋商报告确定的成交候选供应商名单中按顺序直接确定1名成交供应商。采购人或者代理机构应当自成交供应商确定之日起 2个工作日内，在四川政府采购网公告成交结果，磋商文件应当随成交结果同时公告。</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（服务类）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依据《中华人民共和国民法典》 《中华人民共和国政府采购法》与项目行业有关的法律法规，以及</w:t>
      </w:r>
      <w:r>
        <w:rPr>
          <w:rFonts w:ascii="仿宋_GB2312" w:hAnsi="仿宋_GB2312" w:cs="仿宋_GB2312" w:eastAsia="仿宋_GB2312"/>
        </w:rPr>
        <w:t>________</w:t>
      </w:r>
      <w:r>
        <w:rPr>
          <w:rFonts w:ascii="仿宋_GB2312" w:hAnsi="仿宋_GB2312" w:cs="仿宋_GB2312" w:eastAsia="仿宋_GB2312"/>
        </w:rPr>
        <w:t xml:space="preserve">采购项目的 </w:t>
      </w:r>
      <w:r>
        <w:rPr>
          <w:rFonts w:ascii="仿宋_GB2312" w:hAnsi="仿宋_GB2312" w:cs="仿宋_GB2312" w:eastAsia="仿宋_GB2312"/>
        </w:rPr>
        <w:t>《磋商文件》</w:t>
      </w:r>
      <w:r>
        <w:rPr>
          <w:rFonts w:ascii="仿宋_GB2312" w:hAnsi="仿宋_GB2312" w:cs="仿宋_GB2312" w:eastAsia="仿宋_GB2312"/>
        </w:rPr>
        <w:t>，乙方的《投标（响应）文件》及《中标（成交）通知书》，甲乙双方同意签订本合同。具体情况及要求如下：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 xml:space="preserve"> 一、标的信息</w:t>
      </w:r>
    </w:p>
    <w:p>
      <w:pPr>
        <w:pStyle w:val="null3"/>
        <w:jc w:val="left"/>
      </w:pPr>
      <w:r>
        <w:br/>
      </w:r>
    </w:p>
    <w:p>
      <w:pPr>
        <w:pStyle w:val="null3"/>
        <w:jc w:val="left"/>
        <w:outlineLvl w:val="2"/>
      </w:pPr>
      <w:r>
        <w:rPr>
          <w:rFonts w:ascii="仿宋_GB2312" w:hAnsi="仿宋_GB2312" w:cs="仿宋_GB2312" w:eastAsia="仿宋_GB2312"/>
          <w:sz w:val="28"/>
          <w:b/>
        </w:rPr>
        <w:t xml:space="preserve"> 二、服务要求</w:t>
      </w:r>
    </w:p>
    <w:p>
      <w:pPr>
        <w:pStyle w:val="null3"/>
        <w:jc w:val="left"/>
        <w:outlineLvl w:val="2"/>
      </w:pPr>
      <w:r>
        <w:rPr>
          <w:rFonts w:ascii="仿宋_GB2312" w:hAnsi="仿宋_GB2312" w:cs="仿宋_GB2312" w:eastAsia="仿宋_GB2312"/>
          <w:sz w:val="28"/>
          <w:b/>
        </w:rPr>
        <w:t xml:space="preserve"> 三、合同定价方式、付款进度和支付方式 </w:t>
      </w:r>
      <w:r>
        <w:rPr>
          <w:rFonts w:ascii="仿宋_GB2312" w:hAnsi="仿宋_GB2312" w:cs="仿宋_GB2312" w:eastAsia="仿宋_GB2312"/>
        </w:rPr>
        <w:t xml:space="preserve"> 合同定价方式：</w:t>
      </w:r>
    </w:p>
    <w:p>
      <w:pPr>
        <w:pStyle w:val="null3"/>
        <w:jc w:val="left"/>
      </w:pPr>
      <w:r>
        <w:br/>
      </w:r>
    </w:p>
    <w:p>
      <w:pPr>
        <w:pStyle w:val="null3"/>
        <w:jc w:val="left"/>
        <w:outlineLvl w:val="2"/>
      </w:pPr>
      <w:r>
        <w:rPr>
          <w:rFonts w:ascii="仿宋_GB2312" w:hAnsi="仿宋_GB2312" w:cs="仿宋_GB2312" w:eastAsia="仿宋_GB2312"/>
          <w:sz w:val="28"/>
          <w:b/>
        </w:rPr>
        <w:t xml:space="preserve"> 四、履约保证金</w:t>
      </w:r>
    </w:p>
    <w:p>
      <w:pPr>
        <w:pStyle w:val="null3"/>
        <w:jc w:val="left"/>
      </w:pPr>
      <w:r>
        <w:br/>
      </w:r>
    </w:p>
    <w:p>
      <w:pPr>
        <w:pStyle w:val="null3"/>
        <w:jc w:val="left"/>
        <w:outlineLvl w:val="2"/>
      </w:pPr>
      <w:r>
        <w:rPr>
          <w:rFonts w:ascii="仿宋_GB2312" w:hAnsi="仿宋_GB2312" w:cs="仿宋_GB2312" w:eastAsia="仿宋_GB2312"/>
          <w:sz w:val="28"/>
          <w:b/>
        </w:rPr>
        <w:t xml:space="preserve"> 五、验收标准和方法</w:t>
      </w:r>
    </w:p>
    <w:p>
      <w:pPr>
        <w:pStyle w:val="null3"/>
        <w:jc w:val="left"/>
      </w:pPr>
      <w:r>
        <w:br/>
      </w:r>
    </w:p>
    <w:p>
      <w:pPr>
        <w:pStyle w:val="null3"/>
        <w:jc w:val="left"/>
        <w:outlineLvl w:val="2"/>
      </w:pPr>
      <w:r>
        <w:rPr>
          <w:rFonts w:ascii="仿宋_GB2312" w:hAnsi="仿宋_GB2312" w:cs="仿宋_GB2312" w:eastAsia="仿宋_GB2312"/>
          <w:sz w:val="28"/>
          <w:b/>
        </w:rPr>
        <w:t xml:space="preserve"> 六、甲方的权利和义务</w:t>
      </w:r>
    </w:p>
    <w:p>
      <w:pPr>
        <w:pStyle w:val="null3"/>
        <w:jc w:val="left"/>
      </w:pPr>
      <w:r>
        <w:rPr>
          <w:rFonts w:ascii="仿宋_GB2312" w:hAnsi="仿宋_GB2312" w:cs="仿宋_GB2312" w:eastAsia="仿宋_GB2312"/>
        </w:rPr>
        <w:t>1.甲方有权对合同规定范围内乙方的服务行为进行监督和检查，拥有监管权。有权定期核对乙方提供服务所配备的人员数量。对甲方认为不合理的部分XXX。</w:t>
      </w:r>
    </w:p>
    <w:p>
      <w:pPr>
        <w:pStyle w:val="null3"/>
        <w:jc w:val="left"/>
      </w:pPr>
      <w:r>
        <w:rPr>
          <w:rFonts w:ascii="仿宋_GB2312" w:hAnsi="仿宋_GB2312" w:cs="仿宋_GB2312" w:eastAsia="仿宋_GB2312"/>
        </w:rPr>
        <w:t>2.根据本合同规定，按时向乙方支付应付服务费用。</w:t>
      </w:r>
    </w:p>
    <w:p>
      <w:pPr>
        <w:pStyle w:val="null3"/>
        <w:jc w:val="left"/>
      </w:pPr>
      <w:r>
        <w:rPr>
          <w:rFonts w:ascii="仿宋_GB2312" w:hAnsi="仿宋_GB2312" w:cs="仿宋_GB2312" w:eastAsia="仿宋_GB2312"/>
        </w:rPr>
        <w:t>3.国家法律、法规所规定由甲方承担的其它责任。</w:t>
      </w:r>
    </w:p>
    <w:p>
      <w:pPr>
        <w:pStyle w:val="null3"/>
        <w:jc w:val="left"/>
        <w:outlineLvl w:val="2"/>
      </w:pPr>
      <w:r>
        <w:rPr>
          <w:rFonts w:ascii="仿宋_GB2312" w:hAnsi="仿宋_GB2312" w:cs="仿宋_GB2312" w:eastAsia="仿宋_GB2312"/>
          <w:sz w:val="28"/>
          <w:b/>
        </w:rPr>
        <w:t xml:space="preserve"> 七、乙方的权利和义务</w:t>
      </w:r>
    </w:p>
    <w:p>
      <w:pPr>
        <w:pStyle w:val="null3"/>
        <w:jc w:val="left"/>
      </w:pPr>
      <w:r>
        <w:rPr>
          <w:rFonts w:ascii="仿宋_GB2312" w:hAnsi="仿宋_GB2312" w:cs="仿宋_GB2312" w:eastAsia="仿宋_GB2312"/>
        </w:rPr>
        <w:t>1.根据本合同的约定向甲方收取相关服务费用。</w:t>
      </w:r>
    </w:p>
    <w:p>
      <w:pPr>
        <w:pStyle w:val="null3"/>
        <w:jc w:val="left"/>
      </w:pPr>
      <w:r>
        <w:rPr>
          <w:rFonts w:ascii="仿宋_GB2312" w:hAnsi="仿宋_GB2312" w:cs="仿宋_GB2312" w:eastAsia="仿宋_GB2312"/>
        </w:rPr>
        <w:t>2.接受项目行业管理部门及政府有关部门的指导，接受甲方的监督。</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4.国家法律、法规所规定由乙方承担的其它责任。</w:t>
      </w:r>
    </w:p>
    <w:p>
      <w:pPr>
        <w:pStyle w:val="null3"/>
        <w:jc w:val="left"/>
        <w:outlineLvl w:val="2"/>
      </w:pPr>
      <w:r>
        <w:rPr>
          <w:rFonts w:ascii="仿宋_GB2312" w:hAnsi="仿宋_GB2312" w:cs="仿宋_GB2312" w:eastAsia="仿宋_GB2312"/>
          <w:sz w:val="28"/>
          <w:b/>
        </w:rPr>
        <w:t xml:space="preserve"> 八、违约责任</w:t>
      </w:r>
    </w:p>
    <w:p>
      <w:pPr>
        <w:pStyle w:val="null3"/>
        <w:jc w:val="left"/>
      </w:pPr>
      <w:r>
        <w:br/>
      </w:r>
    </w:p>
    <w:p>
      <w:pPr>
        <w:pStyle w:val="null3"/>
        <w:jc w:val="left"/>
        <w:outlineLvl w:val="2"/>
      </w:pPr>
      <w:r>
        <w:rPr>
          <w:rFonts w:ascii="仿宋_GB2312" w:hAnsi="仿宋_GB2312" w:cs="仿宋_GB2312" w:eastAsia="仿宋_GB2312"/>
          <w:sz w:val="28"/>
          <w:b/>
        </w:rPr>
        <w:t xml:space="preserve"> 九、不可抗事件处理</w:t>
      </w:r>
    </w:p>
    <w:p>
      <w:pPr>
        <w:pStyle w:val="null3"/>
        <w:jc w:val="left"/>
      </w:pPr>
      <w:r>
        <w:rPr>
          <w:rFonts w:ascii="仿宋_GB2312" w:hAnsi="仿宋_GB2312" w:cs="仿宋_GB2312" w:eastAsia="仿宋_GB2312"/>
        </w:rPr>
        <w:t>1.在合同有效期内，任何一方因战争、洪灾、台风、地震等不可抗力事件导致不能履行合同，则合同履行期可延长，其延长期与不可抗力事件影响期相同。</w:t>
      </w:r>
    </w:p>
    <w:p>
      <w:pPr>
        <w:pStyle w:val="null3"/>
        <w:jc w:val="left"/>
      </w:pPr>
      <w:r>
        <w:rPr>
          <w:rFonts w:ascii="仿宋_GB2312" w:hAnsi="仿宋_GB2312" w:cs="仿宋_GB2312" w:eastAsia="仿宋_GB2312"/>
        </w:rPr>
        <w:t>2.受阻一方应在不可抗事件发生后尽快用电话通知对方并于事故发生后XX天内将有关部门出具的证明文件等用特快专递或挂号信寄给对方审阅确认。</w:t>
      </w:r>
    </w:p>
    <w:p>
      <w:pPr>
        <w:pStyle w:val="null3"/>
        <w:jc w:val="left"/>
      </w:pPr>
      <w:r>
        <w:rPr>
          <w:rFonts w:ascii="仿宋_GB2312" w:hAnsi="仿宋_GB2312" w:cs="仿宋_GB2312" w:eastAsia="仿宋_GB2312"/>
        </w:rPr>
        <w:t>3.不可抗事件延续XX天以上，双方应通过友好协商，确定是否继续履行合同。</w:t>
      </w:r>
    </w:p>
    <w:p>
      <w:pPr>
        <w:pStyle w:val="null3"/>
        <w:jc w:val="left"/>
        <w:outlineLvl w:val="2"/>
      </w:pPr>
      <w:r>
        <w:rPr>
          <w:rFonts w:ascii="仿宋_GB2312" w:hAnsi="仿宋_GB2312" w:cs="仿宋_GB2312" w:eastAsia="仿宋_GB2312"/>
          <w:sz w:val="28"/>
          <w:b/>
        </w:rPr>
        <w:t xml:space="preserve"> 十、解决合同纠纷的方式</w:t>
      </w:r>
    </w:p>
    <w:p>
      <w:pPr>
        <w:pStyle w:val="null3"/>
        <w:jc w:val="left"/>
      </w:pPr>
      <w:r>
        <w:br/>
      </w:r>
    </w:p>
    <w:p>
      <w:pPr>
        <w:pStyle w:val="null3"/>
        <w:jc w:val="left"/>
        <w:outlineLvl w:val="2"/>
      </w:pPr>
      <w:r>
        <w:rPr>
          <w:rFonts w:ascii="仿宋_GB2312" w:hAnsi="仿宋_GB2312" w:cs="仿宋_GB2312" w:eastAsia="仿宋_GB2312"/>
          <w:sz w:val="28"/>
          <w:b/>
        </w:rPr>
        <w:t xml:space="preserve"> 十一、合同生效及其他</w:t>
      </w:r>
    </w:p>
    <w:p>
      <w:pPr>
        <w:pStyle w:val="null3"/>
        <w:jc w:val="left"/>
      </w:pPr>
      <w:r>
        <w:rPr>
          <w:rFonts w:ascii="仿宋_GB2312" w:hAnsi="仿宋_GB2312" w:cs="仿宋_GB2312" w:eastAsia="仿宋_GB2312"/>
        </w:rPr>
        <w:t>1.合同经双方法定代表人（或主要负责人）或授权委托代理人签字并加盖公章后生效。</w:t>
      </w:r>
    </w:p>
    <w:p>
      <w:pPr>
        <w:pStyle w:val="null3"/>
        <w:jc w:val="left"/>
      </w:pPr>
      <w:r>
        <w:rPr>
          <w:rFonts w:ascii="仿宋_GB2312" w:hAnsi="仿宋_GB2312" w:cs="仿宋_GB2312" w:eastAsia="仿宋_GB2312"/>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