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2025年东升街道保安服务采购项目(二次)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CGXM-2025-350104-00038[2025]00041</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[350104]ZC[GK]2025001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福州市仓山区人民政府东升街道办事处</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中传世纪（福建）项目管理有限公司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2025年03月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中传世纪（福建）项目管理有限公司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2025年东升街道保安服务采购项目(二次)</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CGXM-2025-350104-00038[2025]00041</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[350104]ZC[GK]2025001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特定资格条款1</w:t>
            </w:r>
          </w:p>
        </w:tc>
        <w:tc>
          <w:tcPr>
            <w:tcW w:type="dxa" w:w="4614"/>
          </w:tcPr>
          <w:p>
            <w:pPr>
              <w:pStyle w:val="null3"/>
              <w:jc w:val="both"/>
            </w:pPr>
            <w:r>
              <w:rPr>
                <w:rFonts w:ascii="仿宋_GB2312" w:hAnsi="仿宋_GB2312" w:cs="仿宋_GB2312" w:eastAsia="仿宋_GB2312"/>
              </w:rPr>
              <w:t>投标人具备公安部门颁发的有效《保安服务许可证》，须提供证书复印件（有效期内）</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本采购包属于专门面向中小企业采购包，投标人应按以下要求提供相关证明材料：①依据财政部、工信部文件（财库〔2020〕46号）规定，投标人应认真对照《工业和信息化部、国家统计局、国家发展和改革委员会、财政部关于印发中小企业划型标准规定的通知》（工信部联企业[2011]300号）规定的划分标准，并按照《国家统计局关于印发&lt;统计上大中小微型企业划分办法(2017)&gt;的通知》（国统字[2017]213号）规定的中小企业划分标准准确划分企业类型，由投标人出具《中小企业声明函》（服务类）。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④本采购包为服务类采购包，所属行业：租赁和商务服务业。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福州市仓山区人民政府东升街道办事处</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福州市仓山区南台路537号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350007</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翁其津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0591-88368579</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中传世纪（福建）项目管理有限公司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福建省福州市鼓楼区五四路173号新华福广场C座5楼</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350003</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江小青、阮丽祺、鄢美铃</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0591-87579323-807</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中传世纪（福建）项目管理有限公司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1,218,000.00</w:t>
      </w:r>
    </w:p>
    <w:p>
      <w:pPr>
        <w:pStyle w:val="null3"/>
        <w:jc w:val="left"/>
      </w:pPr>
      <w:r>
        <w:rPr>
          <w:rFonts w:ascii="仿宋_GB2312" w:hAnsi="仿宋_GB2312" w:cs="仿宋_GB2312" w:eastAsia="仿宋_GB2312"/>
        </w:rPr>
        <w:t>采购包最高限价（元）: 1,218,000.00</w:t>
      </w:r>
    </w:p>
    <w:p>
      <w:pPr>
        <w:pStyle w:val="null3"/>
        <w:jc w:val="left"/>
      </w:pPr>
      <w:r>
        <w:rPr>
          <w:rFonts w:ascii="仿宋_GB2312" w:hAnsi="仿宋_GB2312" w:cs="仿宋_GB2312" w:eastAsia="仿宋_GB2312"/>
        </w:rPr>
        <w:t>采购包保证金金额（元）: 12,180.00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保安服务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1,218,000.00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租赁和商务服务业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保安服务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1,218,000.00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保安服务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保安服务</w:t>
            </w:r>
          </w:p>
        </w:tc>
        <w:tc>
          <w:tcPr>
            <w:tcW w:type="dxa" w:w="2076"/>
          </w:tcPr>
          <w:p>
            <w:pPr>
              <w:pStyle w:val="null3"/>
              <w:jc w:val="left"/>
            </w:pPr>
            <w:r>
              <w:rPr>
                <w:rFonts w:ascii="仿宋_GB2312" w:hAnsi="仿宋_GB2312" w:cs="仿宋_GB2312" w:eastAsia="仿宋_GB2312"/>
              </w:rPr>
              <w:t>不得高于最高限价</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1,218,000.00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若有相同的最高得分，则其中投标总价低的投标人将被排序在前；若有相同的最高得分且投标报价相同的，则按技术部分得分从高到低顺序进行排列，技术部分得分最高的投标人将被排序在前。</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中传世纪（福建）项目管理有限公司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福州市仓山区财政局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①以差额定率累进法计算收取代理服务费，收费费率标准如下中标/成交金额在100万以下的部分按1.5%费率计算；100-500万按0.8%费率计算；采购代理服务按上述标准经差额定率累进法计算后再下浮15%收取。②缴纳代理服务费账户：开户名称：中传世纪（福建）项目管理有限公司，账号：432577166284，开户行：中国银行股份有限公司福州市晋安支行</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a、投标人应一次性就同一采购程序环节的内容提出质疑，若投标人多次对同一采购程序环节提出质疑的，采购代理机构将不予以受理。b、质疑受理的其它要求：质疑人递交质疑函时还应出具质疑人已在福建省政府采购网上公开信息系统上获取招标文件的证明文件（体现查看时间或获取招标文件时间）。【查看时间或获取招标文件时间以福建省政府采购网上公开信息系统记载为准。】在法定质疑期内质疑人须一次性提出针对同一采购程序环节的质疑，二（多）次质疑不予受理。c、解释权：采购人或采购代理机构拥有本项目招标文件的最终解释权。d、无效投标条款汇总：招标文件各章节中已列明的无效投标条款。e、本招标文件中一般资格证明文件中“经审计的上一年度的年度财务报告”指2023年度或2024年度，若文件有矛盾，以此为准。 f、根据《财政部关于印发关于在相关自由贸易试验区和自由贸易港开展推动解决政府采购异常低价问题试点工作的通知》（财办库〔2024〕265号，本通知自2025年2月1日起施行）规定，“政府采购评审中出现下列情形之一的，评审委员会应当启动异常低价投标（响应）审查程序：（一）投标（响应）报价低于全部通过符合性审查投标人投标（响应）报价平均值50%的，即投标（响应）报价&lt;全部通过符合性审查投标人投标（响应）报价平均值×50%；（二）投标（响应）报价低于通过符合性审查且报价次低投标人投标（响应）报价50%的，即投标（响应）报价&lt;通过符合性审查且报价次低投标人投标（响应）报价×50%；（三）投标（响应）报价低于采购项目最高限价45%的，即投标（响应）报价&lt;采购项目最高限价×45%；（四）其他评审委员会认为投标人报价过低，有可能影响产品质量或者不能诚信履约的情形。评审委员会启动异常低价投标（响应）审查后，应当要求相关投标人在评审现场合理的时间内提供书面说明及必要的证明材料，对投标（响应）价格作出解释。书面说明、证明材料主要是项目具体成本测算等与报价合理性相关的说明、材料。评审委员会应当结合同类产品在主要电商平台的价格、该行业当地薪资水平等情况，依据专业经验对报价合理性进行判断。如果投标（响应）投标人不提供书面说明、证明材料，或者提供的书面说明、证明材料不能证明其报价合理性的，应当将其作为无效投标（响应）处理。审查相关情况应当在评审报告中记录。</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a.投标人在福建省政府采购网上公开信息系统注册报名时应录入投标人单位中文全称，不应使用简称、字母、符号等，否则可能出现电子响应无法进行或核验保证金未能通过等情形，从而导致投标（响应）失败等后果均由投标人自行承担。b.远程开标的规定 b1.本项目支持远程开标，投标人可通过远程线上参与开标，具体系统操作指南详见福建省政府采购网首页上相关操作手册。 b2.本项目开标过程中解密的操作时限为30分钟，远程签章的操作时限为30分钟。请投标人务必密切关注实时开标流程，完成远程解密、远程签章。 b3.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 b4.在开标过程中，因系统故障等导致无法继续进行开标的，投标人须配合等待故障处理，待故障解除后继续开标。c.招标文件关于投标人串通投标情形补充条款详见《关于福建省财政厅关于电子化政府采购项目中视为串标情形认定与处理的指导意见》闽财购〔2018〕30号文件规定。</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中传世纪（福建）项目管理有限公司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中传世纪（福建）项目管理有限公司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中传世纪（福建）项目管理有限公司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中传世纪（福建）项目管理有限公司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中传世纪（福建）项目管理有限公司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中传世纪（福建）项目管理有限公司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中传世纪（福建）项目管理有限公司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中传世纪（福建）项目管理有限公司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中传世纪（福建）项目管理有限公司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中传世纪（福建）项目管理有限公司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中传世纪（福建）项目管理有限公司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中传世纪（福建）项目管理有限公司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中传世纪（福建）项目管理有限公司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中传世纪（福建）项目管理有限公司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中传世纪（福建）项目管理有限公司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中传世纪（福建）项目管理有限公司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中传世纪（福建）项目管理有限公司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中传世纪（福建）项目管理有限公司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中传世纪（福建）项目管理有限公司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中传世纪（福建）项目管理有限公司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中传世纪（福建）项目管理有限公司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中传世纪（福建）项目管理有限公司</w:t>
      </w:r>
      <w:r>
        <w:rPr>
          <w:rFonts w:ascii="仿宋_GB2312" w:hAnsi="仿宋_GB2312" w:cs="仿宋_GB2312" w:eastAsia="仿宋_GB2312"/>
        </w:rPr>
        <w:t xml:space="preserve"> 提出询问， </w:t>
      </w:r>
      <w:r>
        <w:rPr>
          <w:rFonts w:ascii="仿宋_GB2312" w:hAnsi="仿宋_GB2312" w:cs="仿宋_GB2312" w:eastAsia="仿宋_GB2312"/>
        </w:rPr>
        <w:t>中传世纪（福建）项目管理有限公司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中传世纪（福建）项目管理有限公司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中传世纪（福建）项目管理有限公司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由中传世纪（福建）项目管理有限公司派出的工作人员至少1人，</w:t>
      </w:r>
      <w:r>
        <w:rPr>
          <w:rFonts w:ascii="仿宋_GB2312" w:hAnsi="仿宋_GB2312" w:cs="仿宋_GB2312" w:eastAsia="仿宋_GB2312"/>
        </w:rPr>
        <w:t>其余1人可为采购人代表或中传世纪（福建）项目管理有限公司的工作人员。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特定资格条款1</w:t>
            </w:r>
          </w:p>
        </w:tc>
        <w:tc>
          <w:tcPr>
            <w:tcW w:type="dxa" w:w="4614"/>
          </w:tcPr>
          <w:p>
            <w:pPr>
              <w:pStyle w:val="null3"/>
              <w:jc w:val="left"/>
            </w:pPr>
            <w:r>
              <w:rPr>
                <w:rFonts w:ascii="仿宋_GB2312" w:hAnsi="仿宋_GB2312" w:cs="仿宋_GB2312" w:eastAsia="仿宋_GB2312"/>
              </w:rPr>
              <w:t>投标人具备公安部门颁发的有效《保安服务许可证》，须提供证书复印件（有效期内）</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属于专门面向中小企业采购包，投标人应按以下要求提供相关证明材料：①依据财政部、工信部文件（财库〔2020〕46号）规定，投标人应认真对照《工业和信息化部、国家统计局、国家发展和改革委员会、财政部关于印发中小企业划型标准规定的通知》（工信部联企业[2011]300号）规定的划分标准，并按照《国家统计局关于印发&lt;统计上大中小微型企业划分办法(2017)&gt;的通知》（国统字[2017]213号）规定的中小企业划分标准准确划分企业类型，由投标人出具《中小企业声明函》（服务类）。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④本采购包为服务类采购包，所属行业：租赁和商务服务业。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①资格及资信证明部分出现报价部分的全部或部分的投标报价信息（或组成资料）。②出现招标文件中载明“资格审查不合格”条款的规定。</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中传世纪（福建）项目管理有限公司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中传世纪（福建）项目管理有限公司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中传世纪（福建）项目管理有限公司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中传世纪（福建）项目管理有限公司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中传世纪（福建）项目管理有限公司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①技术部分中出现报价部分的全部或部分的投标报价信息（或组成资料）。②对《第五章 招标内容及要求》“二、技术和服务要求”中以“★”标示的内容有负偏离或未响应的。③违反招标文件中载明“投标无效”条款的规定。</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①对《第五章 招标内容及要求》“ 三、商务要求”中标注“★”要求存在负偏离或者未响应的；②商务部分中出现报价部分的全部或部分的投标报价信息（或组成资料）的；③违反招标文件中载明“投标无效”条款的规定。</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①投标人投标报价超过招标文件中规定的预算金额或最高限价；②评标委员会认为投标人的报价明显低于其他通过符合性审查的投标人的报价，有可能影响产品质量或不能诚信履约的，应要求其在评标现场合理的时间内提供书面说明，必要时还应要求其一并提交有关证明材料；投标人不能证明其报价合理性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评审委员会启动异常低价投标（响应）审查后，应当要求相关投标人在评审现场合理的时间内提供书面说明及必要的证明材料，对投标（响应）价格作出解释。书面说明、证明材料主要是项目具体成本测算等与报价合理性相关的说明、材料。评审委员会应当结合同类产品在主要电商平台的价格、该行业当地薪资水平等情况，依据专业经验对报价合理性进行判断。如果投标（响应）投标人不提供书面说明、证明材料，或者提供的书面说明、证明材料不能证明其报价合理性的，应当将其作为无效投标（响应）处理。审查相关情况应当在评审报告中记录。</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投标人评标总得分（FA）且评标价（即价格扣除后的投标报价）相同的并列，则按“技术项”的得分从高到低排序推荐中标候选人；若投标人的评标总得分（FA）且评标价（即价格扣除后的投标报价）相同、技术项得分也相同的，则评标委员会在有关监督人员的监督下通过随机抽签的形式，确定他们之间的排名顺序。</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中传世纪（福建）项目管理有限公司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技术项（F2×A2）满分为66.0000分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F2.1技术要求响应情况</w:t>
            </w:r>
          </w:p>
        </w:tc>
        <w:tc>
          <w:tcPr>
            <w:tcW w:type="dxa" w:w="831"/>
          </w:tcPr>
          <w:p>
            <w:pPr>
              <w:pStyle w:val="null3"/>
              <w:jc w:val="right"/>
            </w:pPr>
            <w:r>
              <w:rPr>
                <w:rFonts w:ascii="仿宋_GB2312" w:hAnsi="仿宋_GB2312" w:cs="仿宋_GB2312" w:eastAsia="仿宋_GB2312"/>
              </w:rPr>
              <w:t>36.00</w:t>
            </w:r>
          </w:p>
        </w:tc>
        <w:tc>
          <w:tcPr>
            <w:tcW w:type="dxa" w:w="4153"/>
          </w:tcPr>
          <w:p>
            <w:pPr>
              <w:pStyle w:val="null3"/>
              <w:jc w:val="both"/>
            </w:pPr>
            <w:r>
              <w:rPr>
                <w:rFonts w:ascii="仿宋_GB2312" w:hAnsi="仿宋_GB2312" w:cs="仿宋_GB2312" w:eastAsia="仿宋_GB2312"/>
              </w:rPr>
              <w:t>根据各投标人针对招标文件第五章“招标内容及要求”中“二、技术和服务要求”的逐项响应情况进行评分（需提供技术和服务要求响应表）：①技术和服务要求中以“★”标示的内容（共计2项）为不允许负偏离的实质性要求，任一参数有负偏离或未响应的按无效投标处理；②技术要求中标注【评审项】的技术要求全部满足的得36分，每负偏离一项扣2分，共计18项（评审项1……评审项18），评标委员会将按照上述评分标准计算投标人的技术指标得分。【注：招标文件中技术参数若有要求投标人提供相应佐证材料的，投标人未提供相应佐证材料或者投标人的响应承诺与其佐证材料不一致的，评标委员会将以不利于投标人的内容为准进行评审（负偏离）。若投标人自行提供的其他佐证材料与投标人的响应承诺不一致的，评标委员会将以不利于投标人的内容为准进行评审（负偏离）。招标文件不一致的以此为准】</w:t>
            </w:r>
          </w:p>
        </w:tc>
      </w:tr>
      <w:tr>
        <w:tc>
          <w:tcPr>
            <w:tcW w:type="dxa" w:w="3322"/>
          </w:tcPr>
          <w:p>
            <w:pPr>
              <w:pStyle w:val="null3"/>
              <w:jc w:val="both"/>
            </w:pPr>
            <w:r>
              <w:rPr>
                <w:rFonts w:ascii="仿宋_GB2312" w:hAnsi="仿宋_GB2312" w:cs="仿宋_GB2312" w:eastAsia="仿宋_GB2312"/>
              </w:rPr>
              <w:t>F2.2整体服务方案情况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项目提供的整体服务方案（包括但不限于：管理理念、服务思路、拟实现的工作目标、安全防范保障、重大活动安全保卫等内容）情况进行评分：涉及以上要点且内容齐全无缺漏项、内容与要点相符、内容完善且能够有利于项目实施的得3分；方案所包含的要点齐全、内容与要点相符，但仅有纲要内容简略，未展开阐述的得2.9分；要点有缺漏或内容存在错误，针对性不强的，仅基本满足本项目需求的得2.8分；未提供的不得分。</w:t>
            </w:r>
          </w:p>
        </w:tc>
      </w:tr>
      <w:tr>
        <w:tc>
          <w:tcPr>
            <w:tcW w:type="dxa" w:w="3322"/>
          </w:tcPr>
          <w:p>
            <w:pPr>
              <w:pStyle w:val="null3"/>
              <w:jc w:val="both"/>
            </w:pPr>
            <w:r>
              <w:rPr>
                <w:rFonts w:ascii="仿宋_GB2312" w:hAnsi="仿宋_GB2312" w:cs="仿宋_GB2312" w:eastAsia="仿宋_GB2312"/>
              </w:rPr>
              <w:t>F2.3相关制度及规范情况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项目提供的规章制度（包含但不限于：队伍管理、考勤、请销假、行为规范等等内容）情况进行评分：涉及以上要点且内容齐全无缺漏项、内容与要点相符、内容完善且能够有利于项目实施的得3分；方案所包含的要点齐全、内容与要点相符，但仅有纲要内容简略，未展开阐述的得2.9分；要点有缺漏或内容存在错误，针对性不强的，仅基本满足本项目需求的得2.8分；未提供的不得分。</w:t>
            </w:r>
          </w:p>
        </w:tc>
      </w:tr>
      <w:tr>
        <w:tc>
          <w:tcPr>
            <w:tcW w:type="dxa" w:w="3322"/>
          </w:tcPr>
          <w:p>
            <w:pPr>
              <w:pStyle w:val="null3"/>
              <w:jc w:val="both"/>
            </w:pPr>
            <w:r>
              <w:rPr>
                <w:rFonts w:ascii="仿宋_GB2312" w:hAnsi="仿宋_GB2312" w:cs="仿宋_GB2312" w:eastAsia="仿宋_GB2312"/>
              </w:rPr>
              <w:t>F2.4人员稳定措施及监管措施情况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项目提供的保安人员稳定措施及监管措施方案情况（包括但不限于：因保安人员离职、辞退、人身伤害不能任岗等情况的人员补充、关键岗位管控等内容）情况进行评分：涉及以上要点且内容齐全无缺漏项、内容与要点相符、内容完善且能够有利于项目实施的得3分；方案所包含的要点齐全、内容与要点相符，但仅有纲要内容简略，未展开阐述的得2.9分；要点有缺漏或内容存在错误，针对性不强的，仅基本满足本项目需求的得2.8分；未提供的不得分。</w:t>
            </w:r>
          </w:p>
        </w:tc>
      </w:tr>
      <w:tr>
        <w:tc>
          <w:tcPr>
            <w:tcW w:type="dxa" w:w="3322"/>
          </w:tcPr>
          <w:p>
            <w:pPr>
              <w:pStyle w:val="null3"/>
              <w:jc w:val="both"/>
            </w:pPr>
            <w:r>
              <w:rPr>
                <w:rFonts w:ascii="仿宋_GB2312" w:hAnsi="仿宋_GB2312" w:cs="仿宋_GB2312" w:eastAsia="仿宋_GB2312"/>
              </w:rPr>
              <w:t>F2.5过渡交接计划情况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项目提供的过渡交接计划方案（包括但不限于：过渡交接计划安排、组织实施等内容）情况进行评分：涉及以上要点且内容齐全无缺漏项、内容与要点相符、内容完善且能够有利于项目实施的得3分；方案所包含的要点齐全、内容与要点相符，但仅有纲要内容简略，未展开阐述的得2.9分；要点有缺漏或内容存在错误，针对性不强的，仅基本满足本项目需求的得2.8分；未提供的不得分。</w:t>
            </w:r>
          </w:p>
        </w:tc>
      </w:tr>
      <w:tr>
        <w:tc>
          <w:tcPr>
            <w:tcW w:type="dxa" w:w="3322"/>
          </w:tcPr>
          <w:p>
            <w:pPr>
              <w:pStyle w:val="null3"/>
              <w:jc w:val="both"/>
            </w:pPr>
            <w:r>
              <w:rPr>
                <w:rFonts w:ascii="仿宋_GB2312" w:hAnsi="仿宋_GB2312" w:cs="仿宋_GB2312" w:eastAsia="仿宋_GB2312"/>
              </w:rPr>
              <w:t>F2.6队伍培训情况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项目提供的保安队伍定期培训方案(包括但不限于：日常体能训练、防暴恐、防盗窃、疑似人员判别等内容）情况进行评分：涉及以上要点且内容齐全无缺漏项、内容与要点相符、内容完善且能够有利于项目实施的得3分；方案所包含的要点齐全、内容与要点相符，但仅有纲要内容简略，未展开阐述的得2.9分；要点有缺漏或内容存在错误，针对性不强的，仅基本满足本项目需求的得2.8分；未提供的不得分。</w:t>
            </w:r>
          </w:p>
        </w:tc>
      </w:tr>
      <w:tr>
        <w:tc>
          <w:tcPr>
            <w:tcW w:type="dxa" w:w="3322"/>
          </w:tcPr>
          <w:p>
            <w:pPr>
              <w:pStyle w:val="null3"/>
              <w:jc w:val="both"/>
            </w:pPr>
            <w:r>
              <w:rPr>
                <w:rFonts w:ascii="仿宋_GB2312" w:hAnsi="仿宋_GB2312" w:cs="仿宋_GB2312" w:eastAsia="仿宋_GB2312"/>
              </w:rPr>
              <w:t>F2.7应急预案情况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项目提供的应急预案（包括但不限于：防台防洪、防火、防疫、群体性突发事件的处理及预警、响应、指挥、保障措施、拟提供的人员数量、快速响应时间等内容）情况进行评分：涉及以上要点且内容齐全无缺漏项、内容与要点相符、内容完善且能够有利于项目实施的得3分；方案所包含的要点齐全、内容与要点相符，但仅有纲要内容简略，未展开阐述的得2.9分；要点有缺漏或内容存在错误，针对性不强的，仅基本满足本项目需求的得2.8分；未提供的不得分。</w:t>
            </w:r>
          </w:p>
        </w:tc>
      </w:tr>
      <w:tr>
        <w:tc>
          <w:tcPr>
            <w:tcW w:type="dxa" w:w="3322"/>
          </w:tcPr>
          <w:p>
            <w:pPr>
              <w:pStyle w:val="null3"/>
              <w:jc w:val="both"/>
            </w:pPr>
            <w:r>
              <w:rPr>
                <w:rFonts w:ascii="仿宋_GB2312" w:hAnsi="仿宋_GB2312" w:cs="仿宋_GB2312" w:eastAsia="仿宋_GB2312"/>
              </w:rPr>
              <w:t>F2.8信息报送制度情况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项目提供的信息报送制度（包括但不限于：每日工作简报、周总结、信息报送具体措施、流程等内容）情况进行评分：涉及以上要点且内容齐全无缺漏项、内容与要点相符、内容完善且能够有利于项目实施的得3分；方案所包含的要点齐全、内容与要点相符，但仅有纲要内容简略，未展开阐述的得2.9分；要点有缺漏或内容存在错误，针对性不强的，仅基本满足本项目需求的得2.8分；未提供的不得分。</w:t>
            </w:r>
          </w:p>
        </w:tc>
      </w:tr>
      <w:tr>
        <w:tc>
          <w:tcPr>
            <w:tcW w:type="dxa" w:w="3322"/>
          </w:tcPr>
          <w:p>
            <w:pPr>
              <w:pStyle w:val="null3"/>
              <w:jc w:val="both"/>
            </w:pPr>
            <w:r>
              <w:rPr>
                <w:rFonts w:ascii="仿宋_GB2312" w:hAnsi="仿宋_GB2312" w:cs="仿宋_GB2312" w:eastAsia="仿宋_GB2312"/>
              </w:rPr>
              <w:t>F2.9作风纪律管理情况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项目提供的保安队伍作风纪律管理方案（包括但不限于：保安人员工作纪律、工作规范，日常考核内容、奖惩规则等内容）情况进行评分：涉及以上要点且内容齐全无缺漏项、内容与要点相符、内容完善且能够有利于项目实施的得3分；方案所包含的要点齐全、内容与要点相符，但仅有纲要内容简略，未展开阐述的得2.9分；要点有缺漏或内容存在错误，针对性不强的，仅基本满足本项目需求的得2.8分；未提供的不得分。</w:t>
            </w:r>
          </w:p>
        </w:tc>
      </w:tr>
      <w:tr>
        <w:tc>
          <w:tcPr>
            <w:tcW w:type="dxa" w:w="3322"/>
          </w:tcPr>
          <w:p>
            <w:pPr>
              <w:pStyle w:val="null3"/>
              <w:jc w:val="both"/>
            </w:pPr>
            <w:r>
              <w:rPr>
                <w:rFonts w:ascii="仿宋_GB2312" w:hAnsi="仿宋_GB2312" w:cs="仿宋_GB2312" w:eastAsia="仿宋_GB2312"/>
              </w:rPr>
              <w:t>F2.10拟投入装备情况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项目拟投入的装备情况（包括但不限于：执勤装备、安保器械、劳保用品、防护装备清单图片等内容）进行评分：涉及以上要点且内容齐全无缺漏项、内容与要点相符、内容完善且能够有利于项目实施的得3分；方案所包含的要点齐全、内容与要点相符，但仅有纲要内容简略，未展开阐述的得2.9分；要点有缺漏或内容存在错误，针对性不强的，仅基本满足本项目需求的得2.8分；未提供的不得分。</w:t>
            </w:r>
          </w:p>
        </w:tc>
      </w:tr>
      <w:tr>
        <w:tc>
          <w:tcPr>
            <w:tcW w:type="dxa" w:w="3322"/>
          </w:tcPr>
          <w:p>
            <w:pPr>
              <w:pStyle w:val="null3"/>
              <w:jc w:val="both"/>
            </w:pPr>
            <w:r>
              <w:rPr>
                <w:rFonts w:ascii="仿宋_GB2312" w:hAnsi="仿宋_GB2312" w:cs="仿宋_GB2312" w:eastAsia="仿宋_GB2312"/>
              </w:rPr>
              <w:t>F2.11拟投入人员情况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项目拟投入的保安队长同时具备15年以上工作经验（需提供保安行业为其缴纳的社保证明），大专（含）及以上学历，四级（含）及以上消防设施操作员证、安检员证书的基础上，具有①保安员二级/技师（含）及以上保安员证书、②C1及以上驾驶证得3分。须提供上述有效的证书复印件、身份证复印件、保安员证及投标截止时间前半年内任一个月（不含投标截止时间的当月）投标人为该人员缴纳社医保证明材料（社医保证明材料中应包含基本养老保险、基本医疗保险、工伤保险、失业保险和生育保险）复印件,未提供或提供不齐全的不得分。 注：本项与其他评分项目中人员不重复得分。</w:t>
            </w:r>
          </w:p>
        </w:tc>
      </w:tr>
    </w:tbl>
    <w:p>
      <w:pPr>
        <w:pStyle w:val="null3"/>
        <w:jc w:val="both"/>
      </w:pPr>
      <w:r>
        <w:rPr>
          <w:rFonts w:ascii="仿宋_GB2312" w:hAnsi="仿宋_GB2312" w:cs="仿宋_GB2312" w:eastAsia="仿宋_GB2312"/>
        </w:rPr>
        <w:t>商务项（F3×A3）满分为24.0000分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F3.1人员保险</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承诺在本项目合同期内，为本项目保安服务的所有工作人员购买个人意外伤害保险或雇主责任险，单份保单中每人死亡伤残赔偿限额≥100万元的得3分。须提供专项承诺函（格式自拟），未提供或提供不齐全的不得分。</w:t>
            </w:r>
          </w:p>
        </w:tc>
      </w:tr>
      <w:tr>
        <w:tc>
          <w:tcPr>
            <w:tcW w:type="dxa" w:w="3322"/>
          </w:tcPr>
          <w:p>
            <w:pPr>
              <w:pStyle w:val="null3"/>
              <w:jc w:val="both"/>
            </w:pPr>
            <w:r>
              <w:rPr>
                <w:rFonts w:ascii="仿宋_GB2312" w:hAnsi="仿宋_GB2312" w:cs="仿宋_GB2312" w:eastAsia="仿宋_GB2312"/>
              </w:rPr>
              <w:t>F3.2荣誉情况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所提供自2022年1月1日以来获得由行政事业单位颁发的荣誉证书（有关安保方面的荣誉、评奖情况、表扬信情况）情况进行评分：每提供一份相关荣誉证明材料得1分，满分3分，未提供或提供不齐全的不得分。</w:t>
            </w:r>
          </w:p>
        </w:tc>
      </w:tr>
      <w:tr>
        <w:tc>
          <w:tcPr>
            <w:tcW w:type="dxa" w:w="3322"/>
          </w:tcPr>
          <w:p>
            <w:pPr>
              <w:pStyle w:val="null3"/>
              <w:jc w:val="both"/>
            </w:pPr>
            <w:r>
              <w:rPr>
                <w:rFonts w:ascii="仿宋_GB2312" w:hAnsi="仿宋_GB2312" w:cs="仿宋_GB2312" w:eastAsia="仿宋_GB2312"/>
              </w:rPr>
              <w:t>F3.3抢险救灾</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根据各投标人所提供参加过抢险救灾情况的相关证明材料进行评分：每提供一份证明材料的得1分，满分3分。注：须提供相关证明文件复印件及与该客户的保安服务合同，未提供或提供不全的不得分。</w:t>
            </w:r>
          </w:p>
        </w:tc>
      </w:tr>
      <w:tr>
        <w:tc>
          <w:tcPr>
            <w:tcW w:type="dxa" w:w="3322"/>
          </w:tcPr>
          <w:p>
            <w:pPr>
              <w:pStyle w:val="null3"/>
              <w:jc w:val="both"/>
            </w:pPr>
            <w:r>
              <w:rPr>
                <w:rFonts w:ascii="仿宋_GB2312" w:hAnsi="仿宋_GB2312" w:cs="仿宋_GB2312" w:eastAsia="仿宋_GB2312"/>
              </w:rPr>
              <w:t>F3.4法律咨询服务</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有与专业法务公司合作，在项目执行过程中能够提供相关法律咨询服务，协助处理法律纠纷的得3分。投标人须同时提供：①与相关专业法务公司有效的合作合同证明复印件（合同合作期限须在有效期内）、②汇款转账凭证复印件、③发票复印件。未提供或提供不全的不得分。</w:t>
            </w:r>
          </w:p>
        </w:tc>
      </w:tr>
      <w:tr>
        <w:tc>
          <w:tcPr>
            <w:tcW w:type="dxa" w:w="3322"/>
          </w:tcPr>
          <w:p>
            <w:pPr>
              <w:pStyle w:val="null3"/>
              <w:jc w:val="both"/>
            </w:pPr>
            <w:r>
              <w:rPr>
                <w:rFonts w:ascii="仿宋_GB2312" w:hAnsi="仿宋_GB2312" w:cs="仿宋_GB2312" w:eastAsia="仿宋_GB2312"/>
              </w:rPr>
              <w:t>F3.5保安员综合素质</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所提供自2022年1月1日起至今（日期以合同签订日期为准），投标人承接的安保服务项目履约过程中有协助抓获现行违法犯罪分子的情况进行评分：抓获5人得1分，在5人的基础上多抓获1人加1分，满分3分。注：须提供公安机关出具的相关证明材料及项目合同，未提供或提供不全的不得分。</w:t>
            </w:r>
          </w:p>
        </w:tc>
      </w:tr>
      <w:tr>
        <w:tc>
          <w:tcPr>
            <w:tcW w:type="dxa" w:w="3322"/>
          </w:tcPr>
          <w:p>
            <w:pPr>
              <w:pStyle w:val="null3"/>
              <w:jc w:val="both"/>
            </w:pPr>
            <w:r>
              <w:rPr>
                <w:rFonts w:ascii="仿宋_GB2312" w:hAnsi="仿宋_GB2312" w:cs="仿宋_GB2312" w:eastAsia="仿宋_GB2312"/>
              </w:rPr>
              <w:t>F3.6业绩情况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所提供自2022年1月1日起至提交投标文件截止时间止（以合同签订日期为准）由投标人所完成或正在履约的保安服务项目业绩情况进行评分：每提供一份完整合格的业绩项目得1分,同一单位不重复得分，满分3分。注：投标人需提供该业绩项目的中标/成交公告（提供相关网站中标/成交公告的下载网页并注明网址）、中标/成交通知书复印件、采购合同文本复印件，以及能够证明该业绩项目已经采购人验收合格的相关证明文件复印件（正在履约的业绩须提供阶段性验收合格的相关证明文件），未提供或提供不齐全的不得分。</w:t>
            </w:r>
          </w:p>
        </w:tc>
      </w:tr>
      <w:tr>
        <w:tc>
          <w:tcPr>
            <w:tcW w:type="dxa" w:w="3322"/>
          </w:tcPr>
          <w:p>
            <w:pPr>
              <w:pStyle w:val="null3"/>
              <w:jc w:val="both"/>
            </w:pPr>
            <w:r>
              <w:rPr>
                <w:rFonts w:ascii="仿宋_GB2312" w:hAnsi="仿宋_GB2312" w:cs="仿宋_GB2312" w:eastAsia="仿宋_GB2312"/>
              </w:rPr>
              <w:t>F3.7用户满意度情况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根据各投标人所提供自2022年1月1日起至提交投标文件截止时间止（以合同签订日期为准）由投标人所完成的保安服务项目用户满意度评价情况进行评分：每提供一份完整合格的用户满意度评价项目得1分, 满分3分。注：用户满意度评价项目中须含采购合同文本复印件，以及能够证明该项目已经采购人评价良好或以上（评价为“满意”或“优”或同意义评价）的等相关证明文件复印件，未提供或提供不齐全的不得分。</w:t>
            </w:r>
          </w:p>
        </w:tc>
      </w:tr>
      <w:tr>
        <w:tc>
          <w:tcPr>
            <w:tcW w:type="dxa" w:w="3322"/>
          </w:tcPr>
          <w:p>
            <w:pPr>
              <w:pStyle w:val="null3"/>
              <w:jc w:val="both"/>
            </w:pPr>
            <w:r>
              <w:rPr>
                <w:rFonts w:ascii="仿宋_GB2312" w:hAnsi="仿宋_GB2312" w:cs="仿宋_GB2312" w:eastAsia="仿宋_GB2312"/>
              </w:rPr>
              <w:t>F3.8投入车辆</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项目拟投入的车辆情况进行评分：在满足极速和服务要求的基础上（2部），每增加1部得1.5分,满分3分。注：须提供有效车辆行驶证复印件及车辆购置发票复印件（发票抬头、车辆行驶证所有人须与投标人名称一致）或租赁合同复印件，未提供或材料不符合要求的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shd w:fill="FFFFFF" w:val="clear"/>
        </w:rPr>
        <w:t>1、本项目为福州市仓山区人民政府东升街道办事处</w:t>
      </w:r>
      <w:r>
        <w:rPr>
          <w:rFonts w:ascii="仿宋_GB2312" w:hAnsi="仿宋_GB2312" w:cs="仿宋_GB2312" w:eastAsia="仿宋_GB2312"/>
          <w:sz w:val="24"/>
        </w:rPr>
        <w:t>2025年东升街道保安服务采购项目</w:t>
      </w:r>
      <w:r>
        <w:rPr>
          <w:rFonts w:ascii="仿宋_GB2312" w:hAnsi="仿宋_GB2312" w:cs="仿宋_GB2312" w:eastAsia="仿宋_GB2312"/>
          <w:sz w:val="24"/>
          <w:shd w:fill="FFFFFF" w:val="clear"/>
        </w:rPr>
        <w:t>；投标人应根据招标文件所述的服务要求，提供更好的服务前来投标，以充分显示贵公司的竞争实力。</w:t>
      </w:r>
    </w:p>
    <w:p>
      <w:pPr>
        <w:pStyle w:val="null3"/>
        <w:ind w:firstLine="480"/>
        <w:jc w:val="both"/>
      </w:pPr>
      <w:r>
        <w:rPr>
          <w:rFonts w:ascii="仿宋_GB2312" w:hAnsi="仿宋_GB2312" w:cs="仿宋_GB2312" w:eastAsia="仿宋_GB2312"/>
          <w:sz w:val="24"/>
          <w:shd w:fill="FFFFFF" w:val="clear"/>
        </w:rPr>
        <w:t>2、本项目服务期为1年，合同包预算1218000元。采用1+1+1模式，中标人在合同履职1年期满后，根据由采购人的考核小组进行的月考核成绩，若平均月考核成绩低于80分，则合同终止，否则，按照合同同等条件继续履行第二年合同，依此类推。</w:t>
      </w:r>
    </w:p>
    <w:p>
      <w:pPr>
        <w:pStyle w:val="null3"/>
        <w:ind w:firstLine="480"/>
        <w:jc w:val="both"/>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投标人</w:t>
      </w:r>
      <w:r>
        <w:rPr>
          <w:rFonts w:ascii="仿宋_GB2312" w:hAnsi="仿宋_GB2312" w:cs="仿宋_GB2312" w:eastAsia="仿宋_GB2312"/>
          <w:sz w:val="24"/>
          <w:shd w:fill="FFFFFF" w:val="clear"/>
        </w:rPr>
        <w:t>应按采购包响应，对采购包内所有品目号内容响应时必须完整。与以采购包为单位。本项目不允许成交人以任何名义和理由进行转包或分包，如有发现，采购人有权单方终止合同，视为成交人违约；成交人违约对采购人造成的损失的，需另行支付相应的赔偿。</w:t>
      </w:r>
    </w:p>
    <w:p>
      <w:pPr>
        <w:pStyle w:val="null3"/>
        <w:ind w:firstLine="480"/>
        <w:jc w:val="both"/>
      </w:pP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投标人</w:t>
      </w:r>
      <w:r>
        <w:rPr>
          <w:rFonts w:ascii="仿宋_GB2312" w:hAnsi="仿宋_GB2312" w:cs="仿宋_GB2312" w:eastAsia="仿宋_GB2312"/>
          <w:sz w:val="24"/>
          <w:shd w:fill="FFFFFF" w:val="clear"/>
        </w:rPr>
        <w:t>务必仔细阅读招标文件中所有规定，除本招标文件条款另有规定的要求外，本次招标服务标准还应符合国家和省市、区行业相关的标准及有关规定。如上述标准及规定有矛盾的，则以较严格的现行标准、规定为准。</w:t>
      </w:r>
    </w:p>
    <w:p>
      <w:pPr>
        <w:pStyle w:val="null3"/>
        <w:ind w:firstLine="480"/>
        <w:jc w:val="both"/>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投标人</w:t>
      </w:r>
      <w:r>
        <w:rPr>
          <w:rFonts w:ascii="仿宋_GB2312" w:hAnsi="仿宋_GB2312" w:cs="仿宋_GB2312" w:eastAsia="仿宋_GB2312"/>
          <w:sz w:val="24"/>
          <w:shd w:fill="FFFFFF" w:val="clear"/>
        </w:rPr>
        <w:t>应以本项目所涉及的有关项目的所有费用进行报价，包括但不限于：工资、福利、五险（基本养老保险、失业保险、基本医疗保险、工伤保险、生育保险）、雇主险（或意外伤害商业险）及加班费、本项目产生的企业管理费、企业的应缴税费、招收培训费、利润以及相关费用等一切费用，还要包括可能的培训等伴随服务，要考虑到合同中可能出现的索赔和变更。</w:t>
      </w:r>
      <w:r>
        <w:rPr>
          <w:rFonts w:ascii="仿宋_GB2312" w:hAnsi="仿宋_GB2312" w:cs="仿宋_GB2312" w:eastAsia="仿宋_GB2312"/>
          <w:sz w:val="24"/>
          <w:shd w:fill="FFFFFF" w:val="clear"/>
        </w:rPr>
        <w:t>投标人</w:t>
      </w:r>
      <w:r>
        <w:rPr>
          <w:rFonts w:ascii="仿宋_GB2312" w:hAnsi="仿宋_GB2312" w:cs="仿宋_GB2312" w:eastAsia="仿宋_GB2312"/>
          <w:sz w:val="24"/>
          <w:shd w:fill="FFFFFF" w:val="clear"/>
        </w:rPr>
        <w:t>报价中员工的最低工资不得低于福建省规定的最低工资标准(含社会保险和住房公积金个人缴费部分)（本次政府采购活动已经开展但尚未进入评审环节的，法律、行政法规对最低工资标准、缴纳五险一金另有规定的，从其规定）。</w:t>
      </w:r>
      <w:r>
        <w:rPr>
          <w:rFonts w:ascii="仿宋_GB2312" w:hAnsi="仿宋_GB2312" w:cs="仿宋_GB2312" w:eastAsia="仿宋_GB2312"/>
          <w:sz w:val="24"/>
          <w:shd w:fill="FFFFFF" w:val="clear"/>
        </w:rPr>
        <w:t>投标人</w:t>
      </w:r>
      <w:r>
        <w:rPr>
          <w:rFonts w:ascii="仿宋_GB2312" w:hAnsi="仿宋_GB2312" w:cs="仿宋_GB2312" w:eastAsia="仿宋_GB2312"/>
          <w:sz w:val="24"/>
          <w:shd w:fill="FFFFFF" w:val="clear"/>
        </w:rPr>
        <w:t>报价时所填报的工资金额不得扣除各类社会保险费个人缴费部分。</w:t>
      </w:r>
      <w:r>
        <w:rPr>
          <w:rFonts w:ascii="仿宋_GB2312" w:hAnsi="仿宋_GB2312" w:cs="仿宋_GB2312" w:eastAsia="仿宋_GB2312"/>
          <w:sz w:val="24"/>
          <w:shd w:fill="FFFFFF" w:val="clear"/>
        </w:rPr>
        <w:t>投标人</w:t>
      </w:r>
      <w:r>
        <w:rPr>
          <w:rFonts w:ascii="仿宋_GB2312" w:hAnsi="仿宋_GB2312" w:cs="仿宋_GB2312" w:eastAsia="仿宋_GB2312"/>
          <w:sz w:val="24"/>
          <w:shd w:fill="FFFFFF" w:val="clear"/>
        </w:rPr>
        <w:t>必须按规定为员工缴纳五险一金，故</w:t>
      </w:r>
      <w:r>
        <w:rPr>
          <w:rFonts w:ascii="仿宋_GB2312" w:hAnsi="仿宋_GB2312" w:cs="仿宋_GB2312" w:eastAsia="仿宋_GB2312"/>
          <w:sz w:val="24"/>
          <w:shd w:fill="FFFFFF" w:val="clear"/>
        </w:rPr>
        <w:t>投标人</w:t>
      </w:r>
      <w:r>
        <w:rPr>
          <w:rFonts w:ascii="仿宋_GB2312" w:hAnsi="仿宋_GB2312" w:cs="仿宋_GB2312" w:eastAsia="仿宋_GB2312"/>
          <w:sz w:val="24"/>
          <w:shd w:fill="FFFFFF" w:val="clear"/>
        </w:rPr>
        <w:t>报价中必须包含五险一金的费用。</w:t>
      </w:r>
    </w:p>
    <w:p>
      <w:pPr>
        <w:pStyle w:val="null3"/>
        <w:ind w:firstLine="420"/>
        <w:jc w:val="both"/>
      </w:pPr>
      <w:r>
        <w:rPr>
          <w:rFonts w:ascii="仿宋_GB2312" w:hAnsi="仿宋_GB2312" w:cs="仿宋_GB2312" w:eastAsia="仿宋_GB2312"/>
          <w:sz w:val="24"/>
          <w:shd w:fill="FFFFFF" w:val="clear"/>
        </w:rPr>
        <w:t>6、现场考察：本项目不组织统一的现场考察，如有需要，</w:t>
      </w:r>
      <w:r>
        <w:rPr>
          <w:rFonts w:ascii="仿宋_GB2312" w:hAnsi="仿宋_GB2312" w:cs="仿宋_GB2312" w:eastAsia="仿宋_GB2312"/>
          <w:sz w:val="24"/>
          <w:shd w:fill="FFFFFF" w:val="clear"/>
        </w:rPr>
        <w:t>投标人</w:t>
      </w:r>
      <w:r>
        <w:rPr>
          <w:rFonts w:ascii="仿宋_GB2312" w:hAnsi="仿宋_GB2312" w:cs="仿宋_GB2312" w:eastAsia="仿宋_GB2312"/>
          <w:sz w:val="24"/>
          <w:shd w:fill="FFFFFF" w:val="clear"/>
        </w:rPr>
        <w:t>可自行前往现场考察，采购人对</w:t>
      </w:r>
      <w:r>
        <w:rPr>
          <w:rFonts w:ascii="仿宋_GB2312" w:hAnsi="仿宋_GB2312" w:cs="仿宋_GB2312" w:eastAsia="仿宋_GB2312"/>
          <w:sz w:val="24"/>
          <w:shd w:fill="FFFFFF" w:val="clear"/>
        </w:rPr>
        <w:t>投标人</w:t>
      </w:r>
      <w:r>
        <w:rPr>
          <w:rFonts w:ascii="仿宋_GB2312" w:hAnsi="仿宋_GB2312" w:cs="仿宋_GB2312" w:eastAsia="仿宋_GB2312"/>
          <w:sz w:val="24"/>
          <w:shd w:fill="FFFFFF" w:val="clear"/>
        </w:rPr>
        <w:t>做出的任何推论、理解和结论均不负责任，所涉及的费用和风险由</w:t>
      </w:r>
      <w:r>
        <w:rPr>
          <w:rFonts w:ascii="仿宋_GB2312" w:hAnsi="仿宋_GB2312" w:cs="仿宋_GB2312" w:eastAsia="仿宋_GB2312"/>
          <w:sz w:val="24"/>
          <w:shd w:fill="FFFFFF" w:val="clear"/>
        </w:rPr>
        <w:t>投标人</w:t>
      </w:r>
      <w:r>
        <w:rPr>
          <w:rFonts w:ascii="仿宋_GB2312" w:hAnsi="仿宋_GB2312" w:cs="仿宋_GB2312" w:eastAsia="仿宋_GB2312"/>
          <w:sz w:val="24"/>
          <w:shd w:fill="FFFFFF" w:val="clear"/>
        </w:rPr>
        <w:t>自行承担。</w:t>
      </w:r>
    </w:p>
    <w:p>
      <w:pPr>
        <w:pStyle w:val="null3"/>
        <w:ind w:firstLine="420"/>
        <w:jc w:val="both"/>
      </w:pPr>
      <w:r>
        <w:rPr>
          <w:rFonts w:ascii="仿宋_GB2312" w:hAnsi="仿宋_GB2312" w:cs="仿宋_GB2312" w:eastAsia="仿宋_GB2312"/>
          <w:sz w:val="24"/>
          <w:shd w:fill="FFFFFF" w:val="clear"/>
        </w:rPr>
        <w:t>7、采购人有权在签订合同前要求成交人提供投标文件中所涉及的相关证明材料原件以核实其真实性。若成交人未能按要求提供相关证明材料原件供采购人核实的，属于提供虚假材料谋取中标、成交行为，采购人将依法追究相关的法律责任并将上述情况上报同级政府采购监督管理部门，特此说明。</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shd w:fill="FFFFFF" w:val="clear"/>
        </w:rPr>
        <w:t>（一）派出所保安人员招标内容</w:t>
      </w:r>
    </w:p>
    <w:p>
      <w:pPr>
        <w:pStyle w:val="null3"/>
        <w:ind w:firstLine="420"/>
        <w:jc w:val="both"/>
      </w:pPr>
      <w:r>
        <w:rPr>
          <w:rFonts w:ascii="仿宋_GB2312" w:hAnsi="仿宋_GB2312" w:cs="仿宋_GB2312" w:eastAsia="仿宋_GB2312"/>
          <w:sz w:val="24"/>
          <w:shd w:fill="FFFFFF" w:val="clear"/>
        </w:rPr>
        <w:t>1、工作要求：</w:t>
      </w:r>
    </w:p>
    <w:p>
      <w:pPr>
        <w:pStyle w:val="null3"/>
        <w:ind w:firstLine="420"/>
        <w:jc w:val="both"/>
      </w:pPr>
      <w:r>
        <w:rPr>
          <w:rFonts w:ascii="仿宋_GB2312" w:hAnsi="仿宋_GB2312" w:cs="仿宋_GB2312" w:eastAsia="仿宋_GB2312"/>
          <w:sz w:val="24"/>
          <w:shd w:fill="FFFFFF" w:val="clear"/>
        </w:rPr>
        <w:t>★（1）反恐应激处突能力的队员实到人员不少于5名，另外配备协助反恐人员不少于6名，合计提供不少于11名人员，需设置至少一名队长。交付采购人所属派出所调遣，考勤等日常管理由采购人所属派出所负责，采购人平安办负责抽查。派出所需对人员每月日常考勤情况和履职情况进行确认后盖章报送至街道平安办作为报销凭据。按照军事化管理，实行7×24小时三班倒工作制。每班次工作8小时。经过保安岗前培训，并取得上岗资格证，无违法犯罪前科。</w:t>
      </w:r>
    </w:p>
    <w:p>
      <w:pPr>
        <w:pStyle w:val="null3"/>
        <w:ind w:firstLine="420"/>
        <w:jc w:val="both"/>
      </w:pP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评审项1</w:t>
      </w:r>
      <w:r>
        <w:rPr>
          <w:rFonts w:ascii="仿宋_GB2312" w:hAnsi="仿宋_GB2312" w:cs="仿宋_GB2312" w:eastAsia="仿宋_GB2312"/>
          <w:sz w:val="24"/>
          <w:shd w:fill="FFFFFF" w:val="clear"/>
        </w:rPr>
        <w:t>】（2）反恐应激处突能力的队员年龄20周岁（含）以上、50周岁（含）以下，退伍军人可放宽至55周岁（含）；身高不低于1.68米(女性身高不低于1.60米)，体重不低于 50公斤(女性体重不低于45 公斤)，五官端正无纹身，体检项目合格，体能测试达标。有特殊技能的可适当放宽招收标准，不受身高、体重等限制。</w:t>
      </w:r>
    </w:p>
    <w:p>
      <w:pPr>
        <w:pStyle w:val="null3"/>
        <w:ind w:firstLine="420"/>
        <w:jc w:val="both"/>
      </w:pP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评审项2</w:t>
      </w:r>
      <w:r>
        <w:rPr>
          <w:rFonts w:ascii="仿宋_GB2312" w:hAnsi="仿宋_GB2312" w:cs="仿宋_GB2312" w:eastAsia="仿宋_GB2312"/>
          <w:sz w:val="24"/>
          <w:shd w:fill="FFFFFF" w:val="clear"/>
        </w:rPr>
        <w:t>】（3）正常时间按8小时工作，在辖区开展执勤、开展4级联防、巡逻任务，其他时间必须在派出所或就近的住宿点集中待命，严格落实请销假制度，不得擅自外出，不得单独行动。</w:t>
      </w:r>
    </w:p>
    <w:p>
      <w:pPr>
        <w:pStyle w:val="null3"/>
        <w:ind w:firstLine="420"/>
        <w:jc w:val="both"/>
      </w:pP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评审项3</w:t>
      </w:r>
      <w:r>
        <w:rPr>
          <w:rFonts w:ascii="仿宋_GB2312" w:hAnsi="仿宋_GB2312" w:cs="仿宋_GB2312" w:eastAsia="仿宋_GB2312"/>
          <w:sz w:val="24"/>
          <w:shd w:fill="FFFFFF" w:val="clear"/>
        </w:rPr>
        <w:t>】（4）随时做好应对处置突发事件准备，接到处突指令应第一时间集合，根据指令带齐相应装备，第一时间赶赴指定地点，根据现场指挥员指挥开展处突工作。</w:t>
      </w:r>
    </w:p>
    <w:p>
      <w:pPr>
        <w:pStyle w:val="null3"/>
        <w:ind w:firstLine="420"/>
        <w:jc w:val="both"/>
      </w:pP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评审项4</w:t>
      </w:r>
      <w:r>
        <w:rPr>
          <w:rFonts w:ascii="仿宋_GB2312" w:hAnsi="仿宋_GB2312" w:cs="仿宋_GB2312" w:eastAsia="仿宋_GB2312"/>
          <w:sz w:val="24"/>
          <w:shd w:fill="FFFFFF" w:val="clear"/>
        </w:rPr>
        <w:t>】（5）前述11名保安人员必须固定，若有更换，需向采购人申请，经采购人同意后方可更换。</w:t>
      </w:r>
    </w:p>
    <w:p>
      <w:pPr>
        <w:pStyle w:val="null3"/>
        <w:ind w:firstLine="420"/>
        <w:jc w:val="both"/>
      </w:pP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评审项5</w:t>
      </w:r>
      <w:r>
        <w:rPr>
          <w:rFonts w:ascii="仿宋_GB2312" w:hAnsi="仿宋_GB2312" w:cs="仿宋_GB2312" w:eastAsia="仿宋_GB2312"/>
          <w:sz w:val="24"/>
          <w:shd w:fill="FFFFFF" w:val="clear"/>
        </w:rPr>
        <w:t>】2、装备要求：统一配备个人安保“五大件”（1套/人，包含多功能腰带、伸缩棍、催泪喷射器、强光手电、手持电台）、防暴头盔（1顶/人）、防刺服（1套/人）、反光背心（1件/人）、T字棍（1根/人）、盾牌（1面/人）、爆闪肩灯（1个/人）、防割手套（1副/人）、长棍（5根/队，长2米）、钢叉（3根/队）、手持喊话器（2只/队）、执法记录仪（2部/队）、阻车路障（1部/队，选配）。</w:t>
      </w:r>
    </w:p>
    <w:p>
      <w:pPr>
        <w:pStyle w:val="null3"/>
        <w:ind w:firstLine="420"/>
        <w:jc w:val="both"/>
      </w:pPr>
      <w:r>
        <w:rPr>
          <w:rFonts w:ascii="仿宋_GB2312" w:hAnsi="仿宋_GB2312" w:cs="仿宋_GB2312" w:eastAsia="仿宋_GB2312"/>
          <w:sz w:val="24"/>
          <w:shd w:fill="FFFFFF" w:val="clear"/>
        </w:rPr>
        <w:t>（二）街道工作巡查保安人员招标内容</w:t>
      </w:r>
    </w:p>
    <w:p>
      <w:pPr>
        <w:pStyle w:val="null3"/>
        <w:ind w:firstLine="420"/>
        <w:jc w:val="both"/>
      </w:pPr>
      <w:r>
        <w:rPr>
          <w:rFonts w:ascii="仿宋_GB2312" w:hAnsi="仿宋_GB2312" w:cs="仿宋_GB2312" w:eastAsia="仿宋_GB2312"/>
          <w:sz w:val="24"/>
          <w:shd w:fill="FFFFFF" w:val="clear"/>
        </w:rPr>
        <w:t>★1、巡查保安人员需求量：</w:t>
      </w:r>
    </w:p>
    <w:p>
      <w:pPr>
        <w:pStyle w:val="null3"/>
        <w:ind w:firstLine="420"/>
        <w:jc w:val="both"/>
      </w:pPr>
      <w:r>
        <w:rPr>
          <w:rFonts w:ascii="仿宋_GB2312" w:hAnsi="仿宋_GB2312" w:cs="仿宋_GB2312" w:eastAsia="仿宋_GB2312"/>
          <w:sz w:val="24"/>
          <w:shd w:fill="FFFFFF" w:val="clear"/>
        </w:rPr>
        <w:t>（1）共需要实到队员17名（含城管保安10人、街道保安3人、交通辅助人员4人），其中街道保安负责机关大楼安全隐患排查及应急管理处置能力的队员不少于3名，城管保安有市容管理、违建排查工作能力的不少于10名；交通辅警配合交警开展文明交通劝导活动以及内勤不少于4人。所有队员需符合保安上岗资格要求，必须持证上岗。街道城管中队、街道党政办以及交警部门需在保安队伍中设置至少一名队长联络员，分别对城管保安、街道保安、交通辅警等人员每月日常考勤情况和履职情况进行确认后盖章由报送至街道平安办作为报销凭据。</w:t>
      </w:r>
    </w:p>
    <w:p>
      <w:pPr>
        <w:pStyle w:val="null3"/>
        <w:ind w:firstLine="420"/>
        <w:jc w:val="both"/>
      </w:pPr>
      <w:r>
        <w:rPr>
          <w:rFonts w:ascii="仿宋_GB2312" w:hAnsi="仿宋_GB2312" w:cs="仿宋_GB2312" w:eastAsia="仿宋_GB2312"/>
          <w:sz w:val="24"/>
          <w:shd w:fill="FFFFFF" w:val="clear"/>
        </w:rPr>
        <w:t>（2）城管中队保安每个班次必须配司机至少1名，持有C1驾驶证一年以上，熟练操作手动挡车辆，并配备一部5座轻型货车和一辆应急车辆；</w:t>
      </w:r>
    </w:p>
    <w:p>
      <w:pPr>
        <w:pStyle w:val="null3"/>
        <w:ind w:firstLine="420"/>
        <w:jc w:val="both"/>
      </w:pP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评审项6</w:t>
      </w:r>
      <w:r>
        <w:rPr>
          <w:rFonts w:ascii="仿宋_GB2312" w:hAnsi="仿宋_GB2312" w:cs="仿宋_GB2312" w:eastAsia="仿宋_GB2312"/>
          <w:sz w:val="24"/>
          <w:shd w:fill="FFFFFF" w:val="clear"/>
        </w:rPr>
        <w:t>】2、工作内容：开展市容、两违、应急等工作巡查，其他采购人交办的事。</w:t>
      </w:r>
    </w:p>
    <w:p>
      <w:pPr>
        <w:pStyle w:val="null3"/>
        <w:ind w:firstLine="420"/>
        <w:jc w:val="both"/>
      </w:pPr>
      <w:r>
        <w:rPr>
          <w:rFonts w:ascii="仿宋_GB2312" w:hAnsi="仿宋_GB2312" w:cs="仿宋_GB2312" w:eastAsia="仿宋_GB2312"/>
          <w:sz w:val="24"/>
          <w:shd w:fill="FFFFFF" w:val="clear"/>
        </w:rPr>
        <w:t>3、巡逻队员的要求</w:t>
      </w:r>
    </w:p>
    <w:p>
      <w:pPr>
        <w:pStyle w:val="null3"/>
        <w:ind w:firstLine="420"/>
        <w:jc w:val="both"/>
      </w:pP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评审项7</w:t>
      </w:r>
      <w:r>
        <w:rPr>
          <w:rFonts w:ascii="仿宋_GB2312" w:hAnsi="仿宋_GB2312" w:cs="仿宋_GB2312" w:eastAsia="仿宋_GB2312"/>
          <w:sz w:val="24"/>
          <w:shd w:fill="FFFFFF" w:val="clear"/>
        </w:rPr>
        <w:t>】（1）遵纪守法，服从命令，听从指挥、文明执勤、敢于同各类违法犯罪做斗争；</w:t>
      </w:r>
    </w:p>
    <w:p>
      <w:pPr>
        <w:pStyle w:val="null3"/>
        <w:ind w:firstLine="420"/>
        <w:jc w:val="both"/>
      </w:pP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评审项8</w:t>
      </w:r>
      <w:r>
        <w:rPr>
          <w:rFonts w:ascii="仿宋_GB2312" w:hAnsi="仿宋_GB2312" w:cs="仿宋_GB2312" w:eastAsia="仿宋_GB2312"/>
          <w:sz w:val="24"/>
          <w:shd w:fill="FFFFFF" w:val="clear"/>
        </w:rPr>
        <w:t>】（2）身体健康，年龄满20周岁以上不超过50周岁，退伍军人可放宽至55周岁；身高不低于1.68米，五官端正无纹身，体检项目均合格，体能测试均达标；无违法犯罪前科；</w:t>
      </w:r>
    </w:p>
    <w:p>
      <w:pPr>
        <w:pStyle w:val="null3"/>
        <w:ind w:firstLine="420"/>
        <w:jc w:val="both"/>
      </w:pP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评审项9</w:t>
      </w:r>
      <w:r>
        <w:rPr>
          <w:rFonts w:ascii="仿宋_GB2312" w:hAnsi="仿宋_GB2312" w:cs="仿宋_GB2312" w:eastAsia="仿宋_GB2312"/>
          <w:sz w:val="24"/>
          <w:shd w:fill="FFFFFF" w:val="clear"/>
        </w:rPr>
        <w:t>】（3）确保派遣的保安人员按采购人的工作时间、要求正常上岗；</w:t>
      </w:r>
    </w:p>
    <w:p>
      <w:pPr>
        <w:pStyle w:val="null3"/>
        <w:ind w:firstLine="420"/>
        <w:jc w:val="both"/>
      </w:pP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评审项10</w:t>
      </w:r>
      <w:r>
        <w:rPr>
          <w:rFonts w:ascii="仿宋_GB2312" w:hAnsi="仿宋_GB2312" w:cs="仿宋_GB2312" w:eastAsia="仿宋_GB2312"/>
          <w:sz w:val="24"/>
          <w:shd w:fill="FFFFFF" w:val="clear"/>
        </w:rPr>
        <w:t>】（4）日常工作检查考评多次发现违规问题的，列入黑名单；</w:t>
      </w:r>
    </w:p>
    <w:p>
      <w:pPr>
        <w:pStyle w:val="null3"/>
        <w:ind w:firstLine="420"/>
        <w:jc w:val="both"/>
      </w:pPr>
      <w:r>
        <w:rPr>
          <w:rFonts w:ascii="仿宋_GB2312" w:hAnsi="仿宋_GB2312" w:cs="仿宋_GB2312" w:eastAsia="仿宋_GB2312"/>
          <w:sz w:val="24"/>
          <w:shd w:fill="FFFFFF" w:val="clear"/>
        </w:rPr>
        <w:t>4、保安人员岗位职责</w:t>
      </w:r>
    </w:p>
    <w:p>
      <w:pPr>
        <w:pStyle w:val="null3"/>
        <w:ind w:firstLine="420"/>
        <w:jc w:val="both"/>
      </w:pP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评审项11</w:t>
      </w:r>
      <w:r>
        <w:rPr>
          <w:rFonts w:ascii="仿宋_GB2312" w:hAnsi="仿宋_GB2312" w:cs="仿宋_GB2312" w:eastAsia="仿宋_GB2312"/>
          <w:sz w:val="24"/>
          <w:shd w:fill="FFFFFF" w:val="clear"/>
        </w:rPr>
        <w:t>】（1）根据双方确定的工作时间，配合采购人开展公安、市容、两违、应急等工作巡查，开展4级联防，积极配合采购人进行应急处置。保安食、宿按保安公司相关规定，采购人不负责。</w:t>
      </w:r>
    </w:p>
    <w:p>
      <w:pPr>
        <w:pStyle w:val="null3"/>
        <w:ind w:firstLine="420"/>
        <w:jc w:val="both"/>
      </w:pP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评审项12</w:t>
      </w:r>
      <w:r>
        <w:rPr>
          <w:rFonts w:ascii="仿宋_GB2312" w:hAnsi="仿宋_GB2312" w:cs="仿宋_GB2312" w:eastAsia="仿宋_GB2312"/>
          <w:sz w:val="24"/>
          <w:shd w:fill="FFFFFF" w:val="clear"/>
        </w:rPr>
        <w:t>】（2）对突发事件，保安人员应积极配合采购人进行应急处置，维持现场秩序及调查取证工作。</w:t>
      </w:r>
    </w:p>
    <w:p>
      <w:pPr>
        <w:pStyle w:val="null3"/>
        <w:ind w:firstLine="420"/>
        <w:jc w:val="both"/>
      </w:pP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评审项13</w:t>
      </w:r>
      <w:r>
        <w:rPr>
          <w:rFonts w:ascii="仿宋_GB2312" w:hAnsi="仿宋_GB2312" w:cs="仿宋_GB2312" w:eastAsia="仿宋_GB2312"/>
          <w:sz w:val="24"/>
          <w:shd w:fill="FFFFFF" w:val="clear"/>
        </w:rPr>
        <w:t>】（3）保安人员服从采购人的各项规章制度，为采购人制定工作区域提供相关的市容安全保卫服务。</w:t>
      </w:r>
    </w:p>
    <w:p>
      <w:pPr>
        <w:pStyle w:val="null3"/>
        <w:ind w:firstLine="420"/>
        <w:jc w:val="both"/>
      </w:pP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评审项14</w:t>
      </w:r>
      <w:r>
        <w:rPr>
          <w:rFonts w:ascii="仿宋_GB2312" w:hAnsi="仿宋_GB2312" w:cs="仿宋_GB2312" w:eastAsia="仿宋_GB2312"/>
          <w:sz w:val="24"/>
          <w:shd w:fill="FFFFFF" w:val="clear"/>
        </w:rPr>
        <w:t>】（4）保安人员做好制定区域内的守卫、巡逻、防火、防盗、防破坏、防爆炸、防恐等工作，做到及时发现隐患、及时报告,并积极配合有关部门处置现场。</w:t>
      </w:r>
    </w:p>
    <w:p>
      <w:pPr>
        <w:pStyle w:val="null3"/>
        <w:ind w:firstLine="420"/>
        <w:jc w:val="both"/>
      </w:pP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评审项15</w:t>
      </w:r>
      <w:r>
        <w:rPr>
          <w:rFonts w:ascii="仿宋_GB2312" w:hAnsi="仿宋_GB2312" w:cs="仿宋_GB2312" w:eastAsia="仿宋_GB2312"/>
          <w:sz w:val="24"/>
          <w:shd w:fill="FFFFFF" w:val="clear"/>
        </w:rPr>
        <w:t>】（5）保安人员认真做好所属区域内市容安全检查工作，严格执行市容安全管理制度，确保所属工作范围防范安全隐患。</w:t>
      </w:r>
    </w:p>
    <w:p>
      <w:pPr>
        <w:pStyle w:val="null3"/>
        <w:ind w:firstLine="420"/>
        <w:jc w:val="both"/>
      </w:pP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评审项16</w:t>
      </w:r>
      <w:r>
        <w:rPr>
          <w:rFonts w:ascii="仿宋_GB2312" w:hAnsi="仿宋_GB2312" w:cs="仿宋_GB2312" w:eastAsia="仿宋_GB2312"/>
          <w:sz w:val="24"/>
          <w:shd w:fill="FFFFFF" w:val="clear"/>
        </w:rPr>
        <w:t>】（6）保安人员严格履行好岗位职责，不刁难群众、不脱岗、空岗、睡岗、不迟到、早退，爱护公物，有重要情况妥善处置并及时上报采购人和中标方，做到不迟报、漏报、隐瞒不报，认真填写值班记录，做好交接班。</w:t>
      </w:r>
    </w:p>
    <w:p>
      <w:pPr>
        <w:pStyle w:val="null3"/>
        <w:ind w:firstLine="420"/>
        <w:jc w:val="both"/>
      </w:pP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评审项17</w:t>
      </w:r>
      <w:r>
        <w:rPr>
          <w:rFonts w:ascii="仿宋_GB2312" w:hAnsi="仿宋_GB2312" w:cs="仿宋_GB2312" w:eastAsia="仿宋_GB2312"/>
          <w:sz w:val="24"/>
          <w:shd w:fill="FFFFFF" w:val="clear"/>
        </w:rPr>
        <w:t>】（7）完成采购人交办的其他各项安保任务，主动做好辖区管控。</w:t>
      </w:r>
    </w:p>
    <w:p>
      <w:pPr>
        <w:pStyle w:val="null3"/>
        <w:ind w:firstLine="420"/>
        <w:jc w:val="both"/>
      </w:pP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评审项18</w:t>
      </w:r>
      <w:r>
        <w:rPr>
          <w:rFonts w:ascii="仿宋_GB2312" w:hAnsi="仿宋_GB2312" w:cs="仿宋_GB2312" w:eastAsia="仿宋_GB2312"/>
          <w:sz w:val="24"/>
          <w:shd w:fill="FFFFFF" w:val="clear"/>
        </w:rPr>
        <w:t>】（8）17名保安人员必须固定，若有更换，需向采购人申请，经采购人同意后方可更换。</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自合同签订之日起365日</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福建省福州市采购人指定地点</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按照招标文件及合同规定服务内容执行</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按照《保安工作月考核表》落实队员的考核。即：月考核分为95分（含）以上的支付全额月服务费；考核分为80分（含）至95分（不含）的，支付95%月服务费；考核分为70分（含）至80分（不含）的，支付85%月服务费；考核分为60分（含）至70分（不含）的，支付75%月服务费；月考核分出现一次低于60分（不含），则采购人有权单方面解除合同，不支付该月服务费，并要求成交人承担违约责任。</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按月支付，采购人根据每月考核结果按实核发，成交人向采购人提供由税务部门核发的正式服务费发票，待财政批付款项后，采购人以转账方式支付给成交人上个月的保安服务费，达到付款条件起15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缴纳</w:t>
            </w:r>
            <w:r>
              <w:rPr>
                <w:rFonts w:ascii="仿宋_GB2312" w:hAnsi="仿宋_GB2312" w:cs="仿宋_GB2312" w:eastAsia="仿宋_GB2312"/>
              </w:rPr>
              <w:t>, 本采购包履约保证金为合同金额的4%</w:t>
            </w:r>
          </w:p>
          <w:p>
            <w:pPr>
              <w:pStyle w:val="null3"/>
              <w:jc w:val="left"/>
            </w:pPr>
            <w:r>
              <w:rPr>
                <w:rFonts w:ascii="仿宋_GB2312" w:hAnsi="仿宋_GB2312" w:cs="仿宋_GB2312" w:eastAsia="仿宋_GB2312"/>
              </w:rPr>
              <w:t>说明：按本项目成交金额的4%收取履约保证金，合同签订时以转账、支票、汇票、本票等非现金形式缴纳或提交履约保证金。履约保证金的退还：成交人履行完采购合同内所有保安义务，无合同条款所规定的未了事件或违约情形，由采购人在30个工作日内无息退还。若发生下列情况之一，采购人将提出追索和索赔：a.成交人不按采购文件规定履行采购合同；b.签订合同后，成交人不按合同规定的条件提供服务；c.如果成交人未能按合同规定履行其义务，采购人有权从履约保证金中直接没收该部分费用。</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b/>
          <w:color w:val="000000"/>
        </w:rPr>
        <w:t>8、承担风险</w:t>
      </w:r>
    </w:p>
    <w:p>
      <w:pPr>
        <w:pStyle w:val="null3"/>
        <w:ind w:firstLine="480"/>
        <w:jc w:val="both"/>
      </w:pPr>
      <w:r>
        <w:rPr>
          <w:rFonts w:ascii="仿宋_GB2312" w:hAnsi="仿宋_GB2312" w:cs="仿宋_GB2312" w:eastAsia="仿宋_GB2312"/>
          <w:sz w:val="24"/>
        </w:rPr>
        <w:t>8.1合同履行期内，保安人员辞职或因其他事由造成采购人空缺岗位的，成交人应及时派遣新保安员交接顶替，不得缺员，若产生缺员超过三天(不含)采购人有权按每天100元/人扣减支付成交人保安服务费，该费用采购人有权从当期或下一期应支付的保安服务费中直接扣除：同时因缺员产生的一切风险责任由成交人全权承担。若缺员超过7天的，采购人除有权按上述规定扣减成交人保安服务费外，还要求成交人赔偿相应损失。</w:t>
      </w:r>
    </w:p>
    <w:p>
      <w:pPr>
        <w:pStyle w:val="null3"/>
        <w:ind w:firstLine="480"/>
        <w:jc w:val="both"/>
      </w:pPr>
      <w:r>
        <w:rPr>
          <w:rFonts w:ascii="仿宋_GB2312" w:hAnsi="仿宋_GB2312" w:cs="仿宋_GB2312" w:eastAsia="仿宋_GB2312"/>
          <w:sz w:val="24"/>
        </w:rPr>
        <w:t>8.2成交人违反国家相关法规，与聘用人员发生纠纷，均由成交人自行负责调解与处理，采购人不承担任何责任。</w:t>
      </w:r>
    </w:p>
    <w:p>
      <w:pPr>
        <w:pStyle w:val="null3"/>
        <w:ind w:firstLine="480"/>
        <w:jc w:val="both"/>
      </w:pPr>
      <w:r>
        <w:rPr>
          <w:rFonts w:ascii="仿宋_GB2312" w:hAnsi="仿宋_GB2312" w:cs="仿宋_GB2312" w:eastAsia="仿宋_GB2312"/>
          <w:sz w:val="24"/>
        </w:rPr>
        <w:t>8.3派遣的保安人员在岗履行工作职责期间违反国家相关法规或保安行业规范，造成他人人身伤亡的，均由成交人自行负责处理并承担经济和道义上的责任，采购人不承担任何责任。</w:t>
      </w:r>
    </w:p>
    <w:p>
      <w:pPr>
        <w:pStyle w:val="null3"/>
        <w:jc w:val="both"/>
      </w:pPr>
      <w:r>
        <w:rPr>
          <w:rFonts w:ascii="仿宋_GB2312" w:hAnsi="仿宋_GB2312" w:cs="仿宋_GB2312" w:eastAsia="仿宋_GB2312"/>
          <w:sz w:val="24"/>
          <w:b/>
        </w:rPr>
        <w:t>9、项目其它要求</w:t>
      </w:r>
    </w:p>
    <w:p>
      <w:pPr>
        <w:pStyle w:val="null3"/>
        <w:ind w:firstLine="480"/>
        <w:jc w:val="both"/>
      </w:pPr>
      <w:r>
        <w:rPr>
          <w:rFonts w:ascii="仿宋_GB2312" w:hAnsi="仿宋_GB2312" w:cs="仿宋_GB2312" w:eastAsia="仿宋_GB2312"/>
          <w:sz w:val="24"/>
        </w:rPr>
        <w:t>9.1成交人提供服务的资格必须得到有关行政主管部门的许可。</w:t>
      </w:r>
    </w:p>
    <w:p>
      <w:pPr>
        <w:pStyle w:val="null3"/>
        <w:ind w:firstLine="480"/>
        <w:jc w:val="both"/>
      </w:pPr>
      <w:r>
        <w:rPr>
          <w:rFonts w:ascii="仿宋_GB2312" w:hAnsi="仿宋_GB2312" w:cs="仿宋_GB2312" w:eastAsia="仿宋_GB2312"/>
          <w:sz w:val="24"/>
        </w:rPr>
        <w:t>9.2成交人应按合同规定履行全部的义务和承担全部的责任，未经采购人的允许，成交人不得将项目以任何名义和理由全部转包或部分分包，若发现转包或分包，视为成交人违约，成交人违约对采购人造成的损失的，需另行支付相应的赔偿。</w:t>
      </w:r>
    </w:p>
    <w:p>
      <w:pPr>
        <w:pStyle w:val="null3"/>
        <w:ind w:firstLine="480"/>
        <w:jc w:val="both"/>
      </w:pPr>
      <w:r>
        <w:rPr>
          <w:rFonts w:ascii="仿宋_GB2312" w:hAnsi="仿宋_GB2312" w:cs="仿宋_GB2312" w:eastAsia="仿宋_GB2312"/>
          <w:sz w:val="24"/>
        </w:rPr>
        <w:t>9.3成交人必须对其投标文件中提供各种资料、说明、声明的真实性负责，成交人若提供虚假资料，经发现将根据相关法律法规追究其相关责任，其中：虚假资料若在评标过程中发现，还将视为无效投标；若在评标定标后发现，还将取消其成交资格（定标后采购人有可能对成交人投标文件中的承诺内容和证明材料进行核查，成交人应无条件配合采购人的核查工作，不得托词拒绝核查或隐瞒真实情况)：若在成交后签订合同时发现，采购人还将取消其合同签订，给采购人造成损失的，需另行赔偿并负相关责任。</w:t>
      </w:r>
    </w:p>
    <w:p>
      <w:pPr>
        <w:pStyle w:val="null3"/>
        <w:ind w:firstLine="480"/>
        <w:jc w:val="both"/>
      </w:pPr>
      <w:r>
        <w:rPr>
          <w:rFonts w:ascii="仿宋_GB2312" w:hAnsi="仿宋_GB2312" w:cs="仿宋_GB2312" w:eastAsia="仿宋_GB2312"/>
          <w:sz w:val="24"/>
        </w:rPr>
        <w:t>9.4本招标文件所述所有要求中所发生的一切费用均包含在投标总价中。</w:t>
      </w:r>
    </w:p>
    <w:p>
      <w:pPr>
        <w:pStyle w:val="null3"/>
        <w:spacing w:before="105" w:after="105"/>
        <w:jc w:val="center"/>
      </w:pPr>
      <w:r>
        <w:rPr>
          <w:rFonts w:ascii="仿宋_GB2312" w:hAnsi="仿宋_GB2312" w:cs="仿宋_GB2312" w:eastAsia="仿宋_GB2312"/>
          <w:sz w:val="24"/>
          <w:b/>
          <w:color w:val="000000"/>
        </w:rPr>
        <w:t>保安工作月考核表(100分)</w:t>
      </w:r>
    </w:p>
    <w:tbl>
      <w:tblPr>
        <w:tblW w:w="0" w:type="auto"/>
        <w:tblBorders>
          <w:top w:val="none" w:color="000000" w:sz="4"/>
          <w:left w:val="none" w:color="000000" w:sz="4"/>
          <w:bottom w:val="none" w:color="000000" w:sz="4"/>
          <w:right w:val="none" w:color="000000" w:sz="4"/>
          <w:insideH w:val="none"/>
          <w:insideV w:val="none"/>
        </w:tblBorders>
      </w:tblPr>
      <w:tblGrid>
        <w:gridCol w:w="2076"/>
        <w:gridCol w:w="2076"/>
        <w:gridCol w:w="2076"/>
        <w:gridCol w:w="2076"/>
      </w:tblGrid>
      <w:tr>
        <w:tc>
          <w:tcPr>
            <w:tcW w:type="dxa" w:w="2076"/>
            <w:tcBorders>
              <w:top w:val="outset" w:color="000000" w:sz="4"/>
              <w:left w:val="outset" w:color="000000" w:sz="4"/>
              <w:bottom w:val="outset" w:color="000000" w:sz="4"/>
              <w:right w:val="outset"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color w:val="000000"/>
              </w:rPr>
              <w:t>项目</w:t>
            </w:r>
          </w:p>
        </w:tc>
        <w:tc>
          <w:tcPr>
            <w:tcW w:type="dxa" w:w="2076"/>
            <w:tcBorders>
              <w:top w:val="outset" w:color="000000" w:sz="4"/>
              <w:left w:val="none" w:color="000000" w:sz="4"/>
              <w:bottom w:val="outset" w:color="000000" w:sz="4"/>
              <w:right w:val="outset"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color w:val="000000"/>
              </w:rPr>
              <w:t>规章制度</w:t>
            </w:r>
          </w:p>
        </w:tc>
        <w:tc>
          <w:tcPr>
            <w:tcW w:type="dxa" w:w="2076"/>
            <w:tcBorders>
              <w:top w:val="outset" w:color="000000" w:sz="4"/>
              <w:left w:val="none" w:color="000000" w:sz="4"/>
              <w:bottom w:val="outset" w:color="000000" w:sz="4"/>
              <w:right w:val="outset"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color w:val="000000"/>
              </w:rPr>
              <w:t>细则及扣分标准</w:t>
            </w:r>
          </w:p>
        </w:tc>
        <w:tc>
          <w:tcPr>
            <w:tcW w:type="dxa" w:w="2076"/>
            <w:tcBorders>
              <w:top w:val="outset" w:color="000000" w:sz="4"/>
              <w:left w:val="none" w:color="000000" w:sz="4"/>
              <w:bottom w:val="outset" w:color="000000" w:sz="4"/>
              <w:right w:val="outset"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color w:val="000000"/>
              </w:rPr>
              <w:t>标准分</w:t>
            </w:r>
          </w:p>
        </w:tc>
      </w:tr>
      <w:tr>
        <w:tc>
          <w:tcPr>
            <w:tcW w:type="dxa" w:w="2076"/>
            <w:vMerge w:val="restart"/>
            <w:tcBorders>
              <w:top w:val="none" w:color="000000" w:sz="4"/>
              <w:left w:val="outset" w:color="000000" w:sz="4"/>
              <w:bottom w:val="outset" w:color="000000" w:sz="4"/>
              <w:right w:val="outset"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岗位纪律</w:t>
            </w:r>
          </w:p>
        </w:tc>
        <w:tc>
          <w:tcPr>
            <w:tcW w:type="dxa" w:w="2076"/>
            <w:tcBorders>
              <w:top w:val="none" w:color="000000" w:sz="4"/>
              <w:left w:val="none" w:color="000000" w:sz="4"/>
              <w:bottom w:val="outset" w:color="000000" w:sz="4"/>
              <w:right w:val="outset" w:color="000000" w:sz="4"/>
            </w:tcBorders>
            <w:tcMar>
              <w:top w:type="dxa" w:w="0"/>
              <w:left w:type="dxa" w:w="120"/>
              <w:bottom w:type="dxa" w:w="0"/>
              <w:right w:type="dxa" w:w="120"/>
            </w:tcMar>
            <w:vAlign w:val="top"/>
          </w:tcPr>
          <w:p>
            <w:pPr>
              <w:pStyle w:val="null3"/>
            </w:pPr>
            <w:r>
              <w:rPr>
                <w:rFonts w:ascii="仿宋_GB2312" w:hAnsi="仿宋_GB2312" w:cs="仿宋_GB2312" w:eastAsia="仿宋_GB2312"/>
                <w:sz w:val="24"/>
                <w:color w:val="000000"/>
              </w:rPr>
              <w:t>1、准时上下班，不得无故缺勤、迟到、早退、旷工。</w:t>
            </w:r>
          </w:p>
        </w:tc>
        <w:tc>
          <w:tcPr>
            <w:tcW w:type="dxa" w:w="2076"/>
            <w:tcBorders>
              <w:top w:val="none" w:color="000000" w:sz="4"/>
              <w:left w:val="none" w:color="000000" w:sz="4"/>
              <w:bottom w:val="outset" w:color="000000" w:sz="4"/>
              <w:right w:val="outset" w:color="000000" w:sz="4"/>
            </w:tcBorders>
            <w:tcMar>
              <w:top w:type="dxa" w:w="0"/>
              <w:left w:type="dxa" w:w="120"/>
              <w:bottom w:type="dxa" w:w="0"/>
              <w:right w:type="dxa" w:w="120"/>
            </w:tcMar>
            <w:vAlign w:val="top"/>
          </w:tcPr>
          <w:p>
            <w:pPr>
              <w:pStyle w:val="null3"/>
            </w:pPr>
            <w:r>
              <w:rPr>
                <w:rFonts w:ascii="仿宋_GB2312" w:hAnsi="仿宋_GB2312" w:cs="仿宋_GB2312" w:eastAsia="仿宋_GB2312"/>
                <w:sz w:val="24"/>
                <w:color w:val="000000"/>
              </w:rPr>
              <w:t>迟到15分钟以内(含15分钟)一次扣1分。</w:t>
            </w:r>
          </w:p>
          <w:p>
            <w:pPr>
              <w:pStyle w:val="null3"/>
            </w:pPr>
            <w:r>
              <w:rPr>
                <w:rFonts w:ascii="仿宋_GB2312" w:hAnsi="仿宋_GB2312" w:cs="仿宋_GB2312" w:eastAsia="仿宋_GB2312"/>
                <w:sz w:val="24"/>
                <w:color w:val="000000"/>
              </w:rPr>
              <w:t>迟到30分钟，一次扣2分。</w:t>
            </w:r>
          </w:p>
          <w:p>
            <w:pPr>
              <w:pStyle w:val="null3"/>
            </w:pPr>
            <w:r>
              <w:rPr>
                <w:rFonts w:ascii="仿宋_GB2312" w:hAnsi="仿宋_GB2312" w:cs="仿宋_GB2312" w:eastAsia="仿宋_GB2312"/>
                <w:sz w:val="24"/>
                <w:color w:val="000000"/>
              </w:rPr>
              <w:t>迟到30分钟以上，一次扣5分并按旷工计。</w:t>
            </w:r>
          </w:p>
          <w:p>
            <w:pPr>
              <w:pStyle w:val="null3"/>
            </w:pPr>
            <w:r>
              <w:rPr>
                <w:rFonts w:ascii="仿宋_GB2312" w:hAnsi="仿宋_GB2312" w:cs="仿宋_GB2312" w:eastAsia="仿宋_GB2312"/>
                <w:sz w:val="24"/>
                <w:color w:val="000000"/>
              </w:rPr>
              <w:t>早退、缺勤一次均按旷工计；旷工一次扣3分。</w:t>
            </w:r>
          </w:p>
        </w:tc>
        <w:tc>
          <w:tcPr>
            <w:tcW w:type="dxa" w:w="2076"/>
            <w:tcBorders>
              <w:top w:val="none" w:color="000000" w:sz="4"/>
              <w:left w:val="none" w:color="000000" w:sz="4"/>
              <w:bottom w:val="outset" w:color="000000" w:sz="4"/>
              <w:right w:val="outset"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3分</w:t>
            </w:r>
          </w:p>
        </w:tc>
      </w:tr>
      <w:tr>
        <w:tc>
          <w:tcPr>
            <w:tcW w:type="dxa" w:w="2076"/>
            <w:vMerge/>
            <w:tcBorders>
              <w:top w:val="none" w:color="000000" w:sz="4"/>
              <w:left w:val="outset" w:color="000000" w:sz="4"/>
              <w:bottom w:val="outset" w:color="000000" w:sz="4"/>
              <w:right w:val="outset" w:color="000000" w:sz="4"/>
            </w:tcBorders>
          </w:tcPr>
          <w:p/>
        </w:tc>
        <w:tc>
          <w:tcPr>
            <w:tcW w:type="dxa" w:w="2076"/>
            <w:tcBorders>
              <w:top w:val="none" w:color="000000" w:sz="4"/>
              <w:left w:val="none" w:color="000000" w:sz="4"/>
              <w:bottom w:val="outset" w:color="000000" w:sz="4"/>
              <w:right w:val="outset" w:color="000000" w:sz="4"/>
            </w:tcBorders>
            <w:tcMar>
              <w:top w:type="dxa" w:w="0"/>
              <w:left w:type="dxa" w:w="120"/>
              <w:bottom w:type="dxa" w:w="0"/>
              <w:right w:type="dxa" w:w="120"/>
            </w:tcMar>
            <w:vAlign w:val="top"/>
          </w:tcPr>
          <w:p>
            <w:pPr>
              <w:pStyle w:val="null3"/>
            </w:pPr>
            <w:r>
              <w:rPr>
                <w:rFonts w:ascii="仿宋_GB2312" w:hAnsi="仿宋_GB2312" w:cs="仿宋_GB2312" w:eastAsia="仿宋_GB2312"/>
                <w:sz w:val="24"/>
                <w:color w:val="000000"/>
              </w:rPr>
              <w:t>2、不得擅自调换班次。</w:t>
            </w:r>
          </w:p>
        </w:tc>
        <w:tc>
          <w:tcPr>
            <w:tcW w:type="dxa" w:w="2076"/>
            <w:tcBorders>
              <w:top w:val="none" w:color="000000" w:sz="4"/>
              <w:left w:val="none" w:color="000000" w:sz="4"/>
              <w:bottom w:val="outset" w:color="000000" w:sz="4"/>
              <w:right w:val="outset" w:color="000000" w:sz="4"/>
            </w:tcBorders>
            <w:tcMar>
              <w:top w:type="dxa" w:w="0"/>
              <w:left w:type="dxa" w:w="120"/>
              <w:bottom w:type="dxa" w:w="0"/>
              <w:right w:type="dxa" w:w="120"/>
            </w:tcMar>
            <w:vAlign w:val="top"/>
          </w:tcPr>
          <w:p>
            <w:pPr>
              <w:pStyle w:val="null3"/>
            </w:pPr>
            <w:r>
              <w:rPr>
                <w:rFonts w:ascii="仿宋_GB2312" w:hAnsi="仿宋_GB2312" w:cs="仿宋_GB2312" w:eastAsia="仿宋_GB2312"/>
                <w:sz w:val="24"/>
                <w:color w:val="000000"/>
              </w:rPr>
              <w:t>发现一次扣1分；发现两次扣2分；发现3次按旷工计，扣3分。</w:t>
            </w:r>
          </w:p>
        </w:tc>
        <w:tc>
          <w:tcPr>
            <w:tcW w:type="dxa" w:w="2076"/>
            <w:tcBorders>
              <w:top w:val="none" w:color="000000" w:sz="4"/>
              <w:left w:val="none" w:color="000000" w:sz="4"/>
              <w:bottom w:val="outset" w:color="000000" w:sz="4"/>
              <w:right w:val="outset"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3分</w:t>
            </w:r>
          </w:p>
        </w:tc>
      </w:tr>
      <w:tr>
        <w:tc>
          <w:tcPr>
            <w:tcW w:type="dxa" w:w="2076"/>
            <w:vMerge/>
            <w:tcBorders>
              <w:top w:val="none" w:color="000000" w:sz="4"/>
              <w:left w:val="outset" w:color="000000" w:sz="4"/>
              <w:bottom w:val="outset" w:color="000000" w:sz="4"/>
              <w:right w:val="outset" w:color="000000" w:sz="4"/>
            </w:tcBorders>
          </w:tcPr>
          <w:p/>
        </w:tc>
        <w:tc>
          <w:tcPr>
            <w:tcW w:type="dxa" w:w="2076"/>
            <w:tcBorders>
              <w:top w:val="none" w:color="000000" w:sz="4"/>
              <w:left w:val="none" w:color="000000" w:sz="4"/>
              <w:bottom w:val="outset" w:color="000000" w:sz="4"/>
              <w:right w:val="outset" w:color="000000" w:sz="4"/>
            </w:tcBorders>
            <w:tcMar>
              <w:top w:type="dxa" w:w="0"/>
              <w:left w:type="dxa" w:w="120"/>
              <w:bottom w:type="dxa" w:w="0"/>
              <w:right w:type="dxa" w:w="120"/>
            </w:tcMar>
            <w:vAlign w:val="top"/>
          </w:tcPr>
          <w:p>
            <w:pPr>
              <w:pStyle w:val="null3"/>
            </w:pPr>
            <w:r>
              <w:rPr>
                <w:rFonts w:ascii="仿宋_GB2312" w:hAnsi="仿宋_GB2312" w:cs="仿宋_GB2312" w:eastAsia="仿宋_GB2312"/>
                <w:sz w:val="24"/>
                <w:color w:val="000000"/>
              </w:rPr>
              <w:t>3、在岗位不得做与工作无关的事：包括吸烟、酗酒、聊天、嬉闹喧哗、吃零食、看书报、玩手机、或睡觉等。</w:t>
            </w:r>
          </w:p>
        </w:tc>
        <w:tc>
          <w:tcPr>
            <w:tcW w:type="dxa" w:w="2076"/>
            <w:tcBorders>
              <w:top w:val="none" w:color="000000" w:sz="4"/>
              <w:left w:val="none" w:color="000000" w:sz="4"/>
              <w:bottom w:val="outset" w:color="000000" w:sz="4"/>
              <w:right w:val="outset" w:color="000000" w:sz="4"/>
            </w:tcBorders>
            <w:tcMar>
              <w:top w:type="dxa" w:w="0"/>
              <w:left w:type="dxa" w:w="120"/>
              <w:bottom w:type="dxa" w:w="0"/>
              <w:right w:type="dxa" w:w="120"/>
            </w:tcMar>
            <w:vAlign w:val="top"/>
          </w:tcPr>
          <w:p>
            <w:pPr>
              <w:pStyle w:val="null3"/>
            </w:pPr>
            <w:r>
              <w:rPr>
                <w:rFonts w:ascii="仿宋_GB2312" w:hAnsi="仿宋_GB2312" w:cs="仿宋_GB2312" w:eastAsia="仿宋_GB2312"/>
                <w:sz w:val="24"/>
                <w:color w:val="000000"/>
              </w:rPr>
              <w:t>发现一次扣1分；发现两次扣2分；发现3次按旷工计，扣3分。</w:t>
            </w:r>
          </w:p>
        </w:tc>
        <w:tc>
          <w:tcPr>
            <w:tcW w:type="dxa" w:w="2076"/>
            <w:tcBorders>
              <w:top w:val="none" w:color="000000" w:sz="4"/>
              <w:left w:val="none" w:color="000000" w:sz="4"/>
              <w:bottom w:val="outset" w:color="000000" w:sz="4"/>
              <w:right w:val="outset"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3分</w:t>
            </w:r>
          </w:p>
        </w:tc>
      </w:tr>
      <w:tr>
        <w:tc>
          <w:tcPr>
            <w:tcW w:type="dxa" w:w="2076"/>
            <w:vMerge/>
            <w:tcBorders>
              <w:top w:val="none" w:color="000000" w:sz="4"/>
              <w:left w:val="outset" w:color="000000" w:sz="4"/>
              <w:bottom w:val="outset" w:color="000000" w:sz="4"/>
              <w:right w:val="outset" w:color="000000" w:sz="4"/>
            </w:tcBorders>
          </w:tcPr>
          <w:p/>
        </w:tc>
        <w:tc>
          <w:tcPr>
            <w:tcW w:type="dxa" w:w="2076"/>
            <w:tcBorders>
              <w:top w:val="none" w:color="000000" w:sz="4"/>
              <w:left w:val="none" w:color="000000" w:sz="4"/>
              <w:bottom w:val="outset" w:color="000000" w:sz="4"/>
              <w:right w:val="outset" w:color="000000" w:sz="4"/>
            </w:tcBorders>
            <w:tcMar>
              <w:top w:type="dxa" w:w="0"/>
              <w:left w:type="dxa" w:w="120"/>
              <w:bottom w:type="dxa" w:w="0"/>
              <w:right w:type="dxa" w:w="120"/>
            </w:tcMar>
            <w:vAlign w:val="top"/>
          </w:tcPr>
          <w:p>
            <w:pPr>
              <w:pStyle w:val="null3"/>
            </w:pPr>
            <w:r>
              <w:rPr>
                <w:rFonts w:ascii="仿宋_GB2312" w:hAnsi="仿宋_GB2312" w:cs="仿宋_GB2312" w:eastAsia="仿宋_GB2312"/>
                <w:sz w:val="24"/>
                <w:color w:val="000000"/>
              </w:rPr>
              <w:t>4、执勤期间非因工作需要，不得擅自入有规定不得进入的公共场所。</w:t>
            </w:r>
          </w:p>
        </w:tc>
        <w:tc>
          <w:tcPr>
            <w:tcW w:type="dxa" w:w="2076"/>
            <w:tcBorders>
              <w:top w:val="none" w:color="000000" w:sz="4"/>
              <w:left w:val="none" w:color="000000" w:sz="4"/>
              <w:bottom w:val="outset" w:color="000000" w:sz="4"/>
              <w:right w:val="outset" w:color="000000" w:sz="4"/>
            </w:tcBorders>
            <w:tcMar>
              <w:top w:type="dxa" w:w="0"/>
              <w:left w:type="dxa" w:w="120"/>
              <w:bottom w:type="dxa" w:w="0"/>
              <w:right w:type="dxa" w:w="120"/>
            </w:tcMar>
            <w:vAlign w:val="top"/>
          </w:tcPr>
          <w:p>
            <w:pPr>
              <w:pStyle w:val="null3"/>
            </w:pPr>
            <w:r>
              <w:rPr>
                <w:rFonts w:ascii="仿宋_GB2312" w:hAnsi="仿宋_GB2312" w:cs="仿宋_GB2312" w:eastAsia="仿宋_GB2312"/>
                <w:sz w:val="24"/>
                <w:color w:val="000000"/>
              </w:rPr>
              <w:t>发现一次扣1分；发现两次扣2分；发现3次按旷工计，扣3分。</w:t>
            </w:r>
          </w:p>
        </w:tc>
        <w:tc>
          <w:tcPr>
            <w:tcW w:type="dxa" w:w="2076"/>
            <w:tcBorders>
              <w:top w:val="none" w:color="000000" w:sz="4"/>
              <w:left w:val="none" w:color="000000" w:sz="4"/>
              <w:bottom w:val="outset" w:color="000000" w:sz="4"/>
              <w:right w:val="outset"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3分</w:t>
            </w:r>
          </w:p>
        </w:tc>
      </w:tr>
      <w:tr>
        <w:tc>
          <w:tcPr>
            <w:tcW w:type="dxa" w:w="2076"/>
            <w:vMerge/>
            <w:tcBorders>
              <w:top w:val="none" w:color="000000" w:sz="4"/>
              <w:left w:val="outset" w:color="000000" w:sz="4"/>
              <w:bottom w:val="outset" w:color="000000" w:sz="4"/>
              <w:right w:val="outset" w:color="000000" w:sz="4"/>
            </w:tcBorders>
          </w:tcPr>
          <w:p/>
        </w:tc>
        <w:tc>
          <w:tcPr>
            <w:tcW w:type="dxa" w:w="2076"/>
            <w:tcBorders>
              <w:top w:val="none" w:color="000000" w:sz="4"/>
              <w:left w:val="none" w:color="000000" w:sz="4"/>
              <w:bottom w:val="outset" w:color="000000" w:sz="4"/>
              <w:right w:val="outset" w:color="000000" w:sz="4"/>
            </w:tcBorders>
            <w:tcMar>
              <w:top w:type="dxa" w:w="0"/>
              <w:left w:type="dxa" w:w="120"/>
              <w:bottom w:type="dxa" w:w="0"/>
              <w:right w:type="dxa" w:w="120"/>
            </w:tcMar>
            <w:vAlign w:val="top"/>
          </w:tcPr>
          <w:p>
            <w:pPr>
              <w:pStyle w:val="null3"/>
            </w:pPr>
            <w:r>
              <w:rPr>
                <w:rFonts w:ascii="仿宋_GB2312" w:hAnsi="仿宋_GB2312" w:cs="仿宋_GB2312" w:eastAsia="仿宋_GB2312"/>
                <w:sz w:val="24"/>
                <w:color w:val="000000"/>
              </w:rPr>
              <w:t>5、例会，不得无故缺席。</w:t>
            </w:r>
          </w:p>
        </w:tc>
        <w:tc>
          <w:tcPr>
            <w:tcW w:type="dxa" w:w="2076"/>
            <w:tcBorders>
              <w:top w:val="none" w:color="000000" w:sz="4"/>
              <w:left w:val="none" w:color="000000" w:sz="4"/>
              <w:bottom w:val="outset" w:color="000000" w:sz="4"/>
              <w:right w:val="outset" w:color="000000" w:sz="4"/>
            </w:tcBorders>
            <w:tcMar>
              <w:top w:type="dxa" w:w="0"/>
              <w:left w:type="dxa" w:w="120"/>
              <w:bottom w:type="dxa" w:w="0"/>
              <w:right w:type="dxa" w:w="120"/>
            </w:tcMar>
            <w:vAlign w:val="top"/>
          </w:tcPr>
          <w:p>
            <w:pPr>
              <w:pStyle w:val="null3"/>
            </w:pPr>
            <w:r>
              <w:rPr>
                <w:rFonts w:ascii="仿宋_GB2312" w:hAnsi="仿宋_GB2312" w:cs="仿宋_GB2312" w:eastAsia="仿宋_GB2312"/>
                <w:sz w:val="24"/>
                <w:color w:val="000000"/>
              </w:rPr>
              <w:t>当月缺席扣1分，两次扣2分，三次按旷工计，扣3分。</w:t>
            </w:r>
          </w:p>
        </w:tc>
        <w:tc>
          <w:tcPr>
            <w:tcW w:type="dxa" w:w="2076"/>
            <w:tcBorders>
              <w:top w:val="none" w:color="000000" w:sz="4"/>
              <w:left w:val="none" w:color="000000" w:sz="4"/>
              <w:bottom w:val="outset" w:color="000000" w:sz="4"/>
              <w:right w:val="outset"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3分</w:t>
            </w:r>
          </w:p>
        </w:tc>
      </w:tr>
      <w:tr>
        <w:tc>
          <w:tcPr>
            <w:tcW w:type="dxa" w:w="2076"/>
            <w:vMerge w:val="restart"/>
            <w:tcBorders>
              <w:top w:val="none" w:color="000000" w:sz="4"/>
              <w:left w:val="outset" w:color="000000" w:sz="4"/>
              <w:bottom w:val="outset" w:color="000000" w:sz="4"/>
              <w:right w:val="outset" w:color="000000" w:sz="4"/>
            </w:tcBorders>
            <w:tcMar>
              <w:top w:type="dxa" w:w="0"/>
              <w:left w:type="dxa" w:w="120"/>
              <w:bottom w:type="dxa" w:w="0"/>
              <w:right w:type="dxa" w:w="120"/>
            </w:tcMar>
            <w:vAlign w:val="top"/>
          </w:tcPr>
          <w:p>
            <w:pPr>
              <w:pStyle w:val="null3"/>
            </w:pPr>
            <w:r>
              <w:rPr>
                <w:rFonts w:ascii="仿宋_GB2312" w:hAnsi="仿宋_GB2312" w:cs="仿宋_GB2312" w:eastAsia="仿宋_GB2312"/>
                <w:sz w:val="24"/>
                <w:color w:val="000000"/>
              </w:rPr>
              <w:t>岗位职责</w:t>
            </w:r>
          </w:p>
        </w:tc>
        <w:tc>
          <w:tcPr>
            <w:tcW w:type="dxa" w:w="2076"/>
            <w:tcBorders>
              <w:top w:val="none" w:color="000000" w:sz="4"/>
              <w:left w:val="none" w:color="000000" w:sz="4"/>
              <w:bottom w:val="outset" w:color="000000" w:sz="4"/>
              <w:right w:val="outset" w:color="000000" w:sz="4"/>
            </w:tcBorders>
            <w:tcMar>
              <w:top w:type="dxa" w:w="0"/>
              <w:left w:type="dxa" w:w="120"/>
              <w:bottom w:type="dxa" w:w="0"/>
              <w:right w:type="dxa" w:w="120"/>
            </w:tcMar>
            <w:vAlign w:val="top"/>
          </w:tcPr>
          <w:p>
            <w:pPr>
              <w:pStyle w:val="null3"/>
            </w:pPr>
            <w:r>
              <w:rPr>
                <w:rFonts w:ascii="仿宋_GB2312" w:hAnsi="仿宋_GB2312" w:cs="仿宋_GB2312" w:eastAsia="仿宋_GB2312"/>
                <w:sz w:val="24"/>
                <w:color w:val="000000"/>
              </w:rPr>
              <w:t>1、 听从命令，服从指挥。</w:t>
            </w:r>
          </w:p>
        </w:tc>
        <w:tc>
          <w:tcPr>
            <w:tcW w:type="dxa" w:w="2076"/>
            <w:tcBorders>
              <w:top w:val="none" w:color="000000" w:sz="4"/>
              <w:left w:val="none" w:color="000000" w:sz="4"/>
              <w:bottom w:val="outset" w:color="000000" w:sz="4"/>
              <w:right w:val="outset"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color w:val="000000"/>
              </w:rPr>
              <w:t>（1）派遣的保安人员在执勤期间要服从采购人的管理与指挥，做到令行禁止，且未经采购人管理人员允许，派遣的保安人员不得进入采购人特殊场所。(未做到扣5分)</w:t>
            </w:r>
          </w:p>
          <w:p>
            <w:pPr>
              <w:pStyle w:val="null3"/>
              <w:jc w:val="both"/>
            </w:pPr>
            <w:r>
              <w:rPr>
                <w:rFonts w:ascii="仿宋_GB2312" w:hAnsi="仿宋_GB2312" w:cs="仿宋_GB2312" w:eastAsia="仿宋_GB2312"/>
                <w:sz w:val="24"/>
                <w:color w:val="000000"/>
              </w:rPr>
              <w:t>（2）采购人交办的任务未达到预期效果的。(未做到扣10分)</w:t>
            </w:r>
          </w:p>
        </w:tc>
        <w:tc>
          <w:tcPr>
            <w:tcW w:type="dxa" w:w="2076"/>
            <w:tcBorders>
              <w:top w:val="none" w:color="000000" w:sz="4"/>
              <w:left w:val="none" w:color="000000" w:sz="4"/>
              <w:bottom w:val="outset" w:color="000000" w:sz="4"/>
              <w:right w:val="outset"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15分</w:t>
            </w:r>
          </w:p>
        </w:tc>
      </w:tr>
      <w:tr>
        <w:tc>
          <w:tcPr>
            <w:tcW w:type="dxa" w:w="2076"/>
            <w:vMerge/>
            <w:tcBorders>
              <w:top w:val="none" w:color="000000" w:sz="4"/>
              <w:left w:val="outset" w:color="000000" w:sz="4"/>
              <w:bottom w:val="outset" w:color="000000" w:sz="4"/>
              <w:right w:val="outset" w:color="000000" w:sz="4"/>
            </w:tcBorders>
          </w:tcPr>
          <w:p/>
        </w:tc>
        <w:tc>
          <w:tcPr>
            <w:tcW w:type="dxa" w:w="2076"/>
            <w:tcBorders>
              <w:top w:val="none" w:color="000000" w:sz="4"/>
              <w:left w:val="none" w:color="000000" w:sz="4"/>
              <w:bottom w:val="outset" w:color="000000" w:sz="4"/>
              <w:right w:val="outset" w:color="000000" w:sz="4"/>
            </w:tcBorders>
            <w:tcMar>
              <w:top w:type="dxa" w:w="0"/>
              <w:left w:type="dxa" w:w="120"/>
              <w:bottom w:type="dxa" w:w="0"/>
              <w:right w:type="dxa" w:w="120"/>
            </w:tcMar>
            <w:vAlign w:val="top"/>
          </w:tcPr>
          <w:p>
            <w:pPr>
              <w:pStyle w:val="null3"/>
            </w:pPr>
            <w:r>
              <w:rPr>
                <w:rFonts w:ascii="仿宋_GB2312" w:hAnsi="仿宋_GB2312" w:cs="仿宋_GB2312" w:eastAsia="仿宋_GB2312"/>
                <w:sz w:val="24"/>
                <w:color w:val="000000"/>
              </w:rPr>
              <w:t>2、岗位执勤制度。</w:t>
            </w:r>
          </w:p>
        </w:tc>
        <w:tc>
          <w:tcPr>
            <w:tcW w:type="dxa" w:w="2076"/>
            <w:tcBorders>
              <w:top w:val="none" w:color="000000" w:sz="4"/>
              <w:left w:val="none" w:color="000000" w:sz="4"/>
              <w:bottom w:val="outset" w:color="000000" w:sz="4"/>
              <w:right w:val="outset"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color w:val="000000"/>
              </w:rPr>
              <w:t>（1）巡查过程中一经发现有违建需要拆除的，专职拆违队伍需立即前往现场组织拆除。同时，负责全街道范围内日常的违法建设巡查监控，保证巡查监控的常态化、及时化、有效化，并及时处置领导交办的任务及12345投诉案件。(未做到扣5分)</w:t>
            </w:r>
          </w:p>
          <w:p>
            <w:pPr>
              <w:pStyle w:val="null3"/>
              <w:jc w:val="both"/>
            </w:pPr>
            <w:r>
              <w:rPr>
                <w:rFonts w:ascii="仿宋_GB2312" w:hAnsi="仿宋_GB2312" w:cs="仿宋_GB2312" w:eastAsia="仿宋_GB2312"/>
                <w:sz w:val="24"/>
                <w:color w:val="000000"/>
              </w:rPr>
              <w:t>（2）在采购人需要人手时，成交人应按采购人要求安排派遣的保安人员义务加班。如遇紧急情况，采购人需要紧急召集保安力量，成交人应无条件按采购人需求在规定时间调动相应数量保安人员到岗，采购人不再另行支付加班费用。(未做到扣5分)</w:t>
            </w:r>
          </w:p>
          <w:p>
            <w:pPr>
              <w:pStyle w:val="null3"/>
              <w:jc w:val="both"/>
            </w:pPr>
            <w:r>
              <w:rPr>
                <w:rFonts w:ascii="仿宋_GB2312" w:hAnsi="仿宋_GB2312" w:cs="仿宋_GB2312" w:eastAsia="仿宋_GB2312"/>
                <w:sz w:val="24"/>
                <w:color w:val="000000"/>
              </w:rPr>
              <w:t>（3）对当班发生的案件、事故、险情不报、瞒报、误报、谎报造成严重后果的，利用职权弄虚作假、打击报复、欺上瞒下造成严重后果的，发现一次扣10分予以开除</w:t>
            </w:r>
          </w:p>
        </w:tc>
        <w:tc>
          <w:tcPr>
            <w:tcW w:type="dxa" w:w="2076"/>
            <w:tcBorders>
              <w:top w:val="none" w:color="000000" w:sz="4"/>
              <w:left w:val="none" w:color="000000" w:sz="4"/>
              <w:bottom w:val="outset" w:color="000000" w:sz="4"/>
              <w:right w:val="outset"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20分</w:t>
            </w:r>
          </w:p>
        </w:tc>
      </w:tr>
      <w:tr>
        <w:tc>
          <w:tcPr>
            <w:tcW w:type="dxa" w:w="2076"/>
            <w:vMerge/>
            <w:tcBorders>
              <w:top w:val="none" w:color="000000" w:sz="4"/>
              <w:left w:val="outset" w:color="000000" w:sz="4"/>
              <w:bottom w:val="outset" w:color="000000" w:sz="4"/>
              <w:right w:val="outset" w:color="000000" w:sz="4"/>
            </w:tcBorders>
          </w:tcPr>
          <w:p/>
        </w:tc>
        <w:tc>
          <w:tcPr>
            <w:tcW w:type="dxa" w:w="2076"/>
            <w:tcBorders>
              <w:top w:val="none" w:color="000000" w:sz="4"/>
              <w:left w:val="none" w:color="000000" w:sz="4"/>
              <w:bottom w:val="outset" w:color="000000" w:sz="4"/>
              <w:right w:val="outset" w:color="000000" w:sz="4"/>
            </w:tcBorders>
            <w:tcMar>
              <w:top w:type="dxa" w:w="0"/>
              <w:left w:type="dxa" w:w="120"/>
              <w:bottom w:type="dxa" w:w="0"/>
              <w:right w:type="dxa" w:w="120"/>
            </w:tcMar>
            <w:vAlign w:val="top"/>
          </w:tcPr>
          <w:p>
            <w:pPr>
              <w:pStyle w:val="null3"/>
            </w:pPr>
            <w:r>
              <w:rPr>
                <w:rFonts w:ascii="仿宋_GB2312" w:hAnsi="仿宋_GB2312" w:cs="仿宋_GB2312" w:eastAsia="仿宋_GB2312"/>
                <w:sz w:val="24"/>
                <w:color w:val="000000"/>
              </w:rPr>
              <w:t>3、日常要求规范</w:t>
            </w:r>
          </w:p>
        </w:tc>
        <w:tc>
          <w:tcPr>
            <w:tcW w:type="dxa" w:w="2076"/>
            <w:tcBorders>
              <w:top w:val="none" w:color="000000" w:sz="4"/>
              <w:left w:val="none" w:color="000000" w:sz="4"/>
              <w:bottom w:val="outset" w:color="000000" w:sz="4"/>
              <w:right w:val="outset"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color w:val="000000"/>
              </w:rPr>
              <w:t>(1)违法犯罪被刑事拘留、行政拘留、把巡逻工作群中的工作内容转发、泄露出去造成严重后果的，发现一次扣8分予以开除</w:t>
            </w:r>
          </w:p>
          <w:p>
            <w:pPr>
              <w:pStyle w:val="null3"/>
              <w:jc w:val="both"/>
            </w:pPr>
            <w:r>
              <w:rPr>
                <w:rFonts w:ascii="仿宋_GB2312" w:hAnsi="仿宋_GB2312" w:cs="仿宋_GB2312" w:eastAsia="仿宋_GB2312"/>
                <w:sz w:val="24"/>
                <w:color w:val="000000"/>
              </w:rPr>
              <w:t>(2)为黑势力、赌场、涉黄场所提供帮助、庇护、通风报信、勾结一起的，发现一次扣8分予以开除</w:t>
            </w:r>
          </w:p>
          <w:p>
            <w:pPr>
              <w:pStyle w:val="null3"/>
              <w:jc w:val="both"/>
            </w:pPr>
            <w:r>
              <w:rPr>
                <w:rFonts w:ascii="仿宋_GB2312" w:hAnsi="仿宋_GB2312" w:cs="仿宋_GB2312" w:eastAsia="仿宋_GB2312"/>
                <w:sz w:val="24"/>
                <w:color w:val="000000"/>
              </w:rPr>
              <w:t>(3)超越职权：非法控制、关押、审讯可疑人员，不报告不请示。工作中擅自没收、罚款、询私舞弊等，发现一次扣8分予以开除</w:t>
            </w:r>
          </w:p>
          <w:p>
            <w:pPr>
              <w:pStyle w:val="null3"/>
              <w:jc w:val="both"/>
            </w:pPr>
            <w:r>
              <w:rPr>
                <w:rFonts w:ascii="仿宋_GB2312" w:hAnsi="仿宋_GB2312" w:cs="仿宋_GB2312" w:eastAsia="仿宋_GB2312"/>
                <w:sz w:val="24"/>
                <w:color w:val="000000"/>
              </w:rPr>
              <w:t>(4)利用职权（比如监督小区保安等职权）搞敲诈勒索、受贿等违法乱纪行为，发现一次扣8分予以开除</w:t>
            </w:r>
          </w:p>
          <w:p>
            <w:pPr>
              <w:pStyle w:val="null3"/>
              <w:jc w:val="both"/>
            </w:pPr>
            <w:r>
              <w:rPr>
                <w:rFonts w:ascii="仿宋_GB2312" w:hAnsi="仿宋_GB2312" w:cs="仿宋_GB2312" w:eastAsia="仿宋_GB2312"/>
                <w:sz w:val="24"/>
                <w:color w:val="000000"/>
              </w:rPr>
              <w:t>(5)遇到紧急情况不报告，临阵脱逃，袖手旁观造成群众生命、财产严重损失，发现一次扣8分予以开除</w:t>
            </w:r>
          </w:p>
        </w:tc>
        <w:tc>
          <w:tcPr>
            <w:tcW w:type="dxa" w:w="2076"/>
            <w:tcBorders>
              <w:top w:val="none" w:color="000000" w:sz="4"/>
              <w:left w:val="none" w:color="000000" w:sz="4"/>
              <w:bottom w:val="outset" w:color="000000" w:sz="4"/>
              <w:right w:val="outset"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40分</w:t>
            </w:r>
          </w:p>
        </w:tc>
      </w:tr>
      <w:tr>
        <w:tc>
          <w:tcPr>
            <w:tcW w:type="dxa" w:w="2076"/>
            <w:vMerge w:val="restart"/>
            <w:tcBorders>
              <w:top w:val="none" w:color="000000" w:sz="4"/>
              <w:left w:val="outset" w:color="000000" w:sz="4"/>
              <w:bottom w:val="outset" w:color="000000" w:sz="4"/>
              <w:right w:val="outset"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仪容仪表</w:t>
            </w:r>
          </w:p>
        </w:tc>
        <w:tc>
          <w:tcPr>
            <w:tcW w:type="dxa" w:w="2076"/>
            <w:tcBorders>
              <w:top w:val="none" w:color="000000" w:sz="4"/>
              <w:left w:val="none" w:color="000000" w:sz="4"/>
              <w:bottom w:val="outset" w:color="000000" w:sz="4"/>
              <w:right w:val="outset" w:color="000000" w:sz="4"/>
            </w:tcBorders>
            <w:tcMar>
              <w:top w:type="dxa" w:w="0"/>
              <w:left w:type="dxa" w:w="120"/>
              <w:bottom w:type="dxa" w:w="0"/>
              <w:right w:type="dxa" w:w="120"/>
            </w:tcMar>
            <w:vAlign w:val="top"/>
          </w:tcPr>
          <w:p>
            <w:pPr>
              <w:pStyle w:val="null3"/>
            </w:pPr>
            <w:r>
              <w:rPr>
                <w:rFonts w:ascii="仿宋_GB2312" w:hAnsi="仿宋_GB2312" w:cs="仿宋_GB2312" w:eastAsia="仿宋_GB2312"/>
                <w:sz w:val="24"/>
                <w:color w:val="000000"/>
              </w:rPr>
              <w:t>1、着装整洁，仪表端正。</w:t>
            </w:r>
          </w:p>
        </w:tc>
        <w:tc>
          <w:tcPr>
            <w:tcW w:type="dxa" w:w="2076"/>
            <w:tcBorders>
              <w:top w:val="none" w:color="000000" w:sz="4"/>
              <w:left w:val="none" w:color="000000" w:sz="4"/>
              <w:bottom w:val="outset" w:color="000000" w:sz="4"/>
              <w:right w:val="outset" w:color="000000" w:sz="4"/>
            </w:tcBorders>
            <w:tcMar>
              <w:top w:type="dxa" w:w="0"/>
              <w:left w:type="dxa" w:w="120"/>
              <w:bottom w:type="dxa" w:w="0"/>
              <w:right w:type="dxa" w:w="120"/>
            </w:tcMar>
            <w:vAlign w:val="top"/>
          </w:tcPr>
          <w:p>
            <w:pPr>
              <w:pStyle w:val="null3"/>
            </w:pPr>
            <w:r>
              <w:rPr>
                <w:rFonts w:ascii="仿宋_GB2312" w:hAnsi="仿宋_GB2312" w:cs="仿宋_GB2312" w:eastAsia="仿宋_GB2312"/>
                <w:sz w:val="24"/>
                <w:color w:val="000000"/>
              </w:rPr>
              <w:t>(1)鞋帽、标志、徽章佩戴整齐，皮带、装备按规范系放，不得穿拖鞋上岗。(未做到扣2分)</w:t>
            </w:r>
          </w:p>
          <w:p>
            <w:pPr>
              <w:pStyle w:val="null3"/>
            </w:pPr>
            <w:r>
              <w:rPr>
                <w:rFonts w:ascii="仿宋_GB2312" w:hAnsi="仿宋_GB2312" w:cs="仿宋_GB2312" w:eastAsia="仿宋_GB2312"/>
                <w:sz w:val="24"/>
                <w:color w:val="000000"/>
              </w:rPr>
              <w:t>(2)站姿、坐姿端正，正确行礼、敬礼。(未做到扣2分)</w:t>
            </w:r>
          </w:p>
          <w:p>
            <w:pPr>
              <w:pStyle w:val="null3"/>
            </w:pPr>
            <w:r>
              <w:rPr>
                <w:rFonts w:ascii="仿宋_GB2312" w:hAnsi="仿宋_GB2312" w:cs="仿宋_GB2312" w:eastAsia="仿宋_GB2312"/>
                <w:sz w:val="24"/>
                <w:color w:val="000000"/>
              </w:rPr>
              <w:t>(3)上、下班在执勤区域保持衣着整洁。(未做到扣2分)</w:t>
            </w:r>
          </w:p>
        </w:tc>
        <w:tc>
          <w:tcPr>
            <w:tcW w:type="dxa" w:w="2076"/>
            <w:tcBorders>
              <w:top w:val="none" w:color="000000" w:sz="4"/>
              <w:left w:val="none" w:color="000000" w:sz="4"/>
              <w:bottom w:val="outset" w:color="000000" w:sz="4"/>
              <w:right w:val="outset"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6分</w:t>
            </w:r>
          </w:p>
        </w:tc>
      </w:tr>
      <w:tr>
        <w:tc>
          <w:tcPr>
            <w:tcW w:type="dxa" w:w="2076"/>
            <w:vMerge/>
            <w:tcBorders>
              <w:top w:val="none" w:color="000000" w:sz="4"/>
              <w:left w:val="outset" w:color="000000" w:sz="4"/>
              <w:bottom w:val="outset" w:color="000000" w:sz="4"/>
              <w:right w:val="outset" w:color="000000" w:sz="4"/>
            </w:tcBorders>
          </w:tcPr>
          <w:p/>
        </w:tc>
        <w:tc>
          <w:tcPr>
            <w:tcW w:type="dxa" w:w="2076"/>
            <w:tcBorders>
              <w:top w:val="none" w:color="000000" w:sz="4"/>
              <w:left w:val="none" w:color="000000" w:sz="4"/>
              <w:bottom w:val="outset" w:color="000000" w:sz="4"/>
              <w:right w:val="outset" w:color="000000" w:sz="4"/>
            </w:tcBorders>
            <w:tcMar>
              <w:top w:type="dxa" w:w="0"/>
              <w:left w:type="dxa" w:w="120"/>
              <w:bottom w:type="dxa" w:w="0"/>
              <w:right w:type="dxa" w:w="120"/>
            </w:tcMar>
            <w:vAlign w:val="top"/>
          </w:tcPr>
          <w:p>
            <w:pPr>
              <w:pStyle w:val="null3"/>
            </w:pPr>
            <w:r>
              <w:rPr>
                <w:rFonts w:ascii="仿宋_GB2312" w:hAnsi="仿宋_GB2312" w:cs="仿宋_GB2312" w:eastAsia="仿宋_GB2312"/>
                <w:sz w:val="24"/>
                <w:color w:val="000000"/>
              </w:rPr>
              <w:t>2、文明礼貌。</w:t>
            </w:r>
          </w:p>
        </w:tc>
        <w:tc>
          <w:tcPr>
            <w:tcW w:type="dxa" w:w="2076"/>
            <w:tcBorders>
              <w:top w:val="none" w:color="000000" w:sz="4"/>
              <w:left w:val="none" w:color="000000" w:sz="4"/>
              <w:bottom w:val="outset" w:color="000000" w:sz="4"/>
              <w:right w:val="outset" w:color="000000" w:sz="4"/>
            </w:tcBorders>
            <w:tcMar>
              <w:top w:type="dxa" w:w="0"/>
              <w:left w:type="dxa" w:w="120"/>
              <w:bottom w:type="dxa" w:w="0"/>
              <w:right w:type="dxa" w:w="120"/>
            </w:tcMar>
            <w:vAlign w:val="top"/>
          </w:tcPr>
          <w:p>
            <w:pPr>
              <w:pStyle w:val="null3"/>
            </w:pPr>
            <w:r>
              <w:rPr>
                <w:rFonts w:ascii="仿宋_GB2312" w:hAnsi="仿宋_GB2312" w:cs="仿宋_GB2312" w:eastAsia="仿宋_GB2312"/>
                <w:sz w:val="24"/>
                <w:color w:val="000000"/>
              </w:rPr>
              <w:t>(1)精神面貌好。精神饱满，富有朝气。(未做到扣2分)</w:t>
            </w:r>
          </w:p>
          <w:p>
            <w:pPr>
              <w:pStyle w:val="null3"/>
            </w:pPr>
            <w:r>
              <w:rPr>
                <w:rFonts w:ascii="仿宋_GB2312" w:hAnsi="仿宋_GB2312" w:cs="仿宋_GB2312" w:eastAsia="仿宋_GB2312"/>
                <w:sz w:val="24"/>
                <w:color w:val="000000"/>
              </w:rPr>
              <w:t>(2)文明用语，不与群众无故冲突。(未做到扣2分)</w:t>
            </w:r>
          </w:p>
        </w:tc>
        <w:tc>
          <w:tcPr>
            <w:tcW w:type="dxa" w:w="2076"/>
            <w:tcBorders>
              <w:top w:val="none" w:color="000000" w:sz="4"/>
              <w:left w:val="none" w:color="000000" w:sz="4"/>
              <w:bottom w:val="outset" w:color="000000" w:sz="4"/>
              <w:right w:val="outset"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4分</w:t>
            </w:r>
          </w:p>
        </w:tc>
      </w:tr>
    </w:tbl>
    <w:p>
      <w:pPr>
        <w:pStyle w:val="null3"/>
        <w:ind w:firstLine="482"/>
      </w:pPr>
      <w:r>
        <w:rPr>
          <w:rFonts w:ascii="仿宋_GB2312" w:hAnsi="仿宋_GB2312" w:cs="仿宋_GB2312" w:eastAsia="仿宋_GB2312"/>
          <w:sz w:val="24"/>
        </w:rPr>
        <w:t>（1）采购人根据以上考核细则共同对队员履职情况和保安公司履约情况进行考核评分。</w:t>
      </w:r>
    </w:p>
    <w:p>
      <w:pPr>
        <w:pStyle w:val="null3"/>
        <w:ind w:firstLine="482"/>
      </w:pPr>
      <w:r>
        <w:rPr>
          <w:rFonts w:ascii="仿宋_GB2312" w:hAnsi="仿宋_GB2312" w:cs="仿宋_GB2312" w:eastAsia="仿宋_GB2312"/>
          <w:sz w:val="24"/>
        </w:rPr>
        <w:t>（2）采购人的考核评分均以100分作为基准。</w:t>
      </w:r>
    </w:p>
    <w:p>
      <w:pPr>
        <w:pStyle w:val="null3"/>
        <w:ind w:firstLine="480"/>
        <w:jc w:val="both"/>
      </w:pPr>
      <w:r>
        <w:rPr>
          <w:rFonts w:ascii="仿宋_GB2312" w:hAnsi="仿宋_GB2312" w:cs="仿宋_GB2312" w:eastAsia="仿宋_GB2312"/>
          <w:sz w:val="24"/>
        </w:rPr>
        <w:t>（3）按照《保安工作月考核表》落实队员的考核。即：月考核分为95分（含）以上的支付全额月服务费；考核分为 80分（含）至95分（不含）的，支付95%月服务费；考核分为70分（含）至80分（不含）的，支付85%月服务费；考核分为60分（含）至70分（不含）的，支付75%月服务费；月考核分出现一次低于60分（不含），则采购人有权单方面解除合同，不支付该月服务费并要求承担违约责任。</w:t>
      </w:r>
    </w:p>
    <w:p>
      <w:pPr>
        <w:pStyle w:val="null3"/>
      </w:pPr>
      <w:r>
        <w:rPr>
          <w:rFonts w:ascii="仿宋_GB2312" w:hAnsi="仿宋_GB2312" w:cs="仿宋_GB2312" w:eastAsia="仿宋_GB2312"/>
          <w:sz w:val="24"/>
          <w:b/>
          <w:shd w:fill="FFFFFF" w:val="clear"/>
        </w:rPr>
        <w:t>10、违约责任</w:t>
      </w:r>
    </w:p>
    <w:p>
      <w:pPr>
        <w:pStyle w:val="null3"/>
        <w:ind w:firstLine="480"/>
      </w:pPr>
      <w:r>
        <w:rPr>
          <w:rFonts w:ascii="仿宋_GB2312" w:hAnsi="仿宋_GB2312" w:cs="仿宋_GB2312" w:eastAsia="仿宋_GB2312"/>
          <w:sz w:val="24"/>
          <w:shd w:fill="FFFFFF" w:val="clear"/>
        </w:rPr>
        <w:t>10.1因成交人原因造成采购合同无法在成交确认后三十日内签订的，视为成交人放弃成交，采购人有权没收成交人的投标保证金。</w:t>
      </w:r>
    </w:p>
    <w:p>
      <w:pPr>
        <w:pStyle w:val="null3"/>
        <w:ind w:firstLine="480"/>
      </w:pPr>
      <w:r>
        <w:rPr>
          <w:rFonts w:ascii="仿宋_GB2312" w:hAnsi="仿宋_GB2312" w:cs="仿宋_GB2312" w:eastAsia="仿宋_GB2312"/>
          <w:sz w:val="24"/>
          <w:shd w:fill="FFFFFF" w:val="clear"/>
        </w:rPr>
        <w:t>10.2在签订采购合同之后，成交人无正当理由要求解除合同的，视为成交人违约，成交人应无条件返还采购人已支付的合同款项，并支付合同金额的10%作为违约金。</w:t>
      </w:r>
    </w:p>
    <w:p>
      <w:pPr>
        <w:pStyle w:val="null3"/>
        <w:ind w:firstLine="480"/>
      </w:pPr>
      <w:r>
        <w:rPr>
          <w:rFonts w:ascii="仿宋_GB2312" w:hAnsi="仿宋_GB2312" w:cs="仿宋_GB2312" w:eastAsia="仿宋_GB2312"/>
          <w:sz w:val="24"/>
          <w:shd w:fill="FFFFFF" w:val="clear"/>
        </w:rPr>
        <w:t>10.3在合同履约期间，成交人若连续二个月被考评80分 (不含) 以下的，采购人则有权提前解除采购合同，且由成交人支付合同金额的10%作为违约金。</w:t>
      </w:r>
    </w:p>
    <w:p>
      <w:pPr>
        <w:pStyle w:val="null3"/>
        <w:ind w:firstLine="480"/>
      </w:pPr>
      <w:r>
        <w:rPr>
          <w:rFonts w:ascii="仿宋_GB2312" w:hAnsi="仿宋_GB2312" w:cs="仿宋_GB2312" w:eastAsia="仿宋_GB2312"/>
          <w:sz w:val="24"/>
          <w:shd w:fill="FFFFFF" w:val="clear"/>
        </w:rPr>
        <w:t>10.4因成交人原因发生重大质量事故，除依约承担赔偿责任外，还将按有关质量管理办法规定执行。同时，采购人有权保留更换成交人的权利，并报相关行政主管部门处罚，给采购人造成损失的应予以赔偿。</w:t>
      </w:r>
    </w:p>
    <w:p>
      <w:pPr>
        <w:pStyle w:val="null3"/>
        <w:ind w:firstLine="480"/>
      </w:pPr>
      <w:r>
        <w:rPr>
          <w:rFonts w:ascii="仿宋_GB2312" w:hAnsi="仿宋_GB2312" w:cs="仿宋_GB2312" w:eastAsia="仿宋_GB2312"/>
          <w:sz w:val="24"/>
          <w:shd w:fill="FFFFFF" w:val="clear"/>
        </w:rPr>
        <w:t>10.5因成交人原因发生重大安全事故、特大安全事故或发生死亡安全事故，全部责任由成交人承担；采购人有权终止合同，给采购人造成的损失的，还应向采购人支付合同金额的10%作为违约金。</w:t>
      </w:r>
    </w:p>
    <w:p>
      <w:pPr>
        <w:pStyle w:val="null3"/>
        <w:ind w:firstLine="480"/>
      </w:pPr>
      <w:r>
        <w:rPr>
          <w:rFonts w:ascii="仿宋_GB2312" w:hAnsi="仿宋_GB2312" w:cs="仿宋_GB2312" w:eastAsia="仿宋_GB2312"/>
          <w:sz w:val="24"/>
          <w:shd w:fill="FFFFFF" w:val="clear"/>
        </w:rPr>
        <w:t>10.6本项目不允许成交人以任何名义和理由进行转包，如有发现，采购人有权单方终止合同，且由成交人支付合同金额的10%作为违约金。对采购人造成的损失的，成交人应支付相应的赔偿。</w:t>
      </w:r>
    </w:p>
    <w:p>
      <w:pPr>
        <w:pStyle w:val="null3"/>
        <w:ind w:firstLine="480"/>
      </w:pPr>
      <w:r>
        <w:rPr>
          <w:rFonts w:ascii="仿宋_GB2312" w:hAnsi="仿宋_GB2312" w:cs="仿宋_GB2312" w:eastAsia="仿宋_GB2312"/>
          <w:sz w:val="24"/>
          <w:shd w:fill="FFFFFF" w:val="clear"/>
        </w:rPr>
        <w:t>10.7在明确违约责任后，成交人应在接到书面通知书起七天内支付违约金、赔偿金等。</w:t>
      </w:r>
    </w:p>
    <w:p>
      <w:pPr>
        <w:pStyle w:val="null3"/>
      </w:pPr>
      <w:r>
        <w:rPr>
          <w:rFonts w:ascii="仿宋_GB2312" w:hAnsi="仿宋_GB2312" w:cs="仿宋_GB2312" w:eastAsia="仿宋_GB2312"/>
          <w:sz w:val="24"/>
          <w:b/>
          <w:shd w:fill="FFFFFF" w:val="clear"/>
        </w:rPr>
        <w:t>11、仲裁、诉讼条款</w:t>
      </w:r>
    </w:p>
    <w:p>
      <w:pPr>
        <w:pStyle w:val="null3"/>
        <w:ind w:firstLine="480"/>
      </w:pPr>
      <w:r>
        <w:rPr>
          <w:rFonts w:ascii="仿宋_GB2312" w:hAnsi="仿宋_GB2312" w:cs="仿宋_GB2312" w:eastAsia="仿宋_GB2312"/>
          <w:sz w:val="24"/>
          <w:shd w:fill="FFFFFF" w:val="clear"/>
        </w:rPr>
        <w:t>因采购或与采购合同有关的一切事项发生争议，由采购人和成交人双方友好协商解决。协商不成的，任何一方均可选择以下（11.2种）方式解决：</w:t>
      </w:r>
    </w:p>
    <w:p>
      <w:pPr>
        <w:pStyle w:val="null3"/>
        <w:ind w:firstLine="420"/>
      </w:pPr>
      <w:r>
        <w:rPr>
          <w:rFonts w:ascii="仿宋_GB2312" w:hAnsi="仿宋_GB2312" w:cs="仿宋_GB2312" w:eastAsia="仿宋_GB2312"/>
          <w:sz w:val="24"/>
          <w:shd w:fill="FFFFFF" w:val="clear"/>
        </w:rPr>
        <w:t>11.1向</w:t>
      </w:r>
      <w:r>
        <w:rPr>
          <w:rFonts w:ascii="仿宋_GB2312" w:hAnsi="仿宋_GB2312" w:cs="仿宋_GB2312" w:eastAsia="仿宋_GB2312"/>
          <w:sz w:val="24"/>
          <w:u w:val="single"/>
          <w:shd w:fill="FFFFFF" w:val="clear"/>
        </w:rPr>
        <w:t>采购人</w:t>
      </w:r>
      <w:r>
        <w:rPr>
          <w:rFonts w:ascii="仿宋_GB2312" w:hAnsi="仿宋_GB2312" w:cs="仿宋_GB2312" w:eastAsia="仿宋_GB2312"/>
          <w:sz w:val="24"/>
          <w:shd w:fill="FFFFFF" w:val="clear"/>
        </w:rPr>
        <w:t>所在地仲裁委员会申请仲裁；</w:t>
      </w:r>
    </w:p>
    <w:p>
      <w:pPr>
        <w:pStyle w:val="null3"/>
        <w:ind w:firstLine="420"/>
      </w:pPr>
      <w:r>
        <w:rPr>
          <w:rFonts w:ascii="仿宋_GB2312" w:hAnsi="仿宋_GB2312" w:cs="仿宋_GB2312" w:eastAsia="仿宋_GB2312"/>
          <w:sz w:val="24"/>
          <w:shd w:fill="FFFFFF" w:val="clear"/>
        </w:rPr>
        <w:t>11.2向</w:t>
      </w:r>
      <w:r>
        <w:rPr>
          <w:rFonts w:ascii="仿宋_GB2312" w:hAnsi="仿宋_GB2312" w:cs="仿宋_GB2312" w:eastAsia="仿宋_GB2312"/>
          <w:sz w:val="24"/>
          <w:u w:val="single"/>
          <w:shd w:fill="FFFFFF" w:val="clear"/>
        </w:rPr>
        <w:t>采购人所在地</w:t>
      </w:r>
      <w:r>
        <w:rPr>
          <w:rFonts w:ascii="仿宋_GB2312" w:hAnsi="仿宋_GB2312" w:cs="仿宋_GB2312" w:eastAsia="仿宋_GB2312"/>
          <w:sz w:val="24"/>
          <w:shd w:fill="FFFFFF" w:val="clear"/>
        </w:rPr>
        <w:t>人民法院提起诉讼。</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shd w:fill="FFFFFF" w:val="clear"/>
        </w:rPr>
        <w:t>“其他商务要求”所有内容均为不允许负偏离的实质性要求，否则其投标无效。</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[350104]ZC[GK]2025001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2025年东升街道保安服务采购项目(二次)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保安服务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保安服务</w:t>
            </w:r>
          </w:p>
        </w:tc>
        <w:tc>
          <w:tcPr>
            <w:tcW w:type="dxa" w:w="1661"/>
          </w:tcPr>
          <w:p>
            <w:pPr>
              <w:pStyle w:val="null3"/>
              <w:jc w:val="left"/>
            </w:pPr>
            <w:r>
              <w:rPr>
                <w:rFonts w:ascii="仿宋_GB2312" w:hAnsi="仿宋_GB2312" w:cs="仿宋_GB2312" w:eastAsia="仿宋_GB2312"/>
              </w:rPr>
              <w:t xml:space="preserve"> 1218000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[350104]ZC[GK]2025001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2025年东升街道保安服务采购项目(二次)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保安服务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保安服务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保安服务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1218000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