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E20581">
      <w:pPr>
        <w:pStyle w:val="2"/>
        <w:spacing w:before="0" w:after="0" w:line="360" w:lineRule="auto"/>
        <w:ind w:firstLine="482"/>
        <w:jc w:val="center"/>
        <w:rPr>
          <w:rFonts w:hint="eastAsia" w:ascii="宋体" w:hAnsi="宋体" w:eastAsia="宋体" w:cs="宋体"/>
          <w:sz w:val="24"/>
          <w:szCs w:val="24"/>
        </w:rPr>
      </w:pPr>
      <w:r>
        <w:rPr>
          <w:rFonts w:hint="eastAsia" w:ascii="宋体" w:hAnsi="宋体" w:eastAsia="宋体" w:cs="宋体"/>
          <w:sz w:val="24"/>
          <w:szCs w:val="24"/>
        </w:rPr>
        <w:t>设备/器械采购合同（政府采购）</w:t>
      </w:r>
    </w:p>
    <w:p w14:paraId="2132FE1A">
      <w:pPr>
        <w:spacing w:line="360" w:lineRule="auto"/>
        <w:rPr>
          <w:rFonts w:hint="eastAsia" w:ascii="宋体" w:hAnsi="宋体" w:eastAsia="宋体" w:cs="宋体"/>
          <w:b/>
          <w:sz w:val="24"/>
          <w:u w:val="single"/>
        </w:rPr>
      </w:pPr>
    </w:p>
    <w:p w14:paraId="636483BE">
      <w:pPr>
        <w:widowControl/>
        <w:autoSpaceDE w:val="0"/>
        <w:autoSpaceDN w:val="0"/>
        <w:spacing w:line="360" w:lineRule="auto"/>
        <w:ind w:firstLine="480" w:firstLineChars="200"/>
        <w:textAlignment w:val="bottom"/>
        <w:rPr>
          <w:rFonts w:hint="eastAsia" w:ascii="宋体" w:hAnsi="宋体" w:eastAsia="宋体" w:cs="宋体"/>
          <w:sz w:val="24"/>
        </w:rPr>
      </w:pPr>
    </w:p>
    <w:p w14:paraId="01769A68">
      <w:pPr>
        <w:snapToGrid w:val="0"/>
        <w:spacing w:line="360" w:lineRule="exact"/>
        <w:ind w:firstLine="6746" w:firstLineChars="2800"/>
        <w:rPr>
          <w:rFonts w:hint="eastAsia" w:ascii="宋体" w:hAnsi="宋体" w:eastAsia="宋体" w:cs="宋体"/>
          <w:sz w:val="24"/>
        </w:rPr>
      </w:pPr>
      <w:r>
        <w:rPr>
          <w:rFonts w:hint="eastAsia" w:ascii="宋体" w:hAnsi="宋体" w:eastAsia="宋体" w:cs="宋体"/>
          <w:b/>
          <w:sz w:val="24"/>
        </w:rPr>
        <w:t>合同编号</w:t>
      </w:r>
      <w:r>
        <w:rPr>
          <w:rFonts w:hint="eastAsia" w:ascii="宋体" w:hAnsi="宋体" w:eastAsia="宋体" w:cs="宋体"/>
          <w:sz w:val="24"/>
        </w:rPr>
        <w:t xml:space="preserve">： </w:t>
      </w:r>
    </w:p>
    <w:p w14:paraId="43B9EFB6">
      <w:pPr>
        <w:snapToGrid w:val="0"/>
        <w:spacing w:line="276" w:lineRule="auto"/>
        <w:ind w:firstLine="480" w:firstLineChars="200"/>
        <w:rPr>
          <w:rFonts w:hint="eastAsia" w:ascii="宋体" w:hAnsi="宋体" w:eastAsia="宋体" w:cs="宋体"/>
          <w:sz w:val="24"/>
        </w:rPr>
      </w:pPr>
      <w:r>
        <w:rPr>
          <w:rFonts w:hint="eastAsia" w:ascii="宋体" w:hAnsi="宋体" w:eastAsia="宋体" w:cs="宋体"/>
          <w:sz w:val="24"/>
        </w:rPr>
        <w:t>甲方（采购人）：</w:t>
      </w:r>
      <w:r>
        <w:rPr>
          <w:rFonts w:hint="eastAsia" w:ascii="宋体" w:hAnsi="宋体" w:eastAsia="宋体" w:cs="宋体"/>
          <w:sz w:val="24"/>
          <w:u w:val="single"/>
        </w:rPr>
        <w:t xml:space="preserve">    绵竹市人民医院           </w:t>
      </w:r>
    </w:p>
    <w:p w14:paraId="09C65FA3">
      <w:pPr>
        <w:snapToGrid w:val="0"/>
        <w:spacing w:line="276" w:lineRule="auto"/>
        <w:ind w:firstLine="480" w:firstLineChars="200"/>
        <w:rPr>
          <w:rFonts w:hint="eastAsia" w:ascii="宋体" w:hAnsi="宋体" w:eastAsia="宋体" w:cs="宋体"/>
          <w:sz w:val="24"/>
        </w:rPr>
      </w:pPr>
      <w:r>
        <w:rPr>
          <w:rFonts w:hint="eastAsia" w:ascii="宋体" w:hAnsi="宋体" w:eastAsia="宋体" w:cs="宋体"/>
          <w:sz w:val="24"/>
        </w:rPr>
        <w:t>乙方（供货企业）：</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3448A300">
      <w:pPr>
        <w:pStyle w:val="7"/>
        <w:snapToGrid w:val="0"/>
        <w:spacing w:line="276" w:lineRule="auto"/>
        <w:ind w:firstLine="480"/>
        <w:rPr>
          <w:rFonts w:hint="eastAsia" w:ascii="宋体" w:hAnsi="宋体" w:eastAsia="宋体"/>
        </w:rPr>
      </w:pPr>
      <w:r>
        <w:rPr>
          <w:rFonts w:hint="eastAsia" w:ascii="宋体" w:hAnsi="宋体" w:eastAsia="宋体"/>
        </w:rPr>
        <w:t>根据《中华人民共和国政府采购法》、《中华人民共和国民法典》及四川思渠国际招标有限公司</w:t>
      </w:r>
      <w:r>
        <w:rPr>
          <w:rFonts w:hint="eastAsia" w:ascii="宋体" w:hAnsi="宋体" w:eastAsia="宋体"/>
          <w:u w:val="single"/>
        </w:rPr>
        <w:t xml:space="preserve">                     </w:t>
      </w:r>
      <w:r>
        <w:rPr>
          <w:rFonts w:hint="eastAsia" w:ascii="宋体" w:hAnsi="宋体" w:eastAsia="宋体"/>
        </w:rPr>
        <w:t>（采购项目）</w:t>
      </w:r>
      <w:r>
        <w:rPr>
          <w:rFonts w:hint="eastAsia" w:ascii="宋体" w:hAnsi="宋体" w:eastAsia="宋体"/>
          <w:u w:val="single"/>
        </w:rPr>
        <w:t xml:space="preserve">                     </w:t>
      </w:r>
      <w:r>
        <w:rPr>
          <w:rFonts w:hint="eastAsia" w:ascii="宋体" w:hAnsi="宋体" w:eastAsia="宋体"/>
        </w:rPr>
        <w:t>（项目编号）的《谈判文件》、乙方的《响应文件》及《成交通知书》，甲、乙双方同意签订本合同。详细技术说明及其他有关合同项目的特定信息由合同附件予以说明，合同附件及本项目的《谈判文件》、《响应文件》、《成交通知书》等均为本合同不可分割的部分。双方同意共同遵守如下条款：</w:t>
      </w:r>
    </w:p>
    <w:p w14:paraId="27BC36BE">
      <w:pPr>
        <w:pStyle w:val="2"/>
        <w:spacing w:before="0" w:after="0" w:line="276" w:lineRule="auto"/>
        <w:ind w:firstLine="482"/>
        <w:rPr>
          <w:rFonts w:hint="eastAsia" w:ascii="宋体" w:hAnsi="宋体" w:eastAsia="宋体" w:cs="宋体"/>
          <w:sz w:val="24"/>
          <w:szCs w:val="24"/>
        </w:rPr>
      </w:pPr>
      <w:bookmarkStart w:id="0" w:name="_Toc444176110"/>
      <w:bookmarkStart w:id="1" w:name="_Toc217446107"/>
      <w:bookmarkStart w:id="2" w:name="_Toc407626787"/>
      <w:bookmarkStart w:id="3" w:name="_Toc377632486"/>
      <w:bookmarkStart w:id="4" w:name="_Toc361306996"/>
      <w:bookmarkStart w:id="5" w:name="_Toc363744974"/>
      <w:bookmarkStart w:id="6" w:name="_Toc443572457"/>
      <w:r>
        <w:rPr>
          <w:rFonts w:hint="eastAsia" w:ascii="宋体" w:hAnsi="宋体" w:eastAsia="宋体" w:cs="宋体"/>
          <w:sz w:val="24"/>
          <w:szCs w:val="24"/>
        </w:rPr>
        <w:t>一、合同货物</w:t>
      </w:r>
      <w:bookmarkEnd w:id="0"/>
      <w:bookmarkEnd w:id="1"/>
      <w:bookmarkEnd w:id="2"/>
      <w:bookmarkEnd w:id="3"/>
      <w:bookmarkEnd w:id="4"/>
      <w:bookmarkEnd w:id="5"/>
      <w:bookmarkEnd w:id="6"/>
    </w:p>
    <w:tbl>
      <w:tblPr>
        <w:tblStyle w:val="5"/>
        <w:tblW w:w="4997" w:type="pct"/>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288"/>
        <w:gridCol w:w="858"/>
        <w:gridCol w:w="964"/>
        <w:gridCol w:w="535"/>
        <w:gridCol w:w="750"/>
        <w:gridCol w:w="750"/>
        <w:gridCol w:w="858"/>
        <w:gridCol w:w="858"/>
        <w:gridCol w:w="716"/>
        <w:gridCol w:w="940"/>
      </w:tblGrid>
      <w:tr w14:paraId="59107E4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3" w:hRule="atLeast"/>
        </w:trPr>
        <w:tc>
          <w:tcPr>
            <w:tcW w:w="755" w:type="pct"/>
            <w:tcBorders>
              <w:top w:val="single" w:color="auto" w:sz="4" w:space="0"/>
              <w:left w:val="single" w:color="auto" w:sz="4" w:space="0"/>
              <w:bottom w:val="single" w:color="auto" w:sz="4" w:space="0"/>
              <w:right w:val="single" w:color="auto" w:sz="4" w:space="0"/>
            </w:tcBorders>
            <w:noWrap w:val="0"/>
            <w:vAlign w:val="center"/>
          </w:tcPr>
          <w:p w14:paraId="1BAB807B">
            <w:pPr>
              <w:snapToGrid w:val="0"/>
              <w:spacing w:line="276" w:lineRule="auto"/>
              <w:jc w:val="center"/>
              <w:rPr>
                <w:rFonts w:hint="eastAsia" w:ascii="宋体" w:hAnsi="宋体" w:eastAsia="宋体" w:cs="宋体"/>
                <w:sz w:val="24"/>
              </w:rPr>
            </w:pPr>
            <w:r>
              <w:rPr>
                <w:rFonts w:hint="eastAsia" w:ascii="宋体" w:hAnsi="宋体" w:eastAsia="宋体" w:cs="宋体"/>
                <w:sz w:val="24"/>
              </w:rPr>
              <w:t>货物名称(注册证名称)</w:t>
            </w:r>
          </w:p>
        </w:tc>
        <w:tc>
          <w:tcPr>
            <w:tcW w:w="503" w:type="pct"/>
            <w:tcBorders>
              <w:top w:val="single" w:color="auto" w:sz="4" w:space="0"/>
              <w:left w:val="single" w:color="auto" w:sz="4" w:space="0"/>
              <w:bottom w:val="single" w:color="auto" w:sz="4" w:space="0"/>
              <w:right w:val="single" w:color="auto" w:sz="4" w:space="0"/>
            </w:tcBorders>
            <w:noWrap w:val="0"/>
            <w:vAlign w:val="center"/>
          </w:tcPr>
          <w:p w14:paraId="4B835704">
            <w:pPr>
              <w:snapToGrid w:val="0"/>
              <w:spacing w:line="276" w:lineRule="auto"/>
              <w:jc w:val="center"/>
              <w:rPr>
                <w:rFonts w:hint="eastAsia" w:ascii="宋体" w:hAnsi="宋体" w:eastAsia="宋体" w:cs="宋体"/>
                <w:sz w:val="24"/>
              </w:rPr>
            </w:pPr>
            <w:r>
              <w:rPr>
                <w:rFonts w:hint="eastAsia" w:ascii="宋体" w:hAnsi="宋体" w:eastAsia="宋体" w:cs="宋体"/>
                <w:sz w:val="24"/>
              </w:rPr>
              <w:t>制造商</w:t>
            </w:r>
          </w:p>
        </w:tc>
        <w:tc>
          <w:tcPr>
            <w:tcW w:w="565" w:type="pct"/>
            <w:tcBorders>
              <w:top w:val="single" w:color="auto" w:sz="4" w:space="0"/>
              <w:left w:val="single" w:color="auto" w:sz="4" w:space="0"/>
              <w:bottom w:val="single" w:color="auto" w:sz="4" w:space="0"/>
              <w:right w:val="single" w:color="auto" w:sz="4" w:space="0"/>
            </w:tcBorders>
            <w:noWrap w:val="0"/>
            <w:vAlign w:val="center"/>
          </w:tcPr>
          <w:p w14:paraId="26A420F1">
            <w:pPr>
              <w:snapToGrid w:val="0"/>
              <w:spacing w:line="276" w:lineRule="auto"/>
              <w:jc w:val="center"/>
              <w:rPr>
                <w:rFonts w:hint="eastAsia" w:ascii="宋体" w:hAnsi="宋体" w:eastAsia="宋体" w:cs="宋体"/>
                <w:sz w:val="24"/>
              </w:rPr>
            </w:pPr>
            <w:r>
              <w:rPr>
                <w:rFonts w:hint="eastAsia" w:ascii="宋体" w:hAnsi="宋体" w:eastAsia="宋体" w:cs="宋体"/>
                <w:sz w:val="24"/>
              </w:rPr>
              <w:t>品牌</w:t>
            </w:r>
          </w:p>
        </w:tc>
        <w:tc>
          <w:tcPr>
            <w:tcW w:w="314" w:type="pct"/>
            <w:tcBorders>
              <w:top w:val="single" w:color="auto" w:sz="4" w:space="0"/>
              <w:left w:val="single" w:color="auto" w:sz="4" w:space="0"/>
              <w:bottom w:val="single" w:color="auto" w:sz="4" w:space="0"/>
              <w:right w:val="single" w:color="auto" w:sz="4" w:space="0"/>
            </w:tcBorders>
            <w:noWrap w:val="0"/>
            <w:vAlign w:val="center"/>
          </w:tcPr>
          <w:p w14:paraId="3F4199E2">
            <w:pPr>
              <w:snapToGrid w:val="0"/>
              <w:spacing w:line="276" w:lineRule="auto"/>
              <w:rPr>
                <w:rFonts w:hint="eastAsia" w:ascii="宋体" w:hAnsi="宋体" w:eastAsia="宋体" w:cs="宋体"/>
                <w:sz w:val="24"/>
              </w:rPr>
            </w:pPr>
            <w:r>
              <w:rPr>
                <w:rFonts w:hint="eastAsia" w:ascii="宋体" w:hAnsi="宋体" w:eastAsia="宋体" w:cs="宋体"/>
                <w:sz w:val="24"/>
              </w:rPr>
              <w:t>规格型号</w:t>
            </w:r>
          </w:p>
        </w:tc>
        <w:tc>
          <w:tcPr>
            <w:tcW w:w="440" w:type="pct"/>
            <w:tcBorders>
              <w:top w:val="single" w:color="auto" w:sz="4" w:space="0"/>
              <w:left w:val="single" w:color="auto" w:sz="4" w:space="0"/>
              <w:bottom w:val="single" w:color="auto" w:sz="4" w:space="0"/>
              <w:right w:val="single" w:color="auto" w:sz="4" w:space="0"/>
            </w:tcBorders>
            <w:noWrap w:val="0"/>
            <w:vAlign w:val="center"/>
          </w:tcPr>
          <w:p w14:paraId="14397E06">
            <w:pPr>
              <w:snapToGrid w:val="0"/>
              <w:spacing w:line="276" w:lineRule="auto"/>
              <w:jc w:val="center"/>
              <w:rPr>
                <w:rFonts w:hint="eastAsia" w:ascii="宋体" w:hAnsi="宋体" w:eastAsia="宋体" w:cs="宋体"/>
                <w:sz w:val="24"/>
              </w:rPr>
            </w:pPr>
            <w:r>
              <w:rPr>
                <w:rFonts w:hint="eastAsia" w:ascii="宋体" w:hAnsi="宋体" w:eastAsia="宋体" w:cs="宋体"/>
                <w:sz w:val="24"/>
              </w:rPr>
              <w:t>单位</w:t>
            </w:r>
          </w:p>
        </w:tc>
        <w:tc>
          <w:tcPr>
            <w:tcW w:w="440" w:type="pct"/>
            <w:tcBorders>
              <w:top w:val="single" w:color="auto" w:sz="4" w:space="0"/>
              <w:left w:val="single" w:color="auto" w:sz="4" w:space="0"/>
              <w:bottom w:val="single" w:color="auto" w:sz="4" w:space="0"/>
              <w:right w:val="single" w:color="auto" w:sz="4" w:space="0"/>
            </w:tcBorders>
            <w:noWrap w:val="0"/>
            <w:vAlign w:val="center"/>
          </w:tcPr>
          <w:p w14:paraId="0B171DB8">
            <w:pPr>
              <w:snapToGrid w:val="0"/>
              <w:spacing w:line="276" w:lineRule="auto"/>
              <w:ind w:firstLine="120" w:firstLineChars="50"/>
              <w:rPr>
                <w:rFonts w:hint="eastAsia" w:ascii="宋体" w:hAnsi="宋体" w:eastAsia="宋体" w:cs="宋体"/>
                <w:sz w:val="24"/>
              </w:rPr>
            </w:pPr>
            <w:r>
              <w:rPr>
                <w:rFonts w:hint="eastAsia" w:ascii="宋体" w:hAnsi="宋体" w:eastAsia="宋体" w:cs="宋体"/>
                <w:sz w:val="24"/>
              </w:rPr>
              <w:t>数量</w:t>
            </w:r>
          </w:p>
        </w:tc>
        <w:tc>
          <w:tcPr>
            <w:tcW w:w="503" w:type="pct"/>
            <w:tcBorders>
              <w:top w:val="single" w:color="auto" w:sz="4" w:space="0"/>
              <w:left w:val="single" w:color="auto" w:sz="4" w:space="0"/>
              <w:bottom w:val="single" w:color="auto" w:sz="4" w:space="0"/>
              <w:right w:val="single" w:color="auto" w:sz="4" w:space="0"/>
            </w:tcBorders>
            <w:noWrap w:val="0"/>
            <w:vAlign w:val="center"/>
          </w:tcPr>
          <w:p w14:paraId="53E7A4B4">
            <w:pPr>
              <w:snapToGrid w:val="0"/>
              <w:spacing w:line="276" w:lineRule="auto"/>
              <w:ind w:firstLine="120" w:firstLineChars="50"/>
              <w:jc w:val="center"/>
              <w:rPr>
                <w:rFonts w:hint="eastAsia" w:ascii="宋体" w:hAnsi="宋体" w:eastAsia="宋体" w:cs="宋体"/>
                <w:sz w:val="24"/>
              </w:rPr>
            </w:pPr>
            <w:r>
              <w:rPr>
                <w:rFonts w:hint="eastAsia" w:ascii="宋体" w:hAnsi="宋体" w:eastAsia="宋体" w:cs="宋体"/>
                <w:sz w:val="24"/>
              </w:rPr>
              <w:t>单价</w:t>
            </w:r>
          </w:p>
          <w:p w14:paraId="48E8C8DC">
            <w:pPr>
              <w:snapToGrid w:val="0"/>
              <w:spacing w:line="276" w:lineRule="auto"/>
              <w:jc w:val="center"/>
              <w:rPr>
                <w:rFonts w:hint="eastAsia" w:ascii="宋体" w:hAnsi="宋体" w:eastAsia="宋体" w:cs="宋体"/>
                <w:sz w:val="24"/>
              </w:rPr>
            </w:pPr>
            <w:r>
              <w:rPr>
                <w:rFonts w:hint="eastAsia" w:ascii="宋体" w:hAnsi="宋体" w:eastAsia="宋体" w:cs="宋体"/>
                <w:sz w:val="24"/>
              </w:rPr>
              <w:t>（万元）</w:t>
            </w:r>
          </w:p>
        </w:tc>
        <w:tc>
          <w:tcPr>
            <w:tcW w:w="503" w:type="pct"/>
            <w:tcBorders>
              <w:top w:val="single" w:color="auto" w:sz="4" w:space="0"/>
              <w:left w:val="single" w:color="auto" w:sz="4" w:space="0"/>
              <w:bottom w:val="single" w:color="auto" w:sz="4" w:space="0"/>
              <w:right w:val="single" w:color="auto" w:sz="4" w:space="0"/>
            </w:tcBorders>
            <w:noWrap w:val="0"/>
            <w:vAlign w:val="center"/>
          </w:tcPr>
          <w:p w14:paraId="58441BBB">
            <w:pPr>
              <w:snapToGrid w:val="0"/>
              <w:spacing w:line="276" w:lineRule="auto"/>
              <w:ind w:firstLine="240" w:firstLineChars="100"/>
              <w:rPr>
                <w:rFonts w:hint="eastAsia" w:ascii="宋体" w:hAnsi="宋体" w:eastAsia="宋体" w:cs="宋体"/>
                <w:sz w:val="24"/>
              </w:rPr>
            </w:pPr>
            <w:r>
              <w:rPr>
                <w:rFonts w:hint="eastAsia" w:ascii="宋体" w:hAnsi="宋体" w:eastAsia="宋体" w:cs="宋体"/>
                <w:sz w:val="24"/>
              </w:rPr>
              <w:t>总价</w:t>
            </w:r>
          </w:p>
          <w:p w14:paraId="6FFEE248">
            <w:pPr>
              <w:snapToGrid w:val="0"/>
              <w:spacing w:line="276" w:lineRule="auto"/>
              <w:rPr>
                <w:rFonts w:hint="eastAsia" w:ascii="宋体" w:hAnsi="宋体" w:eastAsia="宋体" w:cs="宋体"/>
                <w:sz w:val="24"/>
              </w:rPr>
            </w:pPr>
            <w:r>
              <w:rPr>
                <w:rFonts w:hint="eastAsia" w:ascii="宋体" w:hAnsi="宋体" w:eastAsia="宋体" w:cs="宋体"/>
                <w:sz w:val="24"/>
              </w:rPr>
              <w:t>（万元）</w:t>
            </w:r>
          </w:p>
        </w:tc>
        <w:tc>
          <w:tcPr>
            <w:tcW w:w="420" w:type="pct"/>
            <w:tcBorders>
              <w:top w:val="single" w:color="auto" w:sz="4" w:space="0"/>
              <w:left w:val="single" w:color="auto" w:sz="4" w:space="0"/>
              <w:bottom w:val="single" w:color="auto" w:sz="4" w:space="0"/>
              <w:right w:val="single" w:color="auto" w:sz="4" w:space="0"/>
            </w:tcBorders>
            <w:noWrap w:val="0"/>
            <w:vAlign w:val="center"/>
          </w:tcPr>
          <w:p w14:paraId="16955B84">
            <w:pPr>
              <w:snapToGrid w:val="0"/>
              <w:spacing w:line="276" w:lineRule="auto"/>
              <w:jc w:val="center"/>
              <w:rPr>
                <w:rFonts w:hint="eastAsia" w:ascii="宋体" w:hAnsi="宋体" w:eastAsia="宋体" w:cs="宋体"/>
                <w:sz w:val="24"/>
              </w:rPr>
            </w:pPr>
            <w:r>
              <w:rPr>
                <w:rFonts w:hint="eastAsia" w:ascii="宋体" w:hAnsi="宋体" w:eastAsia="宋体" w:cs="宋体"/>
                <w:sz w:val="24"/>
              </w:rPr>
              <w:t>随机</w:t>
            </w:r>
          </w:p>
          <w:p w14:paraId="1E1E64D7">
            <w:pPr>
              <w:snapToGrid w:val="0"/>
              <w:spacing w:line="276" w:lineRule="auto"/>
              <w:jc w:val="center"/>
              <w:rPr>
                <w:rFonts w:hint="eastAsia" w:ascii="宋体" w:hAnsi="宋体" w:eastAsia="宋体" w:cs="宋体"/>
                <w:sz w:val="24"/>
              </w:rPr>
            </w:pPr>
            <w:r>
              <w:rPr>
                <w:rFonts w:hint="eastAsia" w:ascii="宋体" w:hAnsi="宋体" w:eastAsia="宋体" w:cs="宋体"/>
                <w:sz w:val="24"/>
              </w:rPr>
              <w:t>配件</w:t>
            </w:r>
          </w:p>
        </w:tc>
        <w:tc>
          <w:tcPr>
            <w:tcW w:w="551" w:type="pct"/>
            <w:tcBorders>
              <w:top w:val="single" w:color="auto" w:sz="4" w:space="0"/>
              <w:left w:val="single" w:color="auto" w:sz="4" w:space="0"/>
              <w:bottom w:val="single" w:color="auto" w:sz="4" w:space="0"/>
              <w:right w:val="single" w:color="auto" w:sz="4" w:space="0"/>
            </w:tcBorders>
            <w:noWrap w:val="0"/>
            <w:vAlign w:val="center"/>
          </w:tcPr>
          <w:p w14:paraId="6E000E53">
            <w:pPr>
              <w:snapToGrid w:val="0"/>
              <w:spacing w:line="276" w:lineRule="auto"/>
              <w:ind w:firstLine="120" w:firstLineChars="50"/>
              <w:rPr>
                <w:rFonts w:hint="eastAsia" w:ascii="宋体" w:hAnsi="宋体" w:eastAsia="宋体" w:cs="宋体"/>
                <w:sz w:val="24"/>
              </w:rPr>
            </w:pPr>
            <w:r>
              <w:rPr>
                <w:rFonts w:hint="eastAsia" w:ascii="宋体" w:hAnsi="宋体" w:eastAsia="宋体" w:cs="宋体"/>
                <w:sz w:val="24"/>
              </w:rPr>
              <w:t>交货期</w:t>
            </w:r>
          </w:p>
        </w:tc>
      </w:tr>
      <w:tr w14:paraId="50D8CA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7" w:hRule="atLeast"/>
        </w:trPr>
        <w:tc>
          <w:tcPr>
            <w:tcW w:w="755" w:type="pct"/>
            <w:tcBorders>
              <w:top w:val="single" w:color="auto" w:sz="4" w:space="0"/>
              <w:left w:val="single" w:color="auto" w:sz="4" w:space="0"/>
              <w:bottom w:val="single" w:color="auto" w:sz="4" w:space="0"/>
              <w:right w:val="single" w:color="auto" w:sz="4" w:space="0"/>
            </w:tcBorders>
            <w:noWrap w:val="0"/>
            <w:vAlign w:val="center"/>
          </w:tcPr>
          <w:p w14:paraId="59A1779B">
            <w:pPr>
              <w:snapToGrid w:val="0"/>
              <w:spacing w:line="276" w:lineRule="auto"/>
              <w:jc w:val="center"/>
              <w:rPr>
                <w:rFonts w:hint="eastAsia" w:ascii="宋体" w:hAnsi="宋体" w:eastAsia="宋体" w:cs="宋体"/>
                <w:sz w:val="24"/>
              </w:rPr>
            </w:pPr>
            <w:r>
              <w:rPr>
                <w:rFonts w:hint="eastAsia" w:ascii="宋体" w:hAnsi="宋体" w:eastAsia="宋体" w:cs="宋体"/>
                <w:sz w:val="24"/>
              </w:rPr>
              <w:t> </w:t>
            </w:r>
          </w:p>
        </w:tc>
        <w:tc>
          <w:tcPr>
            <w:tcW w:w="503" w:type="pct"/>
            <w:tcBorders>
              <w:top w:val="single" w:color="auto" w:sz="4" w:space="0"/>
              <w:left w:val="single" w:color="auto" w:sz="4" w:space="0"/>
              <w:bottom w:val="single" w:color="auto" w:sz="4" w:space="0"/>
              <w:right w:val="single" w:color="auto" w:sz="4" w:space="0"/>
            </w:tcBorders>
            <w:noWrap w:val="0"/>
            <w:vAlign w:val="top"/>
          </w:tcPr>
          <w:p w14:paraId="28DE7546">
            <w:pPr>
              <w:snapToGrid w:val="0"/>
              <w:spacing w:line="276" w:lineRule="auto"/>
              <w:jc w:val="center"/>
              <w:rPr>
                <w:rFonts w:hint="eastAsia" w:ascii="宋体" w:hAnsi="宋体" w:eastAsia="宋体" w:cs="宋体"/>
                <w:sz w:val="24"/>
              </w:rPr>
            </w:pPr>
          </w:p>
        </w:tc>
        <w:tc>
          <w:tcPr>
            <w:tcW w:w="565" w:type="pct"/>
            <w:tcBorders>
              <w:top w:val="single" w:color="auto" w:sz="4" w:space="0"/>
              <w:left w:val="single" w:color="auto" w:sz="4" w:space="0"/>
              <w:bottom w:val="single" w:color="auto" w:sz="4" w:space="0"/>
              <w:right w:val="single" w:color="auto" w:sz="4" w:space="0"/>
            </w:tcBorders>
            <w:noWrap w:val="0"/>
            <w:vAlign w:val="center"/>
          </w:tcPr>
          <w:p w14:paraId="7636809C">
            <w:pPr>
              <w:snapToGrid w:val="0"/>
              <w:spacing w:line="276" w:lineRule="auto"/>
              <w:jc w:val="center"/>
              <w:rPr>
                <w:rFonts w:hint="eastAsia" w:ascii="宋体" w:hAnsi="宋体" w:eastAsia="宋体" w:cs="宋体"/>
                <w:sz w:val="24"/>
              </w:rPr>
            </w:pPr>
            <w:r>
              <w:rPr>
                <w:rFonts w:hint="eastAsia" w:ascii="宋体" w:hAnsi="宋体" w:eastAsia="宋体" w:cs="宋体"/>
                <w:sz w:val="24"/>
              </w:rPr>
              <w:t> </w:t>
            </w:r>
          </w:p>
        </w:tc>
        <w:tc>
          <w:tcPr>
            <w:tcW w:w="314" w:type="pct"/>
            <w:tcBorders>
              <w:top w:val="single" w:color="auto" w:sz="4" w:space="0"/>
              <w:left w:val="single" w:color="auto" w:sz="4" w:space="0"/>
              <w:bottom w:val="single" w:color="auto" w:sz="4" w:space="0"/>
              <w:right w:val="single" w:color="auto" w:sz="4" w:space="0"/>
            </w:tcBorders>
            <w:noWrap w:val="0"/>
            <w:vAlign w:val="center"/>
          </w:tcPr>
          <w:p w14:paraId="51F4B8E4">
            <w:pPr>
              <w:snapToGrid w:val="0"/>
              <w:spacing w:line="276" w:lineRule="auto"/>
              <w:jc w:val="center"/>
              <w:rPr>
                <w:rFonts w:hint="eastAsia" w:ascii="宋体" w:hAnsi="宋体" w:eastAsia="宋体" w:cs="宋体"/>
                <w:sz w:val="24"/>
              </w:rPr>
            </w:pPr>
            <w:r>
              <w:rPr>
                <w:rFonts w:hint="eastAsia" w:ascii="宋体" w:hAnsi="宋体" w:eastAsia="宋体" w:cs="宋体"/>
                <w:sz w:val="24"/>
              </w:rPr>
              <w:t> </w:t>
            </w:r>
          </w:p>
        </w:tc>
        <w:tc>
          <w:tcPr>
            <w:tcW w:w="440" w:type="pct"/>
            <w:tcBorders>
              <w:top w:val="single" w:color="auto" w:sz="4" w:space="0"/>
              <w:left w:val="single" w:color="auto" w:sz="4" w:space="0"/>
              <w:bottom w:val="single" w:color="auto" w:sz="4" w:space="0"/>
              <w:right w:val="single" w:color="auto" w:sz="4" w:space="0"/>
            </w:tcBorders>
            <w:noWrap w:val="0"/>
            <w:vAlign w:val="top"/>
          </w:tcPr>
          <w:p w14:paraId="6880A13B">
            <w:pPr>
              <w:snapToGrid w:val="0"/>
              <w:spacing w:line="276" w:lineRule="auto"/>
              <w:jc w:val="center"/>
              <w:rPr>
                <w:rFonts w:hint="eastAsia" w:ascii="宋体" w:hAnsi="宋体" w:eastAsia="宋体" w:cs="宋体"/>
                <w:sz w:val="24"/>
              </w:rPr>
            </w:pPr>
          </w:p>
        </w:tc>
        <w:tc>
          <w:tcPr>
            <w:tcW w:w="440" w:type="pct"/>
            <w:tcBorders>
              <w:top w:val="single" w:color="auto" w:sz="4" w:space="0"/>
              <w:left w:val="single" w:color="auto" w:sz="4" w:space="0"/>
              <w:bottom w:val="single" w:color="auto" w:sz="4" w:space="0"/>
              <w:right w:val="single" w:color="auto" w:sz="4" w:space="0"/>
            </w:tcBorders>
            <w:noWrap w:val="0"/>
            <w:vAlign w:val="center"/>
          </w:tcPr>
          <w:p w14:paraId="4B4F2E5A">
            <w:pPr>
              <w:snapToGrid w:val="0"/>
              <w:spacing w:line="276" w:lineRule="auto"/>
              <w:jc w:val="center"/>
              <w:rPr>
                <w:rFonts w:hint="eastAsia" w:ascii="宋体" w:hAnsi="宋体" w:eastAsia="宋体" w:cs="宋体"/>
                <w:sz w:val="24"/>
              </w:rPr>
            </w:pPr>
            <w:r>
              <w:rPr>
                <w:rFonts w:hint="eastAsia" w:ascii="宋体" w:hAnsi="宋体" w:eastAsia="宋体" w:cs="宋体"/>
                <w:sz w:val="24"/>
              </w:rPr>
              <w:t> </w:t>
            </w:r>
          </w:p>
        </w:tc>
        <w:tc>
          <w:tcPr>
            <w:tcW w:w="503" w:type="pct"/>
            <w:tcBorders>
              <w:top w:val="single" w:color="auto" w:sz="4" w:space="0"/>
              <w:left w:val="single" w:color="auto" w:sz="4" w:space="0"/>
              <w:bottom w:val="single" w:color="auto" w:sz="4" w:space="0"/>
              <w:right w:val="single" w:color="auto" w:sz="4" w:space="0"/>
            </w:tcBorders>
            <w:noWrap w:val="0"/>
            <w:vAlign w:val="center"/>
          </w:tcPr>
          <w:p w14:paraId="57E746E9">
            <w:pPr>
              <w:snapToGrid w:val="0"/>
              <w:spacing w:line="276" w:lineRule="auto"/>
              <w:jc w:val="center"/>
              <w:rPr>
                <w:rFonts w:hint="eastAsia" w:ascii="宋体" w:hAnsi="宋体" w:eastAsia="宋体" w:cs="宋体"/>
                <w:sz w:val="24"/>
              </w:rPr>
            </w:pPr>
            <w:r>
              <w:rPr>
                <w:rFonts w:hint="eastAsia" w:ascii="宋体" w:hAnsi="宋体" w:eastAsia="宋体" w:cs="宋体"/>
                <w:sz w:val="24"/>
              </w:rPr>
              <w:t> </w:t>
            </w:r>
          </w:p>
        </w:tc>
        <w:tc>
          <w:tcPr>
            <w:tcW w:w="503" w:type="pct"/>
            <w:tcBorders>
              <w:top w:val="single" w:color="auto" w:sz="4" w:space="0"/>
              <w:left w:val="single" w:color="auto" w:sz="4" w:space="0"/>
              <w:bottom w:val="single" w:color="auto" w:sz="4" w:space="0"/>
              <w:right w:val="single" w:color="auto" w:sz="4" w:space="0"/>
            </w:tcBorders>
            <w:noWrap w:val="0"/>
            <w:vAlign w:val="center"/>
          </w:tcPr>
          <w:p w14:paraId="45FBA9BF">
            <w:pPr>
              <w:snapToGrid w:val="0"/>
              <w:spacing w:line="276" w:lineRule="auto"/>
              <w:jc w:val="center"/>
              <w:rPr>
                <w:rFonts w:hint="eastAsia" w:ascii="宋体" w:hAnsi="宋体" w:eastAsia="宋体" w:cs="宋体"/>
                <w:sz w:val="24"/>
              </w:rPr>
            </w:pPr>
            <w:r>
              <w:rPr>
                <w:rFonts w:hint="eastAsia" w:ascii="宋体" w:hAnsi="宋体" w:eastAsia="宋体" w:cs="宋体"/>
                <w:sz w:val="24"/>
              </w:rPr>
              <w:t> </w:t>
            </w:r>
          </w:p>
        </w:tc>
        <w:tc>
          <w:tcPr>
            <w:tcW w:w="420" w:type="pct"/>
            <w:tcBorders>
              <w:top w:val="single" w:color="auto" w:sz="4" w:space="0"/>
              <w:left w:val="single" w:color="auto" w:sz="4" w:space="0"/>
              <w:bottom w:val="single" w:color="auto" w:sz="4" w:space="0"/>
              <w:right w:val="single" w:color="auto" w:sz="4" w:space="0"/>
            </w:tcBorders>
            <w:noWrap w:val="0"/>
            <w:vAlign w:val="center"/>
          </w:tcPr>
          <w:p w14:paraId="097CBE90">
            <w:pPr>
              <w:snapToGrid w:val="0"/>
              <w:spacing w:line="276" w:lineRule="auto"/>
              <w:jc w:val="center"/>
              <w:rPr>
                <w:rFonts w:hint="eastAsia" w:ascii="宋体" w:hAnsi="宋体" w:eastAsia="宋体" w:cs="宋体"/>
                <w:sz w:val="24"/>
              </w:rPr>
            </w:pPr>
            <w:r>
              <w:rPr>
                <w:rFonts w:hint="eastAsia" w:ascii="宋体" w:hAnsi="宋体" w:eastAsia="宋体" w:cs="宋体"/>
                <w:sz w:val="24"/>
              </w:rPr>
              <w:t> </w:t>
            </w:r>
          </w:p>
        </w:tc>
        <w:tc>
          <w:tcPr>
            <w:tcW w:w="551" w:type="pct"/>
            <w:tcBorders>
              <w:top w:val="single" w:color="auto" w:sz="4" w:space="0"/>
              <w:left w:val="single" w:color="auto" w:sz="4" w:space="0"/>
              <w:bottom w:val="single" w:color="auto" w:sz="4" w:space="0"/>
              <w:right w:val="single" w:color="auto" w:sz="4" w:space="0"/>
            </w:tcBorders>
            <w:noWrap w:val="0"/>
            <w:vAlign w:val="center"/>
          </w:tcPr>
          <w:p w14:paraId="3E0CDBAC">
            <w:pPr>
              <w:snapToGrid w:val="0"/>
              <w:spacing w:line="276" w:lineRule="auto"/>
              <w:jc w:val="center"/>
              <w:rPr>
                <w:rFonts w:hint="eastAsia" w:ascii="宋体" w:hAnsi="宋体" w:eastAsia="宋体" w:cs="宋体"/>
                <w:sz w:val="24"/>
              </w:rPr>
            </w:pPr>
            <w:r>
              <w:rPr>
                <w:rFonts w:hint="eastAsia" w:ascii="宋体" w:hAnsi="宋体" w:eastAsia="宋体" w:cs="宋体"/>
                <w:sz w:val="24"/>
              </w:rPr>
              <w:t> </w:t>
            </w:r>
          </w:p>
        </w:tc>
      </w:tr>
      <w:tr w14:paraId="0444A7D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7" w:hRule="atLeast"/>
        </w:trPr>
        <w:tc>
          <w:tcPr>
            <w:tcW w:w="755" w:type="pct"/>
            <w:tcBorders>
              <w:top w:val="single" w:color="auto" w:sz="4" w:space="0"/>
              <w:left w:val="single" w:color="auto" w:sz="4" w:space="0"/>
              <w:bottom w:val="single" w:color="auto" w:sz="4" w:space="0"/>
              <w:right w:val="single" w:color="auto" w:sz="4" w:space="0"/>
            </w:tcBorders>
            <w:noWrap w:val="0"/>
            <w:vAlign w:val="center"/>
          </w:tcPr>
          <w:p w14:paraId="44AB38A5">
            <w:pPr>
              <w:snapToGrid w:val="0"/>
              <w:spacing w:line="276" w:lineRule="auto"/>
              <w:jc w:val="center"/>
              <w:rPr>
                <w:rFonts w:hint="eastAsia" w:ascii="宋体" w:hAnsi="宋体" w:eastAsia="宋体" w:cs="宋体"/>
                <w:sz w:val="24"/>
              </w:rPr>
            </w:pPr>
            <w:r>
              <w:rPr>
                <w:rFonts w:hint="eastAsia" w:ascii="宋体" w:hAnsi="宋体" w:eastAsia="宋体" w:cs="宋体"/>
                <w:sz w:val="24"/>
              </w:rPr>
              <w:t> </w:t>
            </w:r>
          </w:p>
        </w:tc>
        <w:tc>
          <w:tcPr>
            <w:tcW w:w="503" w:type="pct"/>
            <w:tcBorders>
              <w:top w:val="single" w:color="auto" w:sz="4" w:space="0"/>
              <w:left w:val="single" w:color="auto" w:sz="4" w:space="0"/>
              <w:bottom w:val="single" w:color="auto" w:sz="4" w:space="0"/>
              <w:right w:val="single" w:color="auto" w:sz="4" w:space="0"/>
            </w:tcBorders>
            <w:noWrap w:val="0"/>
            <w:vAlign w:val="top"/>
          </w:tcPr>
          <w:p w14:paraId="00E02649">
            <w:pPr>
              <w:snapToGrid w:val="0"/>
              <w:spacing w:line="276" w:lineRule="auto"/>
              <w:jc w:val="center"/>
              <w:rPr>
                <w:rFonts w:hint="eastAsia" w:ascii="宋体" w:hAnsi="宋体" w:eastAsia="宋体" w:cs="宋体"/>
                <w:sz w:val="24"/>
              </w:rPr>
            </w:pPr>
          </w:p>
        </w:tc>
        <w:tc>
          <w:tcPr>
            <w:tcW w:w="565" w:type="pct"/>
            <w:tcBorders>
              <w:top w:val="single" w:color="auto" w:sz="4" w:space="0"/>
              <w:left w:val="single" w:color="auto" w:sz="4" w:space="0"/>
              <w:bottom w:val="single" w:color="auto" w:sz="4" w:space="0"/>
              <w:right w:val="single" w:color="auto" w:sz="4" w:space="0"/>
            </w:tcBorders>
            <w:noWrap w:val="0"/>
            <w:vAlign w:val="center"/>
          </w:tcPr>
          <w:p w14:paraId="51EBC9D0">
            <w:pPr>
              <w:snapToGrid w:val="0"/>
              <w:spacing w:line="276" w:lineRule="auto"/>
              <w:jc w:val="center"/>
              <w:rPr>
                <w:rFonts w:hint="eastAsia" w:ascii="宋体" w:hAnsi="宋体" w:eastAsia="宋体" w:cs="宋体"/>
                <w:sz w:val="24"/>
              </w:rPr>
            </w:pPr>
            <w:r>
              <w:rPr>
                <w:rFonts w:hint="eastAsia" w:ascii="宋体" w:hAnsi="宋体" w:eastAsia="宋体" w:cs="宋体"/>
                <w:sz w:val="24"/>
              </w:rPr>
              <w:t> </w:t>
            </w:r>
          </w:p>
        </w:tc>
        <w:tc>
          <w:tcPr>
            <w:tcW w:w="314" w:type="pct"/>
            <w:tcBorders>
              <w:top w:val="single" w:color="auto" w:sz="4" w:space="0"/>
              <w:left w:val="single" w:color="auto" w:sz="4" w:space="0"/>
              <w:bottom w:val="single" w:color="auto" w:sz="4" w:space="0"/>
              <w:right w:val="single" w:color="auto" w:sz="4" w:space="0"/>
            </w:tcBorders>
            <w:noWrap w:val="0"/>
            <w:vAlign w:val="center"/>
          </w:tcPr>
          <w:p w14:paraId="3278A91C">
            <w:pPr>
              <w:snapToGrid w:val="0"/>
              <w:spacing w:line="276" w:lineRule="auto"/>
              <w:jc w:val="center"/>
              <w:rPr>
                <w:rFonts w:hint="eastAsia" w:ascii="宋体" w:hAnsi="宋体" w:eastAsia="宋体" w:cs="宋体"/>
                <w:sz w:val="24"/>
              </w:rPr>
            </w:pPr>
            <w:r>
              <w:rPr>
                <w:rFonts w:hint="eastAsia" w:ascii="宋体" w:hAnsi="宋体" w:eastAsia="宋体" w:cs="宋体"/>
                <w:sz w:val="24"/>
              </w:rPr>
              <w:t> </w:t>
            </w:r>
          </w:p>
        </w:tc>
        <w:tc>
          <w:tcPr>
            <w:tcW w:w="440" w:type="pct"/>
            <w:tcBorders>
              <w:top w:val="single" w:color="auto" w:sz="4" w:space="0"/>
              <w:left w:val="single" w:color="auto" w:sz="4" w:space="0"/>
              <w:bottom w:val="single" w:color="auto" w:sz="4" w:space="0"/>
              <w:right w:val="single" w:color="auto" w:sz="4" w:space="0"/>
            </w:tcBorders>
            <w:noWrap w:val="0"/>
            <w:vAlign w:val="top"/>
          </w:tcPr>
          <w:p w14:paraId="36FDA266">
            <w:pPr>
              <w:snapToGrid w:val="0"/>
              <w:spacing w:line="276" w:lineRule="auto"/>
              <w:jc w:val="center"/>
              <w:rPr>
                <w:rFonts w:hint="eastAsia" w:ascii="宋体" w:hAnsi="宋体" w:eastAsia="宋体" w:cs="宋体"/>
                <w:sz w:val="24"/>
              </w:rPr>
            </w:pPr>
          </w:p>
        </w:tc>
        <w:tc>
          <w:tcPr>
            <w:tcW w:w="440" w:type="pct"/>
            <w:tcBorders>
              <w:top w:val="single" w:color="auto" w:sz="4" w:space="0"/>
              <w:left w:val="single" w:color="auto" w:sz="4" w:space="0"/>
              <w:bottom w:val="single" w:color="auto" w:sz="4" w:space="0"/>
              <w:right w:val="single" w:color="auto" w:sz="4" w:space="0"/>
            </w:tcBorders>
            <w:noWrap w:val="0"/>
            <w:vAlign w:val="center"/>
          </w:tcPr>
          <w:p w14:paraId="5F5153BB">
            <w:pPr>
              <w:snapToGrid w:val="0"/>
              <w:spacing w:line="276" w:lineRule="auto"/>
              <w:jc w:val="center"/>
              <w:rPr>
                <w:rFonts w:hint="eastAsia" w:ascii="宋体" w:hAnsi="宋体" w:eastAsia="宋体" w:cs="宋体"/>
                <w:sz w:val="24"/>
              </w:rPr>
            </w:pPr>
            <w:r>
              <w:rPr>
                <w:rFonts w:hint="eastAsia" w:ascii="宋体" w:hAnsi="宋体" w:eastAsia="宋体" w:cs="宋体"/>
                <w:sz w:val="24"/>
              </w:rPr>
              <w:t> </w:t>
            </w:r>
          </w:p>
        </w:tc>
        <w:tc>
          <w:tcPr>
            <w:tcW w:w="503" w:type="pct"/>
            <w:tcBorders>
              <w:top w:val="single" w:color="auto" w:sz="4" w:space="0"/>
              <w:left w:val="single" w:color="auto" w:sz="4" w:space="0"/>
              <w:bottom w:val="single" w:color="auto" w:sz="4" w:space="0"/>
              <w:right w:val="single" w:color="auto" w:sz="4" w:space="0"/>
            </w:tcBorders>
            <w:noWrap w:val="0"/>
            <w:vAlign w:val="center"/>
          </w:tcPr>
          <w:p w14:paraId="13A016F3">
            <w:pPr>
              <w:snapToGrid w:val="0"/>
              <w:spacing w:line="276" w:lineRule="auto"/>
              <w:jc w:val="center"/>
              <w:rPr>
                <w:rFonts w:hint="eastAsia" w:ascii="宋体" w:hAnsi="宋体" w:eastAsia="宋体" w:cs="宋体"/>
                <w:sz w:val="24"/>
              </w:rPr>
            </w:pPr>
            <w:r>
              <w:rPr>
                <w:rFonts w:hint="eastAsia" w:ascii="宋体" w:hAnsi="宋体" w:eastAsia="宋体" w:cs="宋体"/>
                <w:sz w:val="24"/>
              </w:rPr>
              <w:t> </w:t>
            </w:r>
          </w:p>
        </w:tc>
        <w:tc>
          <w:tcPr>
            <w:tcW w:w="503" w:type="pct"/>
            <w:tcBorders>
              <w:top w:val="single" w:color="auto" w:sz="4" w:space="0"/>
              <w:left w:val="single" w:color="auto" w:sz="4" w:space="0"/>
              <w:bottom w:val="single" w:color="auto" w:sz="4" w:space="0"/>
              <w:right w:val="single" w:color="auto" w:sz="4" w:space="0"/>
            </w:tcBorders>
            <w:noWrap w:val="0"/>
            <w:vAlign w:val="center"/>
          </w:tcPr>
          <w:p w14:paraId="00BE6BB7">
            <w:pPr>
              <w:snapToGrid w:val="0"/>
              <w:spacing w:line="276" w:lineRule="auto"/>
              <w:jc w:val="center"/>
              <w:rPr>
                <w:rFonts w:hint="eastAsia" w:ascii="宋体" w:hAnsi="宋体" w:eastAsia="宋体" w:cs="宋体"/>
                <w:sz w:val="24"/>
              </w:rPr>
            </w:pPr>
            <w:r>
              <w:rPr>
                <w:rFonts w:hint="eastAsia" w:ascii="宋体" w:hAnsi="宋体" w:eastAsia="宋体" w:cs="宋体"/>
                <w:sz w:val="24"/>
              </w:rPr>
              <w:t> </w:t>
            </w:r>
          </w:p>
        </w:tc>
        <w:tc>
          <w:tcPr>
            <w:tcW w:w="420" w:type="pct"/>
            <w:tcBorders>
              <w:top w:val="single" w:color="auto" w:sz="4" w:space="0"/>
              <w:left w:val="single" w:color="auto" w:sz="4" w:space="0"/>
              <w:bottom w:val="single" w:color="auto" w:sz="4" w:space="0"/>
              <w:right w:val="single" w:color="auto" w:sz="4" w:space="0"/>
            </w:tcBorders>
            <w:noWrap w:val="0"/>
            <w:vAlign w:val="center"/>
          </w:tcPr>
          <w:p w14:paraId="432B1ACC">
            <w:pPr>
              <w:snapToGrid w:val="0"/>
              <w:spacing w:line="276" w:lineRule="auto"/>
              <w:jc w:val="center"/>
              <w:rPr>
                <w:rFonts w:hint="eastAsia" w:ascii="宋体" w:hAnsi="宋体" w:eastAsia="宋体" w:cs="宋体"/>
                <w:sz w:val="24"/>
              </w:rPr>
            </w:pPr>
            <w:r>
              <w:rPr>
                <w:rFonts w:hint="eastAsia" w:ascii="宋体" w:hAnsi="宋体" w:eastAsia="宋体" w:cs="宋体"/>
                <w:sz w:val="24"/>
              </w:rPr>
              <w:t> </w:t>
            </w:r>
          </w:p>
        </w:tc>
        <w:tc>
          <w:tcPr>
            <w:tcW w:w="551" w:type="pct"/>
            <w:tcBorders>
              <w:top w:val="single" w:color="auto" w:sz="4" w:space="0"/>
              <w:left w:val="single" w:color="auto" w:sz="4" w:space="0"/>
              <w:bottom w:val="single" w:color="auto" w:sz="4" w:space="0"/>
              <w:right w:val="single" w:color="auto" w:sz="4" w:space="0"/>
            </w:tcBorders>
            <w:noWrap w:val="0"/>
            <w:vAlign w:val="center"/>
          </w:tcPr>
          <w:p w14:paraId="1E356592">
            <w:pPr>
              <w:snapToGrid w:val="0"/>
              <w:spacing w:line="276" w:lineRule="auto"/>
              <w:jc w:val="center"/>
              <w:rPr>
                <w:rFonts w:hint="eastAsia" w:ascii="宋体" w:hAnsi="宋体" w:eastAsia="宋体" w:cs="宋体"/>
                <w:sz w:val="24"/>
              </w:rPr>
            </w:pPr>
            <w:r>
              <w:rPr>
                <w:rFonts w:hint="eastAsia" w:ascii="宋体" w:hAnsi="宋体" w:eastAsia="宋体" w:cs="宋体"/>
                <w:sz w:val="24"/>
              </w:rPr>
              <w:t> </w:t>
            </w:r>
          </w:p>
        </w:tc>
      </w:tr>
    </w:tbl>
    <w:p w14:paraId="4D5C4D64">
      <w:pPr>
        <w:pStyle w:val="2"/>
        <w:spacing w:before="0" w:after="0" w:line="276" w:lineRule="auto"/>
        <w:ind w:firstLine="482"/>
        <w:rPr>
          <w:rFonts w:hint="eastAsia" w:ascii="宋体" w:hAnsi="宋体" w:eastAsia="宋体" w:cs="宋体"/>
          <w:sz w:val="24"/>
          <w:szCs w:val="24"/>
        </w:rPr>
      </w:pPr>
      <w:bookmarkStart w:id="7" w:name="_Toc407626788"/>
      <w:bookmarkStart w:id="8" w:name="_Toc444176111"/>
      <w:bookmarkStart w:id="9" w:name="_Toc377632487"/>
      <w:bookmarkStart w:id="10" w:name="_Toc363744975"/>
      <w:bookmarkStart w:id="11" w:name="_Toc361306997"/>
      <w:bookmarkStart w:id="12" w:name="_Toc217446108"/>
      <w:bookmarkStart w:id="13" w:name="_Toc443572458"/>
      <w:r>
        <w:rPr>
          <w:rFonts w:hint="eastAsia" w:ascii="宋体" w:hAnsi="宋体" w:eastAsia="宋体" w:cs="宋体"/>
          <w:sz w:val="24"/>
          <w:szCs w:val="24"/>
        </w:rPr>
        <w:t>备注：主要技术参数及配置清单详见附件</w:t>
      </w:r>
    </w:p>
    <w:p w14:paraId="6AF40368">
      <w:pPr>
        <w:pStyle w:val="2"/>
        <w:spacing w:before="0" w:after="0" w:line="276" w:lineRule="auto"/>
        <w:ind w:firstLine="482"/>
        <w:rPr>
          <w:rFonts w:hint="eastAsia" w:ascii="宋体" w:hAnsi="宋体" w:eastAsia="宋体" w:cs="宋体"/>
          <w:sz w:val="24"/>
          <w:szCs w:val="24"/>
        </w:rPr>
      </w:pPr>
      <w:r>
        <w:rPr>
          <w:rFonts w:hint="eastAsia" w:ascii="宋体" w:hAnsi="宋体" w:eastAsia="宋体" w:cs="宋体"/>
          <w:sz w:val="24"/>
          <w:szCs w:val="24"/>
        </w:rPr>
        <w:t>二、合同总价</w:t>
      </w:r>
      <w:bookmarkEnd w:id="7"/>
      <w:bookmarkEnd w:id="8"/>
      <w:bookmarkEnd w:id="9"/>
      <w:bookmarkEnd w:id="10"/>
      <w:bookmarkEnd w:id="11"/>
      <w:bookmarkEnd w:id="12"/>
      <w:bookmarkEnd w:id="13"/>
    </w:p>
    <w:p w14:paraId="7AF297EE">
      <w:pPr>
        <w:pStyle w:val="3"/>
        <w:snapToGrid w:val="0"/>
        <w:spacing w:line="276" w:lineRule="auto"/>
        <w:ind w:firstLineChars="175"/>
        <w:rPr>
          <w:rFonts w:hint="eastAsia" w:ascii="宋体" w:hAnsi="宋体" w:eastAsia="宋体" w:cs="宋体"/>
          <w:sz w:val="24"/>
          <w:szCs w:val="24"/>
        </w:rPr>
      </w:pPr>
      <w:r>
        <w:rPr>
          <w:rFonts w:hint="eastAsia" w:ascii="宋体" w:hAnsi="宋体" w:eastAsia="宋体" w:cs="宋体"/>
          <w:sz w:val="24"/>
          <w:szCs w:val="24"/>
        </w:rPr>
        <w:t>合同总价为人民币大写：</w:t>
      </w:r>
      <w:r>
        <w:rPr>
          <w:rFonts w:hint="eastAsia" w:ascii="宋体" w:hAnsi="宋体" w:eastAsia="宋体" w:cs="宋体"/>
          <w:sz w:val="24"/>
          <w:szCs w:val="24"/>
          <w:u w:val="single"/>
        </w:rPr>
        <w:t xml:space="preserve">                </w:t>
      </w:r>
      <w:r>
        <w:rPr>
          <w:rFonts w:hint="eastAsia" w:ascii="宋体" w:hAnsi="宋体" w:eastAsia="宋体" w:cs="宋体"/>
          <w:sz w:val="24"/>
          <w:szCs w:val="24"/>
        </w:rPr>
        <w:t>元，即RMB￥</w:t>
      </w:r>
      <w:r>
        <w:rPr>
          <w:rFonts w:hint="eastAsia" w:ascii="宋体" w:hAnsi="宋体" w:eastAsia="宋体" w:cs="宋体"/>
          <w:sz w:val="24"/>
          <w:szCs w:val="24"/>
          <w:u w:val="single"/>
        </w:rPr>
        <w:t xml:space="preserve">        </w:t>
      </w:r>
      <w:r>
        <w:rPr>
          <w:rFonts w:hint="eastAsia" w:ascii="宋体" w:hAnsi="宋体" w:eastAsia="宋体" w:cs="宋体"/>
          <w:sz w:val="24"/>
          <w:szCs w:val="24"/>
        </w:rPr>
        <w:t>元；该合同总价已包括货物</w:t>
      </w:r>
      <w:r>
        <w:rPr>
          <w:rFonts w:hint="eastAsia" w:ascii="宋体" w:hAnsi="宋体" w:eastAsia="宋体" w:cs="宋体"/>
          <w:color w:val="000000"/>
          <w:sz w:val="24"/>
          <w:szCs w:val="24"/>
        </w:rPr>
        <w:t>设计、材料、制造、包装、运输、保险、安装、调试、检测、人工、税金、</w:t>
      </w:r>
      <w:r>
        <w:rPr>
          <w:rFonts w:hint="eastAsia" w:ascii="宋体" w:hAnsi="宋体" w:eastAsia="宋体" w:cs="宋体"/>
          <w:sz w:val="24"/>
          <w:szCs w:val="24"/>
        </w:rPr>
        <w:t>验收合格交付使用之前及保修期内保修服务与备用物件等所有其他有关各项的含税费用。本合同执行期间合同总价不变，甲方无须另向乙方支付本合同规定之外的其他任何费用。</w:t>
      </w:r>
    </w:p>
    <w:p w14:paraId="2BA5AF95">
      <w:pPr>
        <w:pStyle w:val="2"/>
        <w:spacing w:before="0" w:after="0" w:line="276" w:lineRule="auto"/>
        <w:ind w:firstLine="482"/>
        <w:rPr>
          <w:rFonts w:hint="eastAsia" w:ascii="宋体" w:hAnsi="宋体" w:eastAsia="宋体" w:cs="宋体"/>
          <w:sz w:val="24"/>
          <w:szCs w:val="24"/>
        </w:rPr>
      </w:pPr>
      <w:bookmarkStart w:id="14" w:name="_Toc361306998"/>
      <w:bookmarkStart w:id="15" w:name="_Toc443572459"/>
      <w:bookmarkStart w:id="16" w:name="_Toc217446109"/>
      <w:bookmarkStart w:id="17" w:name="_Toc407626789"/>
      <w:bookmarkStart w:id="18" w:name="_Toc377632488"/>
      <w:bookmarkStart w:id="19" w:name="_Toc363744976"/>
      <w:bookmarkStart w:id="20" w:name="_Toc444176112"/>
      <w:r>
        <w:rPr>
          <w:rFonts w:hint="eastAsia" w:ascii="宋体" w:hAnsi="宋体" w:eastAsia="宋体" w:cs="宋体"/>
          <w:sz w:val="24"/>
          <w:szCs w:val="24"/>
        </w:rPr>
        <w:t>三、质量要求</w:t>
      </w:r>
      <w:bookmarkEnd w:id="14"/>
      <w:bookmarkEnd w:id="15"/>
      <w:bookmarkEnd w:id="16"/>
      <w:bookmarkEnd w:id="17"/>
      <w:bookmarkEnd w:id="18"/>
      <w:bookmarkEnd w:id="19"/>
      <w:bookmarkEnd w:id="20"/>
    </w:p>
    <w:p w14:paraId="1B97195E">
      <w:pPr>
        <w:pStyle w:val="7"/>
        <w:snapToGrid w:val="0"/>
        <w:spacing w:line="276" w:lineRule="auto"/>
        <w:ind w:firstLine="480"/>
        <w:rPr>
          <w:rFonts w:hint="eastAsia" w:ascii="宋体" w:hAnsi="宋体" w:eastAsia="宋体"/>
        </w:rPr>
      </w:pPr>
      <w:r>
        <w:rPr>
          <w:rFonts w:hint="eastAsia" w:ascii="宋体" w:hAnsi="宋体" w:eastAsia="宋体"/>
        </w:rPr>
        <w:t>1、乙方须提供全新的货物（含零部件、配件等），表面无划伤、无碰撞痕迹，且权属清楚，不得侵害他人的知识产权。</w:t>
      </w:r>
    </w:p>
    <w:p w14:paraId="0B4A7146">
      <w:pPr>
        <w:pStyle w:val="7"/>
        <w:snapToGrid w:val="0"/>
        <w:spacing w:line="276" w:lineRule="auto"/>
        <w:ind w:firstLine="480"/>
        <w:rPr>
          <w:rFonts w:hint="eastAsia" w:ascii="宋体" w:hAnsi="宋体" w:eastAsia="宋体"/>
        </w:rPr>
      </w:pPr>
      <w:r>
        <w:rPr>
          <w:rFonts w:hint="eastAsia" w:ascii="宋体" w:hAnsi="宋体" w:eastAsia="宋体"/>
        </w:rPr>
        <w:t>2、货物必须符合或优于国家（行业）标准，以及本项目谈判文件的质量要求和技术指标与出厂标准。</w:t>
      </w:r>
    </w:p>
    <w:p w14:paraId="1D10129A">
      <w:pPr>
        <w:pStyle w:val="7"/>
        <w:snapToGrid w:val="0"/>
        <w:spacing w:line="276" w:lineRule="auto"/>
        <w:ind w:firstLine="480"/>
        <w:rPr>
          <w:rFonts w:hint="eastAsia" w:ascii="宋体" w:hAnsi="宋体" w:eastAsia="宋体"/>
        </w:rPr>
      </w:pPr>
      <w:r>
        <w:rPr>
          <w:rFonts w:hint="eastAsia" w:ascii="宋体" w:hAnsi="宋体" w:eastAsia="宋体"/>
        </w:rPr>
        <w:t>3、每台货物上均应有产品质量检验合格标志。</w:t>
      </w:r>
    </w:p>
    <w:p w14:paraId="1D2A322D">
      <w:pPr>
        <w:pStyle w:val="7"/>
        <w:snapToGrid w:val="0"/>
        <w:spacing w:line="276" w:lineRule="auto"/>
        <w:ind w:firstLine="480"/>
        <w:rPr>
          <w:rFonts w:hint="eastAsia" w:ascii="宋体" w:hAnsi="宋体" w:eastAsia="宋体"/>
        </w:rPr>
      </w:pPr>
      <w:r>
        <w:rPr>
          <w:rFonts w:hint="eastAsia" w:ascii="宋体" w:hAnsi="宋体" w:eastAsia="宋体"/>
        </w:rPr>
        <w:t>4、因质量出现问题，乙方应负责三包（包修、包换、包退），费用由乙方负担，甲方有权到乙方生产场地检查货物质量和生产进度。</w:t>
      </w:r>
    </w:p>
    <w:p w14:paraId="11BC4D1B">
      <w:pPr>
        <w:pStyle w:val="7"/>
        <w:snapToGrid w:val="0"/>
        <w:spacing w:line="276" w:lineRule="auto"/>
        <w:ind w:firstLine="480"/>
        <w:rPr>
          <w:rFonts w:hint="eastAsia" w:ascii="宋体" w:hAnsi="宋体" w:eastAsia="宋体"/>
        </w:rPr>
      </w:pPr>
      <w:r>
        <w:rPr>
          <w:rFonts w:hint="eastAsia" w:ascii="宋体" w:hAnsi="宋体" w:eastAsia="宋体"/>
        </w:rPr>
        <w:t>5、货到现场后由于甲方保管不当造成的质量问题，乙方亦应负责修理，但费用由甲方负担。</w:t>
      </w:r>
    </w:p>
    <w:p w14:paraId="163A3259">
      <w:pPr>
        <w:pStyle w:val="2"/>
        <w:spacing w:before="0" w:after="0" w:line="276" w:lineRule="auto"/>
        <w:ind w:firstLine="482"/>
        <w:rPr>
          <w:rFonts w:hint="eastAsia" w:ascii="宋体" w:hAnsi="宋体" w:eastAsia="宋体" w:cs="宋体"/>
          <w:sz w:val="24"/>
          <w:szCs w:val="24"/>
        </w:rPr>
      </w:pPr>
      <w:bookmarkStart w:id="21" w:name="_Toc217446110"/>
      <w:bookmarkStart w:id="22" w:name="_Toc363744977"/>
      <w:bookmarkStart w:id="23" w:name="_Toc443572460"/>
      <w:bookmarkStart w:id="24" w:name="_Toc407626790"/>
      <w:bookmarkStart w:id="25" w:name="_Toc444176113"/>
      <w:bookmarkStart w:id="26" w:name="_Toc361306999"/>
      <w:bookmarkStart w:id="27" w:name="_Toc377632489"/>
      <w:r>
        <w:rPr>
          <w:rFonts w:hint="eastAsia" w:ascii="宋体" w:hAnsi="宋体" w:eastAsia="宋体" w:cs="宋体"/>
          <w:sz w:val="24"/>
          <w:szCs w:val="24"/>
        </w:rPr>
        <w:t>四、包装与运输</w:t>
      </w:r>
    </w:p>
    <w:p w14:paraId="78E02E27">
      <w:pPr>
        <w:widowControl/>
        <w:tabs>
          <w:tab w:val="left" w:pos="7665"/>
        </w:tabs>
        <w:spacing w:line="276" w:lineRule="auto"/>
        <w:ind w:firstLine="360" w:firstLineChars="150"/>
        <w:jc w:val="left"/>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b/>
          <w:sz w:val="24"/>
        </w:rPr>
        <w:t>1、包装</w:t>
      </w:r>
      <w:r>
        <w:rPr>
          <w:rFonts w:hint="eastAsia" w:ascii="宋体" w:hAnsi="宋体" w:eastAsia="宋体" w:cs="宋体"/>
          <w:sz w:val="24"/>
        </w:rPr>
        <w:t>：应按照国家绿色包装相关要求执行，商品使用的塑料、纸质、木质等包装材料或快递封装材料，包括封套、胶带、面单、包装袋/箱、填充物、集装袋、周转箱等应符合环保要求，设备包装应坚固完好，能抗御运输、储存和装卸过程中正常冲击，振动挤压，并便于装卸和搬运。设备包装前检查包装材料的材质、规格和包装结构与所装产品的规格和重量相适应。组件包装时安全，防止撞击，包装表面应清洁。组件排放整齐，不可有高低不平。外包装箱表面不应该有突出的锁扣等装置，以避免箱体移位时发生拉挂等现象，影响箱体安全。</w:t>
      </w:r>
    </w:p>
    <w:p w14:paraId="188EAE79">
      <w:pPr>
        <w:widowControl/>
        <w:tabs>
          <w:tab w:val="left" w:pos="7665"/>
        </w:tabs>
        <w:spacing w:line="276" w:lineRule="auto"/>
        <w:ind w:firstLine="482" w:firstLineChars="200"/>
        <w:jc w:val="left"/>
        <w:rPr>
          <w:rFonts w:hint="eastAsia" w:ascii="宋体" w:hAnsi="宋体" w:eastAsia="宋体" w:cs="宋体"/>
          <w:sz w:val="24"/>
        </w:rPr>
      </w:pPr>
      <w:r>
        <w:rPr>
          <w:rFonts w:hint="eastAsia" w:ascii="宋体" w:hAnsi="宋体" w:eastAsia="宋体" w:cs="宋体"/>
          <w:b/>
          <w:sz w:val="24"/>
        </w:rPr>
        <w:t>2、运输</w:t>
      </w:r>
      <w:r>
        <w:rPr>
          <w:rFonts w:hint="eastAsia" w:ascii="宋体" w:hAnsi="宋体" w:eastAsia="宋体" w:cs="宋体"/>
          <w:sz w:val="24"/>
        </w:rPr>
        <w:t>：装运设备的运输工具应清洁、干燥、无污染物。敞车运输时，必须用防雨布盖好，以保证设备不被雨(雪)浸入。设备中转时，应堆放在库房内。短暂露天堆放时，必须用防雨布盖好，产品在装卸时，应采用合适的装卸方式，严防将包装箱(件)损坏，包装箱应注意谨慎堆放，防止产品碰伤。装载时，集装箱与包装箱之间、包装箱之间应用防震减压的填充物填实，不得留有空隙。防止在运输途中造成货物之间互相碰撞、摩擦，避免发生箱体移位。避免货物在运载工具上的堆码不当，使底层货物承载过重，造成包装破损，甚至商品在运输过程中变形，损坏。在运输过程中避免接触腐蚀性物质。</w:t>
      </w:r>
    </w:p>
    <w:p w14:paraId="70289B79">
      <w:pPr>
        <w:pStyle w:val="2"/>
        <w:spacing w:before="0" w:after="0" w:line="276" w:lineRule="auto"/>
        <w:ind w:firstLine="482"/>
        <w:rPr>
          <w:rFonts w:hint="eastAsia" w:ascii="宋体" w:hAnsi="宋体" w:eastAsia="宋体" w:cs="宋体"/>
          <w:sz w:val="24"/>
          <w:szCs w:val="24"/>
        </w:rPr>
      </w:pPr>
      <w:r>
        <w:rPr>
          <w:rFonts w:hint="eastAsia" w:ascii="宋体" w:hAnsi="宋体" w:eastAsia="宋体" w:cs="宋体"/>
          <w:sz w:val="24"/>
          <w:szCs w:val="24"/>
        </w:rPr>
        <w:t>五、交货及验收</w:t>
      </w:r>
      <w:bookmarkEnd w:id="21"/>
      <w:bookmarkEnd w:id="22"/>
      <w:bookmarkEnd w:id="23"/>
      <w:bookmarkEnd w:id="24"/>
      <w:bookmarkEnd w:id="25"/>
      <w:bookmarkEnd w:id="26"/>
      <w:bookmarkEnd w:id="27"/>
    </w:p>
    <w:p w14:paraId="1A2D55BF">
      <w:pPr>
        <w:pStyle w:val="7"/>
        <w:snapToGrid w:val="0"/>
        <w:spacing w:line="276" w:lineRule="auto"/>
        <w:ind w:firstLine="480"/>
        <w:rPr>
          <w:rFonts w:hint="eastAsia" w:ascii="宋体" w:hAnsi="宋体" w:eastAsia="宋体"/>
        </w:rPr>
      </w:pPr>
      <w:r>
        <w:rPr>
          <w:rFonts w:hint="eastAsia" w:ascii="宋体" w:hAnsi="宋体" w:eastAsia="宋体"/>
        </w:rPr>
        <w:t>1、乙方交货期限为：本合同生效后</w:t>
      </w:r>
      <w:r>
        <w:rPr>
          <w:rFonts w:hint="eastAsia" w:ascii="宋体" w:hAnsi="宋体" w:eastAsia="宋体"/>
          <w:u w:val="single"/>
        </w:rPr>
        <w:t xml:space="preserve">      </w:t>
      </w:r>
      <w:r>
        <w:rPr>
          <w:rFonts w:hint="eastAsia" w:ascii="宋体" w:hAnsi="宋体" w:eastAsia="宋体"/>
        </w:rPr>
        <w:t>日内，乙方将货物交到甲方指定地点，并在</w:t>
      </w:r>
      <w:r>
        <w:rPr>
          <w:rFonts w:hint="eastAsia" w:ascii="宋体" w:hAnsi="宋体" w:eastAsia="宋体"/>
          <w:u w:val="single"/>
        </w:rPr>
        <w:t>7个工作</w:t>
      </w:r>
      <w:r>
        <w:rPr>
          <w:rFonts w:hint="eastAsia" w:ascii="宋体" w:hAnsi="宋体" w:eastAsia="宋体"/>
        </w:rPr>
        <w:t>日内完成安装调试</w:t>
      </w:r>
      <w:r>
        <w:rPr>
          <w:rFonts w:hint="eastAsia" w:ascii="宋体" w:hAnsi="宋体" w:eastAsia="宋体"/>
          <w:color w:val="000000"/>
        </w:rPr>
        <w:t>验收合格交付使用 (如由于采购人的原因造成合同延迟签订或验收的，时间顺延)</w:t>
      </w:r>
      <w:r>
        <w:rPr>
          <w:rFonts w:hint="eastAsia" w:ascii="宋体" w:hAnsi="宋体" w:eastAsia="宋体"/>
        </w:rPr>
        <w:t>。成套设备交货时须提供产品质检部门的检测报告。</w:t>
      </w:r>
    </w:p>
    <w:p w14:paraId="2B600F68">
      <w:pPr>
        <w:pStyle w:val="7"/>
        <w:snapToGrid w:val="0"/>
        <w:spacing w:line="276" w:lineRule="auto"/>
        <w:ind w:firstLine="480"/>
        <w:rPr>
          <w:rFonts w:hint="eastAsia" w:ascii="宋体" w:hAnsi="宋体" w:eastAsia="宋体"/>
        </w:rPr>
      </w:pPr>
      <w:r>
        <w:rPr>
          <w:rFonts w:hint="eastAsia" w:ascii="宋体" w:hAnsi="宋体" w:eastAsia="宋体"/>
        </w:rPr>
        <w:t>2、货物验收由甲方组织，乙方配合进行：</w:t>
      </w:r>
    </w:p>
    <w:p w14:paraId="48F94FA6">
      <w:pPr>
        <w:pStyle w:val="7"/>
        <w:snapToGrid w:val="0"/>
        <w:spacing w:line="276" w:lineRule="auto"/>
        <w:ind w:firstLine="480"/>
        <w:rPr>
          <w:rFonts w:hint="eastAsia" w:ascii="宋体" w:hAnsi="宋体" w:eastAsia="宋体"/>
        </w:rPr>
      </w:pPr>
      <w:r>
        <w:rPr>
          <w:rFonts w:hint="eastAsia" w:ascii="宋体" w:hAnsi="宋体" w:eastAsia="宋体"/>
        </w:rPr>
        <w:t>(1) 货物在乙方通知安装调试完毕后</w:t>
      </w:r>
      <w:r>
        <w:rPr>
          <w:rFonts w:hint="eastAsia" w:ascii="宋体" w:hAnsi="宋体" w:eastAsia="宋体"/>
          <w:u w:val="single"/>
        </w:rPr>
        <w:t xml:space="preserve">  3  </w:t>
      </w:r>
      <w:r>
        <w:rPr>
          <w:rFonts w:hint="eastAsia" w:ascii="宋体" w:hAnsi="宋体" w:eastAsia="宋体"/>
        </w:rPr>
        <w:t>日内初步验收。初步验收合格后，进入</w:t>
      </w:r>
      <w:r>
        <w:rPr>
          <w:rFonts w:hint="eastAsia" w:ascii="宋体" w:hAnsi="宋体" w:eastAsia="宋体"/>
          <w:u w:val="single"/>
        </w:rPr>
        <w:t xml:space="preserve"> 7日 </w:t>
      </w:r>
      <w:r>
        <w:rPr>
          <w:rFonts w:hint="eastAsia" w:ascii="宋体" w:hAnsi="宋体" w:eastAsia="宋体"/>
        </w:rPr>
        <w:t>试用期；试用期间发生重大质量问题，修复后试用期相应顺延；试用期结束后</w:t>
      </w:r>
      <w:r>
        <w:rPr>
          <w:rFonts w:hint="eastAsia" w:ascii="宋体" w:hAnsi="宋体" w:eastAsia="宋体"/>
          <w:u w:val="single"/>
        </w:rPr>
        <w:t xml:space="preserve">  30  </w:t>
      </w:r>
      <w:r>
        <w:rPr>
          <w:rFonts w:hint="eastAsia" w:ascii="宋体" w:hAnsi="宋体" w:eastAsia="宋体"/>
        </w:rPr>
        <w:t>日内完成最终验收；</w:t>
      </w:r>
    </w:p>
    <w:p w14:paraId="4624845A">
      <w:pPr>
        <w:pStyle w:val="7"/>
        <w:snapToGrid w:val="0"/>
        <w:spacing w:line="276" w:lineRule="auto"/>
        <w:ind w:firstLine="480"/>
        <w:rPr>
          <w:rFonts w:hint="eastAsia" w:ascii="宋体" w:hAnsi="宋体" w:eastAsia="宋体"/>
        </w:rPr>
      </w:pPr>
      <w:r>
        <w:rPr>
          <w:rFonts w:hint="eastAsia" w:ascii="宋体" w:hAnsi="宋体" w:eastAsia="宋体"/>
        </w:rPr>
        <w:t>(2) 验收标准：按国家有关规定以及甲方谈判文件的质量要求和技术指标、乙方的响应文件及承诺与本合同约定标准进行验收；甲乙双方如对质量要求和技术指标的约定标准有相互抵触或异议的事项，由甲方在招标与响应文件中按质量要求和技术指标比较优胜的原则确定该项的约定标准进行验收；</w:t>
      </w:r>
    </w:p>
    <w:p w14:paraId="326F2CDD">
      <w:pPr>
        <w:pStyle w:val="7"/>
        <w:snapToGrid w:val="0"/>
        <w:spacing w:line="276" w:lineRule="auto"/>
        <w:ind w:firstLine="480"/>
        <w:rPr>
          <w:rFonts w:hint="eastAsia" w:ascii="宋体" w:hAnsi="宋体" w:eastAsia="宋体"/>
        </w:rPr>
      </w:pPr>
      <w:r>
        <w:rPr>
          <w:rFonts w:hint="eastAsia" w:ascii="宋体" w:hAnsi="宋体" w:eastAsia="宋体"/>
        </w:rPr>
        <w:t>(3) 验收时如发现所交付的货物有短装、次品、损坏或其它不符合标准及本合同规定之情形者，甲方应做出详尽的现场记录，或由甲乙双方签署备忘录，此现场记录或备忘录可用作补充、缺失和更换损坏部件的有效证据，由此产生的时间延误与有关费用由乙方承担，验收期限相应顺延；</w:t>
      </w:r>
    </w:p>
    <w:p w14:paraId="72D5FB0C">
      <w:pPr>
        <w:pStyle w:val="4"/>
        <w:spacing w:line="276" w:lineRule="auto"/>
        <w:ind w:firstLine="360" w:firstLineChars="150"/>
        <w:rPr>
          <w:rFonts w:hint="eastAsia" w:ascii="宋体" w:hAnsi="宋体" w:eastAsia="宋体" w:cs="宋体"/>
          <w:sz w:val="24"/>
        </w:rPr>
      </w:pPr>
      <w:r>
        <w:rPr>
          <w:rFonts w:hint="eastAsia" w:ascii="宋体" w:hAnsi="宋体" w:eastAsia="宋体" w:cs="宋体"/>
          <w:sz w:val="24"/>
        </w:rPr>
        <w:t>（4）如涉及同产品同型号大批量供货的，甲方有权随机抽取一定比例（供货数量在10件及以下的抽取20%，超过10件的抽取10%）进行验收，如被抽取的货物中达到一半及以上不合格的视为整批货物均不合格。）</w:t>
      </w:r>
    </w:p>
    <w:p w14:paraId="37BF26F5">
      <w:pPr>
        <w:pStyle w:val="7"/>
        <w:snapToGrid w:val="0"/>
        <w:spacing w:line="276" w:lineRule="auto"/>
        <w:ind w:firstLine="360" w:firstLineChars="150"/>
        <w:rPr>
          <w:rFonts w:hint="eastAsia" w:ascii="宋体" w:hAnsi="宋体" w:eastAsia="宋体"/>
        </w:rPr>
      </w:pPr>
      <w:r>
        <w:rPr>
          <w:rFonts w:hint="eastAsia" w:ascii="宋体" w:hAnsi="宋体" w:eastAsia="宋体"/>
        </w:rPr>
        <w:t>(5)质量验收合格后，由甲方签署质量验收报告。</w:t>
      </w:r>
    </w:p>
    <w:p w14:paraId="4C071FF3">
      <w:pPr>
        <w:pStyle w:val="7"/>
        <w:snapToGrid w:val="0"/>
        <w:spacing w:line="276" w:lineRule="auto"/>
        <w:ind w:firstLine="480"/>
        <w:rPr>
          <w:rFonts w:hint="eastAsia" w:ascii="宋体" w:hAnsi="宋体" w:eastAsia="宋体"/>
        </w:rPr>
      </w:pPr>
      <w:r>
        <w:rPr>
          <w:rFonts w:hint="eastAsia" w:ascii="宋体" w:hAnsi="宋体" w:eastAsia="宋体"/>
        </w:rPr>
        <w:t>3、乙方应将所提供货物的装箱清单、配件、随机工具、用户使用手册、原厂保修卡等资料交付给甲方；乙方不能完整交付货物及本款规定的单证和工具的，必须负责补齐，否则视为未按合同约定交货。</w:t>
      </w:r>
    </w:p>
    <w:p w14:paraId="5274E42E">
      <w:pPr>
        <w:pStyle w:val="7"/>
        <w:snapToGrid w:val="0"/>
        <w:spacing w:line="276" w:lineRule="auto"/>
        <w:ind w:firstLine="480"/>
        <w:rPr>
          <w:rFonts w:hint="eastAsia" w:ascii="宋体" w:hAnsi="宋体" w:eastAsia="宋体"/>
        </w:rPr>
      </w:pPr>
      <w:r>
        <w:rPr>
          <w:rFonts w:hint="eastAsia" w:ascii="宋体" w:hAnsi="宋体" w:eastAsia="宋体"/>
        </w:rPr>
        <w:t>4、如货物经乙方</w:t>
      </w:r>
      <w:r>
        <w:rPr>
          <w:rFonts w:hint="eastAsia" w:ascii="宋体" w:hAnsi="宋体" w:eastAsia="宋体"/>
          <w:u w:val="single"/>
        </w:rPr>
        <w:t xml:space="preserve"> 3  </w:t>
      </w:r>
      <w:r>
        <w:rPr>
          <w:rFonts w:hint="eastAsia" w:ascii="宋体" w:hAnsi="宋体" w:eastAsia="宋体"/>
        </w:rPr>
        <w:t>次维修仍不能达到合同约定的质量标准，甲方有权退货，并视作乙方不能交付货物而须支付违约金给甲方，甲方还可依法追究乙方的赔偿责任。 </w:t>
      </w:r>
    </w:p>
    <w:p w14:paraId="1F5A6B2B">
      <w:pPr>
        <w:pStyle w:val="7"/>
        <w:spacing w:line="276" w:lineRule="auto"/>
        <w:ind w:firstLine="480"/>
        <w:rPr>
          <w:rFonts w:hint="eastAsia" w:ascii="宋体" w:hAnsi="宋体" w:eastAsia="宋体"/>
        </w:rPr>
      </w:pPr>
      <w:r>
        <w:rPr>
          <w:rFonts w:hint="eastAsia" w:ascii="宋体" w:hAnsi="宋体" w:eastAsia="宋体"/>
        </w:rPr>
        <w:t>5、其他未尽事宜应严格按照《财政部关于进一步加强政府采购需求和履约验收管理的指导意见》（财库〔2016〕205号）的要求进行。 </w:t>
      </w:r>
    </w:p>
    <w:p w14:paraId="6B984BD6">
      <w:pPr>
        <w:pStyle w:val="2"/>
        <w:spacing w:before="0" w:after="0" w:line="276" w:lineRule="auto"/>
        <w:ind w:firstLine="482"/>
        <w:rPr>
          <w:rFonts w:hint="eastAsia" w:ascii="宋体" w:hAnsi="宋体" w:eastAsia="宋体" w:cs="宋体"/>
          <w:sz w:val="24"/>
          <w:szCs w:val="24"/>
        </w:rPr>
      </w:pPr>
      <w:bookmarkStart w:id="28" w:name="_Toc363744978"/>
      <w:bookmarkStart w:id="29" w:name="_Toc407626791"/>
      <w:bookmarkStart w:id="30" w:name="_Toc444176114"/>
      <w:bookmarkStart w:id="31" w:name="_Toc377632490"/>
      <w:bookmarkStart w:id="32" w:name="_Toc443572461"/>
      <w:bookmarkStart w:id="33" w:name="_Toc361307000"/>
      <w:bookmarkStart w:id="34" w:name="_Toc217446111"/>
      <w:r>
        <w:rPr>
          <w:rFonts w:hint="eastAsia" w:ascii="宋体" w:hAnsi="宋体" w:eastAsia="宋体" w:cs="宋体"/>
          <w:sz w:val="24"/>
          <w:szCs w:val="24"/>
        </w:rPr>
        <w:t>六、</w:t>
      </w:r>
      <w:bookmarkEnd w:id="28"/>
      <w:bookmarkEnd w:id="29"/>
      <w:bookmarkEnd w:id="30"/>
      <w:bookmarkEnd w:id="31"/>
      <w:bookmarkEnd w:id="32"/>
      <w:bookmarkEnd w:id="33"/>
      <w:bookmarkEnd w:id="34"/>
      <w:r>
        <w:rPr>
          <w:rFonts w:hint="eastAsia" w:ascii="宋体" w:hAnsi="宋体" w:eastAsia="宋体" w:cs="宋体"/>
          <w:sz w:val="24"/>
          <w:szCs w:val="24"/>
        </w:rPr>
        <w:t>货款结算</w:t>
      </w:r>
    </w:p>
    <w:p w14:paraId="61850260">
      <w:pPr>
        <w:pStyle w:val="7"/>
        <w:snapToGrid w:val="0"/>
        <w:spacing w:line="276" w:lineRule="auto"/>
        <w:ind w:firstLine="480"/>
        <w:rPr>
          <w:rFonts w:hint="eastAsia" w:ascii="宋体" w:hAnsi="宋体" w:eastAsia="宋体"/>
          <w:u w:val="single"/>
        </w:rPr>
      </w:pPr>
      <w:r>
        <w:rPr>
          <w:rFonts w:hint="eastAsia" w:ascii="宋体" w:hAnsi="宋体" w:eastAsia="宋体"/>
          <w:u w:val="single"/>
        </w:rPr>
        <w:t>货物到达</w:t>
      </w:r>
      <w:r>
        <w:rPr>
          <w:rFonts w:hint="eastAsia" w:ascii="宋体" w:hAnsi="宋体" w:eastAsia="宋体"/>
          <w:bCs/>
          <w:u w:val="single"/>
        </w:rPr>
        <w:t>指定地点安装调试完毕并验收合格后，乙方并提供</w:t>
      </w:r>
      <w:r>
        <w:rPr>
          <w:rFonts w:hint="eastAsia" w:ascii="宋体" w:hAnsi="宋体" w:eastAsia="宋体"/>
          <w:color w:val="000000"/>
          <w:u w:val="single"/>
        </w:rPr>
        <w:t>合法有效完整的完税发票</w:t>
      </w:r>
      <w:r>
        <w:rPr>
          <w:rFonts w:hint="eastAsia" w:ascii="宋体" w:hAnsi="宋体" w:eastAsia="宋体"/>
          <w:bCs/>
          <w:u w:val="single"/>
        </w:rPr>
        <w:t>及凭证资料，采购人按中标金额的100%支付</w:t>
      </w:r>
      <w:r>
        <w:rPr>
          <w:rFonts w:hint="eastAsia" w:ascii="宋体" w:hAnsi="宋体" w:eastAsia="宋体"/>
          <w:u w:val="single"/>
        </w:rPr>
        <w:t>（人民币:           ,大写金额：         ）。</w:t>
      </w:r>
    </w:p>
    <w:p w14:paraId="0AF56DED">
      <w:pPr>
        <w:pStyle w:val="2"/>
        <w:spacing w:before="0" w:after="0" w:line="276" w:lineRule="auto"/>
        <w:ind w:firstLine="482"/>
        <w:rPr>
          <w:rFonts w:hint="eastAsia" w:ascii="宋体" w:hAnsi="宋体" w:eastAsia="宋体" w:cs="宋体"/>
          <w:sz w:val="24"/>
          <w:szCs w:val="24"/>
        </w:rPr>
      </w:pPr>
      <w:bookmarkStart w:id="35" w:name="_Toc361307001"/>
      <w:bookmarkStart w:id="36" w:name="_Toc363744979"/>
      <w:bookmarkStart w:id="37" w:name="_Toc407626792"/>
      <w:bookmarkStart w:id="38" w:name="_Toc443572462"/>
      <w:bookmarkStart w:id="39" w:name="_Toc217446112"/>
      <w:bookmarkStart w:id="40" w:name="_Toc444176115"/>
      <w:bookmarkStart w:id="41" w:name="_Toc377632491"/>
      <w:r>
        <w:rPr>
          <w:rFonts w:hint="eastAsia" w:ascii="宋体" w:hAnsi="宋体" w:eastAsia="宋体" w:cs="宋体"/>
          <w:sz w:val="24"/>
          <w:szCs w:val="24"/>
        </w:rPr>
        <w:t>七、售后服务</w:t>
      </w:r>
      <w:bookmarkEnd w:id="35"/>
      <w:bookmarkEnd w:id="36"/>
      <w:bookmarkEnd w:id="37"/>
      <w:bookmarkEnd w:id="38"/>
      <w:bookmarkEnd w:id="39"/>
      <w:bookmarkEnd w:id="40"/>
      <w:bookmarkEnd w:id="41"/>
    </w:p>
    <w:p w14:paraId="5C211416">
      <w:pPr>
        <w:pStyle w:val="7"/>
        <w:snapToGrid w:val="0"/>
        <w:spacing w:line="276" w:lineRule="auto"/>
        <w:ind w:firstLine="480"/>
        <w:rPr>
          <w:rFonts w:hint="eastAsia" w:ascii="宋体" w:hAnsi="宋体" w:eastAsia="宋体"/>
        </w:rPr>
      </w:pPr>
      <w:r>
        <w:rPr>
          <w:rFonts w:hint="eastAsia" w:ascii="宋体" w:hAnsi="宋体" w:eastAsia="宋体"/>
        </w:rPr>
        <w:t>1、质保期为验收合格后</w:t>
      </w:r>
      <w:r>
        <w:rPr>
          <w:rFonts w:hint="eastAsia" w:ascii="宋体" w:hAnsi="宋体" w:eastAsia="宋体"/>
          <w:u w:val="single"/>
        </w:rPr>
        <w:t xml:space="preserve">    </w:t>
      </w:r>
      <w:r>
        <w:rPr>
          <w:rFonts w:hint="eastAsia" w:ascii="宋体" w:hAnsi="宋体" w:eastAsia="宋体"/>
        </w:rPr>
        <w:t>年，质保期内出现质量问题，乙方在接到通知后</w:t>
      </w:r>
      <w:r>
        <w:rPr>
          <w:rFonts w:hint="eastAsia" w:ascii="宋体" w:hAnsi="宋体" w:eastAsia="宋体"/>
          <w:u w:val="single"/>
        </w:rPr>
        <w:t xml:space="preserve"> 2 </w:t>
      </w:r>
      <w:r>
        <w:rPr>
          <w:rFonts w:hint="eastAsia" w:ascii="宋体" w:hAnsi="宋体" w:eastAsia="宋体"/>
        </w:rPr>
        <w:t>小时内响应，</w:t>
      </w:r>
      <w:r>
        <w:rPr>
          <w:rFonts w:hint="eastAsia" w:ascii="宋体" w:hAnsi="宋体" w:eastAsia="宋体"/>
          <w:u w:val="single"/>
        </w:rPr>
        <w:t xml:space="preserve"> 24 </w:t>
      </w:r>
      <w:r>
        <w:rPr>
          <w:rFonts w:hint="eastAsia" w:ascii="宋体" w:hAnsi="宋体" w:eastAsia="宋体"/>
        </w:rPr>
        <w:t>小时内完成维修或更换(特殊情况另行约定)，并承担修理调换的费用；如货物经乙方</w:t>
      </w:r>
      <w:r>
        <w:rPr>
          <w:rFonts w:hint="eastAsia" w:ascii="宋体" w:hAnsi="宋体" w:eastAsia="宋体"/>
          <w:u w:val="single"/>
        </w:rPr>
        <w:t xml:space="preserve"> 3 </w:t>
      </w:r>
      <w:r>
        <w:rPr>
          <w:rFonts w:hint="eastAsia" w:ascii="宋体" w:hAnsi="宋体" w:eastAsia="宋体"/>
        </w:rPr>
        <w:t>次维修仍不能达到本合同约定的质量标准，视作乙方未能按时交货，甲方有权退货并追究乙方的违约责任。货到现场后由于甲方保管不当造成的问题，乙方亦应负责修复，但费用由甲方负担。</w:t>
      </w:r>
    </w:p>
    <w:p w14:paraId="2B818BE7">
      <w:pPr>
        <w:pStyle w:val="7"/>
        <w:snapToGrid w:val="0"/>
        <w:spacing w:line="276" w:lineRule="auto"/>
        <w:ind w:firstLine="480"/>
        <w:rPr>
          <w:rFonts w:hint="eastAsia" w:ascii="宋体" w:hAnsi="宋体" w:eastAsia="宋体"/>
        </w:rPr>
      </w:pPr>
      <w:r>
        <w:rPr>
          <w:rFonts w:hint="eastAsia" w:ascii="宋体" w:hAnsi="宋体" w:eastAsia="宋体"/>
        </w:rPr>
        <w:t>2、乙方须指派专人(联系人：    ， 电话：  )负责与甲方联系售后服务事宜。 </w:t>
      </w:r>
    </w:p>
    <w:p w14:paraId="7756C928">
      <w:pPr>
        <w:spacing w:line="276"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3</w:t>
      </w:r>
      <w:r>
        <w:rPr>
          <w:rFonts w:hint="eastAsia" w:ascii="宋体" w:hAnsi="宋体" w:eastAsia="宋体" w:cs="宋体"/>
          <w:sz w:val="24"/>
        </w:rPr>
        <w:t>、国产</w:t>
      </w:r>
      <w:r>
        <w:rPr>
          <w:rFonts w:hint="eastAsia" w:ascii="宋体" w:hAnsi="宋体" w:eastAsia="宋体" w:cs="宋体"/>
          <w:bCs/>
          <w:color w:val="000000"/>
          <w:sz w:val="24"/>
        </w:rPr>
        <w:t>产品生产日期至供货到医院不能超过6个月；进口产品生产日期至供货到医院不能超过9个月。</w:t>
      </w:r>
    </w:p>
    <w:p w14:paraId="09EAF0D9">
      <w:pPr>
        <w:spacing w:line="276"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4</w:t>
      </w:r>
      <w:r>
        <w:rPr>
          <w:rFonts w:hint="eastAsia" w:ascii="宋体" w:hAnsi="宋体" w:eastAsia="宋体" w:cs="宋体"/>
          <w:sz w:val="24"/>
        </w:rPr>
        <w:t>、</w:t>
      </w:r>
      <w:r>
        <w:rPr>
          <w:rFonts w:hint="eastAsia" w:ascii="宋体" w:hAnsi="宋体" w:eastAsia="宋体" w:cs="宋体"/>
          <w:bCs/>
          <w:color w:val="000000"/>
          <w:sz w:val="24"/>
        </w:rPr>
        <w:t>运输、安装、调试由乙方负责。</w:t>
      </w:r>
    </w:p>
    <w:p w14:paraId="60C3231C">
      <w:pPr>
        <w:pStyle w:val="7"/>
        <w:snapToGrid w:val="0"/>
        <w:spacing w:line="276" w:lineRule="auto"/>
        <w:ind w:firstLine="480"/>
        <w:rPr>
          <w:rFonts w:hint="eastAsia" w:ascii="宋体" w:hAnsi="宋体" w:eastAsia="宋体"/>
        </w:rPr>
      </w:pPr>
      <w:r>
        <w:rPr>
          <w:rFonts w:hint="eastAsia" w:ascii="宋体" w:hAnsi="宋体" w:eastAsia="宋体"/>
          <w:bCs/>
          <w:color w:val="000000"/>
        </w:rPr>
        <w:t>5</w:t>
      </w:r>
      <w:r>
        <w:rPr>
          <w:rFonts w:hint="eastAsia" w:ascii="宋体" w:hAnsi="宋体" w:eastAsia="宋体"/>
        </w:rPr>
        <w:t>、</w:t>
      </w:r>
      <w:r>
        <w:rPr>
          <w:rFonts w:hint="eastAsia" w:ascii="宋体" w:hAnsi="宋体" w:eastAsia="宋体"/>
          <w:bCs/>
          <w:color w:val="000000"/>
        </w:rPr>
        <w:t>供应商应提供现场技术培训，保证使用人员正常操作设备的各种功能。</w:t>
      </w:r>
    </w:p>
    <w:p w14:paraId="353A2606">
      <w:pPr>
        <w:pStyle w:val="2"/>
        <w:spacing w:before="0" w:after="0" w:line="276" w:lineRule="auto"/>
        <w:ind w:firstLine="482"/>
        <w:rPr>
          <w:rFonts w:hint="eastAsia" w:ascii="宋体" w:hAnsi="宋体" w:eastAsia="宋体" w:cs="宋体"/>
          <w:sz w:val="24"/>
          <w:szCs w:val="24"/>
        </w:rPr>
      </w:pPr>
      <w:bookmarkStart w:id="42" w:name="_Toc407626793"/>
      <w:bookmarkStart w:id="43" w:name="_Toc443572463"/>
      <w:bookmarkStart w:id="44" w:name="_Toc444176116"/>
      <w:bookmarkStart w:id="45" w:name="_Toc377632492"/>
      <w:bookmarkStart w:id="46" w:name="_Toc363744980"/>
      <w:bookmarkStart w:id="47" w:name="_Toc361307002"/>
      <w:bookmarkStart w:id="48" w:name="_Toc217446113"/>
      <w:r>
        <w:rPr>
          <w:rFonts w:hint="eastAsia" w:ascii="宋体" w:hAnsi="宋体" w:eastAsia="宋体" w:cs="宋体"/>
          <w:sz w:val="24"/>
          <w:szCs w:val="24"/>
        </w:rPr>
        <w:t>八、违约责任</w:t>
      </w:r>
      <w:bookmarkEnd w:id="42"/>
      <w:bookmarkEnd w:id="43"/>
      <w:bookmarkEnd w:id="44"/>
      <w:bookmarkEnd w:id="45"/>
      <w:bookmarkEnd w:id="46"/>
      <w:bookmarkEnd w:id="47"/>
      <w:bookmarkEnd w:id="48"/>
    </w:p>
    <w:p w14:paraId="79A2CC93">
      <w:pPr>
        <w:pStyle w:val="7"/>
        <w:snapToGrid w:val="0"/>
        <w:spacing w:line="276" w:lineRule="auto"/>
        <w:ind w:firstLine="480"/>
        <w:rPr>
          <w:rFonts w:hint="eastAsia" w:ascii="宋体" w:hAnsi="宋体" w:eastAsia="宋体"/>
        </w:rPr>
      </w:pPr>
      <w:r>
        <w:rPr>
          <w:rFonts w:hint="eastAsia" w:ascii="宋体" w:hAnsi="宋体" w:eastAsia="宋体"/>
        </w:rPr>
        <w:t>1、甲方违约责任</w:t>
      </w:r>
    </w:p>
    <w:p w14:paraId="0CB677C3">
      <w:pPr>
        <w:pStyle w:val="7"/>
        <w:snapToGrid w:val="0"/>
        <w:spacing w:line="276" w:lineRule="auto"/>
        <w:ind w:firstLine="480"/>
        <w:rPr>
          <w:rFonts w:hint="eastAsia" w:ascii="宋体" w:hAnsi="宋体" w:eastAsia="宋体"/>
        </w:rPr>
      </w:pPr>
      <w:r>
        <w:rPr>
          <w:rFonts w:hint="eastAsia" w:ascii="宋体" w:hAnsi="宋体" w:eastAsia="宋体"/>
        </w:rPr>
        <w:t xml:space="preserve">  甲方逾期支付货款的，除应及时补足货款外，还应按人民银行活期存款利率向乙方支付逾期货款的利息。 </w:t>
      </w:r>
    </w:p>
    <w:p w14:paraId="5A898B99">
      <w:pPr>
        <w:pStyle w:val="7"/>
        <w:snapToGrid w:val="0"/>
        <w:spacing w:line="276" w:lineRule="auto"/>
        <w:ind w:firstLine="480"/>
        <w:rPr>
          <w:rFonts w:hint="eastAsia" w:ascii="宋体" w:hAnsi="宋体" w:eastAsia="宋体"/>
        </w:rPr>
      </w:pPr>
      <w:r>
        <w:rPr>
          <w:rFonts w:hint="eastAsia" w:ascii="宋体" w:hAnsi="宋体" w:eastAsia="宋体"/>
        </w:rPr>
        <w:t>2、乙方违约责任</w:t>
      </w:r>
    </w:p>
    <w:p w14:paraId="00D12569">
      <w:pPr>
        <w:pStyle w:val="7"/>
        <w:snapToGrid w:val="0"/>
        <w:spacing w:line="276" w:lineRule="auto"/>
        <w:ind w:firstLine="480"/>
        <w:rPr>
          <w:rFonts w:hint="eastAsia" w:ascii="宋体" w:hAnsi="宋体" w:eastAsia="宋体"/>
        </w:rPr>
      </w:pPr>
      <w:r>
        <w:rPr>
          <w:rFonts w:hint="eastAsia" w:ascii="宋体" w:hAnsi="宋体" w:eastAsia="宋体"/>
        </w:rPr>
        <w:t>（1）乙方交付的货物质量不符合合同规定的，乙方应向甲方支付合同总价的百分之</w:t>
      </w:r>
      <w:r>
        <w:rPr>
          <w:rFonts w:hint="eastAsia" w:ascii="宋体" w:hAnsi="宋体" w:eastAsia="宋体"/>
          <w:u w:val="single"/>
        </w:rPr>
        <w:t xml:space="preserve"> 五 </w:t>
      </w:r>
      <w:r>
        <w:rPr>
          <w:rFonts w:hint="eastAsia" w:ascii="宋体" w:hAnsi="宋体" w:eastAsia="宋体"/>
        </w:rPr>
        <w:t>的违约金，并须在合同规定的交货时间内更换合格的货物给甲方，否则，视作乙方不能交付货物而违约，按本条本款下述第“（2）”项规定由乙方偿付违约赔偿金给甲方。</w:t>
      </w:r>
    </w:p>
    <w:p w14:paraId="2509F99F">
      <w:pPr>
        <w:pStyle w:val="7"/>
        <w:snapToGrid w:val="0"/>
        <w:spacing w:line="276" w:lineRule="auto"/>
        <w:ind w:firstLine="480"/>
        <w:rPr>
          <w:rFonts w:hint="eastAsia" w:ascii="宋体" w:hAnsi="宋体" w:eastAsia="宋体"/>
        </w:rPr>
      </w:pPr>
      <w:r>
        <w:rPr>
          <w:rFonts w:hint="eastAsia" w:ascii="宋体" w:hAnsi="宋体" w:eastAsia="宋体"/>
        </w:rPr>
        <w:t>（2）乙方不能交付货物或逾期交付货物而违约的，除应及时交足货物外，应向甲方偿付逾期交货部分货款总额的万分之</w:t>
      </w:r>
      <w:r>
        <w:rPr>
          <w:rFonts w:hint="eastAsia" w:ascii="宋体" w:hAnsi="宋体" w:eastAsia="宋体"/>
          <w:u w:val="single"/>
        </w:rPr>
        <w:t xml:space="preserve"> 五 </w:t>
      </w:r>
      <w:r>
        <w:rPr>
          <w:rFonts w:hint="eastAsia" w:ascii="宋体" w:hAnsi="宋体" w:eastAsia="宋体"/>
        </w:rPr>
        <w:t xml:space="preserve"> /天的违约金；逾期交货超过</w:t>
      </w:r>
      <w:r>
        <w:rPr>
          <w:rFonts w:hint="eastAsia" w:ascii="宋体" w:hAnsi="宋体" w:eastAsia="宋体"/>
          <w:u w:val="single"/>
        </w:rPr>
        <w:t xml:space="preserve"> 30</w:t>
      </w:r>
      <w:r>
        <w:rPr>
          <w:rFonts w:hint="eastAsia" w:ascii="宋体" w:hAnsi="宋体" w:eastAsia="宋体"/>
        </w:rPr>
        <w:t>天，甲方有权终止合同，乙方则应按合同总价的百分之</w:t>
      </w:r>
      <w:r>
        <w:rPr>
          <w:rFonts w:hint="eastAsia" w:ascii="宋体" w:hAnsi="宋体" w:eastAsia="宋体"/>
          <w:u w:val="single"/>
        </w:rPr>
        <w:t xml:space="preserve"> 二十 </w:t>
      </w:r>
      <w:r>
        <w:rPr>
          <w:rFonts w:hint="eastAsia" w:ascii="宋体" w:hAnsi="宋体" w:eastAsia="宋体"/>
        </w:rPr>
        <w:t>的款额向甲方偿付赔偿金，并须全额退还甲方已经付给乙方的货款及其利息。</w:t>
      </w:r>
    </w:p>
    <w:p w14:paraId="6765E0D3">
      <w:pPr>
        <w:pStyle w:val="7"/>
        <w:snapToGrid w:val="0"/>
        <w:spacing w:line="276" w:lineRule="auto"/>
        <w:ind w:firstLine="480"/>
        <w:rPr>
          <w:rFonts w:hint="eastAsia" w:ascii="宋体" w:hAnsi="宋体" w:eastAsia="宋体"/>
        </w:rPr>
      </w:pPr>
      <w:r>
        <w:rPr>
          <w:rFonts w:hint="eastAsia" w:ascii="宋体" w:hAnsi="宋体" w:eastAsia="宋体"/>
        </w:rPr>
        <w:t>（3）乙方货物经甲方送交具有法定资格的质量技术监督机构检测后，如检测结果认定货物质量不符合本合同规定标准的，则视为乙方没有按时交货而违约，乙方须在</w:t>
      </w:r>
      <w:r>
        <w:rPr>
          <w:rFonts w:hint="eastAsia" w:ascii="宋体" w:hAnsi="宋体" w:eastAsia="宋体"/>
          <w:u w:val="single"/>
        </w:rPr>
        <w:t xml:space="preserve"> 30  </w:t>
      </w:r>
      <w:r>
        <w:rPr>
          <w:rFonts w:hint="eastAsia" w:ascii="宋体" w:hAnsi="宋体" w:eastAsia="宋体"/>
        </w:rPr>
        <w:t>天内无条件更换合格的货物，如逾期不能更换合格的货物，甲方有权终止本合同，乙方应另付合同总价的百分之</w:t>
      </w:r>
      <w:r>
        <w:rPr>
          <w:rFonts w:hint="eastAsia" w:ascii="宋体" w:hAnsi="宋体" w:eastAsia="宋体"/>
          <w:u w:val="single"/>
        </w:rPr>
        <w:t xml:space="preserve"> 二十  </w:t>
      </w:r>
      <w:r>
        <w:rPr>
          <w:rFonts w:hint="eastAsia" w:ascii="宋体" w:hAnsi="宋体" w:eastAsia="宋体"/>
        </w:rPr>
        <w:t>的赔偿金给甲方。</w:t>
      </w:r>
    </w:p>
    <w:p w14:paraId="64BD6C87">
      <w:pPr>
        <w:pStyle w:val="7"/>
        <w:snapToGrid w:val="0"/>
        <w:spacing w:line="276" w:lineRule="auto"/>
        <w:ind w:firstLine="480"/>
        <w:rPr>
          <w:rFonts w:hint="eastAsia" w:ascii="宋体" w:hAnsi="宋体" w:eastAsia="宋体"/>
        </w:rPr>
      </w:pPr>
      <w:r>
        <w:rPr>
          <w:rFonts w:hint="eastAsia" w:ascii="宋体" w:hAnsi="宋体" w:eastAsia="宋体"/>
        </w:rPr>
        <w:t>（4）乙方保证本合同货物的权利无瑕疵，包括货物所有权及知识产权等权利无瑕疵。如任何</w:t>
      </w:r>
      <w:r>
        <w:rPr>
          <w:rFonts w:hint="eastAsia" w:ascii="宋体" w:hAnsi="宋体" w:eastAsia="宋体"/>
          <w:color w:val="000000"/>
        </w:rPr>
        <w:t>第三方经法院（或仲裁机构）裁决有权对上述货物主张权利</w:t>
      </w:r>
      <w:r>
        <w:rPr>
          <w:rFonts w:hint="eastAsia" w:ascii="宋体" w:hAnsi="宋体" w:eastAsia="宋体"/>
        </w:rPr>
        <w:t>或国家机关依法对货物进行没收查处的，乙方除应向甲方返还已收款项外，还应另按合同总价的百分之</w:t>
      </w:r>
      <w:r>
        <w:rPr>
          <w:rFonts w:hint="eastAsia" w:ascii="宋体" w:hAnsi="宋体" w:eastAsia="宋体"/>
          <w:u w:val="single"/>
        </w:rPr>
        <w:t xml:space="preserve"> 二十  </w:t>
      </w:r>
      <w:r>
        <w:rPr>
          <w:rFonts w:hint="eastAsia" w:ascii="宋体" w:hAnsi="宋体" w:eastAsia="宋体"/>
        </w:rPr>
        <w:t>向甲方支付违约金并赔偿因此给甲方造成的一切损失。</w:t>
      </w:r>
    </w:p>
    <w:p w14:paraId="04D8F92E">
      <w:pPr>
        <w:pStyle w:val="7"/>
        <w:snapToGrid w:val="0"/>
        <w:spacing w:line="276" w:lineRule="auto"/>
        <w:ind w:firstLine="480"/>
        <w:rPr>
          <w:rFonts w:hint="eastAsia" w:ascii="宋体" w:hAnsi="宋体" w:eastAsia="宋体"/>
        </w:rPr>
      </w:pPr>
      <w:r>
        <w:rPr>
          <w:rFonts w:hint="eastAsia" w:ascii="宋体" w:hAnsi="宋体" w:eastAsia="宋体"/>
        </w:rPr>
        <w:t>（5）乙方偿付的违约金不足以弥补甲方损失的，还应按甲方损失尚未弥补的部分，支付赔偿金给甲方。</w:t>
      </w:r>
    </w:p>
    <w:p w14:paraId="748AD7B8">
      <w:pPr>
        <w:pStyle w:val="7"/>
        <w:spacing w:line="276" w:lineRule="auto"/>
        <w:ind w:firstLine="480"/>
        <w:rPr>
          <w:rFonts w:hint="eastAsia" w:ascii="宋体" w:hAnsi="宋体" w:eastAsia="宋体"/>
          <w:color w:val="000000"/>
        </w:rPr>
      </w:pPr>
      <w:r>
        <w:rPr>
          <w:rFonts w:hint="eastAsia" w:ascii="宋体" w:hAnsi="宋体" w:eastAsia="宋体"/>
          <w:color w:val="000000"/>
        </w:rPr>
        <w:t>（6）乙方不履行或迟延履行售后维保义务的，每发生一次，应向甲方支付合同总价款百分之三十的违约金，且甲方有权委托第三方维保，由此发生的维保费用由乙方承担。</w:t>
      </w:r>
    </w:p>
    <w:p w14:paraId="0A232619">
      <w:pPr>
        <w:pStyle w:val="2"/>
        <w:spacing w:before="0" w:after="0" w:line="276" w:lineRule="auto"/>
        <w:ind w:firstLine="482"/>
        <w:rPr>
          <w:rFonts w:hint="eastAsia" w:ascii="宋体" w:hAnsi="宋体" w:eastAsia="宋体" w:cs="宋体"/>
          <w:sz w:val="24"/>
          <w:szCs w:val="24"/>
        </w:rPr>
      </w:pPr>
      <w:bookmarkStart w:id="49" w:name="_Toc217446114"/>
      <w:bookmarkStart w:id="50" w:name="_Toc443572464"/>
      <w:bookmarkStart w:id="51" w:name="_Toc363744981"/>
      <w:bookmarkStart w:id="52" w:name="_Toc377632493"/>
      <w:bookmarkStart w:id="53" w:name="_Toc444176117"/>
      <w:bookmarkStart w:id="54" w:name="_Toc407626794"/>
      <w:bookmarkStart w:id="55" w:name="_Toc361307003"/>
      <w:r>
        <w:rPr>
          <w:rFonts w:hint="eastAsia" w:ascii="宋体" w:hAnsi="宋体" w:eastAsia="宋体" w:cs="宋体"/>
          <w:sz w:val="24"/>
          <w:szCs w:val="24"/>
        </w:rPr>
        <w:t>九、争议解决办法</w:t>
      </w:r>
      <w:bookmarkEnd w:id="49"/>
      <w:bookmarkEnd w:id="50"/>
      <w:bookmarkEnd w:id="51"/>
      <w:bookmarkEnd w:id="52"/>
      <w:bookmarkEnd w:id="53"/>
      <w:bookmarkEnd w:id="54"/>
      <w:bookmarkEnd w:id="55"/>
    </w:p>
    <w:p w14:paraId="392C12BE">
      <w:pPr>
        <w:pStyle w:val="7"/>
        <w:snapToGrid w:val="0"/>
        <w:spacing w:line="276" w:lineRule="auto"/>
        <w:ind w:firstLine="480"/>
        <w:rPr>
          <w:rFonts w:hint="eastAsia" w:ascii="宋体" w:hAnsi="宋体" w:eastAsia="宋体"/>
        </w:rPr>
      </w:pPr>
      <w:r>
        <w:rPr>
          <w:rFonts w:hint="eastAsia" w:ascii="宋体" w:hAnsi="宋体" w:eastAsia="宋体"/>
        </w:rPr>
        <w:t>1、因货物的质量问题发生争议，由质量技术监督部门或其指定的质量鉴定机构进行质量鉴定。货物符合标准的，鉴定费由甲方承担；货物不符合质量标准的，鉴定费由乙方承担。</w:t>
      </w:r>
    </w:p>
    <w:p w14:paraId="59AD336E">
      <w:pPr>
        <w:pStyle w:val="7"/>
        <w:snapToGrid w:val="0"/>
        <w:spacing w:line="276" w:lineRule="auto"/>
        <w:ind w:firstLine="480"/>
        <w:rPr>
          <w:rFonts w:hint="eastAsia" w:ascii="宋体" w:hAnsi="宋体" w:eastAsia="宋体"/>
        </w:rPr>
      </w:pPr>
      <w:r>
        <w:rPr>
          <w:rFonts w:hint="eastAsia" w:ascii="宋体" w:hAnsi="宋体" w:eastAsia="宋体"/>
        </w:rPr>
        <w:t>2、合同履行期间,若双方发生争议，可协商或由有关部门调解解决，协商或调解不成的，由当事人依法向甲方所在地人民法院起诉。</w:t>
      </w:r>
    </w:p>
    <w:p w14:paraId="7305819D">
      <w:pPr>
        <w:pStyle w:val="2"/>
        <w:spacing w:before="0" w:after="0" w:line="276" w:lineRule="auto"/>
        <w:ind w:firstLine="482"/>
        <w:rPr>
          <w:rFonts w:hint="eastAsia" w:ascii="宋体" w:hAnsi="宋体" w:eastAsia="宋体" w:cs="宋体"/>
          <w:sz w:val="24"/>
          <w:szCs w:val="24"/>
        </w:rPr>
      </w:pPr>
      <w:bookmarkStart w:id="56" w:name="_Toc361307004"/>
      <w:bookmarkStart w:id="57" w:name="_Toc444176118"/>
      <w:bookmarkStart w:id="58" w:name="_Toc377632494"/>
      <w:bookmarkStart w:id="59" w:name="_Toc407626795"/>
      <w:bookmarkStart w:id="60" w:name="_Toc443572465"/>
      <w:bookmarkStart w:id="61" w:name="_Toc217446115"/>
      <w:bookmarkStart w:id="62" w:name="_Toc363744982"/>
      <w:r>
        <w:rPr>
          <w:rFonts w:hint="eastAsia" w:ascii="宋体" w:hAnsi="宋体" w:eastAsia="宋体" w:cs="宋体"/>
          <w:sz w:val="24"/>
          <w:szCs w:val="24"/>
        </w:rPr>
        <w:t>十、其他</w:t>
      </w:r>
      <w:bookmarkEnd w:id="56"/>
      <w:bookmarkEnd w:id="57"/>
      <w:bookmarkEnd w:id="58"/>
      <w:bookmarkEnd w:id="59"/>
      <w:bookmarkEnd w:id="60"/>
      <w:bookmarkEnd w:id="61"/>
      <w:bookmarkEnd w:id="62"/>
    </w:p>
    <w:p w14:paraId="3C68F6AC">
      <w:pPr>
        <w:pStyle w:val="7"/>
        <w:snapToGrid w:val="0"/>
        <w:spacing w:line="276" w:lineRule="auto"/>
        <w:ind w:firstLine="480"/>
        <w:rPr>
          <w:rFonts w:hint="eastAsia" w:ascii="宋体" w:hAnsi="宋体" w:eastAsia="宋体"/>
        </w:rPr>
      </w:pPr>
      <w:r>
        <w:rPr>
          <w:rFonts w:hint="eastAsia" w:ascii="宋体" w:hAnsi="宋体" w:eastAsia="宋体"/>
        </w:rPr>
        <w:t>1、如有未尽事宜，由双方依法订立补充合同。</w:t>
      </w:r>
    </w:p>
    <w:p w14:paraId="3142B1D3">
      <w:pPr>
        <w:pStyle w:val="7"/>
        <w:snapToGrid w:val="0"/>
        <w:spacing w:line="276" w:lineRule="auto"/>
        <w:ind w:firstLine="480"/>
        <w:rPr>
          <w:rFonts w:hint="eastAsia" w:ascii="宋体" w:hAnsi="宋体" w:eastAsia="宋体"/>
        </w:rPr>
      </w:pPr>
      <w:r>
        <w:rPr>
          <w:rFonts w:hint="eastAsia" w:ascii="宋体" w:hAnsi="宋体" w:eastAsia="宋体"/>
        </w:rPr>
        <w:t>2、本合同一式伍份，自双方签章之日起生效。甲方三份，乙方、采购代理机构各一份。</w:t>
      </w:r>
    </w:p>
    <w:p w14:paraId="05BA19A5">
      <w:pPr>
        <w:snapToGrid w:val="0"/>
        <w:spacing w:line="480" w:lineRule="auto"/>
        <w:ind w:firstLine="480" w:firstLineChars="200"/>
        <w:rPr>
          <w:rFonts w:hint="eastAsia" w:ascii="宋体" w:hAnsi="宋体" w:eastAsia="宋体" w:cs="宋体"/>
          <w:sz w:val="24"/>
        </w:rPr>
      </w:pPr>
    </w:p>
    <w:p w14:paraId="63682F2D">
      <w:pPr>
        <w:snapToGrid w:val="0"/>
        <w:spacing w:line="480" w:lineRule="auto"/>
        <w:ind w:firstLine="480" w:firstLineChars="200"/>
        <w:rPr>
          <w:rFonts w:hint="eastAsia" w:ascii="宋体" w:hAnsi="宋体" w:eastAsia="宋体" w:cs="宋体"/>
          <w:sz w:val="24"/>
        </w:rPr>
      </w:pPr>
      <w:r>
        <w:rPr>
          <w:rFonts w:hint="eastAsia" w:ascii="宋体" w:hAnsi="宋体" w:eastAsia="宋体" w:cs="宋体"/>
          <w:sz w:val="24"/>
        </w:rPr>
        <w:t xml:space="preserve">甲方：绵竹市人民医院（盖章）   </w:t>
      </w:r>
      <w:r>
        <w:rPr>
          <w:rFonts w:hint="eastAsia" w:ascii="宋体" w:hAnsi="宋体" w:eastAsia="宋体" w:cs="宋体"/>
          <w:sz w:val="24"/>
        </w:rPr>
        <w:tab/>
      </w:r>
      <w:r>
        <w:rPr>
          <w:rFonts w:hint="eastAsia" w:ascii="宋体" w:hAnsi="宋体" w:eastAsia="宋体" w:cs="宋体"/>
          <w:sz w:val="24"/>
        </w:rPr>
        <w:t xml:space="preserve">    乙方：   （盖章）</w:t>
      </w:r>
    </w:p>
    <w:p w14:paraId="3701C237">
      <w:pPr>
        <w:snapToGrid w:val="0"/>
        <w:spacing w:line="480" w:lineRule="auto"/>
        <w:ind w:firstLine="480" w:firstLineChars="200"/>
        <w:rPr>
          <w:rFonts w:hint="eastAsia" w:ascii="宋体" w:hAnsi="宋体" w:eastAsia="宋体" w:cs="宋体"/>
          <w:sz w:val="24"/>
        </w:rPr>
      </w:pPr>
      <w:r>
        <w:rPr>
          <w:rFonts w:hint="eastAsia" w:ascii="宋体" w:hAnsi="宋体" w:eastAsia="宋体" w:cs="宋体"/>
          <w:sz w:val="24"/>
        </w:rPr>
        <w:t>法定代表人（授权代表）：                法定代表人（授权代表）：</w:t>
      </w:r>
    </w:p>
    <w:p w14:paraId="7C69CD3C">
      <w:pPr>
        <w:snapToGrid w:val="0"/>
        <w:spacing w:line="360" w:lineRule="exact"/>
        <w:ind w:firstLine="480" w:firstLineChars="200"/>
        <w:rPr>
          <w:rFonts w:hint="eastAsia" w:ascii="宋体" w:hAnsi="宋体" w:eastAsia="宋体" w:cs="宋体"/>
          <w:sz w:val="24"/>
        </w:rPr>
      </w:pPr>
      <w:r>
        <w:rPr>
          <w:rFonts w:hint="eastAsia" w:ascii="宋体" w:hAnsi="宋体" w:eastAsia="宋体" w:cs="宋体"/>
          <w:sz w:val="24"/>
        </w:rPr>
        <w:t>地    址：四川省绵竹市南京大道一段268号   地    址：</w:t>
      </w:r>
    </w:p>
    <w:p w14:paraId="36B81EAD">
      <w:pPr>
        <w:snapToGrid w:val="0"/>
        <w:spacing w:line="360" w:lineRule="exact"/>
        <w:ind w:firstLine="480" w:firstLineChars="200"/>
        <w:rPr>
          <w:rFonts w:hint="eastAsia" w:ascii="宋体" w:hAnsi="宋体" w:eastAsia="宋体" w:cs="宋体"/>
          <w:sz w:val="24"/>
        </w:rPr>
      </w:pPr>
      <w:r>
        <w:rPr>
          <w:rFonts w:hint="eastAsia" w:ascii="宋体" w:hAnsi="宋体" w:eastAsia="宋体" w:cs="宋体"/>
          <w:sz w:val="24"/>
        </w:rPr>
        <w:t>开户银行：中国工商银行绵竹支行         开户银行：</w:t>
      </w:r>
    </w:p>
    <w:p w14:paraId="70774331">
      <w:pPr>
        <w:snapToGrid w:val="0"/>
        <w:spacing w:line="360" w:lineRule="exact"/>
        <w:ind w:firstLine="480" w:firstLineChars="200"/>
        <w:rPr>
          <w:rFonts w:hint="eastAsia" w:ascii="宋体" w:hAnsi="宋体" w:eastAsia="宋体" w:cs="宋体"/>
          <w:sz w:val="24"/>
        </w:rPr>
      </w:pPr>
      <w:r>
        <w:rPr>
          <w:rFonts w:hint="eastAsia" w:ascii="宋体" w:hAnsi="宋体" w:eastAsia="宋体" w:cs="宋体"/>
          <w:sz w:val="24"/>
        </w:rPr>
        <w:t>账    号：2305 3701 0902 4907 913      账    号：</w:t>
      </w:r>
    </w:p>
    <w:p w14:paraId="3576E771">
      <w:pPr>
        <w:snapToGrid w:val="0"/>
        <w:spacing w:line="360" w:lineRule="exact"/>
        <w:ind w:firstLine="480" w:firstLineChars="200"/>
        <w:rPr>
          <w:rFonts w:hint="eastAsia" w:ascii="宋体" w:hAnsi="宋体" w:eastAsia="宋体" w:cs="宋体"/>
          <w:sz w:val="24"/>
        </w:rPr>
      </w:pPr>
      <w:r>
        <w:rPr>
          <w:rFonts w:hint="eastAsia" w:ascii="宋体" w:hAnsi="宋体" w:eastAsia="宋体" w:cs="宋体"/>
          <w:sz w:val="24"/>
        </w:rPr>
        <w:t>电    话：0838-5987998                 电    话：</w:t>
      </w:r>
    </w:p>
    <w:p w14:paraId="2899C17A">
      <w:pPr>
        <w:snapToGrid w:val="0"/>
        <w:spacing w:line="360" w:lineRule="exact"/>
        <w:ind w:firstLine="480" w:firstLineChars="200"/>
        <w:rPr>
          <w:rFonts w:hint="eastAsia" w:ascii="宋体" w:hAnsi="宋体" w:eastAsia="宋体" w:cs="宋体"/>
          <w:sz w:val="24"/>
        </w:rPr>
      </w:pPr>
      <w:r>
        <w:rPr>
          <w:rFonts w:hint="eastAsia" w:ascii="宋体" w:hAnsi="宋体" w:eastAsia="宋体" w:cs="宋体"/>
          <w:sz w:val="24"/>
        </w:rPr>
        <w:t>传    真：0838-6202297                 传    真：</w:t>
      </w:r>
    </w:p>
    <w:p w14:paraId="549F8510">
      <w:r>
        <w:rPr>
          <w:rFonts w:hint="eastAsia" w:ascii="宋体" w:hAnsi="宋体" w:eastAsia="宋体" w:cs="宋体"/>
          <w:sz w:val="24"/>
        </w:rPr>
        <w:t>签约日期：    年   月   日             签约日期：    年   月   日</w:t>
      </w:r>
      <w:bookmarkStart w:id="63" w:name="_GoBack"/>
      <w:bookmarkEnd w:id="6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
    <w:altName w:val="仿宋"/>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ED26F5"/>
    <w:rsid w:val="62ED26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 w:cs="Times New Roman"/>
      <w:kern w:val="2"/>
      <w:sz w:val="32"/>
      <w:szCs w:val="24"/>
      <w:lang w:val="en-US" w:eastAsia="zh-CN" w:bidi="ar-SA"/>
    </w:rPr>
  </w:style>
  <w:style w:type="paragraph" w:styleId="2">
    <w:name w:val="heading 2"/>
    <w:basedOn w:val="1"/>
    <w:next w:val="1"/>
    <w:qFormat/>
    <w:uiPriority w:val="0"/>
    <w:pPr>
      <w:keepNext/>
      <w:keepLines/>
      <w:spacing w:before="260" w:after="260" w:line="413" w:lineRule="auto"/>
      <w:ind w:firstLine="200" w:firstLineChars="200"/>
      <w:outlineLvl w:val="1"/>
    </w:pPr>
    <w:rPr>
      <w:rFonts w:ascii="Arial" w:hAnsi="Arial" w:eastAsia="黑体"/>
      <w:b/>
      <w:szCs w:val="22"/>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annotation text"/>
    <w:basedOn w:val="1"/>
    <w:qFormat/>
    <w:uiPriority w:val="0"/>
    <w:pPr>
      <w:jc w:val="left"/>
    </w:pPr>
  </w:style>
  <w:style w:type="paragraph" w:customStyle="1" w:styleId="7">
    <w:name w:val="样式 首行缩进:  2 字符"/>
    <w:basedOn w:val="1"/>
    <w:qFormat/>
    <w:uiPriority w:val="0"/>
    <w:pPr>
      <w:spacing w:line="400" w:lineRule="exact"/>
      <w:ind w:firstLine="200" w:firstLineChars="200"/>
    </w:pPr>
    <w:rPr>
      <w:rFonts w:cs="宋体"/>
      <w:sz w:val="24"/>
      <w:lang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2025-03-20T03:31:00Z</dcterms:created>
  <dc:creator>Sunshine</dc:creator>
  <cp:lastModifiedBy>Sunshine</cp:lastModifiedBy>
  <dcterms:modified xsi:type="dcterms:W3CDTF">2025-03-20T03:31:41Z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77E1249B170E4ABCB1E5EB1016D0519C_11</vt:lpwstr>
  </property>
  <property fmtid="{D5CDD505-2E9C-101B-9397-08002B2CF9AE}" pid="4" name="KSOTemplateDocerSaveRecord">
    <vt:lpwstr>eyJoZGlkIjoiZGE4MzZiNzRkMzQ5NWZhNjVhYWMwNjU3MjBlM2IzMmIiLCJ1c2VySWQiOiI0MjIyOTcyNDQifQ==</vt:lpwstr>
  </property>
</Properties>
</file>