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版本号：N510683202500002920250318001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半导体激光光动力治疗机等医疗设备采购项目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N5106832025000029</w:t>
      </w:r>
    </w:p>
    <w:p>
      <w:pPr>
        <w:pStyle w:val="null3"/>
        <w:jc w:val="left"/>
        <w:outlineLvl w:val="2"/>
      </w:pPr>
      <w:r>
        <w:rPr>
          <w:rFonts w:ascii="仿宋_GB2312" w:hAnsi="仿宋_GB2312" w:cs="仿宋_GB2312" w:eastAsia="仿宋_GB2312"/>
          <w:sz w:val="28"/>
          <w:b/>
        </w:rPr>
        <w:t>绵竹市人民医院</w:t>
      </w:r>
    </w:p>
    <w:p>
      <w:pPr>
        <w:pStyle w:val="null3"/>
        <w:jc w:val="center"/>
        <w:outlineLvl w:val="2"/>
      </w:pPr>
      <w:r>
        <w:rPr>
          <w:rFonts w:ascii="仿宋_GB2312" w:hAnsi="仿宋_GB2312" w:cs="仿宋_GB2312" w:eastAsia="仿宋_GB2312"/>
          <w:sz w:val="28"/>
          <w:b/>
        </w:rPr>
        <w:t>四川思渠国际招标有限公司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四川思渠国际招标有限公司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绵竹市人民医院</w:t>
      </w:r>
      <w:r>
        <w:rPr>
          <w:rFonts w:ascii="仿宋_GB2312" w:hAnsi="仿宋_GB2312" w:cs="仿宋_GB2312" w:eastAsia="仿宋_GB2312"/>
        </w:rPr>
        <w:t xml:space="preserve"> 委托，拟对 </w:t>
      </w:r>
      <w:r>
        <w:rPr>
          <w:rFonts w:ascii="仿宋_GB2312" w:hAnsi="仿宋_GB2312" w:cs="仿宋_GB2312" w:eastAsia="仿宋_GB2312"/>
        </w:rPr>
        <w:t>半导体激光光动力治疗机等医疗设备采购项目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德阳市绵竹市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N5106832025000029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半导体激光光动力治疗机等医疗设备采购项目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绵竹市人民医院拟采购半导体激光光动力治疗机等医疗设备一批，本项目分为一个包。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报价产品及其配置产品为医疗设备的，报价产品及其配置产品须符合《医疗器械注册与备案管理办法》要求并提供中华人民共和国医疗器械注册证或备案凭证。（描述：若报价产品及其配置产品为医疗设备的，报价产品及其配置产品须符合《医疗器械注册与备案管理办法》要求并提供中华人民共和国医疗器械注册证或备案凭证。提供相关证明材料并进行电子签章。）</w:t>
      </w:r>
    </w:p>
    <w:p>
      <w:pPr>
        <w:pStyle w:val="null3"/>
        <w:jc w:val="left"/>
      </w:pPr>
      <w:r>
        <w:rPr>
          <w:rFonts w:ascii="仿宋_GB2312" w:hAnsi="仿宋_GB2312" w:cs="仿宋_GB2312" w:eastAsia="仿宋_GB2312"/>
        </w:rPr>
        <w:t>2、若报价产品及其配置产品为医疗设备的，供应商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描述：若报价产品及其配置产品为医疗设备的，供应商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提供相关证明材料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绵竹市人民医院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绵竹市剑南镇南京大道一段268号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0838-5987998</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四川思渠国际招标有限公司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四川省成都市金牛区茶店子西街36号金璐天下1栋2单元18层；项目咨询地址：德阳市旌阳区庐山北路477号希望城财富中心A栋503室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项目负责：欧陶,胡鑫；技术审核：陈萍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0838-2502955；公司监察合规部（投诉、举报）电话：028-62306011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采购包1：940,000.00元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代理服务费收费标准：按照成本加合理利润原则，根据川财采〔2020〕74号文、发改价格〔2015〕299号文的相关规定收取。本项目代理服务费为11890元（大写：壹万壹仟捌佰玖拾元整）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绵竹市人民医院</w:t>
      </w:r>
      <w:r>
        <w:rPr>
          <w:rFonts w:ascii="仿宋_GB2312" w:hAnsi="仿宋_GB2312" w:cs="仿宋_GB2312" w:eastAsia="仿宋_GB2312"/>
        </w:rPr>
        <w:t xml:space="preserve"> 和 </w:t>
      </w:r>
      <w:r>
        <w:rPr>
          <w:rFonts w:ascii="仿宋_GB2312" w:hAnsi="仿宋_GB2312" w:cs="仿宋_GB2312" w:eastAsia="仿宋_GB2312"/>
        </w:rPr>
        <w:t>四川思渠国际招标有限公司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绵竹市人民医院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四川思渠国际招标有限公司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根据《财政部关于进一步加强政府采购需求和履约验收管理的指导意见》（财库〔2016〕205 号）的规定，采购人组织验收人员组成验收小组，成交供应商予以配合，结合本项目谈判文件、响应文件及采购合同的要求进行技术履约验收。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根据《财政部关于进一步加强政府采购需求和履约验收管理的指导意见》（财库〔2016〕205 号）的规定，采购人组织验收人员组成验收小组，成交供应商予以配合，结合本项目谈判文件、响应文件及采购合同的要求进行商务履约验收。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按国家相关法律、行业标准验收。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绵竹市人民医院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联系人：左老师</w:t>
      </w:r>
    </w:p>
    <w:p>
      <w:pPr>
        <w:pStyle w:val="null3"/>
        <w:jc w:val="left"/>
      </w:pPr>
      <w:r>
        <w:rPr>
          <w:rFonts w:ascii="仿宋_GB2312" w:hAnsi="仿宋_GB2312" w:cs="仿宋_GB2312" w:eastAsia="仿宋_GB2312"/>
        </w:rPr>
        <w:t>联系电话：0838-5987998</w:t>
      </w:r>
    </w:p>
    <w:p>
      <w:pPr>
        <w:pStyle w:val="null3"/>
        <w:jc w:val="left"/>
      </w:pPr>
      <w:r>
        <w:rPr>
          <w:rFonts w:ascii="仿宋_GB2312" w:hAnsi="仿宋_GB2312" w:cs="仿宋_GB2312" w:eastAsia="仿宋_GB2312"/>
        </w:rPr>
        <w:t>地址：绵竹市剑南镇南京大道一段268号</w:t>
      </w:r>
    </w:p>
    <w:p>
      <w:pPr>
        <w:pStyle w:val="null3"/>
        <w:jc w:val="left"/>
      </w:pPr>
      <w:r>
        <w:rPr>
          <w:rFonts w:ascii="仿宋_GB2312" w:hAnsi="仿宋_GB2312" w:cs="仿宋_GB2312" w:eastAsia="仿宋_GB2312"/>
        </w:rPr>
        <w:t>邮编：618200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联系人：胡鑫</w:t>
      </w:r>
    </w:p>
    <w:p>
      <w:pPr>
        <w:pStyle w:val="null3"/>
        <w:jc w:val="left"/>
      </w:pPr>
      <w:r>
        <w:rPr>
          <w:rFonts w:ascii="仿宋_GB2312" w:hAnsi="仿宋_GB2312" w:cs="仿宋_GB2312" w:eastAsia="仿宋_GB2312"/>
        </w:rPr>
        <w:t>联系电话：0838-2502955</w:t>
      </w:r>
    </w:p>
    <w:p>
      <w:pPr>
        <w:pStyle w:val="null3"/>
        <w:jc w:val="left"/>
      </w:pPr>
      <w:r>
        <w:rPr>
          <w:rFonts w:ascii="仿宋_GB2312" w:hAnsi="仿宋_GB2312" w:cs="仿宋_GB2312" w:eastAsia="仿宋_GB2312"/>
        </w:rPr>
        <w:t>地址：德阳市旌阳区庐山北路477号希望城财富中心A栋503室</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940,000.00</w:t>
      </w:r>
    </w:p>
    <w:p>
      <w:pPr>
        <w:pStyle w:val="null3"/>
        <w:jc w:val="left"/>
      </w:pPr>
      <w:r>
        <w:rPr>
          <w:rFonts w:ascii="仿宋_GB2312" w:hAnsi="仿宋_GB2312" w:cs="仿宋_GB2312" w:eastAsia="仿宋_GB2312"/>
        </w:rPr>
        <w:t>采购包最高限价（元）: 940,000.00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A02320600 医用激光仪器及设备</w:t>
            </w:r>
          </w:p>
        </w:tc>
        <w:tc>
          <w:tcPr>
            <w:tcW w:type="dxa" w:w="821"/>
          </w:tcPr>
          <w:p>
            <w:pPr>
              <w:pStyle w:val="null3"/>
              <w:jc w:val="left"/>
            </w:pPr>
            <w:r>
              <w:rPr>
                <w:rFonts w:ascii="仿宋_GB2312" w:hAnsi="仿宋_GB2312" w:cs="仿宋_GB2312" w:eastAsia="仿宋_GB2312"/>
              </w:rPr>
              <w:t>半导体激光光动力治疗机</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半导体激光光动力治疗机</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超过最高限价的报价为无效响应</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A02320600 医用激光仪器及设备</w:t>
            </w:r>
          </w:p>
        </w:tc>
        <w:tc>
          <w:tcPr>
            <w:tcW w:type="dxa" w:w="2492"/>
          </w:tcPr>
          <w:p>
            <w:pPr>
              <w:pStyle w:val="null3"/>
              <w:jc w:val="left"/>
            </w:pPr>
            <w:r>
              <w:rPr>
                <w:rFonts w:ascii="仿宋_GB2312" w:hAnsi="仿宋_GB2312" w:cs="仿宋_GB2312" w:eastAsia="仿宋_GB2312"/>
              </w:rPr>
              <w:t>半导体激光光动力治疗机</w:t>
            </w:r>
          </w:p>
        </w:tc>
        <w:tc>
          <w:tcPr>
            <w:tcW w:type="dxa" w:w="2492"/>
          </w:tcPr>
          <w:p>
            <w:pPr>
              <w:pStyle w:val="null3"/>
              <w:jc w:val="left"/>
            </w:pPr>
            <w:r>
              <w:rPr>
                <w:rFonts w:ascii="仿宋_GB2312" w:hAnsi="仿宋_GB2312" w:cs="仿宋_GB2312" w:eastAsia="仿宋_GB2312"/>
              </w:rPr>
              <w:t>半导体激光光动力治疗机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标的名称：半导体激光光动力治疗机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rPr>
              <w:t>一、功能需求：适用于激发吸收峰为635nm的光敏剂，用于光动力治疗。</w:t>
            </w:r>
          </w:p>
          <w:p>
            <w:pPr>
              <w:pStyle w:val="null3"/>
              <w:jc w:val="left"/>
            </w:pPr>
            <w:r>
              <w:rPr>
                <w:rFonts w:ascii="仿宋_GB2312" w:hAnsi="仿宋_GB2312" w:cs="仿宋_GB2312" w:eastAsia="仿宋_GB2312"/>
              </w:rPr>
              <w:t>二、基本配置：</w:t>
            </w:r>
          </w:p>
          <w:p>
            <w:pPr>
              <w:pStyle w:val="null3"/>
              <w:jc w:val="left"/>
            </w:pPr>
            <w:r>
              <w:rPr>
                <w:rFonts w:ascii="仿宋_GB2312" w:hAnsi="仿宋_GB2312" w:cs="仿宋_GB2312" w:eastAsia="仿宋_GB2312"/>
              </w:rPr>
              <w:t>1、激光治疗机主机1台。</w:t>
            </w:r>
          </w:p>
          <w:p>
            <w:pPr>
              <w:pStyle w:val="null3"/>
              <w:jc w:val="left"/>
            </w:pPr>
            <w:r>
              <w:rPr>
                <w:rFonts w:ascii="仿宋_GB2312" w:hAnsi="仿宋_GB2312" w:cs="仿宋_GB2312" w:eastAsia="仿宋_GB2312"/>
              </w:rPr>
              <w:t>2、护目镜2个。</w:t>
            </w:r>
          </w:p>
          <w:p>
            <w:pPr>
              <w:pStyle w:val="null3"/>
              <w:jc w:val="left"/>
            </w:pPr>
            <w:r>
              <w:rPr>
                <w:rFonts w:ascii="仿宋_GB2312" w:hAnsi="仿宋_GB2312" w:cs="仿宋_GB2312" w:eastAsia="仿宋_GB2312"/>
              </w:rPr>
              <w:t>3、医用激光光纤6根。</w:t>
            </w:r>
          </w:p>
          <w:p>
            <w:pPr>
              <w:pStyle w:val="null3"/>
              <w:jc w:val="left"/>
            </w:pPr>
            <w:r>
              <w:rPr>
                <w:rFonts w:ascii="仿宋_GB2312" w:hAnsi="仿宋_GB2312" w:cs="仿宋_GB2312" w:eastAsia="仿宋_GB2312"/>
              </w:rPr>
              <w:t>三、主要参数：</w:t>
            </w:r>
          </w:p>
          <w:p>
            <w:pPr>
              <w:pStyle w:val="null3"/>
              <w:jc w:val="left"/>
            </w:pPr>
            <w:r>
              <w:rPr>
                <w:rFonts w:ascii="仿宋_GB2312" w:hAnsi="仿宋_GB2312" w:cs="仿宋_GB2312" w:eastAsia="仿宋_GB2312"/>
              </w:rPr>
              <w:t>1、主体结构：激光治疗机（一体式落地机）；</w:t>
            </w:r>
          </w:p>
          <w:p>
            <w:pPr>
              <w:pStyle w:val="null3"/>
              <w:jc w:val="left"/>
            </w:pPr>
            <w:r>
              <w:rPr>
                <w:rFonts w:ascii="仿宋_GB2312" w:hAnsi="仿宋_GB2312" w:cs="仿宋_GB2312" w:eastAsia="仿宋_GB2312"/>
              </w:rPr>
              <w:t>2、主要性能：可输出用于光动力治疗的（635nm）激光，在连续工作2h内偏差±3nm；</w:t>
            </w:r>
          </w:p>
          <w:p>
            <w:pPr>
              <w:pStyle w:val="null3"/>
              <w:jc w:val="left"/>
            </w:pPr>
            <w:r>
              <w:rPr>
                <w:rFonts w:ascii="仿宋_GB2312" w:hAnsi="仿宋_GB2312" w:cs="仿宋_GB2312" w:eastAsia="仿宋_GB2312"/>
              </w:rPr>
              <w:t>3、激光器输出功率≤2000mW，偏差±10%，激光输出方式：连续输出；</w:t>
            </w:r>
          </w:p>
          <w:p>
            <w:pPr>
              <w:pStyle w:val="null3"/>
              <w:jc w:val="left"/>
            </w:pPr>
            <w:r>
              <w:rPr>
                <w:rFonts w:ascii="仿宋_GB2312" w:hAnsi="仿宋_GB2312" w:cs="仿宋_GB2312" w:eastAsia="仿宋_GB2312"/>
              </w:rPr>
              <w:t>4、激光输出功率不稳定度：优于±5％，激光输出功率复现性：优于±5％；</w:t>
            </w:r>
          </w:p>
          <w:p>
            <w:pPr>
              <w:pStyle w:val="null3"/>
              <w:jc w:val="left"/>
            </w:pPr>
            <w:r>
              <w:rPr>
                <w:rFonts w:ascii="仿宋_GB2312" w:hAnsi="仿宋_GB2312" w:cs="仿宋_GB2312" w:eastAsia="仿宋_GB2312"/>
              </w:rPr>
              <w:t>5、激光输出时间控制：时间控制范围：1～240（min）可调，偏差±10s：</w:t>
            </w:r>
          </w:p>
          <w:p>
            <w:pPr>
              <w:pStyle w:val="null3"/>
              <w:jc w:val="left"/>
            </w:pPr>
            <w:r>
              <w:rPr>
                <w:rFonts w:ascii="仿宋_GB2312" w:hAnsi="仿宋_GB2312" w:cs="仿宋_GB2312" w:eastAsia="仿宋_GB2312"/>
              </w:rPr>
              <w:t>6、激光能量输出范围0～2000（mW），步进可调：</w:t>
            </w:r>
          </w:p>
          <w:p>
            <w:pPr>
              <w:pStyle w:val="null3"/>
              <w:jc w:val="left"/>
            </w:pPr>
            <w:r>
              <w:rPr>
                <w:rFonts w:ascii="仿宋_GB2312" w:hAnsi="仿宋_GB2312" w:cs="仿宋_GB2312" w:eastAsia="仿宋_GB2312"/>
              </w:rPr>
              <w:t>6.1、步进可实现0.05W；</w:t>
            </w:r>
          </w:p>
          <w:p>
            <w:pPr>
              <w:pStyle w:val="null3"/>
              <w:jc w:val="left"/>
            </w:pPr>
            <w:r>
              <w:rPr>
                <w:rFonts w:ascii="仿宋_GB2312" w:hAnsi="仿宋_GB2312" w:cs="仿宋_GB2312" w:eastAsia="仿宋_GB2312"/>
              </w:rPr>
              <w:t>6.2、步进可实现0.1W；</w:t>
            </w:r>
          </w:p>
          <w:p>
            <w:pPr>
              <w:pStyle w:val="null3"/>
              <w:jc w:val="left"/>
            </w:pPr>
            <w:r>
              <w:rPr>
                <w:rFonts w:ascii="仿宋_GB2312" w:hAnsi="仿宋_GB2312" w:cs="仿宋_GB2312" w:eastAsia="仿宋_GB2312"/>
              </w:rPr>
              <w:t xml:space="preserve">6.3、步进可实现0.2W； </w:t>
            </w:r>
          </w:p>
          <w:p>
            <w:pPr>
              <w:pStyle w:val="null3"/>
              <w:jc w:val="left"/>
            </w:pPr>
            <w:r>
              <w:rPr>
                <w:rFonts w:ascii="仿宋_GB2312" w:hAnsi="仿宋_GB2312" w:cs="仿宋_GB2312" w:eastAsia="仿宋_GB2312"/>
              </w:rPr>
              <w:t>7、使用光纤芯径范围：光纤芯径应≥400μm；</w:t>
            </w:r>
          </w:p>
          <w:p>
            <w:pPr>
              <w:pStyle w:val="null3"/>
              <w:jc w:val="left"/>
            </w:pPr>
            <w:r>
              <w:rPr>
                <w:rFonts w:ascii="仿宋_GB2312" w:hAnsi="仿宋_GB2312" w:cs="仿宋_GB2312" w:eastAsia="仿宋_GB2312"/>
              </w:rPr>
              <w:t>8、光纤输出接口类型：耦合端接口为SMA905；</w:t>
            </w:r>
          </w:p>
          <w:p>
            <w:pPr>
              <w:pStyle w:val="null3"/>
              <w:jc w:val="left"/>
            </w:pPr>
            <w:r>
              <w:rPr>
                <w:rFonts w:ascii="仿宋_GB2312" w:hAnsi="仿宋_GB2312" w:cs="仿宋_GB2312" w:eastAsia="仿宋_GB2312"/>
              </w:rPr>
              <w:t>9、具备瞄准光功能：瞄准光功率：≤5mW，瞄准光可开启或关闭；</w:t>
            </w:r>
          </w:p>
          <w:p>
            <w:pPr>
              <w:pStyle w:val="null3"/>
              <w:jc w:val="left"/>
            </w:pPr>
            <w:r>
              <w:rPr>
                <w:rFonts w:ascii="仿宋_GB2312" w:hAnsi="仿宋_GB2312" w:cs="仿宋_GB2312" w:eastAsia="仿宋_GB2312"/>
              </w:rPr>
              <w:t>10、激光功率检测功能：可以自检激光功率；</w:t>
            </w:r>
          </w:p>
          <w:p>
            <w:pPr>
              <w:pStyle w:val="null3"/>
              <w:jc w:val="left"/>
            </w:pPr>
            <w:r>
              <w:rPr>
                <w:rFonts w:ascii="仿宋_GB2312" w:hAnsi="仿宋_GB2312" w:cs="仿宋_GB2312" w:eastAsia="仿宋_GB2312"/>
              </w:rPr>
              <w:t>11、功率自校准功能；设备可以进行功率输出偏差校准；</w:t>
            </w:r>
          </w:p>
          <w:p>
            <w:pPr>
              <w:pStyle w:val="null3"/>
              <w:jc w:val="left"/>
            </w:pPr>
            <w:r>
              <w:rPr>
                <w:rFonts w:ascii="仿宋_GB2312" w:hAnsi="仿宋_GB2312" w:cs="仿宋_GB2312" w:eastAsia="仿宋_GB2312"/>
              </w:rPr>
              <w:t>12、具备光纤类型选择功能: 可选择平切、柱状；</w:t>
            </w:r>
          </w:p>
          <w:p>
            <w:pPr>
              <w:pStyle w:val="null3"/>
              <w:jc w:val="left"/>
            </w:pPr>
            <w:r>
              <w:rPr>
                <w:rFonts w:ascii="仿宋_GB2312" w:hAnsi="仿宋_GB2312" w:cs="仿宋_GB2312" w:eastAsia="仿宋_GB2312"/>
              </w:rPr>
              <w:t>13、具备脚踏开关：</w:t>
            </w:r>
          </w:p>
          <w:p>
            <w:pPr>
              <w:pStyle w:val="null3"/>
              <w:jc w:val="left"/>
            </w:pPr>
            <w:r>
              <w:rPr>
                <w:rFonts w:ascii="仿宋_GB2312" w:hAnsi="仿宋_GB2312" w:cs="仿宋_GB2312" w:eastAsia="仿宋_GB2312"/>
              </w:rPr>
              <w:t>13.1、脚踏开关与控制界面可同步控制激光输出、暂停；</w:t>
            </w:r>
          </w:p>
          <w:p>
            <w:pPr>
              <w:pStyle w:val="null3"/>
              <w:jc w:val="left"/>
            </w:pPr>
            <w:r>
              <w:rPr>
                <w:rFonts w:ascii="仿宋_GB2312" w:hAnsi="仿宋_GB2312" w:cs="仿宋_GB2312" w:eastAsia="仿宋_GB2312"/>
              </w:rPr>
              <w:t>13.2、治疗机脚踏开关应符合YY/T 1057-2016《医用脚踏开关通用技术条件》的要求，防水等级≥IPX8。</w:t>
            </w:r>
          </w:p>
          <w:p>
            <w:pPr>
              <w:pStyle w:val="null3"/>
              <w:jc w:val="left"/>
            </w:pPr>
            <w:r>
              <w:rPr>
                <w:rFonts w:ascii="仿宋_GB2312" w:hAnsi="仿宋_GB2312" w:cs="仿宋_GB2312" w:eastAsia="仿宋_GB2312"/>
              </w:rPr>
              <w:t>13.3、脚踏开关的启动力应≥10N，且≤50N。</w:t>
            </w:r>
          </w:p>
          <w:p>
            <w:pPr>
              <w:pStyle w:val="null3"/>
              <w:jc w:val="left"/>
            </w:pPr>
            <w:r>
              <w:rPr>
                <w:rFonts w:ascii="仿宋_GB2312" w:hAnsi="仿宋_GB2312" w:cs="仿宋_GB2312" w:eastAsia="仿宋_GB2312"/>
              </w:rPr>
              <w:t>14、具备激光光纤支架，且与主机相匹配；</w:t>
            </w:r>
          </w:p>
          <w:p>
            <w:pPr>
              <w:pStyle w:val="null3"/>
              <w:jc w:val="left"/>
            </w:pPr>
            <w:r>
              <w:rPr>
                <w:rFonts w:ascii="仿宋_GB2312" w:hAnsi="仿宋_GB2312" w:cs="仿宋_GB2312" w:eastAsia="仿宋_GB2312"/>
              </w:rPr>
              <w:t>15、具备门禁开关。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ind w:firstLine="480"/>
              <w:jc w:val="both"/>
            </w:pPr>
            <w:r>
              <w:rPr>
                <w:rFonts w:ascii="仿宋_GB2312" w:hAnsi="仿宋_GB2312" w:cs="仿宋_GB2312" w:eastAsia="仿宋_GB2312"/>
              </w:rPr>
              <w:t>1、安装：仪器到达后，供应商在一周内（或在商定的时间）派遣专职工程师到达现场，在采购人技术人员在场的情况下开箱清点货物，进行安装、调试。仪器技术指标经验收合格，附验收报告，供应商承担所有发生的费用。由采购人签字确认验收合格。</w:t>
            </w:r>
          </w:p>
          <w:p>
            <w:pPr>
              <w:pStyle w:val="null3"/>
              <w:jc w:val="left"/>
            </w:pPr>
            <w:r>
              <w:rPr>
                <w:rFonts w:ascii="仿宋_GB2312" w:hAnsi="仿宋_GB2312" w:cs="仿宋_GB2312" w:eastAsia="仿宋_GB2312"/>
              </w:rPr>
              <w:t>2、培训：安装验收期间，在采购人所在地对采购人进行仪器的基本操作和日常维护的现场培训，内容包括仪器原理，使用方法和维护方法。</w:t>
            </w:r>
          </w:p>
          <w:p>
            <w:pPr>
              <w:pStyle w:val="null3"/>
              <w:jc w:val="left"/>
            </w:pPr>
            <w:r>
              <w:rPr>
                <w:rFonts w:ascii="仿宋_GB2312" w:hAnsi="仿宋_GB2312" w:cs="仿宋_GB2312" w:eastAsia="仿宋_GB2312"/>
              </w:rPr>
              <w:t>3、维修响应速度：设备在质保期内，成交供应商负责因设备本身缺陷导致的各种故障的技术服务和设备的维修，成交供应商接到通知2小时响应，24小时内完成维修或更换（特殊情况另行约定），并承担所有费用；如货物经成交供应商3次维修仍不能达到本合同约定的质量标准，视作成交供应商未能按时交货，采购人有权退货并追究成交供应商的违约责任。货到现场后由于采购人保管不当造成的问题，成交供应商亦应负责修复，但费用由采购人负担。</w:t>
            </w:r>
          </w:p>
          <w:p>
            <w:pPr>
              <w:pStyle w:val="null3"/>
              <w:jc w:val="left"/>
            </w:pPr>
            <w:r>
              <w:rPr>
                <w:rFonts w:ascii="仿宋_GB2312" w:hAnsi="仿宋_GB2312" w:cs="仿宋_GB2312" w:eastAsia="仿宋_GB2312"/>
              </w:rPr>
              <w:t>4、报价产品生产日期至供货到采购人不能超过6个月。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jc w:val="both"/>
            </w:pPr>
            <w:r>
              <w:rPr>
                <w:rFonts w:ascii="仿宋_GB2312" w:hAnsi="仿宋_GB2312" w:cs="仿宋_GB2312" w:eastAsia="仿宋_GB2312"/>
              </w:rPr>
              <w:t>按国家相关规定执行</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ind w:firstLine="480"/>
              <w:jc w:val="both"/>
            </w:pPr>
            <w:r>
              <w:rPr>
                <w:rFonts w:ascii="仿宋_GB2312" w:hAnsi="仿宋_GB2312" w:cs="仿宋_GB2312" w:eastAsia="仿宋_GB2312"/>
              </w:rPr>
              <w:t>1、供应商须提供全新的货物（含零部件、配件），表面无划伤、无碰撞痕迹，且权属清楚，不得侵害他人的知识产权。</w:t>
            </w:r>
          </w:p>
          <w:p>
            <w:pPr>
              <w:pStyle w:val="null3"/>
              <w:jc w:val="left"/>
            </w:pPr>
            <w:r>
              <w:rPr>
                <w:rFonts w:ascii="仿宋_GB2312" w:hAnsi="仿宋_GB2312" w:cs="仿宋_GB2312" w:eastAsia="仿宋_GB2312"/>
              </w:rPr>
              <w:t>2、货物必须符合或优于国家（行业）标准，以及本项目谈判文件的质量要求和技术指标与出厂标准。</w:t>
            </w:r>
          </w:p>
          <w:p>
            <w:pPr>
              <w:pStyle w:val="null3"/>
              <w:jc w:val="left"/>
            </w:pPr>
            <w:r>
              <w:rPr>
                <w:rFonts w:ascii="仿宋_GB2312" w:hAnsi="仿宋_GB2312" w:cs="仿宋_GB2312" w:eastAsia="仿宋_GB2312"/>
              </w:rPr>
              <w:t>3、每台货物上均应有产品质量检验合格标志。</w:t>
            </w:r>
          </w:p>
          <w:p>
            <w:pPr>
              <w:pStyle w:val="null3"/>
              <w:jc w:val="left"/>
            </w:pPr>
            <w:r>
              <w:rPr>
                <w:rFonts w:ascii="仿宋_GB2312" w:hAnsi="仿宋_GB2312" w:cs="仿宋_GB2312" w:eastAsia="仿宋_GB2312"/>
              </w:rPr>
              <w:t>4、货物制造质量出现问题，供应商在验收前应负责三包（包修、包换、包退），费用由供应商负担。</w:t>
            </w:r>
          </w:p>
          <w:p>
            <w:pPr>
              <w:pStyle w:val="null3"/>
              <w:jc w:val="left"/>
            </w:pPr>
            <w:r>
              <w:rPr>
                <w:rFonts w:ascii="仿宋_GB2312" w:hAnsi="仿宋_GB2312" w:cs="仿宋_GB2312" w:eastAsia="仿宋_GB2312"/>
              </w:rPr>
              <w:t>5、货到现场后由于采购人保管不当造成的质量问题，供应商亦应负责修理，但费用由采购人负担。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w:t>
            </w:r>
          </w:p>
        </w:tc>
        <w:tc>
          <w:tcPr>
            <w:tcW w:type="dxa" w:w="5814"/>
          </w:tcPr>
          <w:p>
            <w:pPr>
              <w:pStyle w:val="null3"/>
              <w:jc w:val="both"/>
            </w:pPr>
            <w:r>
              <w:rPr>
                <w:rFonts w:ascii="仿宋_GB2312" w:hAnsi="仿宋_GB2312" w:cs="仿宋_GB2312" w:eastAsia="仿宋_GB2312"/>
              </w:rPr>
              <w:t>货物到达安装现场的运输、装卸及搬运，由成交供应商完成（货物到达安装现场前，采购人不予签收，若因此与物流公司产生纠纷，由成交供应商自行解决）</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合同签订后30日内交货到采购人指定地点，完成全部安装调试、验收合格并交付使用。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1、签订合同，货到安装验收合格后，达到付款条件起60日内，支付合同总金额的100.00%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按照本项目谈判文件、响应文件、《财政部关于进一步加强政府采购需求和履约验收管理的指导意见》（财库[2016]205号）、《政府采购需求管理办法》财库〔2021〕22号以及国家相关规定进行验收。 （1）验收组织方式：自行验收。 （2）是否邀请本项目的其他供应商：否。 （3）是否邀请专家：否。 （4）是否邀请服务对象：否。 （5）是否邀请第三方检测机构：否。 （6）验收其他事项：无。 （7）履约验收程序：一次性验收。 （8）履约验收时间：供应商提出验收申请之日，达到验收条件起30日内，验收合同总金额的 100.00%。 （9）技术履约验收内容：根据《财政部关于进一步加强政府采购需求和履约验收管理的指导意见》（财库〔2016〕205 号）的规定，采购人组织验收人员组成验收小组，成交供应商予以配合，结合本项目谈判文件、响应文件及采购合同的要求进行技术履约验收。 （10）商务履约验收内容：根据《财政部关于进一步加强政府采购需求和履约验收管理的指导意见》（财库〔2016〕205 号）的规定，采购人组织验收人员组成验收小组，成交供应商予以配合，结合本项目谈判文件、响应文件及采购合同的要求进行商务履约验收。 （11）履约验收标准：按国家相关法律、行业标准验收。 （12）履约验收其他事项：未尽事宜将按照《财政部关于进一步加强政府采购需求和履约验收管理的指导意见》(财库(2016) 205号)、《政府采购需求管理办法》(财库(2021) 22号)的要求及国家行业主管部门规定的标准、方法和内容进行验收。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保修期≥5年，自验收合格之日起计算,所有产品都须提供终身维修。</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1、采购人违约责任 （1）采购人逾期支付货款的，除应及时补足货款外，还应按人民银行活期存款利率向成交供应商支付逾期货款的利息。 2、供应商违约责任 （1）供应商交付的货物质量不符合合同规定的，供应商应向采购人支付合同总价的百分之 五 的违约金，并须在合同规定的交货时间内更换合格的货物给采购人，否则，视作供应商不能交付货物而违约，按本条本款下述第“（2）”项规定由供应商偿付违约赔偿金给采购人。 （2）供应商不能交付货物或逾期交付货物而违约的，除应及时交足货物外，应向采购人偿付逾期交货部分货款总额的万分之 五 /天的违约金；逾期交货超过 30天，采购人有权终止合同，供应商则应按合同总价的百分之 二十 的款额向采购人偿付赔偿金，并须全额退还采购人已经付给供应商的货款及其利息。 （3）供应商货物经采购人送交具有法定资格的质量技术监督机构检测后，如检测结果认定货物质量不符合本合同规定标准的，则视为供应商没有按时交货而违约，供应商须在 30 天内无条件更换合格的货物，如逾期不能更换合格的货物，采购人有权终止本合同，供应商应另付合同总价的百分之 二十 的赔偿金给采购人。 （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 二十 向采购人支付违约金并赔偿因此给采购人造成的一切损失。 （5）供应商偿付的违约金不足以弥补采购人损失的，还应按采购人损失尚未弥补的部分，支付赔偿金给采购人。 （6）供应商不履行或迟延履行售后维保义务的，每发生一次，应向采购人支付合同总价款百分之三十的违约金，且采购人有权委托第三方维保，由此发生的维保费用由供应商承担。 3、违约方应当承担守约方实现债权的费用，包括但不限于诉讼费、律师费、差旅费等。 4、供应商不履行或迟延履行售后维保义务的，每发生一次，应向采购人支付合同总价款百分之五的违约金，且采购人有权委托第三方维保，由此发生的维保费用由供应商承担。 二、争议解决的办法 1、因货物的质量问题发生争议，由质量技术监督部门或其指定的质量鉴定机构进行质量鉴定。货物符合标准的，鉴定费由采购人承担；货物不符合质量标准的，鉴定费由供应商承担。 2、合同履行期间,若双方发生争议，可协商或由有关部门调解解决，协商或调解不成的，由当事人依法向采购人所在地人民法院起诉。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包装：设备包装应坚固完好，能抗御运输、储存和装卸过程中正常冲击，振动和挤压，并便于装卸和搬运。设备包装前检查包装材料的材质、规格和包装结构与所装产品的规格和重量相适应。组件包装时安全，防止撞击，包装表面应清洁。组件排放整齐，不可有高低不平。外包装箱表面不应该有突出的锁扣装置，以避免箱体移位时发生拉挂现象，影响箱体安全。 2、运输：装运设备的运输工具应清洁、干燥、无污染物。敞车运输时，必须用防雨布盖好，以保证设备不被雨(雪)浸入。设备中转时，应堆放在库房内。短暂露天堆放时，必须用防雨布盖好，产品在装卸时，应采用合适的装卸方式，严防将包装箱(件)损坏，包装箱应注意谨慎堆放，防止产品碰伤。装载时，运输车辆与包装箱之间、包装箱之间应用防震减压的填充物填实，不得留有空隙，防止在运输途中造成货物之间互相碰撞、摩擦，避免发生箱体移位。避免货物在运载工具上的堆码不当，使底层货物承载过重，造成包装破损，甚至商品在运输过程中变形，损坏。在运输过程中避免接触腐蚀性物质。</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第三章“技术、服务及其他要求”中“3.2.技术要求”全部内容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第七章“拟签订采购合同文本”全部内容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提供相关证明材料并进行电子签章。</w:t>
            </w:r>
          </w:p>
        </w:tc>
        <w:tc>
          <w:tcPr>
            <w:tcW w:type="dxa" w:w="1910"/>
          </w:tcPr>
          <w:p>
            <w:pPr>
              <w:pStyle w:val="null3"/>
              <w:jc w:val="left"/>
            </w:pPr>
            <w:r>
              <w:rPr>
                <w:rFonts w:ascii="仿宋_GB2312" w:hAnsi="仿宋_GB2312" w:cs="仿宋_GB2312" w:eastAsia="仿宋_GB2312"/>
              </w:rPr>
              <w:t>响应文件封面,具有独立承担民事责任的能力,投标（响应）函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具有健全的财务会计制度的证明材料： A、可提供2022年度（含）至今（任意一年度）经审计的财务报告（包含审计报告和审计报告中所涉及的财务报表和报表附注）；B、也可提供2022年度（含）至今（任意一年度）供应商内部的财务报表（财务报表内容至少包含并体现资产负债、现金流量及利润情况）；C、也可提供截止响应文件递交截止日一年内其基本开户银行出具的资信证明；D、供应商注册时间截止响应文件递交截止日不足一年的，也可提供加盖工商备案主管部门印章的公司章程。提供相关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若报价产品及其配置产品为医疗设备的，报价产品及其配置产品须符合《医疗器械注册与备案管理办法》要求并提供中华人民共和国医疗器械注册证或备案凭证。</w:t>
            </w:r>
          </w:p>
        </w:tc>
        <w:tc>
          <w:tcPr>
            <w:tcW w:type="dxa" w:w="3322"/>
          </w:tcPr>
          <w:p>
            <w:pPr>
              <w:pStyle w:val="null3"/>
              <w:jc w:val="left"/>
            </w:pPr>
            <w:r>
              <w:rPr>
                <w:rFonts w:ascii="仿宋_GB2312" w:hAnsi="仿宋_GB2312" w:cs="仿宋_GB2312" w:eastAsia="仿宋_GB2312"/>
              </w:rPr>
              <w:t>若报价产品及其配置产品为医疗设备的，报价产品及其配置产品须符合《医疗器械注册与备案管理办法》要求并提供中华人民共和国医疗器械注册证或备案凭证。提供相关证明材料并进行电子签章。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报价产品及其配置产品为医疗设备的，供应商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若报价产品及其配置产品为医疗设备的，供应商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提供相关证明材料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关于竞争性谈判文件“第二章实质性要求”的承诺函（实质性要求）,投标（响应）函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采购预算50%或者低于其他有效供应商报价算术平均价40%的，谈判小组可以认为该供应商“报价明显低于其他实质性响应的供应商报价”。）</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谈判文件第三章“3.2技术要求”中的实质性要求及“3.3服务要求”中的实质性要求及其他实质性要求</w:t>
            </w:r>
          </w:p>
        </w:tc>
        <w:tc>
          <w:tcPr>
            <w:tcW w:type="dxa" w:w="3322"/>
          </w:tcPr>
          <w:p>
            <w:pPr>
              <w:pStyle w:val="null3"/>
              <w:jc w:val="left"/>
            </w:pPr>
            <w:r>
              <w:rPr>
                <w:rFonts w:ascii="仿宋_GB2312" w:hAnsi="仿宋_GB2312" w:cs="仿宋_GB2312" w:eastAsia="仿宋_GB2312"/>
              </w:rPr>
              <w:t>供应商应符合本项目谈判文件第三章“3.2技术要求”中的实质性要求及“3.3服务要求”中的实质性要求及明确为实质性要求的实质性内容，不允许有负偏离。注：供应商应针对谈判文件的要求进行响应。（按照关联格式要求提供相应资料。） 2.谈判小组依据本谈判文件要求的其他实质性要求，对符合资格的响应文件进行审查，以确定其是否满足本谈判文件的其他实质性要求。本项目符合性审查事项仅限于本谈判文件的明确规定。响应文件是否满足谈判文件的实质性要求，必须以本谈判文件的明确规定作为依据，否则，不能对响应文件作为无效处理，谈判小组不得臆测符合性审查事项。</w:t>
            </w:r>
          </w:p>
        </w:tc>
        <w:tc>
          <w:tcPr>
            <w:tcW w:type="dxa" w:w="1910"/>
          </w:tcPr>
          <w:p>
            <w:pPr>
              <w:pStyle w:val="null3"/>
              <w:jc w:val="left"/>
            </w:pPr>
            <w:r>
              <w:rPr>
                <w:rFonts w:ascii="仿宋_GB2312" w:hAnsi="仿宋_GB2312" w:cs="仿宋_GB2312" w:eastAsia="仿宋_GB2312"/>
              </w:rPr>
              <w:t>报价产品技术参数表,供应商认为应提交的其他相关资料,报价产品技术支撑材料,服务要求应答表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未载明或者载明的标的名称、数量、计量单位及“3.1.采购内容”中其他实质性内容与采购文件要求不一致，且采购单位无法接受的，属于无效响应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未载明或者载明的标的名称、数量、计量单位及“3.1.采购内容”中其他实质性内容与采购文件要求不一致，且采购单位无法接受的，属于无效响应。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经谈判小组评审，通过资格和符合性审查，且最后报价最低的供应商的最后报价作为评审基准价。2.最后报价得分=(评审基准价／最后报价)×评审系数。评审价格=响应报价。</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详见附件：报价产品技术参数表</w:t>
      </w:r>
    </w:p>
    <w:p>
      <w:pPr>
        <w:pStyle w:val="null3"/>
        <w:ind w:firstLine="960"/>
        <w:jc w:val="left"/>
      </w:pPr>
      <w:r>
        <w:rPr>
          <w:rFonts w:ascii="仿宋_GB2312" w:hAnsi="仿宋_GB2312" w:cs="仿宋_GB2312" w:eastAsia="仿宋_GB2312"/>
        </w:rPr>
        <w:t>详见附件：报价产品技术支撑材料</w:t>
      </w:r>
    </w:p>
    <w:p>
      <w:pPr>
        <w:pStyle w:val="null3"/>
        <w:ind w:firstLine="960"/>
        <w:jc w:val="left"/>
      </w:pPr>
      <w:r>
        <w:rPr>
          <w:rFonts w:ascii="仿宋_GB2312" w:hAnsi="仿宋_GB2312" w:cs="仿宋_GB2312" w:eastAsia="仿宋_GB2312"/>
        </w:rPr>
        <w:t>详见附件：服务要求应答表</w:t>
      </w:r>
    </w:p>
    <w:p>
      <w:pPr>
        <w:pStyle w:val="null3"/>
        <w:ind w:firstLine="960"/>
        <w:jc w:val="left"/>
      </w:pPr>
      <w:r>
        <w:rPr>
          <w:rFonts w:ascii="仿宋_GB2312" w:hAnsi="仿宋_GB2312" w:cs="仿宋_GB2312" w:eastAsia="仿宋_GB2312"/>
        </w:rPr>
        <w:t>详见附件：供应商认为应提交的其他相关资料</w:t>
      </w:r>
    </w:p>
    <w:p>
      <w:pPr>
        <w:pStyle w:val="null3"/>
        <w:ind w:firstLine="960"/>
        <w:jc w:val="left"/>
      </w:pPr>
      <w:r>
        <w:rPr>
          <w:rFonts w:ascii="仿宋_GB2312" w:hAnsi="仿宋_GB2312" w:cs="仿宋_GB2312" w:eastAsia="仿宋_GB2312"/>
        </w:rPr>
        <w:t>详见附件：关于竞争性谈判文件“第二章实质性要求”的承诺函（实质性要求）</w:t>
      </w:r>
    </w:p>
    <w:p>
      <w:pPr>
        <w:pStyle w:val="null3"/>
        <w:ind w:firstLine="960"/>
        <w:jc w:val="left"/>
      </w:pPr>
      <w:r>
        <w:rPr>
          <w:rFonts w:ascii="仿宋_GB2312" w:hAnsi="仿宋_GB2312" w:cs="仿宋_GB2312" w:eastAsia="仿宋_GB2312"/>
        </w:rPr>
        <w:t>详见附件：具有独立承担民事责任的能力</w:t>
      </w:r>
    </w:p>
    <w:p>
      <w:pPr>
        <w:pStyle w:val="null3"/>
        <w:ind w:firstLine="960"/>
        <w:jc w:val="left"/>
      </w:pPr>
      <w:r>
        <w:rPr>
          <w:rFonts w:ascii="仿宋_GB2312" w:hAnsi="仿宋_GB2312" w:cs="仿宋_GB2312" w:eastAsia="仿宋_GB2312"/>
        </w:rPr>
        <w:t>详见附件：具有健全财务会计制度的证明材料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详见附件：合同草案.docx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