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版本号：N511901202500002020250310001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脂肪酸分析设备采购(二次)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N5119012025000020</w:t>
      </w:r>
    </w:p>
    <w:p>
      <w:pPr>
        <w:pStyle w:val="null3"/>
        <w:jc w:val="left"/>
        <w:outlineLvl w:val="2"/>
      </w:pPr>
      <w:r>
        <w:rPr>
          <w:rFonts w:ascii="仿宋_GB2312" w:hAnsi="仿宋_GB2312" w:cs="仿宋_GB2312" w:eastAsia="仿宋_GB2312"/>
          <w:sz w:val="28"/>
          <w:b/>
        </w:rPr>
        <w:t>巴中市农林科学研究院</w:t>
      </w:r>
    </w:p>
    <w:p>
      <w:pPr>
        <w:pStyle w:val="null3"/>
        <w:jc w:val="center"/>
        <w:outlineLvl w:val="2"/>
      </w:pPr>
      <w:r>
        <w:rPr>
          <w:rFonts w:ascii="仿宋_GB2312" w:hAnsi="仿宋_GB2312" w:cs="仿宋_GB2312" w:eastAsia="仿宋_GB2312"/>
          <w:sz w:val="28"/>
          <w:b/>
        </w:rPr>
        <w:t>四川科为招标代理有限公司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四川科为招标代理有限公司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巴中市农林科学研究院</w:t>
      </w:r>
      <w:r>
        <w:rPr>
          <w:rFonts w:ascii="仿宋_GB2312" w:hAnsi="仿宋_GB2312" w:cs="仿宋_GB2312" w:eastAsia="仿宋_GB2312"/>
        </w:rPr>
        <w:t xml:space="preserve"> 委托，拟对 </w:t>
      </w:r>
      <w:r>
        <w:rPr>
          <w:rFonts w:ascii="仿宋_GB2312" w:hAnsi="仿宋_GB2312" w:cs="仿宋_GB2312" w:eastAsia="仿宋_GB2312"/>
        </w:rPr>
        <w:t>脂肪酸分析设备采购(二次)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巴中市市本级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N5119012025000020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脂肪酸分析设备采购(二次)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采购1套脂肪酸分析设备采购，详见采购需求</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巴中市农林科学研究院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四川省巴中市巴州区南坝将军大道584号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易先生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0827-8668086</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四川科为招标代理有限公司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四川省巴中市巴州区四川省巴中市巴州区江北龙泉社区-2楼-2-S-36a号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0827-2222518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采购包1：465,000.00元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代理服务费收费标准：参照国家计委计价格[2002]1980号及发改办价格[2003]857号通知规定计取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巴中市农林科学研究院</w:t>
      </w:r>
      <w:r>
        <w:rPr>
          <w:rFonts w:ascii="仿宋_GB2312" w:hAnsi="仿宋_GB2312" w:cs="仿宋_GB2312" w:eastAsia="仿宋_GB2312"/>
        </w:rPr>
        <w:t xml:space="preserve"> 和 </w:t>
      </w:r>
      <w:r>
        <w:rPr>
          <w:rFonts w:ascii="仿宋_GB2312" w:hAnsi="仿宋_GB2312" w:cs="仿宋_GB2312" w:eastAsia="仿宋_GB2312"/>
        </w:rPr>
        <w:t>四川科为招标代理有限公司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巴中市农林科学研究院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四川科为招标代理有限公司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完成国家有关规定以及谈判文件的质量要求和技术指标、供应商的响应文件及承诺、本项目合同约定内容；供应商在验收时提供生产企业的出厂检验报告、合格证等</w:t>
      </w:r>
      <w:r>
        <w:rPr>
          <w:rFonts w:ascii="仿宋_GB2312" w:hAnsi="仿宋_GB2312" w:cs="仿宋_GB2312" w:eastAsia="仿宋_GB2312"/>
        </w:rPr>
        <w:t xml:space="preserve"> ，达到验收条件起 </w:t>
      </w:r>
      <w:r>
        <w:rPr>
          <w:rFonts w:ascii="仿宋_GB2312" w:hAnsi="仿宋_GB2312" w:cs="仿宋_GB2312" w:eastAsia="仿宋_GB2312"/>
        </w:rPr>
        <w:t>3</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签订政府采购合同时进行约定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完成国家有关规定以及谈判文件的质量要求和技术指标、供应商的响应文件及承诺、本项目合同约定内容；供应商在验收时提供生产企业的出厂检验报告、合格证等。</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签订政府采购合同时进行约定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巴中市农林科学研究院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四川科为招标代理有限公司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四川科为招标代理有限公司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联系人：易先生</w:t>
      </w:r>
    </w:p>
    <w:p>
      <w:pPr>
        <w:pStyle w:val="null3"/>
        <w:jc w:val="left"/>
      </w:pPr>
      <w:r>
        <w:rPr>
          <w:rFonts w:ascii="仿宋_GB2312" w:hAnsi="仿宋_GB2312" w:cs="仿宋_GB2312" w:eastAsia="仿宋_GB2312"/>
        </w:rPr>
        <w:t>联系电话：0827-8668086</w:t>
      </w:r>
    </w:p>
    <w:p>
      <w:pPr>
        <w:pStyle w:val="null3"/>
        <w:jc w:val="left"/>
      </w:pPr>
      <w:r>
        <w:rPr>
          <w:rFonts w:ascii="仿宋_GB2312" w:hAnsi="仿宋_GB2312" w:cs="仿宋_GB2312" w:eastAsia="仿宋_GB2312"/>
        </w:rPr>
        <w:t>地址：四川省巴中市巴州区南坝将军大道584号</w:t>
      </w:r>
    </w:p>
    <w:p>
      <w:pPr>
        <w:pStyle w:val="null3"/>
        <w:jc w:val="left"/>
      </w:pPr>
      <w:r>
        <w:rPr>
          <w:rFonts w:ascii="仿宋_GB2312" w:hAnsi="仿宋_GB2312" w:cs="仿宋_GB2312" w:eastAsia="仿宋_GB2312"/>
        </w:rPr>
        <w:t>邮编：636000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联系电话：0827-2222518</w:t>
      </w:r>
    </w:p>
    <w:p>
      <w:pPr>
        <w:pStyle w:val="null3"/>
        <w:jc w:val="left"/>
      </w:pPr>
      <w:r>
        <w:rPr>
          <w:rFonts w:ascii="仿宋_GB2312" w:hAnsi="仿宋_GB2312" w:cs="仿宋_GB2312" w:eastAsia="仿宋_GB2312"/>
        </w:rPr>
        <w:t>地址：四川省巴中市巴州区四川省巴中市巴州区江北龙泉社区-2楼-2-S-36a号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465,000.00</w:t>
      </w:r>
    </w:p>
    <w:p>
      <w:pPr>
        <w:pStyle w:val="null3"/>
        <w:jc w:val="left"/>
      </w:pPr>
      <w:r>
        <w:rPr>
          <w:rFonts w:ascii="仿宋_GB2312" w:hAnsi="仿宋_GB2312" w:cs="仿宋_GB2312" w:eastAsia="仿宋_GB2312"/>
        </w:rPr>
        <w:t>采购包最高限价（元）: 465,000.00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A02100408 色谱仪</w:t>
            </w:r>
          </w:p>
        </w:tc>
        <w:tc>
          <w:tcPr>
            <w:tcW w:type="dxa" w:w="821"/>
          </w:tcPr>
          <w:p>
            <w:pPr>
              <w:pStyle w:val="null3"/>
              <w:jc w:val="left"/>
            </w:pPr>
            <w:r>
              <w:rPr>
                <w:rFonts w:ascii="仿宋_GB2312" w:hAnsi="仿宋_GB2312" w:cs="仿宋_GB2312" w:eastAsia="仿宋_GB2312"/>
              </w:rPr>
              <w:t>脂肪酸分析设备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465,000.00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脂肪酸分析设备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465,000.00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A02100408 色谱仪</w:t>
            </w:r>
          </w:p>
        </w:tc>
        <w:tc>
          <w:tcPr>
            <w:tcW w:type="dxa" w:w="2492"/>
          </w:tcPr>
          <w:p>
            <w:pPr>
              <w:pStyle w:val="null3"/>
              <w:jc w:val="left"/>
            </w:pPr>
            <w:r>
              <w:rPr>
                <w:rFonts w:ascii="仿宋_GB2312" w:hAnsi="仿宋_GB2312" w:cs="仿宋_GB2312" w:eastAsia="仿宋_GB2312"/>
              </w:rPr>
              <w:t>脂肪酸分析设备</w:t>
            </w:r>
          </w:p>
        </w:tc>
        <w:tc>
          <w:tcPr>
            <w:tcW w:type="dxa" w:w="2492"/>
          </w:tcPr>
          <w:p>
            <w:pPr>
              <w:pStyle w:val="null3"/>
              <w:jc w:val="left"/>
            </w:pPr>
            <w:r>
              <w:rPr>
                <w:rFonts w:ascii="仿宋_GB2312" w:hAnsi="仿宋_GB2312" w:cs="仿宋_GB2312" w:eastAsia="仿宋_GB2312"/>
              </w:rPr>
              <w:t>脂肪酸分析设备</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标的名称：脂肪酸分析设备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脂肪酸分析设备</w:t>
            </w:r>
          </w:p>
        </w:tc>
        <w:tc>
          <w:tcPr>
            <w:tcW w:type="dxa" w:w="5814"/>
          </w:tcPr>
          <w:p>
            <w:pPr>
              <w:pStyle w:val="null3"/>
              <w:spacing w:after="135"/>
              <w:jc w:val="left"/>
            </w:pPr>
            <w:r>
              <w:rPr>
                <w:rFonts w:ascii="仿宋_GB2312" w:hAnsi="仿宋_GB2312" w:cs="仿宋_GB2312" w:eastAsia="仿宋_GB2312"/>
                <w:sz w:val="24"/>
                <w:color w:val="000000"/>
              </w:rPr>
              <w:t>1. 用途：通过气相色谱仪对样品中的脂肪酸进行分离和定量，实现脂肪酸的分析测定，了解食物中的脂肪酸组成，评估其营养价值等</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 仪器要求：</w:t>
            </w:r>
          </w:p>
          <w:p>
            <w:pPr>
              <w:pStyle w:val="null3"/>
              <w:spacing w:after="135"/>
              <w:jc w:val="left"/>
            </w:pPr>
            <w:r>
              <w:rPr>
                <w:rFonts w:ascii="仿宋_GB2312" w:hAnsi="仿宋_GB2312" w:cs="仿宋_GB2312" w:eastAsia="仿宋_GB2312"/>
                <w:sz w:val="24"/>
                <w:color w:val="000000"/>
              </w:rPr>
              <w:t>2.1色谱性能：</w:t>
            </w:r>
          </w:p>
          <w:p>
            <w:pPr>
              <w:pStyle w:val="null3"/>
              <w:spacing w:after="135"/>
              <w:jc w:val="left"/>
            </w:pPr>
            <w:r>
              <w:rPr>
                <w:rFonts w:ascii="仿宋_GB2312" w:hAnsi="仿宋_GB2312" w:cs="仿宋_GB2312" w:eastAsia="仿宋_GB2312"/>
                <w:sz w:val="24"/>
                <w:color w:val="000000"/>
              </w:rPr>
              <w:t xml:space="preserve">2.1.1、保留时间重现性：≤0.008%或≤0.0008min </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 xml:space="preserve">2.1.2、峰面积重现性：≤1% RSD </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2.1.3、可支持2个进样口，4个检测器（ECD、NPD、FID）同时工作，同时采集4个检测器信号</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2.1.4、所有的进样口及检测器均采用电子压力控制（EPC），压力控制精度：0.001 psi</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2.1.5、具备交互式触摸屏，可直接在触摸屏上操作并获取仪器状态和信息；可实时显示色谱图采集状态、内置自引导诊断和维护功能，也快速访问方法、日志、设置及帮助信息</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2.1.6、智能化要求：智能化监测，远程控制、智能提醒等功能；具有独立的IP地址，通过浏览器界面与色谱仪主机IP地址连接即可实现查询、运行、诊断等操作，具备不低于3个色谱柱智能接口实现色谱柱信息的自动记录功能</w:t>
            </w:r>
            <w:r>
              <w:rPr>
                <w:rFonts w:ascii="仿宋_GB2312" w:hAnsi="仿宋_GB2312" w:cs="仿宋_GB2312" w:eastAsia="仿宋_GB2312"/>
                <w:sz w:val="24"/>
                <w:color w:val="000000"/>
              </w:rPr>
              <w:t>（提供色谱柱智能接口实物图片和载气过滤饱和度自动监测预警及对应解决方案智能提醒的功能软件截图）</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2.2、分流/不分流进样口</w:t>
            </w:r>
          </w:p>
          <w:p>
            <w:pPr>
              <w:pStyle w:val="null3"/>
              <w:spacing w:after="135"/>
              <w:jc w:val="left"/>
            </w:pPr>
            <w:r>
              <w:rPr>
                <w:rFonts w:ascii="仿宋_GB2312" w:hAnsi="仿宋_GB2312" w:cs="仿宋_GB2312" w:eastAsia="仿宋_GB2312"/>
                <w:sz w:val="24"/>
                <w:color w:val="000000"/>
              </w:rPr>
              <w:t>2.2.1、具有电子流量控制功能，气路的压力、流量分流比可由软件控制</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★2.2.2、压力设定范围：0-100psi, 控制精度0.001psi（作为验收指标，在控制液晶面板上，气体压力以psi为单位，必须在小数点后第3位上波动）</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2.2.3、快速扳转系统，更换衬管无需要拆卸螺丝</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2.2.4、最高使用温度400 ˚C</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2.3、柱温箱</w:t>
            </w:r>
          </w:p>
          <w:p>
            <w:pPr>
              <w:pStyle w:val="null3"/>
              <w:spacing w:after="135"/>
              <w:jc w:val="left"/>
            </w:pPr>
            <w:r>
              <w:rPr>
                <w:rFonts w:ascii="仿宋_GB2312" w:hAnsi="仿宋_GB2312" w:cs="仿宋_GB2312" w:eastAsia="仿宋_GB2312"/>
                <w:sz w:val="24"/>
                <w:color w:val="000000"/>
              </w:rPr>
              <w:t>2.3.1、温度：室温+5℃～450℃</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2.3.2、最大升温速率：120℃/min；可支持LTM低热容色谱模块安装，实现最高温度梯度速率达到600°C/min以上，便于开发快速色谱的应用</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2.3.3、程序升温：不低于19阶20平台，可程序降温，在5min内，从450℃降温到50℃</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 FID检测器</w:t>
            </w:r>
          </w:p>
          <w:p>
            <w:pPr>
              <w:pStyle w:val="null3"/>
              <w:spacing w:after="135"/>
              <w:jc w:val="left"/>
            </w:pPr>
            <w:r>
              <w:rPr>
                <w:rFonts w:ascii="仿宋_GB2312" w:hAnsi="仿宋_GB2312" w:cs="仿宋_GB2312" w:eastAsia="仿宋_GB2312"/>
                <w:sz w:val="24"/>
                <w:color w:val="000000"/>
              </w:rPr>
              <w:t>2.4.1 最低检测限：≤1.2pg C/s</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2.4.2 电子压力/流量控制,压力控制精度: 0.001psi</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2.4.3 线性动态范围：≥10</w:t>
            </w:r>
            <w:r>
              <w:rPr>
                <w:rFonts w:ascii="仿宋_GB2312" w:hAnsi="仿宋_GB2312" w:cs="仿宋_GB2312" w:eastAsia="仿宋_GB2312"/>
                <w:sz w:val="24"/>
                <w:color w:val="000000"/>
                <w:vertAlign w:val="superscript"/>
              </w:rPr>
              <w:t>7</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2.4.4 灭火自动检测和自动再点火，保持实验室室内通风和具有可燃气体报警装置</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★2.4.5检测器的最大数据采集频率可达到1000Hz（提供数据采集频率的软件截图证明）</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★2.4.6 可以同时设置8个信号通道，一次进样生成不同方法条件下的8张谱图（提供设置信号通道的软件截图证明）</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2.5、液体自动进样器</w:t>
            </w:r>
          </w:p>
          <w:p>
            <w:pPr>
              <w:pStyle w:val="null3"/>
              <w:spacing w:after="135"/>
              <w:jc w:val="left"/>
            </w:pPr>
            <w:r>
              <w:rPr>
                <w:rFonts w:ascii="仿宋_GB2312" w:hAnsi="仿宋_GB2312" w:cs="仿宋_GB2312" w:eastAsia="仿宋_GB2312"/>
                <w:sz w:val="24"/>
                <w:color w:val="000000"/>
              </w:rPr>
              <w:t>2.5.1 进样位数：≥165位</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2.5.2 进样量范围：0.1～50μL</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2.5.3 进样量线性：≥99%</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2.5.4 采用热插拔式自适应的兼容性设计，更换自动进样器无需工具拆卸也无需定位校准</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2.6、数据处理系统</w:t>
            </w:r>
          </w:p>
          <w:p>
            <w:pPr>
              <w:pStyle w:val="null3"/>
              <w:spacing w:after="135"/>
              <w:jc w:val="left"/>
            </w:pPr>
            <w:r>
              <w:rPr>
                <w:rFonts w:ascii="仿宋_GB2312" w:hAnsi="仿宋_GB2312" w:cs="仿宋_GB2312" w:eastAsia="仿宋_GB2312"/>
                <w:sz w:val="24"/>
                <w:color w:val="000000"/>
              </w:rPr>
              <w:t>2.6.1、色谱分析软件包（应包括：数据采集、分析、储存及定性定量分析）</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2.6.2、全中文的操作界面以及所有在线帮助</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2.6.3、支持液体进样器的全自动程序控制功能</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2.6.4、保留时间锁定功能（RTL），使得不同仪器之间、不同长度的色谱柱之间、不同实验室之间，有效减少同一物质的保留时间误差</w:t>
            </w:r>
            <w:r>
              <w:rPr>
                <w:rFonts w:ascii="仿宋_GB2312" w:hAnsi="仿宋_GB2312" w:cs="仿宋_GB2312" w:eastAsia="仿宋_GB2312"/>
                <w:sz w:val="24"/>
                <w:color w:val="000000"/>
              </w:rPr>
              <w:t>；</w:t>
            </w:r>
            <w:r>
              <w:rPr>
                <w:rFonts w:ascii="仿宋_GB2312" w:hAnsi="仿宋_GB2312" w:cs="仿宋_GB2312" w:eastAsia="仿宋_GB2312"/>
                <w:sz w:val="24"/>
                <w:color w:val="000000"/>
              </w:rPr>
              <w:t>用户可据此自建保留时间锁定谱库</w:t>
            </w:r>
            <w:r>
              <w:rPr>
                <w:rFonts w:ascii="仿宋_GB2312" w:hAnsi="仿宋_GB2312" w:cs="仿宋_GB2312" w:eastAsia="仿宋_GB2312"/>
                <w:sz w:val="24"/>
                <w:color w:val="000000"/>
              </w:rPr>
              <w:t>。</w:t>
            </w:r>
          </w:p>
          <w:p>
            <w:pPr>
              <w:pStyle w:val="null3"/>
              <w:spacing w:after="135"/>
              <w:jc w:val="left"/>
            </w:pPr>
            <w:r>
              <w:rPr>
                <w:rFonts w:ascii="仿宋_GB2312" w:hAnsi="仿宋_GB2312" w:cs="仿宋_GB2312" w:eastAsia="仿宋_GB2312"/>
                <w:sz w:val="24"/>
                <w:color w:val="000000"/>
              </w:rPr>
              <w:t>★3、配置要求</w:t>
            </w:r>
          </w:p>
          <w:p>
            <w:pPr>
              <w:pStyle w:val="null3"/>
              <w:jc w:val="both"/>
            </w:pPr>
            <w:r>
              <w:rPr>
                <w:rFonts w:ascii="仿宋_GB2312" w:hAnsi="仿宋_GB2312" w:cs="仿宋_GB2312" w:eastAsia="仿宋_GB2312"/>
                <w:sz w:val="24"/>
                <w:color w:val="000000"/>
              </w:rPr>
              <w:t>气相色谱仪主机</w:t>
            </w:r>
            <w:r>
              <w:rPr>
                <w:rFonts w:ascii="仿宋_GB2312" w:hAnsi="仿宋_GB2312" w:cs="仿宋_GB2312" w:eastAsia="仿宋_GB2312"/>
                <w:sz w:val="24"/>
                <w:color w:val="000000"/>
              </w:rPr>
              <w:t>1台（含触屏面板控制）；惰性化分流不分流进样口1个；FID检测器1个；液体自动进样器1套；安装工具包1套；O型圈1包；石墨密封垫圈1包；进样隔垫1包；分流衬管1包；手拧式色谱柱螺帽1个；色谱柱2根；控制软件1套；氢气发生器1台；空气发生器1台；数据处理装置及输出装置1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rPr>
              <w:t>注：上述技术要求中如有固定值表述，采购人接受优于该数值的产品。</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jc w:val="left"/>
            </w:pPr>
            <w:r>
              <w:rPr>
                <w:rFonts w:ascii="仿宋_GB2312" w:hAnsi="仿宋_GB2312" w:cs="仿宋_GB2312" w:eastAsia="仿宋_GB2312"/>
              </w:rPr>
              <w:t>供应商在履行合同过程中拟派本项目人员的安全责任供应商自行负责，采购人不承担任何责任。</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培训服务</w:t>
            </w:r>
          </w:p>
        </w:tc>
        <w:tc>
          <w:tcPr>
            <w:tcW w:type="dxa" w:w="5814"/>
          </w:tcPr>
          <w:p>
            <w:pPr>
              <w:pStyle w:val="null3"/>
              <w:jc w:val="left"/>
            </w:pPr>
            <w:r>
              <w:rPr>
                <w:rFonts w:ascii="仿宋_GB2312" w:hAnsi="仿宋_GB2312" w:cs="仿宋_GB2312" w:eastAsia="仿宋_GB2312"/>
              </w:rPr>
              <w:t>供应商应免费提供培训服务，直至采购人能独立使用。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采购人指定地点（巴中市农林科学研究院内）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1、预付款，采购合同签订生效后，达到付款条件起5日内，支付合同总金额的40.00%</w:t>
            </w:r>
          </w:p>
          <w:p>
            <w:pPr>
              <w:pStyle w:val="null3"/>
              <w:jc w:val="left"/>
            </w:pPr>
            <w:r>
              <w:rPr>
                <w:rFonts w:ascii="仿宋_GB2312" w:hAnsi="仿宋_GB2312" w:cs="仿宋_GB2312" w:eastAsia="仿宋_GB2312"/>
              </w:rPr>
              <w:t>2、进度款，项目验收合格后，达到付款条件起5日内，支付合同总金额的55.00%</w:t>
            </w:r>
          </w:p>
          <w:p>
            <w:pPr>
              <w:pStyle w:val="null3"/>
              <w:jc w:val="left"/>
            </w:pPr>
            <w:r>
              <w:rPr>
                <w:rFonts w:ascii="仿宋_GB2312" w:hAnsi="仿宋_GB2312" w:cs="仿宋_GB2312" w:eastAsia="仿宋_GB2312"/>
              </w:rPr>
              <w:t>3、尾款，设备运行满6个月且无任何质量问题，达到付款条件起5日内，支付合同总金额的5.00%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（1）验收交付标准：所有设备安装调试完成，并免费培训至采购人可独立使用。 （2）验收标准：完成国家有关规定以及谈判文件的质量要求和技术指标、供应商的响应文件及承诺、本项目合同约定内容；供应商在验收时提供生产企业的出厂检验报告、合格证等。 （3）验收方法： 1）由供应商提出验收申请，采购人收到验收申请后7日内组织相关人员进行验收。 2）验收过程中，将对谈判文件中的技术指标进行逐一验证，一旦发现有虚假响应，将予以退货处理，并按规定上报财政部门。采购人与供应商双方如对质量要求和技术指标的约定标准有相互抵触或异议的事项，由采购人在谈判文件与响应文件中按质量要求和技术指标比较优胜的原则确定该项的约定标准进行验收；验收时如发现不能满足相关规范标准及采购人使用要求或所交付的货物有短装、次品、损坏或其它不符合标准及本合同约定之情形者，采购人应做出详尽的现场记录，或由采购人与供应商双方签署备忘录，此现场记录或备忘录可用作补充、缺失和更换损坏部件的有效证据，由此产生的时间延误与有关费用由供应商承担，验收期限相应顺延；如质量验收合格，双方签署质量验收报告。 3）验收合格后的使用期间内，出现货物制造质量问题，采购人有权要求退换货，供应商应承担由此给采购人以及第三方的损失。 4）其他未尽事宜应严格按照财政部《关于进一步加强政府采购需求和履约验收管理的指导意见》财库〔2016〕205 号及《巴中市财政局关于进一步加强政府采购项目合同履约验收管理工作的通知》（巴财采[2021]21号）的要求进行。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保修范围：整机含所有部件（质保期内涉及维修、产品更换、人工费用等一切费用包含在此次报价中），质量保修期：不低于12个月。质保期内，成交供应商免费负责产品维护、维修、校准。成交供应商应提供7x24小时售后服务电话，出现故障后2小时响应，24小时内到达现场；若24小时未能解决问题，则提供备用机，不影响采购人的正常使用。质保期满后成交供应商向采购人提供价格优惠的技术服务和备件供应。 （2）成交供应商提供专职的维修工程师及应用工程师有效保证售后维修的及时、快捷，并负责提供技术支持，保证仪器的正常操作，并协助用户进行方法开发。</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 xml:space="preserve"> 1.采购人违约责任 1.1若采购人未按照合同约定逾期向供应商支付货物费用，每逾期一天，按应支付金额的1‰作为违约金支付给供应商，直至实际支付之日。 1.2因采购人原因导致变更、中止或者终止政府采购合同的，应对供应商受到的损失予以赔偿或者补偿。 2.成交供应商违约责任 2.1成交供应商交付的产品质量不符合合同规定的，成交供应商应向采购人支付合同总价的百分之 十 的违约金，并应在合同规定的交货时间内更换合格的产品给采购人，否则，视作成交供应商不能交付产品而违约，按本条本款下述第“2”项规定由成交供应商偿付违约赔偿金给采购人。 2.2成交供应商不能交付产品或逾期交付产品而违约的，除应及时交足产品外，应向采购人偿付逾期交货部分合同价款总额的1‰的违约金；逾期交货超过60日，采购人有权终止合同，成交供应商则应按合同总价的百分之 十 的款额向采购人偿付赔偿金，全额退还采购人已经付给成交供应商的合同价款及其利息。 2.3成交供应商产品经采购人送交具有法定资格条件的质量技术监督机构检测后，如检测结果认定产品质量不符合本合同规定标准的，则视为成交供应商没有按时交货而违约，成交供应商应在 30 日内无条件更换合格的产品，如逾期不能更换合格的产品，采购人有权终止本合同，成交供应商应另付合同总价的百分之 十 的赔偿金给采购人。 2.4成交供应商保证本合同标的权利无瑕疵，包括产品所有权及知识产权等权利无瑕疵。如任何第三方经法院（或仲裁机构）裁决有权对上述产品主张权利或国家机关依法对产品进行没收查处的，成交供应商除应向采购人返还已收款项外，还应另按合同总价的百分之 十扣除，成交供应商偿付的违约金不足以弥补采购人损失的，还应按采购人损失尚未弥补的部分，支付赔偿金给采购人。 3.争议解决方式 3.1因货物的质量问题发生争议，由质量技术监督部门或其指定的质量鉴定机构进行质量鉴定。货物符合标准的，鉴定费由采购人承担；货物不符合质量标准的，鉴定费由成交供应商承担。 3.2合同履行期间,若双方发生争议，可协商或由有关部门调解解决，协商或调解不成的，由采购人所在地有管辖权的人民法院管辖。</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第三章“技术、服务及其他要求”全部内容及其他谈判小组认为需要谈判的内容。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第七章“拟签订采购合同文本”全部内容及其他谈判小组认为需要谈判的相关内容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是法人的，提供《营业执照》（或《事业单位法人证书》，或其他能够证明其依法有效存在的书面材料），以及法定代表人的身份证明；供应商是其他组织的，提供能够证明其依法有效存在的书面材料，以及组织负责人的身份证明；供应商是自然人的，提供其身份证明；</w:t>
              <w:br/>
              <w:t>（2）供应商派出参加政府采购活动的代表不是法定代表人或组织负责人的，应提供派出代表的《授权委托书》及其身份证明。</w:t>
              <w:br/>
              <w:t>注：身份证明是指：身份证或军官证或户口簿或护照等（复印件或扫描件）。</w:t>
            </w:r>
          </w:p>
        </w:tc>
        <w:tc>
          <w:tcPr>
            <w:tcW w:type="dxa" w:w="1910"/>
          </w:tcPr>
          <w:p>
            <w:pPr>
              <w:pStyle w:val="null3"/>
              <w:jc w:val="left"/>
            </w:pPr>
            <w:r>
              <w:rPr>
                <w:rFonts w:ascii="仿宋_GB2312" w:hAnsi="仿宋_GB2312" w:cs="仿宋_GB2312" w:eastAsia="仿宋_GB2312"/>
              </w:rPr>
              <w:t>响应文件封面,具有独立承担民事责任的能力.docx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 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技术服务应答</w:t>
            </w:r>
          </w:p>
        </w:tc>
        <w:tc>
          <w:tcPr>
            <w:tcW w:type="dxa" w:w="3322"/>
          </w:tcPr>
          <w:p>
            <w:pPr>
              <w:pStyle w:val="null3"/>
              <w:jc w:val="left"/>
            </w:pPr>
            <w:r>
              <w:rPr>
                <w:rFonts w:ascii="仿宋_GB2312" w:hAnsi="仿宋_GB2312" w:cs="仿宋_GB2312" w:eastAsia="仿宋_GB2312"/>
              </w:rPr>
              <w:t>完全响应谈判文件第三章技术要求、服务要求中标注“★”内容。</w:t>
            </w:r>
          </w:p>
        </w:tc>
        <w:tc>
          <w:tcPr>
            <w:tcW w:type="dxa" w:w="1910"/>
          </w:tcPr>
          <w:p>
            <w:pPr>
              <w:pStyle w:val="null3"/>
              <w:jc w:val="left"/>
            </w:pPr>
            <w:r>
              <w:rPr>
                <w:rFonts w:ascii="仿宋_GB2312" w:hAnsi="仿宋_GB2312" w:cs="仿宋_GB2312" w:eastAsia="仿宋_GB2312"/>
              </w:rPr>
              <w:t>技术服务应答表.docx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商务、其他要求应答</w:t>
            </w:r>
          </w:p>
        </w:tc>
        <w:tc>
          <w:tcPr>
            <w:tcW w:type="dxa" w:w="3322"/>
          </w:tcPr>
          <w:p>
            <w:pPr>
              <w:pStyle w:val="null3"/>
              <w:jc w:val="left"/>
            </w:pPr>
            <w:r>
              <w:rPr>
                <w:rFonts w:ascii="仿宋_GB2312" w:hAnsi="仿宋_GB2312" w:cs="仿宋_GB2312" w:eastAsia="仿宋_GB2312"/>
              </w:rPr>
              <w:t>完全响应谈判文件第三章商务要求中标注“★”内容。</w:t>
            </w:r>
          </w:p>
        </w:tc>
        <w:tc>
          <w:tcPr>
            <w:tcW w:type="dxa" w:w="1910"/>
          </w:tcPr>
          <w:p>
            <w:pPr>
              <w:pStyle w:val="null3"/>
              <w:jc w:val="left"/>
            </w:pPr>
            <w:r>
              <w:rPr>
                <w:rFonts w:ascii="仿宋_GB2312" w:hAnsi="仿宋_GB2312" w:cs="仿宋_GB2312" w:eastAsia="仿宋_GB2312"/>
              </w:rPr>
              <w:t>商务、其他要求应答表.docx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其他供应商认为需要提供的材料</w:t>
            </w:r>
          </w:p>
        </w:tc>
        <w:tc>
          <w:tcPr>
            <w:tcW w:type="dxa" w:w="3322"/>
          </w:tcPr>
          <w:p>
            <w:pPr>
              <w:pStyle w:val="null3"/>
              <w:jc w:val="left"/>
            </w:pPr>
            <w:r>
              <w:rPr>
                <w:rFonts w:ascii="仿宋_GB2312" w:hAnsi="仿宋_GB2312" w:cs="仿宋_GB2312" w:eastAsia="仿宋_GB2312"/>
              </w:rPr>
              <w:t>其他供应商认为需要提供的材料</w:t>
            </w:r>
          </w:p>
        </w:tc>
        <w:tc>
          <w:tcPr>
            <w:tcW w:type="dxa" w:w="1910"/>
          </w:tcPr>
          <w:p>
            <w:pPr>
              <w:pStyle w:val="null3"/>
              <w:jc w:val="left"/>
            </w:pPr>
            <w:r>
              <w:rPr>
                <w:rFonts w:ascii="仿宋_GB2312" w:hAnsi="仿宋_GB2312" w:cs="仿宋_GB2312" w:eastAsia="仿宋_GB2312"/>
              </w:rPr>
              <w:t>其他供应商认为需要提交的证明材料.docx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详见附件：技术服务应答表.docx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详见附件：其他供应商认为需要提交的证明材料.docx</w:t>
      </w:r>
    </w:p>
    <w:p>
      <w:pPr>
        <w:pStyle w:val="null3"/>
        <w:ind w:firstLine="960"/>
        <w:jc w:val="left"/>
      </w:pPr>
      <w:r>
        <w:rPr>
          <w:rFonts w:ascii="仿宋_GB2312" w:hAnsi="仿宋_GB2312" w:cs="仿宋_GB2312" w:eastAsia="仿宋_GB2312"/>
        </w:rPr>
        <w:t>详见附件：商务、其他要求应答表.docx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