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版本号：N513323202500002920250319001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丹巴县章谷镇五里牌新区后山崩塌勘查设计服务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N5133232025000029</w:t>
      </w:r>
    </w:p>
    <w:p>
      <w:pPr>
        <w:pStyle w:val="null3"/>
        <w:jc w:val="left"/>
        <w:outlineLvl w:val="2"/>
      </w:pPr>
      <w:r>
        <w:rPr>
          <w:rFonts w:ascii="仿宋_GB2312" w:hAnsi="仿宋_GB2312" w:cs="仿宋_GB2312" w:eastAsia="仿宋_GB2312"/>
          <w:sz w:val="28"/>
          <w:b/>
        </w:rPr>
        <w:t>丹巴县自然资源局</w:t>
      </w:r>
    </w:p>
    <w:p>
      <w:pPr>
        <w:pStyle w:val="null3"/>
        <w:jc w:val="center"/>
        <w:outlineLvl w:val="2"/>
      </w:pPr>
      <w:r>
        <w:rPr>
          <w:rFonts w:ascii="仿宋_GB2312" w:hAnsi="仿宋_GB2312" w:cs="仿宋_GB2312" w:eastAsia="仿宋_GB2312"/>
          <w:sz w:val="28"/>
          <w:b/>
        </w:rPr>
        <w:t>成都同庆工程管理有限公司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成都同庆工程管理有限公司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丹巴县自然资源局</w:t>
      </w:r>
      <w:r>
        <w:rPr>
          <w:rFonts w:ascii="仿宋_GB2312" w:hAnsi="仿宋_GB2312" w:cs="仿宋_GB2312" w:eastAsia="仿宋_GB2312"/>
        </w:rPr>
        <w:t xml:space="preserve"> 委托，拟对 </w:t>
      </w:r>
      <w:r>
        <w:rPr>
          <w:rFonts w:ascii="仿宋_GB2312" w:hAnsi="仿宋_GB2312" w:cs="仿宋_GB2312" w:eastAsia="仿宋_GB2312"/>
        </w:rPr>
        <w:t>丹巴县章谷镇五里牌新区后山崩塌勘查设计服务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甘孜藏族自治州丹巴县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N5133232025000029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丹巴县章谷镇五里牌新区后山崩塌勘查设计服务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丹巴县章谷镇五里牌新区后山崩塌位于丹巴县章谷镇五里牌新区后山。根据调查，由于危岩高陡，危岩风化较严重，后缘及陡壁卸荷裂缝发育，经常有零星块石滚落，该崩塌点岩体裂隙发育，近些年来，在降雨等因素作用下，裂隙进一步发育，一旦形成贯穿裂缝，有发生较大规模崩塌的可能性，由于地势高陡，一旦发生灾害，将严重威胁崩塌坡脚的居民，丹巴县人民法院，丹巴县政务中心综合大楼等政府机构，金河大酒店及过往车辆和行人等，因此需对该项目进行工程治理。 服务内容：提供丹巴县章谷镇五里牌新区后山崩塌治理工程的勘查设计服务，完成丹巴县章谷镇五里牌新区后山崩塌治理工程勘查设计方案编制服务，包括该工程地灾工程勘查、测量和可研（含估算）、初步设计（含概算）、施工图设计（含预算）、施工阶段相关技术及后续服务等工作。保证设计深度和设计文件质量，保证工程设计通过有关部门的审核。参与后期技术交底工作，并配合采购人处理施工过程中出现的技术问题。</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具备行政主管部门颁发的有效的地质灾害评估和治理工程勘查设计甲级资质，提供扫描件并进行电子签章（描述：供应商应具备行政主管部门颁发的有效的地质灾害评估和治理工程勘查设计甲级资质，提供扫描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丹巴县自然资源局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甘孜藏族自治州丹巴县五里牌新区综合办公楼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0836-3523347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成都同庆工程管理有限公司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四川省成都市郫都区天辰路辰风社区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19382284841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代理服务费收费标准：参照《招标代理服务收费管理暂行办法》（计价格〔2002〕1980号）及《国家发展改革委办公厅关于招标代理服务收费有关问题的通知》（发改办价格〔2003〕857号）、《国家发展改革委关于进一步放开建设项目专业服务价格的通知》（发改价格（2015）299号）的规定和合理利润原则计算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丹巴县自然资源局</w:t>
      </w:r>
      <w:r>
        <w:rPr>
          <w:rFonts w:ascii="仿宋_GB2312" w:hAnsi="仿宋_GB2312" w:cs="仿宋_GB2312" w:eastAsia="仿宋_GB2312"/>
        </w:rPr>
        <w:t xml:space="preserve"> 和 </w:t>
      </w:r>
      <w:r>
        <w:rPr>
          <w:rFonts w:ascii="仿宋_GB2312" w:hAnsi="仿宋_GB2312" w:cs="仿宋_GB2312" w:eastAsia="仿宋_GB2312"/>
        </w:rPr>
        <w:t>成都同庆工程管理有限公司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丹巴县自然资源局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成都同庆工程管理有限公司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人与供应商双方如对质量要求和技术指标的约定标准有相互抵触或异议的事项，由采购人在采购文件及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人与供应商双方如对质量要求和技术指标的约定标准有相互抵触或异议的事项，由采购人在采购文件及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严格按照《财政部关于进一步加强政府采购需求和履约验收管理的指导意见》（财库〔2016〕205号）、《政府釆购需求管理办法》（财库[2021]22号）文件的要求进行验收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按合同相关条款办理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丹巴县自然资源局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成都同庆工程管理有限公司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成都同庆工程管理有限公司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联系人：杜老师</w:t>
      </w:r>
    </w:p>
    <w:p>
      <w:pPr>
        <w:pStyle w:val="null3"/>
        <w:jc w:val="left"/>
      </w:pPr>
      <w:r>
        <w:rPr>
          <w:rFonts w:ascii="仿宋_GB2312" w:hAnsi="仿宋_GB2312" w:cs="仿宋_GB2312" w:eastAsia="仿宋_GB2312"/>
        </w:rPr>
        <w:t>联系电话：0836-3523347</w:t>
      </w:r>
    </w:p>
    <w:p>
      <w:pPr>
        <w:pStyle w:val="null3"/>
        <w:jc w:val="left"/>
      </w:pPr>
      <w:r>
        <w:rPr>
          <w:rFonts w:ascii="仿宋_GB2312" w:hAnsi="仿宋_GB2312" w:cs="仿宋_GB2312" w:eastAsia="仿宋_GB2312"/>
        </w:rPr>
        <w:t>地址：甘孜藏族自治州丹巴县五里牌新区综合办公楼</w:t>
      </w:r>
    </w:p>
    <w:p>
      <w:pPr>
        <w:pStyle w:val="null3"/>
        <w:jc w:val="left"/>
      </w:pPr>
      <w:r>
        <w:rPr>
          <w:rFonts w:ascii="仿宋_GB2312" w:hAnsi="仿宋_GB2312" w:cs="仿宋_GB2312" w:eastAsia="仿宋_GB2312"/>
        </w:rPr>
        <w:t>邮编：626300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联系人：谢先生</w:t>
      </w:r>
    </w:p>
    <w:p>
      <w:pPr>
        <w:pStyle w:val="null3"/>
        <w:jc w:val="left"/>
      </w:pPr>
      <w:r>
        <w:rPr>
          <w:rFonts w:ascii="仿宋_GB2312" w:hAnsi="仿宋_GB2312" w:cs="仿宋_GB2312" w:eastAsia="仿宋_GB2312"/>
        </w:rPr>
        <w:t>联系电话：19382284841</w:t>
      </w:r>
    </w:p>
    <w:p>
      <w:pPr>
        <w:pStyle w:val="null3"/>
        <w:jc w:val="left"/>
      </w:pPr>
      <w:r>
        <w:rPr>
          <w:rFonts w:ascii="仿宋_GB2312" w:hAnsi="仿宋_GB2312" w:cs="仿宋_GB2312" w:eastAsia="仿宋_GB2312"/>
        </w:rPr>
        <w:t>地址：四川省成都市郫都区天辰路辰风社区</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丹巴县章谷镇五里牌新区后山崩塌勘查设计服务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丹巴县章谷镇五里牌新区后山崩塌勘查设计服务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标的名称：丹巴县章谷镇五里牌新区后山崩塌勘查设计服务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600"/>
              <w:jc w:val="both"/>
            </w:pPr>
            <w:r>
              <w:rPr>
                <w:rFonts w:ascii="仿宋_GB2312" w:hAnsi="仿宋_GB2312" w:cs="仿宋_GB2312" w:eastAsia="仿宋_GB2312"/>
                <w:color w:val="000000"/>
              </w:rPr>
              <w:t>★一、服务内容</w:t>
            </w:r>
          </w:p>
          <w:p>
            <w:pPr>
              <w:pStyle w:val="null3"/>
              <w:ind w:firstLine="600"/>
              <w:jc w:val="both"/>
            </w:pPr>
            <w:r>
              <w:rPr>
                <w:rFonts w:ascii="仿宋_GB2312" w:hAnsi="仿宋_GB2312" w:cs="仿宋_GB2312" w:eastAsia="仿宋_GB2312"/>
                <w:color w:val="000000"/>
              </w:rPr>
              <w:t>1、完成丹巴县章谷镇五里牌新区后山崩塌治理工程勘查设计方案编制服务，包括该工程地灾工程勘查、测量和可研（含估算）、初步设计（含概算）、施工图设计（含预算）、施工阶段相关技术及后续服务等工作。保证设计深度和设计文件质量，保证工程设计通过有关部门的审核。参与后期技术交底工作，并配合采购人处理施工过程中出现的技术问题。</w:t>
            </w:r>
          </w:p>
          <w:p>
            <w:pPr>
              <w:pStyle w:val="null3"/>
              <w:ind w:firstLine="600"/>
              <w:jc w:val="both"/>
            </w:pPr>
            <w:r>
              <w:rPr>
                <w:rFonts w:ascii="仿宋_GB2312" w:hAnsi="仿宋_GB2312" w:cs="仿宋_GB2312" w:eastAsia="仿宋_GB2312"/>
                <w:color w:val="000000"/>
              </w:rPr>
              <w:t>2、本项目勘查设计应遵守国家有关法律法规，按国家、四川省现行地质灾害防治工程相关规程规范、预算标准和管理规定进行勘查和施工图设计</w:t>
            </w:r>
          </w:p>
          <w:p>
            <w:pPr>
              <w:pStyle w:val="null3"/>
              <w:ind w:firstLine="600"/>
              <w:jc w:val="both"/>
            </w:pPr>
            <w:r>
              <w:rPr>
                <w:rFonts w:ascii="仿宋_GB2312" w:hAnsi="仿宋_GB2312" w:cs="仿宋_GB2312" w:eastAsia="仿宋_GB2312"/>
                <w:color w:val="000000"/>
              </w:rPr>
              <w:t>3、技术要求</w:t>
            </w:r>
          </w:p>
          <w:p>
            <w:pPr>
              <w:pStyle w:val="null3"/>
              <w:ind w:firstLine="560"/>
              <w:jc w:val="left"/>
            </w:pPr>
            <w:r>
              <w:rPr>
                <w:rFonts w:ascii="仿宋_GB2312" w:hAnsi="仿宋_GB2312" w:cs="仿宋_GB2312" w:eastAsia="仿宋_GB2312"/>
                <w:color w:val="000000"/>
              </w:rPr>
              <w:t>1.</w:t>
            </w:r>
            <w:r>
              <w:rPr>
                <w:rFonts w:ascii="仿宋_GB2312" w:hAnsi="仿宋_GB2312" w:cs="仿宋_GB2312" w:eastAsia="仿宋_GB2312"/>
                <w:color w:val="000000"/>
              </w:rPr>
              <w:t>治理工程勘查</w:t>
            </w:r>
            <w:r>
              <w:rPr>
                <w:rFonts w:ascii="仿宋_GB2312" w:hAnsi="仿宋_GB2312" w:cs="仿宋_GB2312" w:eastAsia="仿宋_GB2312"/>
                <w:color w:val="000000"/>
              </w:rPr>
              <w:t>：</w:t>
            </w:r>
          </w:p>
          <w:p>
            <w:pPr>
              <w:pStyle w:val="null3"/>
              <w:ind w:firstLine="560"/>
              <w:jc w:val="left"/>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w:t>
            </w:r>
            <w:r>
              <w:rPr>
                <w:rFonts w:ascii="仿宋_GB2312" w:hAnsi="仿宋_GB2312" w:cs="仿宋_GB2312" w:eastAsia="仿宋_GB2312"/>
                <w:color w:val="000000"/>
              </w:rPr>
              <w:t>通过工程测量、工程地质测绘、钻探、物探、槽探和岩土体试验等手段，查明地质灾害区的地形地貌、地层岩性、地质构造、气象水文等自然环境地质条件及人类工程活动状况；查明地质灾害的形态特征、范围、岩性组合、岩体结构、结构面性状、裂隙切割程度及变形活动特征；查明气象、水文、地震和地下水的活动和变化关系；查明滑坡类型、失稳模式、影响因素、稳定程度和发展趋势。</w:t>
            </w:r>
          </w:p>
          <w:p>
            <w:pPr>
              <w:pStyle w:val="null3"/>
              <w:ind w:firstLine="560"/>
              <w:jc w:val="left"/>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w:t>
            </w:r>
            <w:r>
              <w:rPr>
                <w:rFonts w:ascii="仿宋_GB2312" w:hAnsi="仿宋_GB2312" w:cs="仿宋_GB2312" w:eastAsia="仿宋_GB2312"/>
                <w:color w:val="000000"/>
              </w:rPr>
              <w:t>正确提出岩土体物理、力学参数指标</w:t>
            </w:r>
          </w:p>
          <w:p>
            <w:pPr>
              <w:pStyle w:val="null3"/>
              <w:ind w:firstLine="560"/>
              <w:jc w:val="both"/>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根据试验和调查统计选取合理的参数计算</w:t>
            </w:r>
            <w:r>
              <w:rPr>
                <w:rFonts w:ascii="仿宋_GB2312" w:hAnsi="仿宋_GB2312" w:cs="仿宋_GB2312" w:eastAsia="仿宋_GB2312"/>
                <w:color w:val="000000"/>
              </w:rPr>
              <w:t>崩塌</w:t>
            </w:r>
            <w:r>
              <w:rPr>
                <w:rFonts w:ascii="仿宋_GB2312" w:hAnsi="仿宋_GB2312" w:cs="仿宋_GB2312" w:eastAsia="仿宋_GB2312"/>
                <w:color w:val="000000"/>
              </w:rPr>
              <w:t>、</w:t>
            </w:r>
            <w:r>
              <w:rPr>
                <w:rFonts w:ascii="仿宋_GB2312" w:hAnsi="仿宋_GB2312" w:cs="仿宋_GB2312" w:eastAsia="仿宋_GB2312"/>
                <w:color w:val="000000"/>
              </w:rPr>
              <w:t>滑坡</w:t>
            </w:r>
            <w:r>
              <w:rPr>
                <w:rFonts w:ascii="仿宋_GB2312" w:hAnsi="仿宋_GB2312" w:cs="仿宋_GB2312" w:eastAsia="仿宋_GB2312"/>
                <w:color w:val="000000"/>
              </w:rPr>
              <w:t>的稳定性，分析论证失稳破坏机理模式、发展趋势及可能规模，提供防治工程的建议方案。</w:t>
            </w:r>
          </w:p>
          <w:p>
            <w:pPr>
              <w:pStyle w:val="null3"/>
              <w:ind w:firstLine="600"/>
              <w:jc w:val="both"/>
            </w:pPr>
            <w:r>
              <w:rPr>
                <w:rFonts w:ascii="仿宋_GB2312" w:hAnsi="仿宋_GB2312" w:cs="仿宋_GB2312" w:eastAsia="仿宋_GB2312"/>
                <w:color w:val="000000"/>
              </w:rPr>
              <w:t>2.治理工程可行性研究及初步设计：</w:t>
            </w:r>
          </w:p>
          <w:p>
            <w:pPr>
              <w:pStyle w:val="null3"/>
              <w:ind w:firstLine="600"/>
              <w:jc w:val="both"/>
            </w:pPr>
            <w:r>
              <w:rPr>
                <w:rFonts w:ascii="仿宋_GB2312" w:hAnsi="仿宋_GB2312" w:cs="仿宋_GB2312" w:eastAsia="仿宋_GB2312"/>
                <w:color w:val="000000"/>
              </w:rPr>
              <w:t>根据国家有关技术要求、规定、规程规范对</w:t>
            </w:r>
            <w:r>
              <w:rPr>
                <w:rFonts w:ascii="仿宋_GB2312" w:hAnsi="仿宋_GB2312" w:cs="仿宋_GB2312" w:eastAsia="仿宋_GB2312"/>
                <w:color w:val="000000"/>
              </w:rPr>
              <w:t>崩塌</w:t>
            </w:r>
            <w:r>
              <w:rPr>
                <w:rFonts w:ascii="仿宋_GB2312" w:hAnsi="仿宋_GB2312" w:cs="仿宋_GB2312" w:eastAsia="仿宋_GB2312"/>
                <w:color w:val="000000"/>
              </w:rPr>
              <w:t>、</w:t>
            </w:r>
            <w:r>
              <w:rPr>
                <w:rFonts w:ascii="仿宋_GB2312" w:hAnsi="仿宋_GB2312" w:cs="仿宋_GB2312" w:eastAsia="仿宋_GB2312"/>
                <w:color w:val="000000"/>
              </w:rPr>
              <w:t>滑坡等灾害体治理工程进行可行性研究，为治理工程设计提供可行的方案，并对治理工程经费进行估算；在可行性研究的基础上，初步设计进行细化设计和概算分析。具体要求如下;</w:t>
            </w:r>
          </w:p>
          <w:p>
            <w:pPr>
              <w:pStyle w:val="null3"/>
              <w:ind w:firstLine="600"/>
              <w:jc w:val="both"/>
            </w:pPr>
            <w:r>
              <w:rPr>
                <w:rFonts w:ascii="仿宋_GB2312" w:hAnsi="仿宋_GB2312" w:cs="仿宋_GB2312" w:eastAsia="仿宋_GB2312"/>
                <w:color w:val="000000"/>
              </w:rPr>
              <w:t>（1）</w:t>
            </w:r>
            <w:r>
              <w:rPr>
                <w:rFonts w:ascii="仿宋_GB2312" w:hAnsi="仿宋_GB2312" w:cs="仿宋_GB2312" w:eastAsia="仿宋_GB2312"/>
                <w:color w:val="000000"/>
              </w:rPr>
              <w:t>对治理工程的必要性和紧迫性进行评价。</w:t>
            </w:r>
          </w:p>
          <w:p>
            <w:pPr>
              <w:pStyle w:val="null3"/>
              <w:ind w:firstLine="600"/>
              <w:jc w:val="both"/>
            </w:pPr>
            <w:r>
              <w:rPr>
                <w:rFonts w:ascii="仿宋_GB2312" w:hAnsi="仿宋_GB2312" w:cs="仿宋_GB2312" w:eastAsia="仿宋_GB2312"/>
                <w:color w:val="000000"/>
              </w:rPr>
              <w:t>（2）</w:t>
            </w:r>
            <w:r>
              <w:rPr>
                <w:rFonts w:ascii="仿宋_GB2312" w:hAnsi="仿宋_GB2312" w:cs="仿宋_GB2312" w:eastAsia="仿宋_GB2312"/>
                <w:color w:val="000000"/>
              </w:rPr>
              <w:t>对勘查确定的</w:t>
            </w:r>
            <w:r>
              <w:rPr>
                <w:rFonts w:ascii="仿宋_GB2312" w:hAnsi="仿宋_GB2312" w:cs="仿宋_GB2312" w:eastAsia="仿宋_GB2312"/>
                <w:color w:val="000000"/>
              </w:rPr>
              <w:t>崩塌</w:t>
            </w:r>
            <w:r>
              <w:rPr>
                <w:rFonts w:ascii="仿宋_GB2312" w:hAnsi="仿宋_GB2312" w:cs="仿宋_GB2312" w:eastAsia="仿宋_GB2312"/>
                <w:color w:val="000000"/>
              </w:rPr>
              <w:t>、</w:t>
            </w:r>
            <w:r>
              <w:rPr>
                <w:rFonts w:ascii="仿宋_GB2312" w:hAnsi="仿宋_GB2312" w:cs="仿宋_GB2312" w:eastAsia="仿宋_GB2312"/>
                <w:color w:val="000000"/>
              </w:rPr>
              <w:t>滑坡各种参数进行分析比较。</w:t>
            </w:r>
          </w:p>
          <w:p>
            <w:pPr>
              <w:pStyle w:val="null3"/>
              <w:ind w:firstLine="600"/>
              <w:jc w:val="both"/>
            </w:pPr>
            <w:r>
              <w:rPr>
                <w:rFonts w:ascii="仿宋_GB2312" w:hAnsi="仿宋_GB2312" w:cs="仿宋_GB2312" w:eastAsia="仿宋_GB2312"/>
                <w:color w:val="000000"/>
              </w:rPr>
              <w:t>（3）</w:t>
            </w:r>
            <w:r>
              <w:rPr>
                <w:rFonts w:ascii="仿宋_GB2312" w:hAnsi="仿宋_GB2312" w:cs="仿宋_GB2312" w:eastAsia="仿宋_GB2312"/>
                <w:color w:val="000000"/>
              </w:rPr>
              <w:t>对可能出现的不利工况进行分析比较，选择最合理的工况作为设计控制工况，在安全可靠的前提下，兼顾经济合理。</w:t>
            </w:r>
          </w:p>
          <w:p>
            <w:pPr>
              <w:pStyle w:val="null3"/>
              <w:ind w:firstLine="600"/>
              <w:jc w:val="both"/>
            </w:pPr>
            <w:r>
              <w:rPr>
                <w:rFonts w:ascii="仿宋_GB2312" w:hAnsi="仿宋_GB2312" w:cs="仿宋_GB2312" w:eastAsia="仿宋_GB2312"/>
                <w:color w:val="000000"/>
              </w:rPr>
              <w:t>（4）</w:t>
            </w:r>
            <w:r>
              <w:rPr>
                <w:rFonts w:ascii="仿宋_GB2312" w:hAnsi="仿宋_GB2312" w:cs="仿宋_GB2312" w:eastAsia="仿宋_GB2312"/>
                <w:color w:val="000000"/>
              </w:rPr>
              <w:t>对设计工况进行力学计算分析。</w:t>
            </w:r>
          </w:p>
          <w:p>
            <w:pPr>
              <w:pStyle w:val="null3"/>
              <w:ind w:firstLine="600"/>
              <w:jc w:val="both"/>
            </w:pPr>
            <w:r>
              <w:rPr>
                <w:rFonts w:ascii="仿宋_GB2312" w:hAnsi="仿宋_GB2312" w:cs="仿宋_GB2312" w:eastAsia="仿宋_GB2312"/>
                <w:color w:val="000000"/>
              </w:rPr>
              <w:t>（5）</w:t>
            </w:r>
            <w:r>
              <w:rPr>
                <w:rFonts w:ascii="仿宋_GB2312" w:hAnsi="仿宋_GB2312" w:cs="仿宋_GB2312" w:eastAsia="仿宋_GB2312"/>
                <w:color w:val="000000"/>
              </w:rPr>
              <w:t>根据计算结果，提出两套或两套以上方案，进行技术经济等比较，推荐治理方案。</w:t>
            </w:r>
          </w:p>
          <w:p>
            <w:pPr>
              <w:pStyle w:val="null3"/>
              <w:ind w:firstLine="600"/>
              <w:jc w:val="both"/>
            </w:pPr>
            <w:r>
              <w:rPr>
                <w:rFonts w:ascii="仿宋_GB2312" w:hAnsi="仿宋_GB2312" w:cs="仿宋_GB2312" w:eastAsia="仿宋_GB2312"/>
                <w:color w:val="000000"/>
              </w:rPr>
              <w:t>（6）</w:t>
            </w:r>
            <w:r>
              <w:rPr>
                <w:rFonts w:ascii="仿宋_GB2312" w:hAnsi="仿宋_GB2312" w:cs="仿宋_GB2312" w:eastAsia="仿宋_GB2312"/>
                <w:color w:val="000000"/>
              </w:rPr>
              <w:t>做出两套或两套以上方案进行投资估算，并作经济比较。</w:t>
            </w:r>
          </w:p>
          <w:p>
            <w:pPr>
              <w:pStyle w:val="null3"/>
              <w:ind w:firstLine="600"/>
              <w:jc w:val="both"/>
            </w:pPr>
            <w:r>
              <w:rPr>
                <w:rFonts w:ascii="仿宋_GB2312" w:hAnsi="仿宋_GB2312" w:cs="仿宋_GB2312" w:eastAsia="仿宋_GB2312"/>
                <w:color w:val="000000"/>
              </w:rPr>
              <w:t>（7）</w:t>
            </w:r>
            <w:r>
              <w:rPr>
                <w:rFonts w:ascii="仿宋_GB2312" w:hAnsi="仿宋_GB2312" w:cs="仿宋_GB2312" w:eastAsia="仿宋_GB2312"/>
                <w:color w:val="000000"/>
              </w:rPr>
              <w:t>在可行性研究的基础上，初步设计细化设计，细化推荐方案布置图和断面图、结构图等，并做投资概算。</w:t>
            </w:r>
          </w:p>
          <w:p>
            <w:pPr>
              <w:pStyle w:val="null3"/>
              <w:ind w:firstLine="600"/>
              <w:jc w:val="both"/>
            </w:pPr>
            <w:r>
              <w:rPr>
                <w:rFonts w:ascii="仿宋_GB2312" w:hAnsi="仿宋_GB2312" w:cs="仿宋_GB2312" w:eastAsia="仿宋_GB2312"/>
                <w:color w:val="000000"/>
              </w:rPr>
              <w:t>（8）</w:t>
            </w:r>
            <w:r>
              <w:rPr>
                <w:rFonts w:ascii="仿宋_GB2312" w:hAnsi="仿宋_GB2312" w:cs="仿宋_GB2312" w:eastAsia="仿宋_GB2312"/>
                <w:color w:val="000000"/>
              </w:rPr>
              <w:t>对防治工作进行效益评价。</w:t>
            </w:r>
          </w:p>
          <w:p>
            <w:pPr>
              <w:pStyle w:val="null3"/>
              <w:ind w:firstLine="600"/>
              <w:jc w:val="both"/>
            </w:pPr>
            <w:r>
              <w:rPr>
                <w:rFonts w:ascii="仿宋_GB2312" w:hAnsi="仿宋_GB2312" w:cs="仿宋_GB2312" w:eastAsia="仿宋_GB2312"/>
                <w:color w:val="000000"/>
              </w:rPr>
              <w:t>3.治理工程施工图设计：</w:t>
            </w:r>
          </w:p>
          <w:p>
            <w:pPr>
              <w:pStyle w:val="null3"/>
              <w:ind w:firstLine="600"/>
              <w:jc w:val="both"/>
            </w:pPr>
            <w:r>
              <w:rPr>
                <w:rFonts w:ascii="仿宋_GB2312" w:hAnsi="仿宋_GB2312" w:cs="仿宋_GB2312" w:eastAsia="仿宋_GB2312"/>
                <w:color w:val="000000"/>
              </w:rPr>
              <w:t>在勘查、可行性研究和初步设计的基础上，结合施工条件进一步优化和细化防治工程方案和防治工程措施，编制治理工程施工图及相关文字说明，并进行工程预算。</w:t>
            </w:r>
          </w:p>
          <w:p>
            <w:pPr>
              <w:pStyle w:val="null3"/>
              <w:ind w:firstLine="600"/>
              <w:jc w:val="both"/>
            </w:pPr>
            <w:r>
              <w:rPr>
                <w:rFonts w:ascii="仿宋_GB2312" w:hAnsi="仿宋_GB2312" w:cs="仿宋_GB2312" w:eastAsia="仿宋_GB2312"/>
                <w:color w:val="000000"/>
              </w:rPr>
              <w:t>★二、服务标准及规范</w:t>
            </w:r>
          </w:p>
          <w:p>
            <w:pPr>
              <w:pStyle w:val="null3"/>
              <w:ind w:firstLine="600"/>
              <w:jc w:val="both"/>
            </w:pPr>
            <w:r>
              <w:rPr>
                <w:rFonts w:ascii="仿宋_GB2312" w:hAnsi="仿宋_GB2312" w:cs="仿宋_GB2312" w:eastAsia="仿宋_GB2312"/>
                <w:color w:val="000000"/>
              </w:rPr>
              <w:t>（1）《崩塌防治工程勘查规范》（TCAGHP011-2018）；</w:t>
            </w:r>
          </w:p>
          <w:p>
            <w:pPr>
              <w:pStyle w:val="null3"/>
              <w:ind w:firstLine="600"/>
              <w:jc w:val="both"/>
            </w:pPr>
            <w:r>
              <w:rPr>
                <w:rFonts w:ascii="仿宋_GB2312" w:hAnsi="仿宋_GB2312" w:cs="仿宋_GB2312" w:eastAsia="仿宋_GB2312"/>
                <w:color w:val="000000"/>
              </w:rPr>
              <w:t>（2）《崩塌、滑坡、泥石流监测规范》（DZ/T0222-2006）；</w:t>
            </w:r>
          </w:p>
          <w:p>
            <w:pPr>
              <w:pStyle w:val="null3"/>
              <w:ind w:firstLine="600"/>
              <w:jc w:val="both"/>
            </w:pPr>
            <w:r>
              <w:rPr>
                <w:rFonts w:ascii="仿宋_GB2312" w:hAnsi="仿宋_GB2312" w:cs="仿宋_GB2312" w:eastAsia="仿宋_GB2312"/>
                <w:color w:val="000000"/>
              </w:rPr>
              <w:t>（3）《岩土工程勘察规范》（GB50021-2001）（2009年版）；</w:t>
            </w:r>
          </w:p>
          <w:p>
            <w:pPr>
              <w:pStyle w:val="null3"/>
              <w:ind w:firstLine="600"/>
              <w:jc w:val="both"/>
            </w:pPr>
            <w:r>
              <w:rPr>
                <w:rFonts w:ascii="仿宋_GB2312" w:hAnsi="仿宋_GB2312" w:cs="仿宋_GB2312" w:eastAsia="仿宋_GB2312"/>
                <w:color w:val="000000"/>
              </w:rPr>
              <w:t>（4）《滑坡防治工程勘查规范》（DZ/T32864-2016）；</w:t>
            </w:r>
          </w:p>
          <w:p>
            <w:pPr>
              <w:pStyle w:val="null3"/>
              <w:ind w:firstLine="600"/>
              <w:jc w:val="both"/>
            </w:pPr>
            <w:r>
              <w:rPr>
                <w:rFonts w:ascii="仿宋_GB2312" w:hAnsi="仿宋_GB2312" w:cs="仿宋_GB2312" w:eastAsia="仿宋_GB2312"/>
                <w:color w:val="000000"/>
              </w:rPr>
              <w:t>（5）《滑坡防治工程设计与施工技术规范》（DZ/T0219-2006）；</w:t>
            </w:r>
          </w:p>
          <w:p>
            <w:pPr>
              <w:pStyle w:val="null3"/>
              <w:ind w:firstLine="600"/>
              <w:jc w:val="both"/>
            </w:pPr>
            <w:r>
              <w:rPr>
                <w:rFonts w:ascii="仿宋_GB2312" w:hAnsi="仿宋_GB2312" w:cs="仿宋_GB2312" w:eastAsia="仿宋_GB2312"/>
                <w:color w:val="000000"/>
              </w:rPr>
              <w:t>（6）《建筑边坡工程技术规范》（GB50330-2013）；</w:t>
            </w:r>
          </w:p>
          <w:p>
            <w:pPr>
              <w:pStyle w:val="null3"/>
              <w:ind w:firstLine="600"/>
              <w:jc w:val="both"/>
            </w:pPr>
            <w:r>
              <w:rPr>
                <w:rFonts w:ascii="仿宋_GB2312" w:hAnsi="仿宋_GB2312" w:cs="仿宋_GB2312" w:eastAsia="仿宋_GB2312"/>
                <w:color w:val="000000"/>
              </w:rPr>
              <w:t>（7）《建筑地基基础设计规范》（GB50007-2011）；</w:t>
            </w:r>
          </w:p>
          <w:p>
            <w:pPr>
              <w:pStyle w:val="null3"/>
              <w:ind w:firstLine="600"/>
              <w:jc w:val="both"/>
            </w:pPr>
            <w:r>
              <w:rPr>
                <w:rFonts w:ascii="仿宋_GB2312" w:hAnsi="仿宋_GB2312" w:cs="仿宋_GB2312" w:eastAsia="仿宋_GB2312"/>
                <w:color w:val="000000"/>
              </w:rPr>
              <w:t>（8）《建筑抗震设计规范》（GB50011-2010）（2016年版）；</w:t>
            </w:r>
          </w:p>
          <w:p>
            <w:pPr>
              <w:pStyle w:val="null3"/>
              <w:ind w:firstLine="600"/>
              <w:jc w:val="both"/>
            </w:pPr>
            <w:r>
              <w:rPr>
                <w:rFonts w:ascii="仿宋_GB2312" w:hAnsi="仿宋_GB2312" w:cs="仿宋_GB2312" w:eastAsia="仿宋_GB2312"/>
                <w:color w:val="000000"/>
              </w:rPr>
              <w:t>（9）《工程测量标准》（GB50026-2020）；</w:t>
            </w:r>
          </w:p>
          <w:p>
            <w:pPr>
              <w:pStyle w:val="null3"/>
              <w:ind w:firstLine="600"/>
              <w:jc w:val="both"/>
            </w:pPr>
            <w:r>
              <w:rPr>
                <w:rFonts w:ascii="仿宋_GB2312" w:hAnsi="仿宋_GB2312" w:cs="仿宋_GB2312" w:eastAsia="仿宋_GB2312"/>
                <w:color w:val="000000"/>
              </w:rPr>
              <w:t>（10）《工程岩体分级标准》（GB50218-2014）；</w:t>
            </w:r>
          </w:p>
          <w:p>
            <w:pPr>
              <w:pStyle w:val="null3"/>
              <w:ind w:firstLine="600"/>
              <w:jc w:val="both"/>
            </w:pPr>
            <w:r>
              <w:rPr>
                <w:rFonts w:ascii="仿宋_GB2312" w:hAnsi="仿宋_GB2312" w:cs="仿宋_GB2312" w:eastAsia="仿宋_GB2312"/>
                <w:color w:val="000000"/>
              </w:rPr>
              <w:t>（11）《建筑工程地质勘探与取样技术规程》（JGJ/T87-2012）；</w:t>
            </w:r>
          </w:p>
          <w:p>
            <w:pPr>
              <w:pStyle w:val="null3"/>
              <w:ind w:firstLine="600"/>
              <w:jc w:val="both"/>
            </w:pPr>
            <w:r>
              <w:rPr>
                <w:rFonts w:ascii="仿宋_GB2312" w:hAnsi="仿宋_GB2312" w:cs="仿宋_GB2312" w:eastAsia="仿宋_GB2312"/>
                <w:color w:val="000000"/>
              </w:rPr>
              <w:t>（12）《土工试验方法标准》（GB/J50123-2019）；</w:t>
            </w:r>
          </w:p>
          <w:p>
            <w:pPr>
              <w:pStyle w:val="null3"/>
              <w:ind w:firstLine="600"/>
              <w:jc w:val="both"/>
            </w:pPr>
            <w:r>
              <w:rPr>
                <w:rFonts w:ascii="仿宋_GB2312" w:hAnsi="仿宋_GB2312" w:cs="仿宋_GB2312" w:eastAsia="仿宋_GB2312"/>
                <w:color w:val="000000"/>
              </w:rPr>
              <w:t>（13）《工程岩体试验方法标准》（GB/T50224-2013）；</w:t>
            </w:r>
          </w:p>
          <w:p>
            <w:pPr>
              <w:pStyle w:val="null3"/>
              <w:ind w:firstLine="600"/>
              <w:jc w:val="both"/>
            </w:pPr>
            <w:r>
              <w:rPr>
                <w:rFonts w:ascii="仿宋_GB2312" w:hAnsi="仿宋_GB2312" w:cs="仿宋_GB2312" w:eastAsia="仿宋_GB2312"/>
                <w:color w:val="000000"/>
              </w:rPr>
              <w:t>（14）《建筑工程抗震设防分类标准》（GB50223-2008）；</w:t>
            </w:r>
          </w:p>
          <w:p>
            <w:pPr>
              <w:pStyle w:val="null3"/>
              <w:ind w:firstLine="600"/>
              <w:jc w:val="both"/>
            </w:pPr>
            <w:r>
              <w:rPr>
                <w:rFonts w:ascii="仿宋_GB2312" w:hAnsi="仿宋_GB2312" w:cs="仿宋_GB2312" w:eastAsia="仿宋_GB2312"/>
                <w:color w:val="000000"/>
              </w:rPr>
              <w:t>（15）《地质灾害防治工程勘察规范》（DB50/143-2003）；</w:t>
            </w:r>
          </w:p>
          <w:p>
            <w:pPr>
              <w:pStyle w:val="null3"/>
              <w:ind w:firstLine="600"/>
              <w:jc w:val="both"/>
            </w:pPr>
            <w:r>
              <w:rPr>
                <w:rFonts w:ascii="仿宋_GB2312" w:hAnsi="仿宋_GB2312" w:cs="仿宋_GB2312" w:eastAsia="仿宋_GB2312"/>
                <w:color w:val="000000"/>
              </w:rPr>
              <w:t>（16）《地质勘查坑探规程》（DZ0141-94）；</w:t>
            </w:r>
          </w:p>
          <w:p>
            <w:pPr>
              <w:pStyle w:val="null3"/>
              <w:ind w:firstLine="600"/>
              <w:jc w:val="both"/>
            </w:pPr>
            <w:r>
              <w:rPr>
                <w:rFonts w:ascii="仿宋_GB2312" w:hAnsi="仿宋_GB2312" w:cs="仿宋_GB2312" w:eastAsia="仿宋_GB2312"/>
                <w:color w:val="000000"/>
              </w:rPr>
              <w:t>（17）《国家基本比例尺地图图式第一部分1：500  1：1000  1：2000地形图图式》（GB/T20257.1—2007）；</w:t>
            </w:r>
          </w:p>
          <w:p>
            <w:pPr>
              <w:pStyle w:val="null3"/>
              <w:ind w:firstLine="600"/>
              <w:jc w:val="both"/>
            </w:pPr>
            <w:r>
              <w:rPr>
                <w:rFonts w:ascii="仿宋_GB2312" w:hAnsi="仿宋_GB2312" w:cs="仿宋_GB2312" w:eastAsia="仿宋_GB2312"/>
                <w:color w:val="000000"/>
              </w:rPr>
              <w:t>（18）《全球定位系统（GPS）测量规范》（GB/T18314-2009）；</w:t>
            </w:r>
          </w:p>
          <w:p>
            <w:pPr>
              <w:pStyle w:val="null3"/>
              <w:ind w:firstLine="600"/>
              <w:jc w:val="both"/>
            </w:pPr>
            <w:r>
              <w:rPr>
                <w:rFonts w:ascii="仿宋_GB2312" w:hAnsi="仿宋_GB2312" w:cs="仿宋_GB2312" w:eastAsia="仿宋_GB2312"/>
                <w:color w:val="000000"/>
              </w:rPr>
              <w:t>（19）《地质勘探安全规程》（国家安全生产行业标准AQ2004-2005）；</w:t>
            </w:r>
          </w:p>
          <w:p>
            <w:pPr>
              <w:pStyle w:val="null3"/>
              <w:ind w:firstLine="600"/>
              <w:jc w:val="both"/>
            </w:pPr>
            <w:r>
              <w:rPr>
                <w:rFonts w:ascii="仿宋_GB2312" w:hAnsi="仿宋_GB2312" w:cs="仿宋_GB2312" w:eastAsia="仿宋_GB2312"/>
                <w:color w:val="000000"/>
              </w:rPr>
              <w:t>（20）《四川省地质灾害治理工程概（预）算标准勘查设计预算标准》（试行）。</w:t>
            </w:r>
          </w:p>
          <w:p>
            <w:pPr>
              <w:pStyle w:val="null3"/>
              <w:ind w:firstLine="602"/>
              <w:jc w:val="both"/>
            </w:pPr>
            <w:r>
              <w:rPr>
                <w:rFonts w:ascii="仿宋_GB2312" w:hAnsi="仿宋_GB2312" w:cs="仿宋_GB2312" w:eastAsia="仿宋_GB2312"/>
                <w:b/>
                <w:color w:val="000000"/>
              </w:rPr>
              <w:t>注：</w:t>
            </w:r>
            <w:r>
              <w:rPr>
                <w:rFonts w:ascii="仿宋_GB2312" w:hAnsi="仿宋_GB2312" w:cs="仿宋_GB2312" w:eastAsia="仿宋_GB2312"/>
                <w:b/>
                <w:color w:val="000000"/>
              </w:rPr>
              <w:t>以上</w:t>
            </w:r>
            <w:r>
              <w:rPr>
                <w:rFonts w:ascii="仿宋_GB2312" w:hAnsi="仿宋_GB2312" w:cs="仿宋_GB2312" w:eastAsia="仿宋_GB2312"/>
                <w:b/>
                <w:color w:val="000000"/>
              </w:rPr>
              <w:t>引用</w:t>
            </w:r>
            <w:r>
              <w:rPr>
                <w:rFonts w:ascii="仿宋_GB2312" w:hAnsi="仿宋_GB2312" w:cs="仿宋_GB2312" w:eastAsia="仿宋_GB2312"/>
                <w:b/>
                <w:color w:val="000000"/>
              </w:rPr>
              <w:t>的</w:t>
            </w:r>
            <w:r>
              <w:rPr>
                <w:rFonts w:ascii="仿宋_GB2312" w:hAnsi="仿宋_GB2312" w:cs="仿宋_GB2312" w:eastAsia="仿宋_GB2312"/>
                <w:b/>
                <w:color w:val="000000"/>
              </w:rPr>
              <w:t>相关法律法规</w:t>
            </w:r>
            <w:r>
              <w:rPr>
                <w:rFonts w:ascii="仿宋_GB2312" w:hAnsi="仿宋_GB2312" w:cs="仿宋_GB2312" w:eastAsia="仿宋_GB2312"/>
                <w:b/>
                <w:color w:val="000000"/>
              </w:rPr>
              <w:t>、</w:t>
            </w:r>
            <w:r>
              <w:rPr>
                <w:rFonts w:ascii="仿宋_GB2312" w:hAnsi="仿宋_GB2312" w:cs="仿宋_GB2312" w:eastAsia="仿宋_GB2312"/>
                <w:b/>
                <w:color w:val="000000"/>
              </w:rPr>
              <w:t>规范、标准</w:t>
            </w:r>
            <w:r>
              <w:rPr>
                <w:rFonts w:ascii="仿宋_GB2312" w:hAnsi="仿宋_GB2312" w:cs="仿宋_GB2312" w:eastAsia="仿宋_GB2312"/>
                <w:b/>
                <w:color w:val="000000"/>
              </w:rPr>
              <w:t>如有</w:t>
            </w:r>
            <w:r>
              <w:rPr>
                <w:rFonts w:ascii="仿宋_GB2312" w:hAnsi="仿宋_GB2312" w:cs="仿宋_GB2312" w:eastAsia="仿宋_GB2312"/>
                <w:b/>
                <w:color w:val="000000"/>
              </w:rPr>
              <w:t>最新标准的按照最新标准执行</w:t>
            </w:r>
            <w:r>
              <w:rPr>
                <w:rFonts w:ascii="仿宋_GB2312" w:hAnsi="仿宋_GB2312" w:cs="仿宋_GB2312" w:eastAsia="仿宋_GB2312"/>
                <w:b/>
                <w:color w:val="000000"/>
              </w:rPr>
              <w:t>。</w:t>
            </w:r>
          </w:p>
          <w:p>
            <w:pPr>
              <w:pStyle w:val="null3"/>
              <w:ind w:firstLine="600"/>
              <w:jc w:val="both"/>
            </w:pPr>
            <w:r>
              <w:rPr>
                <w:rFonts w:ascii="仿宋_GB2312" w:hAnsi="仿宋_GB2312" w:cs="仿宋_GB2312" w:eastAsia="仿宋_GB2312"/>
                <w:color w:val="000000"/>
              </w:rPr>
              <w:t>★三、成果要求：</w:t>
            </w:r>
          </w:p>
          <w:p>
            <w:pPr>
              <w:pStyle w:val="null3"/>
              <w:ind w:firstLine="600"/>
              <w:jc w:val="both"/>
            </w:pPr>
            <w:r>
              <w:rPr>
                <w:rFonts w:ascii="仿宋_GB2312" w:hAnsi="仿宋_GB2312" w:cs="仿宋_GB2312" w:eastAsia="仿宋_GB2312"/>
                <w:color w:val="000000"/>
              </w:rPr>
              <w:t>1、成交供应商负责向采购人提交按现行相关规范及规程要求编制并通过省、市专家评审和复核通过的《勘查报告》、《可行性研究报告》（含估算书》）《初步设计报告》（含概算书）各3套，电子文档各1份；《施工图设计报告》（含预算书》各5(套)，电子文档各1份。</w:t>
            </w:r>
          </w:p>
          <w:p>
            <w:pPr>
              <w:pStyle w:val="null3"/>
              <w:ind w:firstLine="600"/>
              <w:jc w:val="both"/>
            </w:pPr>
            <w:r>
              <w:rPr>
                <w:rFonts w:ascii="仿宋_GB2312" w:hAnsi="仿宋_GB2312" w:cs="仿宋_GB2312" w:eastAsia="仿宋_GB2312"/>
                <w:color w:val="000000"/>
              </w:rPr>
              <w:t>2、项目最终成果提交后对后期数据应用、补充完善等工作提供技术支持。</w:t>
            </w:r>
          </w:p>
          <w:p>
            <w:pPr>
              <w:pStyle w:val="null3"/>
              <w:ind w:firstLine="600"/>
              <w:jc w:val="both"/>
            </w:pPr>
            <w:r>
              <w:rPr>
                <w:rFonts w:ascii="仿宋_GB2312" w:hAnsi="仿宋_GB2312" w:cs="仿宋_GB2312" w:eastAsia="仿宋_GB2312"/>
                <w:color w:val="000000"/>
              </w:rPr>
              <w:t>★</w:t>
            </w:r>
            <w:r>
              <w:rPr>
                <w:rFonts w:ascii="仿宋_GB2312" w:hAnsi="仿宋_GB2312" w:cs="仿宋_GB2312" w:eastAsia="仿宋_GB2312"/>
                <w:b/>
                <w:color w:val="000000"/>
              </w:rPr>
              <w:t>四、其他服务要求</w:t>
            </w:r>
          </w:p>
          <w:p>
            <w:pPr>
              <w:pStyle w:val="null3"/>
              <w:ind w:firstLine="600"/>
              <w:jc w:val="both"/>
            </w:pPr>
            <w:r>
              <w:rPr>
                <w:rFonts w:ascii="仿宋_GB2312" w:hAnsi="仿宋_GB2312" w:cs="仿宋_GB2312" w:eastAsia="仿宋_GB2312"/>
                <w:color w:val="000000"/>
              </w:rPr>
              <w:t>1、供应商在其工作范围内应确保其各自独立准备的全部勘查设计文件在中国境内外都没有且也不会侵犯任何第三方的知识产权（包括但不限于著作权、商标权、专利权）或专有技术或商业秘密；供应商如果在其设计文件中使用或包含任何其他人的知识产权或专有技术或商业秘密，应保证已经获得权利人的合法、有效、充分的授权；采购人拥有成交供应商所提交的全部勘查设计文件（包括勘查报告、可行性研究报告、初步设计报告、施工图设计报告、实施方案）的使用权和受益权，并使用于本采购项目</w:t>
            </w:r>
            <w:r>
              <w:rPr>
                <w:rFonts w:ascii="仿宋_GB2312" w:hAnsi="仿宋_GB2312" w:cs="仿宋_GB2312" w:eastAsia="仿宋_GB2312"/>
                <w:color w:val="000000"/>
              </w:rPr>
              <w:t>（提供承诺函，格式自拟）</w:t>
            </w:r>
            <w:r>
              <w:rPr>
                <w:rFonts w:ascii="仿宋_GB2312" w:hAnsi="仿宋_GB2312" w:cs="仿宋_GB2312" w:eastAsia="仿宋_GB2312"/>
                <w:color w:val="000000"/>
              </w:rPr>
              <w:t>。</w:t>
            </w:r>
          </w:p>
          <w:p>
            <w:pPr>
              <w:pStyle w:val="null3"/>
              <w:ind w:firstLine="600"/>
              <w:jc w:val="both"/>
            </w:pPr>
            <w:r>
              <w:rPr>
                <w:rFonts w:ascii="仿宋_GB2312" w:hAnsi="仿宋_GB2312" w:cs="仿宋_GB2312" w:eastAsia="仿宋_GB2312"/>
                <w:color w:val="000000"/>
              </w:rPr>
              <w:t>2</w:t>
            </w:r>
            <w:r>
              <w:rPr>
                <w:rFonts w:ascii="仿宋_GB2312" w:hAnsi="仿宋_GB2312" w:cs="仿宋_GB2312" w:eastAsia="仿宋_GB2312"/>
                <w:color w:val="000000"/>
              </w:rPr>
              <w:t>、本次所有勘查设计成果归采购人所有，采购人对成交供应商的勘查设计方案拥有处置权。</w:t>
            </w:r>
          </w:p>
          <w:p>
            <w:pPr>
              <w:pStyle w:val="null3"/>
              <w:ind w:firstLine="600"/>
              <w:jc w:val="both"/>
            </w:pPr>
            <w:r>
              <w:rPr>
                <w:rFonts w:ascii="仿宋_GB2312" w:hAnsi="仿宋_GB2312" w:cs="仿宋_GB2312" w:eastAsia="仿宋_GB2312"/>
                <w:color w:val="000000"/>
              </w:rPr>
              <w:t>3、</w:t>
            </w:r>
            <w:r>
              <w:rPr>
                <w:rFonts w:ascii="仿宋_GB2312" w:hAnsi="仿宋_GB2312" w:cs="仿宋_GB2312" w:eastAsia="仿宋_GB2312"/>
                <w:color w:val="000000"/>
              </w:rPr>
              <w:t>保密要求：</w:t>
            </w:r>
            <w:r>
              <w:rPr>
                <w:rFonts w:ascii="仿宋_GB2312" w:hAnsi="仿宋_GB2312" w:cs="仿宋_GB2312" w:eastAsia="仿宋_GB2312"/>
                <w:color w:val="000000"/>
              </w:rPr>
              <w:t>成交供应商对本次服务内容应严格履行保密义务，</w:t>
            </w:r>
            <w:r>
              <w:rPr>
                <w:rFonts w:ascii="仿宋_GB2312" w:hAnsi="仿宋_GB2312" w:cs="仿宋_GB2312" w:eastAsia="仿宋_GB2312"/>
                <w:color w:val="000000"/>
              </w:rPr>
              <w:t>供应商未经采购人许可不得泄漏本项目相关的所有资料且承诺不对所有成果保存备份（提供承诺函，格式自拟）。</w:t>
            </w:r>
          </w:p>
          <w:p>
            <w:pPr>
              <w:pStyle w:val="null3"/>
              <w:ind w:firstLine="600"/>
              <w:jc w:val="both"/>
            </w:pPr>
            <w:r>
              <w:rPr>
                <w:rFonts w:ascii="仿宋_GB2312" w:hAnsi="仿宋_GB2312" w:cs="仿宋_GB2312" w:eastAsia="仿宋_GB2312"/>
                <w:color w:val="000000"/>
              </w:rPr>
              <w:t>4</w:t>
            </w:r>
            <w:r>
              <w:rPr>
                <w:rFonts w:ascii="仿宋_GB2312" w:hAnsi="仿宋_GB2312" w:cs="仿宋_GB2312" w:eastAsia="仿宋_GB2312"/>
                <w:color w:val="000000"/>
              </w:rPr>
              <w:t>、成交供应商为采购人提供项目后期施工期间技术交底，工程验槽，指导施工等服务，解答采购人在服务中遇到的问题，及时为采购人提出解决问题的办法，保证本项目后续工作顺利推进。</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自合同签订之日起45日（其中勘查成果要求30日，施工图设计要求15日）。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（1）履约验收主体：采购人。 （2）履约验收时间：由供应商提出验收申请之日起15日内进行验收。 （3）履约验收方式：由采购人自行组织验收，验收时采购人、成交供应商双方皆应派员参加。 （4）履约验收标准：符合国家、行业标准、四川省地方标准规定的验收标准。严格按照《财政部关于进一步加强政府采购需求和履约验收管理的指导意见》（财库〔2016〕205号）及《政府采购需求管理办法》（财库〔2021〕22号）的要求组织验收。验收应以采购文件、响应文件、采购合同、及其补充协议、国家或行业相关标准为验收的主要依据。</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1、提交经专家审查通过、修改完善并经专家复核的勘查及施工图设计成果资料。待资金下达后，达到付款条件起30日内，支付合同总金额的100.00%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（1）采购人与供应商双方必须遵守合同并执行项目中的各项规定，保证本合同的正常履行。 （2）如因供应商的工作人员在履职过程中的疏忽、失职、过错等故意或者过失原因给采购人造成损失或侵害，包括采购人本身的财产损失、由此而导致的采购人对任何第三方的法律责任等，供应商对此均应承担全部的赔偿责任。同时，采购人维护正当权益所产生的费用（包括诉讼费、财产保全费、律师费等）由供应商承担。 （3）解决合作纠纷的方式：在执行本项目合同中发生的或与合同有关的争端，双方应通过友好协商解决，经协商不能达成协议时，向采购人所在地人民法院提起诉讼。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1、安全责任（实质性要求）：成交供应商在实施本项目期间所有的安全责任全部由成交供应商自行负责，采购人不承担任何责任（提供承诺函，格式自拟）。 2、报价组成（实质性要求）：供应商的报价包含了完成本项目的一切费用，包含所涉及的人员劳务、差旅、利润、开发、保险、风险、资料费、投入设备费、印制费、专家咨询费、安全文明费及税金等完成项目相关一切费用，采购人在项目结算时不再向供应商支付其他任何费用，如出现在投标报价估算错误等引起的损失由供应商自行承担（报价以元为单位，保留两位小数）。 3、项目技术服务方案:结合采购需求及本项目特点制定项目技术服务方案包含①对本项目的理解、情况分析、②项目重点难点分析等、③项目技术措施、④项目进度安排、⑤项目进度管控措施、⑥项目人员安排情况、⑦质量保证措施。 4、后续服务方案:结合采购需求及本项目特点制定后续服务方案，包含①后续服务人员配置②后续服务保障措施③现场服务支持能力④应急处理等。 5、供应商具备类似业绩，拟投入本项目的人员，请按照综合评分表提供相关证明材料。 6、其他未尽事宜在合同中约定。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供应商需在项目电子化交易系统中按要求填写《投标（响应）函》完成承诺并进行电子签章。还需提供：①提供2023年度或2024年度供应商内部的年度财务报表（至少提供资产负债表、利润表、现金流量表）； ②提供2023年度或2024年度经审计的财务报告（包含审计报告和审计报告中所涉及的财务报表和报表附注）； ③截至响应文件提交截止之日前一年内银行出具的资信证明。 ④供应商工商注册时间截止至响应文件递交截止之日不足一年的，可提供加盖工商备案主管部门印章的公司章程复印件。 ⑤供应商为事业单位或其他组织（不具备法人条件的组织，如合伙组织、个体工商户、农村承包经营户等）或自然人的可提供承诺函。⑥可提供承诺函。 注：以上①②③④⑤⑥项均具有同等效力，提供任意一项即可；供应商需在项目电子化交易系统中按要求上传相应证明文件并进行电子签章。}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供应商应具备行政主管部门颁发的有效的地质灾害评估和治理工程勘查设计甲级资质，提供扫描件并进行电子签章</w:t>
            </w:r>
          </w:p>
        </w:tc>
        <w:tc>
          <w:tcPr>
            <w:tcW w:type="dxa" w:w="3322"/>
          </w:tcPr>
          <w:p>
            <w:pPr>
              <w:pStyle w:val="null3"/>
              <w:jc w:val="left"/>
            </w:pPr>
            <w:r>
              <w:rPr>
                <w:rFonts w:ascii="仿宋_GB2312" w:hAnsi="仿宋_GB2312" w:cs="仿宋_GB2312" w:eastAsia="仿宋_GB2312"/>
              </w:rPr>
              <w:t>供应商应具备行政主管部门颁发的有效的地质灾害评估和治理工程勘查设计甲级资质，提供扫描件并进行电子签章</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项目技术、服务、商务及其他要求</w:t>
            </w:r>
          </w:p>
        </w:tc>
        <w:tc>
          <w:tcPr>
            <w:tcW w:type="dxa" w:w="3322"/>
          </w:tcPr>
          <w:p>
            <w:pPr>
              <w:pStyle w:val="null3"/>
              <w:jc w:val="left"/>
            </w:pPr>
            <w:r>
              <w:rPr>
                <w:rFonts w:ascii="仿宋_GB2312" w:hAnsi="仿宋_GB2312" w:cs="仿宋_GB2312" w:eastAsia="仿宋_GB2312"/>
              </w:rPr>
              <w:t>根据采购文件要求对照“本项目的项目技术、服务、商务及其他要求”进行审查。</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项目技术服务方案、后续服务方案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项目技术服务方案</w:t>
            </w:r>
          </w:p>
        </w:tc>
        <w:tc>
          <w:tcPr>
            <w:tcW w:type="dxa" w:w="2575"/>
          </w:tcPr>
          <w:p>
            <w:pPr>
              <w:pStyle w:val="null3"/>
              <w:jc w:val="left"/>
            </w:pPr>
            <w:r>
              <w:rPr>
                <w:rFonts w:ascii="仿宋_GB2312" w:hAnsi="仿宋_GB2312" w:cs="仿宋_GB2312" w:eastAsia="仿宋_GB2312"/>
              </w:rPr>
              <w:t>结合采购需求及本项目特点制定项目技术服务方案，包括①对本项目的理解、情况分析、②项目重点难点分析等、③项目技术措施、④项目进度安排、⑤项目进度管控措施、⑥项目人员安排情况、⑦质量保证措施；方案完全涵盖以上内容的得49分，每缺少一项扣7分，每项有一处内容错误扣3.5分，扣完为止。 注：(1) 内容错误是指：存在项目名称错误、地点区域错误、内容与本项目需求不相关、内容所阐述的项目信息与本项目实际信息不一致、适用的标准（规范、方法等）错误、仅有框架或标题、明显复制其他项目内容的任意一种情形。</w:t>
            </w:r>
          </w:p>
        </w:tc>
        <w:tc>
          <w:tcPr>
            <w:tcW w:type="dxa" w:w="831"/>
          </w:tcPr>
          <w:p>
            <w:pPr>
              <w:pStyle w:val="null3"/>
              <w:jc w:val="center"/>
            </w:pPr>
            <w:r>
              <w:rPr>
                <w:rFonts w:ascii="仿宋_GB2312" w:hAnsi="仿宋_GB2312" w:cs="仿宋_GB2312" w:eastAsia="仿宋_GB2312"/>
              </w:rPr>
              <w:t>49.0000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团队人员配置</w:t>
            </w:r>
          </w:p>
        </w:tc>
        <w:tc>
          <w:tcPr>
            <w:tcW w:type="dxa" w:w="2575"/>
          </w:tcPr>
          <w:p>
            <w:pPr>
              <w:pStyle w:val="null3"/>
              <w:jc w:val="left"/>
            </w:pPr>
            <w:r>
              <w:rPr>
                <w:rFonts w:ascii="仿宋_GB2312" w:hAnsi="仿宋_GB2312" w:cs="仿宋_GB2312" w:eastAsia="仿宋_GB2312"/>
              </w:rPr>
              <w:t>1.项目负责人1名： 具备水工环相关专业中级职称得3分，具备水工环相关专业高级及以上职称加3分;本项最多得6分。 2.技术负责人1名： 具备水工环相关专业中级职称得3分，具备水工环相关专业高级及以上职称加3分;本项最多得6分。 3. 其他专业技术人员（此项最多10分） 配备有水工环或测绘类相关专业中级及以上职称人员的，每有一个得2分，本项最多得10分。 注：（1）以上人员不得重复计分，应为供应商本单位人员，一人一职，不得兼任，提供在职证明及证书扫描件并电子签章。 （2）水工环相关专业指①水工环，②水工环地质，③水文、工程、环境地质，④水文、环境、工程地质，⑤水文地质、工程地质、环境地质，⑥水文地质、工程地质与环境地质，⑦水文地质工程地质环境地质，⑧水文地质工程地质与环境地质，⑨水文地质与工程地质，⑩环境地质, ⑪水文地质，⑫工程地质，⑬水文地质、工程地质及环境地质，⑭水文地质工程地质及环境地质，⑮地质勘查工程（水文地质、工程地质与环境地质），⑯包含水文地质、工程地质、环境地质，以上中任意一种。</w:t>
            </w:r>
          </w:p>
        </w:tc>
        <w:tc>
          <w:tcPr>
            <w:tcW w:type="dxa" w:w="831"/>
          </w:tcPr>
          <w:p>
            <w:pPr>
              <w:pStyle w:val="null3"/>
              <w:jc w:val="center"/>
            </w:pPr>
            <w:r>
              <w:rPr>
                <w:rFonts w:ascii="仿宋_GB2312" w:hAnsi="仿宋_GB2312" w:cs="仿宋_GB2312" w:eastAsia="仿宋_GB2312"/>
              </w:rPr>
              <w:t>22.0000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结合采购需求及本项目特点制定后续服务方案，包括①后续服务人员配置②后续服务保障措施③现场服务支持能力④应急处理等；方案完全涵盖以上内容的得12分，每缺少一项扣3分，每项有一处内容错误或缺陷扣1.5分，扣完为止。 注：(1) 内容错误是指：存在项目名称错误、地点区域错误、内容与本项目需求不相关、内容所阐述的项目信息与本项目实际信息不一致、适用的标准（规范、方法等）错误、仅有框架或标题、明显复制其他项目内容的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供应商自2022年1月1日以来具有1个类似业绩得3分，每增加一个类似业绩加2分，此项最多得7分。 注：类似业绩指地质灾害治理类工程勘查、设计工作。提供合同协议书或中标（成交）通知书复印件并进行电子签章。合同协议书以签订时间为准，中标（成交）通知书以发出时间为准，同时提供合同协议书和中标（成交）通知书的以合同协议书以签订时间为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