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版本号：N511922202500001720250305001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矿山、工贸和危险化学品等行业专家委员会技术服务项目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N5119222025000017</w:t>
      </w:r>
    </w:p>
    <w:p>
      <w:pPr>
        <w:pStyle w:val="null3"/>
        <w:jc w:val="left"/>
        <w:outlineLvl w:val="2"/>
      </w:pPr>
      <w:r>
        <w:rPr>
          <w:rFonts w:ascii="仿宋_GB2312" w:hAnsi="仿宋_GB2312" w:cs="仿宋_GB2312" w:eastAsia="仿宋_GB2312"/>
          <w:sz w:val="28"/>
          <w:b/>
        </w:rPr>
        <w:t>南江县应急管理局</w:t>
      </w:r>
    </w:p>
    <w:p>
      <w:pPr>
        <w:pStyle w:val="null3"/>
        <w:jc w:val="center"/>
        <w:outlineLvl w:val="2"/>
      </w:pPr>
      <w:r>
        <w:rPr>
          <w:rFonts w:ascii="仿宋_GB2312" w:hAnsi="仿宋_GB2312" w:cs="仿宋_GB2312" w:eastAsia="仿宋_GB2312"/>
          <w:sz w:val="28"/>
          <w:b/>
        </w:rPr>
        <w:t>四川中驰工程管理有限公司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四川中驰工程管理有限公司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南江县应急管理局</w:t>
      </w:r>
      <w:r>
        <w:rPr>
          <w:rFonts w:ascii="仿宋_GB2312" w:hAnsi="仿宋_GB2312" w:cs="仿宋_GB2312" w:eastAsia="仿宋_GB2312"/>
        </w:rPr>
        <w:t xml:space="preserve"> 委托，拟对 </w:t>
      </w:r>
      <w:r>
        <w:rPr>
          <w:rFonts w:ascii="仿宋_GB2312" w:hAnsi="仿宋_GB2312" w:cs="仿宋_GB2312" w:eastAsia="仿宋_GB2312"/>
        </w:rPr>
        <w:t>矿山、工贸和危险化学品等行业专家委员会技术服务项目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巴中市南江县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N5119222025000017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矿山、工贸和危险化学品等行业专家委员会技术服务项目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县应急局根据“南安委发【2024】5号”文件制定了《南江县2024年度矿山、工贸和危险化学品等行业安全隐患排查工作方案》，对全县2家煤矿企业、6家非煤地下矿山、23家非煤露天矿山及尾矿库、2家油库、42家加油站及气体充装站、24家工贸重点企业开展“帮扶式”安全隐患排查。</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1、其他资格要求（描述：1.参加本项目政府采购活动的供应商、法定代表人（主要负责人）在参加本项目前三年内不具有行贿犯罪记录。（在响应文件中提供承诺函，格式自拟） 2.具有法律、行政法规规定的其他条件。（在响应文件中提供承诺函，格式自拟） 3.提供供应商基本情况表。 4.提供法定代表人/负责人有效的身份证原件扫描件。 5.参加本项目政府采购活动的授权代表不是法定代表人（单位负责人）的，应提供授权委托书及授权代表有效的身份证原件扫描件。 注：以上资料须进行电子签章）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南江县应急管理局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南江县南江镇工环路24号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635600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0827-8210180</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四川中驰工程管理有限公司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巴中市南江县集州街道红塔新区公园一号22号楼2层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635600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户先生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0827-8863737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采购包1：856,500.00元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代理服务费收费标准：按照《四川省政府采购营商环境指标提升专项行动工作方案》中“成本+合理利润”原则及国家计委计价格[2002]1980号文件规定收取，由成交供应商支付。</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南江县应急管理局</w:t>
      </w:r>
      <w:r>
        <w:rPr>
          <w:rFonts w:ascii="仿宋_GB2312" w:hAnsi="仿宋_GB2312" w:cs="仿宋_GB2312" w:eastAsia="仿宋_GB2312"/>
        </w:rPr>
        <w:t xml:space="preserve"> 和 </w:t>
      </w:r>
      <w:r>
        <w:rPr>
          <w:rFonts w:ascii="仿宋_GB2312" w:hAnsi="仿宋_GB2312" w:cs="仿宋_GB2312" w:eastAsia="仿宋_GB2312"/>
        </w:rPr>
        <w:t>四川中驰工程管理有限公司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南江县应急管理局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四川中驰工程管理有限公司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每一项技术要求的履约情况</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每一项商务要求的履约情况</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验收标准要包括所有客观、量化指标。不能明确客观标准、涉及主观判断的，可以通过在采购人、使用人中开展问卷调查等方式，转化为客观、量化的验收标准。</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 xml:space="preserve"> /</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南江县应急管理局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四川中驰工程管理有限公司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四川中驰工程管理有限公司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联系电话：0827-8210180</w:t>
      </w:r>
    </w:p>
    <w:p>
      <w:pPr>
        <w:pStyle w:val="null3"/>
        <w:jc w:val="left"/>
      </w:pPr>
      <w:r>
        <w:rPr>
          <w:rFonts w:ascii="仿宋_GB2312" w:hAnsi="仿宋_GB2312" w:cs="仿宋_GB2312" w:eastAsia="仿宋_GB2312"/>
        </w:rPr>
        <w:t>地址：南江县南江镇工环路24号</w:t>
      </w:r>
    </w:p>
    <w:p>
      <w:pPr>
        <w:pStyle w:val="null3"/>
        <w:jc w:val="left"/>
      </w:pPr>
      <w:r>
        <w:rPr>
          <w:rFonts w:ascii="仿宋_GB2312" w:hAnsi="仿宋_GB2312" w:cs="仿宋_GB2312" w:eastAsia="仿宋_GB2312"/>
        </w:rPr>
        <w:t>邮编：635600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联系人：户先生</w:t>
      </w:r>
    </w:p>
    <w:p>
      <w:pPr>
        <w:pStyle w:val="null3"/>
        <w:jc w:val="left"/>
      </w:pPr>
      <w:r>
        <w:rPr>
          <w:rFonts w:ascii="仿宋_GB2312" w:hAnsi="仿宋_GB2312" w:cs="仿宋_GB2312" w:eastAsia="仿宋_GB2312"/>
        </w:rPr>
        <w:t>联系电话：0827-8863737</w:t>
      </w:r>
    </w:p>
    <w:p>
      <w:pPr>
        <w:pStyle w:val="null3"/>
        <w:jc w:val="left"/>
      </w:pPr>
      <w:r>
        <w:rPr>
          <w:rFonts w:ascii="仿宋_GB2312" w:hAnsi="仿宋_GB2312" w:cs="仿宋_GB2312" w:eastAsia="仿宋_GB2312"/>
        </w:rPr>
        <w:t>地址：巴中市南江县集州街道红塔新区公园一号22号楼2层</w:t>
      </w:r>
    </w:p>
    <w:p>
      <w:pPr>
        <w:pStyle w:val="null3"/>
        <w:jc w:val="left"/>
      </w:pPr>
      <w:r>
        <w:rPr>
          <w:rFonts w:ascii="仿宋_GB2312" w:hAnsi="仿宋_GB2312" w:cs="仿宋_GB2312" w:eastAsia="仿宋_GB2312"/>
        </w:rPr>
        <w:t>邮编：635600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856,500.00</w:t>
      </w:r>
    </w:p>
    <w:p>
      <w:pPr>
        <w:pStyle w:val="null3"/>
        <w:jc w:val="left"/>
      </w:pPr>
      <w:r>
        <w:rPr>
          <w:rFonts w:ascii="仿宋_GB2312" w:hAnsi="仿宋_GB2312" w:cs="仿宋_GB2312" w:eastAsia="仿宋_GB2312"/>
        </w:rPr>
        <w:t>采购包最高限价（元）: 856,500.00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C05040100 公共安全服务</w:t>
            </w:r>
          </w:p>
        </w:tc>
        <w:tc>
          <w:tcPr>
            <w:tcW w:type="dxa" w:w="821"/>
          </w:tcPr>
          <w:p>
            <w:pPr>
              <w:pStyle w:val="null3"/>
              <w:jc w:val="left"/>
            </w:pPr>
            <w:r>
              <w:rPr>
                <w:rFonts w:ascii="仿宋_GB2312" w:hAnsi="仿宋_GB2312" w:cs="仿宋_GB2312" w:eastAsia="仿宋_GB2312"/>
              </w:rPr>
              <w:t>矿山、工贸和危险化学品等行业专家委员会技术服务项目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856,500.00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矿山、工贸和危险化学品等行业专家委员会技术服务项目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856,500.00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标的名称：矿山、工贸和危险化学品等行业专家委员会技术服务项目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工作范围</w:t>
            </w:r>
          </w:p>
        </w:tc>
        <w:tc>
          <w:tcPr>
            <w:tcW w:type="dxa" w:w="5814"/>
          </w:tcPr>
          <w:p>
            <w:pPr>
              <w:pStyle w:val="null3"/>
              <w:ind w:firstLine="453"/>
              <w:jc w:val="both"/>
            </w:pPr>
            <w:r>
              <w:rPr>
                <w:rFonts w:ascii="仿宋_GB2312" w:hAnsi="仿宋_GB2312" w:cs="仿宋_GB2312" w:eastAsia="仿宋_GB2312"/>
                <w:sz w:val="24"/>
              </w:rPr>
              <w:t>对南江县矿山、工贸和危险化学品等行业安全隐患进行排查：</w:t>
            </w:r>
          </w:p>
          <w:p>
            <w:pPr>
              <w:pStyle w:val="null3"/>
              <w:ind w:firstLine="453"/>
              <w:jc w:val="both"/>
            </w:pPr>
            <w:r>
              <w:rPr>
                <w:rFonts w:ascii="仿宋_GB2312" w:hAnsi="仿宋_GB2312" w:cs="仿宋_GB2312" w:eastAsia="仿宋_GB2312"/>
                <w:sz w:val="24"/>
              </w:rPr>
              <w:t>1.矿山方面：</w:t>
            </w:r>
            <w:r>
              <w:rPr>
                <w:rFonts w:ascii="仿宋_GB2312" w:hAnsi="仿宋_GB2312" w:cs="仿宋_GB2312" w:eastAsia="仿宋_GB2312"/>
                <w:sz w:val="24"/>
              </w:rPr>
              <w:t>煤矿</w:t>
            </w:r>
            <w:r>
              <w:rPr>
                <w:rFonts w:ascii="仿宋_GB2312" w:hAnsi="仿宋_GB2312" w:cs="仿宋_GB2312" w:eastAsia="仿宋_GB2312"/>
                <w:sz w:val="24"/>
              </w:rPr>
              <w:t>2</w:t>
            </w:r>
            <w:r>
              <w:rPr>
                <w:rFonts w:ascii="仿宋_GB2312" w:hAnsi="仿宋_GB2312" w:cs="仿宋_GB2312" w:eastAsia="仿宋_GB2312"/>
                <w:sz w:val="24"/>
              </w:rPr>
              <w:t>家，非煤矿山地下矿山</w:t>
            </w:r>
            <w:r>
              <w:rPr>
                <w:rFonts w:ascii="仿宋_GB2312" w:hAnsi="仿宋_GB2312" w:cs="仿宋_GB2312" w:eastAsia="仿宋_GB2312"/>
                <w:sz w:val="24"/>
              </w:rPr>
              <w:t>6家，非煤露天矿山及尾矿库23家。</w:t>
            </w:r>
          </w:p>
          <w:p>
            <w:pPr>
              <w:pStyle w:val="null3"/>
              <w:ind w:firstLine="453"/>
              <w:jc w:val="both"/>
            </w:pPr>
            <w:r>
              <w:rPr>
                <w:rFonts w:ascii="仿宋_GB2312" w:hAnsi="仿宋_GB2312" w:cs="仿宋_GB2312" w:eastAsia="仿宋_GB2312"/>
                <w:sz w:val="24"/>
              </w:rPr>
              <w:t>2.危化方面：</w:t>
            </w:r>
            <w:r>
              <w:rPr>
                <w:rFonts w:ascii="仿宋_GB2312" w:hAnsi="仿宋_GB2312" w:cs="仿宋_GB2312" w:eastAsia="仿宋_GB2312"/>
                <w:sz w:val="24"/>
              </w:rPr>
              <w:t>储存油库</w:t>
            </w:r>
            <w:r>
              <w:rPr>
                <w:rFonts w:ascii="仿宋_GB2312" w:hAnsi="仿宋_GB2312" w:cs="仿宋_GB2312" w:eastAsia="仿宋_GB2312"/>
                <w:sz w:val="24"/>
              </w:rPr>
              <w:t>2</w:t>
            </w:r>
            <w:r>
              <w:rPr>
                <w:rFonts w:ascii="仿宋_GB2312" w:hAnsi="仿宋_GB2312" w:cs="仿宋_GB2312" w:eastAsia="仿宋_GB2312"/>
                <w:sz w:val="24"/>
              </w:rPr>
              <w:t>家，加油站</w:t>
            </w:r>
            <w:r>
              <w:rPr>
                <w:rFonts w:ascii="仿宋_GB2312" w:hAnsi="仿宋_GB2312" w:cs="仿宋_GB2312" w:eastAsia="仿宋_GB2312"/>
                <w:sz w:val="24"/>
              </w:rPr>
              <w:t>和</w:t>
            </w:r>
            <w:r>
              <w:rPr>
                <w:rFonts w:ascii="仿宋_GB2312" w:hAnsi="仿宋_GB2312" w:cs="仿宋_GB2312" w:eastAsia="仿宋_GB2312"/>
                <w:sz w:val="24"/>
              </w:rPr>
              <w:t>气体充装企业</w:t>
            </w:r>
            <w:r>
              <w:rPr>
                <w:rFonts w:ascii="仿宋_GB2312" w:hAnsi="仿宋_GB2312" w:cs="仿宋_GB2312" w:eastAsia="仿宋_GB2312"/>
                <w:sz w:val="24"/>
              </w:rPr>
              <w:t>42</w:t>
            </w:r>
            <w:r>
              <w:rPr>
                <w:rFonts w:ascii="仿宋_GB2312" w:hAnsi="仿宋_GB2312" w:cs="仿宋_GB2312" w:eastAsia="仿宋_GB2312"/>
                <w:sz w:val="24"/>
              </w:rPr>
              <w:t>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工</w:t>
            </w:r>
            <w:r>
              <w:rPr>
                <w:rFonts w:ascii="仿宋_GB2312" w:hAnsi="仿宋_GB2312" w:cs="仿宋_GB2312" w:eastAsia="仿宋_GB2312"/>
                <w:sz w:val="24"/>
              </w:rPr>
              <w:t>贸方面：</w:t>
            </w:r>
            <w:r>
              <w:rPr>
                <w:rFonts w:ascii="仿宋_GB2312" w:hAnsi="仿宋_GB2312" w:cs="仿宋_GB2312" w:eastAsia="仿宋_GB2312"/>
                <w:sz w:val="24"/>
              </w:rPr>
              <w:t>工贸重点企业</w:t>
            </w:r>
            <w:r>
              <w:rPr>
                <w:rFonts w:ascii="仿宋_GB2312" w:hAnsi="仿宋_GB2312" w:cs="仿宋_GB2312" w:eastAsia="仿宋_GB2312"/>
                <w:sz w:val="24"/>
              </w:rPr>
              <w:t>24家。</w:t>
            </w:r>
          </w:p>
          <w:p>
            <w:pPr>
              <w:pStyle w:val="null3"/>
              <w:ind w:firstLine="480"/>
              <w:jc w:val="both"/>
            </w:pPr>
            <w:r>
              <w:rPr>
                <w:rFonts w:ascii="仿宋_GB2312" w:hAnsi="仿宋_GB2312" w:cs="仿宋_GB2312" w:eastAsia="仿宋_GB2312"/>
                <w:sz w:val="24"/>
              </w:rPr>
              <w:t>附</w:t>
            </w:r>
            <w:r>
              <w:rPr>
                <w:rFonts w:ascii="仿宋_GB2312" w:hAnsi="仿宋_GB2312" w:cs="仿宋_GB2312" w:eastAsia="仿宋_GB2312"/>
                <w:sz w:val="24"/>
              </w:rPr>
              <w:t>表</w:t>
            </w:r>
            <w:r>
              <w:rPr>
                <w:rFonts w:ascii="仿宋_GB2312" w:hAnsi="仿宋_GB2312" w:cs="仿宋_GB2312" w:eastAsia="仿宋_GB2312"/>
                <w:sz w:val="24"/>
              </w:rPr>
              <w:t>1</w:t>
            </w:r>
            <w:r>
              <w:rPr>
                <w:rFonts w:ascii="仿宋_GB2312" w:hAnsi="仿宋_GB2312" w:cs="仿宋_GB2312" w:eastAsia="仿宋_GB2312"/>
                <w:sz w:val="24"/>
              </w:rPr>
              <w:t>：检查</w:t>
            </w:r>
            <w:r>
              <w:rPr>
                <w:rFonts w:ascii="仿宋_GB2312" w:hAnsi="仿宋_GB2312" w:cs="仿宋_GB2312" w:eastAsia="仿宋_GB2312"/>
                <w:sz w:val="24"/>
              </w:rPr>
              <w:t>要求</w:t>
            </w:r>
            <w:r>
              <w:rPr>
                <w:rFonts w:ascii="仿宋_GB2312" w:hAnsi="仿宋_GB2312" w:cs="仿宋_GB2312" w:eastAsia="仿宋_GB2312"/>
                <w:sz w:val="24"/>
              </w:rPr>
              <w:t>明细表</w:t>
            </w:r>
          </w:p>
          <w:tbl>
            <w:tblPr>
              <w:tblInd w:type="dxa" w:w="210"/>
              <w:tblBorders>
                <w:top w:val="none" w:color="000000" w:sz="4"/>
                <w:left w:val="none" w:color="000000" w:sz="4"/>
                <w:bottom w:val="none" w:color="000000" w:sz="4"/>
                <w:right w:val="none" w:color="000000" w:sz="4"/>
                <w:insideH w:val="none"/>
                <w:insideV w:val="none"/>
              </w:tblBorders>
            </w:tblPr>
            <w:tblGrid>
              <w:gridCol w:w="469"/>
              <w:gridCol w:w="792"/>
              <w:gridCol w:w="671"/>
              <w:gridCol w:w="765"/>
              <w:gridCol w:w="805"/>
              <w:gridCol w:w="939"/>
              <w:gridCol w:w="1114"/>
            </w:tblGrid>
            <w:tr>
              <w:tc>
                <w:tcPr>
                  <w:tcW w:type="dxa" w:w="469"/>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79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企业类别</w:t>
                  </w:r>
                </w:p>
              </w:tc>
              <w:tc>
                <w:tcPr>
                  <w:tcW w:type="dxa" w:w="67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企业</w:t>
                  </w:r>
                  <w:r>
                    <w:rPr>
                      <w:rFonts w:ascii="仿宋_GB2312" w:hAnsi="仿宋_GB2312" w:cs="仿宋_GB2312" w:eastAsia="仿宋_GB2312"/>
                      <w:sz w:val="20"/>
                    </w:rPr>
                    <w:t>家数</w:t>
                  </w:r>
                </w:p>
              </w:tc>
              <w:tc>
                <w:tcPr>
                  <w:tcW w:type="dxa" w:w="250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检查要求</w:t>
                  </w:r>
                </w:p>
              </w:tc>
              <w:tc>
                <w:tcPr>
                  <w:tcW w:type="dxa" w:w="1114"/>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469"/>
                  <w:vMerge/>
                  <w:tcBorders>
                    <w:top w:val="single" w:color="000000" w:sz="4"/>
                    <w:left w:val="single" w:color="000000" w:sz="4"/>
                    <w:bottom w:val="none" w:color="000000" w:sz="4"/>
                    <w:right w:val="single" w:color="000000" w:sz="4"/>
                  </w:tcBorders>
                </w:tcPr>
                <w:p/>
              </w:tc>
              <w:tc>
                <w:tcPr>
                  <w:tcW w:type="dxa" w:w="792"/>
                  <w:vMerge/>
                  <w:tcBorders>
                    <w:top w:val="single" w:color="000000" w:sz="4"/>
                    <w:left w:val="none" w:color="000000" w:sz="4"/>
                    <w:bottom w:val="none" w:color="000000" w:sz="4"/>
                    <w:right w:val="single" w:color="000000" w:sz="4"/>
                  </w:tcBorders>
                </w:tcPr>
                <w:p/>
              </w:tc>
              <w:tc>
                <w:tcPr>
                  <w:tcW w:type="dxa" w:w="671"/>
                  <w:vMerge/>
                  <w:tcBorders>
                    <w:top w:val="single" w:color="000000" w:sz="4"/>
                    <w:left w:val="none" w:color="000000" w:sz="4"/>
                    <w:bottom w:val="none" w:color="000000" w:sz="4"/>
                    <w:right w:val="single" w:color="000000" w:sz="4"/>
                  </w:tcBorders>
                </w:tcP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专家数量（人</w:t>
                  </w:r>
                  <w:r>
                    <w:rPr>
                      <w:rFonts w:ascii="仿宋_GB2312" w:hAnsi="仿宋_GB2312" w:cs="仿宋_GB2312" w:eastAsia="仿宋_GB2312"/>
                      <w:sz w:val="20"/>
                    </w:rPr>
                    <w:t>/天</w:t>
                  </w:r>
                  <w:r>
                    <w:rPr>
                      <w:rFonts w:ascii="仿宋_GB2312" w:hAnsi="仿宋_GB2312" w:cs="仿宋_GB2312" w:eastAsia="仿宋_GB2312"/>
                      <w:sz w:val="20"/>
                    </w:rPr>
                    <w:t>）</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检查时间（天</w:t>
                  </w:r>
                  <w:r>
                    <w:rPr>
                      <w:rFonts w:ascii="仿宋_GB2312" w:hAnsi="仿宋_GB2312" w:cs="仿宋_GB2312" w:eastAsia="仿宋_GB2312"/>
                      <w:sz w:val="20"/>
                    </w:rPr>
                    <w:t>/次</w:t>
                  </w:r>
                  <w:r>
                    <w:rPr>
                      <w:rFonts w:ascii="仿宋_GB2312" w:hAnsi="仿宋_GB2312" w:cs="仿宋_GB2312" w:eastAsia="仿宋_GB2312"/>
                      <w:sz w:val="20"/>
                    </w:rPr>
                    <w:t>）</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检查频次（次</w:t>
                  </w:r>
                  <w:r>
                    <w:rPr>
                      <w:rFonts w:ascii="仿宋_GB2312" w:hAnsi="仿宋_GB2312" w:cs="仿宋_GB2312" w:eastAsia="仿宋_GB2312"/>
                      <w:sz w:val="20"/>
                    </w:rPr>
                    <w:t>/年）</w:t>
                  </w:r>
                </w:p>
              </w:tc>
              <w:tc>
                <w:tcPr>
                  <w:tcW w:type="dxa" w:w="1114"/>
                  <w:vMerge/>
                  <w:tcBorders>
                    <w:top w:val="single" w:color="000000" w:sz="4"/>
                    <w:left w:val="none" w:color="000000" w:sz="4"/>
                    <w:bottom w:val="none" w:color="000000" w:sz="4"/>
                    <w:right w:val="single" w:color="000000" w:sz="4"/>
                  </w:tcBorders>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煤矿</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11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各企业的检查时间节点及顺序根据采购人需求进行</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非煤地下矿山</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114"/>
                  <w:vMerge/>
                  <w:tcBorders>
                    <w:top w:val="none" w:color="000000" w:sz="4"/>
                    <w:left w:val="none" w:color="000000" w:sz="4"/>
                    <w:bottom w:val="none" w:color="000000" w:sz="4"/>
                    <w:right w:val="single" w:color="000000" w:sz="4"/>
                  </w:tcBorders>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非煤露天矿山及尾矿库</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14"/>
                  <w:vMerge/>
                  <w:tcBorders>
                    <w:top w:val="none" w:color="000000" w:sz="4"/>
                    <w:left w:val="none" w:color="000000" w:sz="4"/>
                    <w:bottom w:val="none" w:color="000000" w:sz="4"/>
                    <w:right w:val="single" w:color="000000" w:sz="4"/>
                  </w:tcBorders>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油库</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14"/>
                  <w:vMerge/>
                  <w:tcBorders>
                    <w:top w:val="none" w:color="000000" w:sz="4"/>
                    <w:left w:val="none" w:color="000000" w:sz="4"/>
                    <w:bottom w:val="none" w:color="000000" w:sz="4"/>
                    <w:right w:val="single" w:color="000000" w:sz="4"/>
                  </w:tcBorders>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加油站和气体充装企业</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14"/>
                  <w:vMerge/>
                  <w:tcBorders>
                    <w:top w:val="none" w:color="000000" w:sz="4"/>
                    <w:left w:val="none" w:color="000000" w:sz="4"/>
                    <w:bottom w:val="none" w:color="000000" w:sz="4"/>
                    <w:right w:val="single" w:color="000000" w:sz="4"/>
                  </w:tcBorders>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工贸</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14"/>
                  <w:vMerge/>
                  <w:tcBorders>
                    <w:top w:val="none" w:color="000000" w:sz="4"/>
                    <w:left w:val="none" w:color="000000" w:sz="4"/>
                    <w:bottom w:val="none" w:color="000000" w:sz="4"/>
                    <w:right w:val="single" w:color="000000" w:sz="4"/>
                  </w:tcBorders>
                </w:tcPr>
                <w:p/>
              </w:tc>
            </w:tr>
          </w:tbl>
          <w:p>
            <w:pPr>
              <w:pStyle w:val="null3"/>
              <w:jc w:val="both"/>
            </w:pPr>
            <w:r>
              <w:rPr>
                <w:rFonts w:ascii="仿宋_GB2312" w:hAnsi="仿宋_GB2312" w:cs="仿宋_GB2312" w:eastAsia="仿宋_GB2312"/>
                <w:sz w:val="24"/>
              </w:rPr>
              <w:t>注：各矿山、危化和工贸企业具体名单由采购人向成交供应商提供。</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w:t>
            </w:r>
          </w:p>
        </w:tc>
        <w:tc>
          <w:tcPr>
            <w:tcW w:type="dxa" w:w="5814"/>
          </w:tcPr>
          <w:p>
            <w:pPr>
              <w:pStyle w:val="null3"/>
              <w:ind w:firstLine="455"/>
              <w:jc w:val="both"/>
            </w:pPr>
            <w:r>
              <w:rPr>
                <w:rFonts w:ascii="仿宋_GB2312" w:hAnsi="仿宋_GB2312" w:cs="仿宋_GB2312" w:eastAsia="仿宋_GB2312"/>
                <w:sz w:val="24"/>
                <w:b/>
              </w:rPr>
              <w:t>1</w:t>
            </w:r>
            <w:r>
              <w:rPr>
                <w:rFonts w:ascii="仿宋_GB2312" w:hAnsi="仿宋_GB2312" w:cs="仿宋_GB2312" w:eastAsia="仿宋_GB2312"/>
                <w:sz w:val="24"/>
                <w:b/>
              </w:rPr>
              <w:t>.煤矿方面</w:t>
            </w:r>
          </w:p>
          <w:p>
            <w:pPr>
              <w:pStyle w:val="null3"/>
              <w:ind w:firstLine="453"/>
              <w:jc w:val="both"/>
            </w:pPr>
            <w:r>
              <w:rPr>
                <w:rFonts w:ascii="仿宋_GB2312" w:hAnsi="仿宋_GB2312" w:cs="仿宋_GB2312" w:eastAsia="仿宋_GB2312"/>
                <w:sz w:val="24"/>
              </w:rPr>
              <w:t>（</w:t>
            </w:r>
            <w:r>
              <w:rPr>
                <w:rFonts w:ascii="仿宋_GB2312" w:hAnsi="仿宋_GB2312" w:cs="仿宋_GB2312" w:eastAsia="仿宋_GB2312"/>
                <w:sz w:val="24"/>
              </w:rPr>
              <w:t>1）基础管理：主要对生产经营单位安全管理体制、机制及人员、程序方面的合法、合规性进行检查（包含资质证照、安全生产管理机构及人员、安全规章制度、安全培训教育、安全投入、相关方管理、个体防护装备、职业健康、应急管理、隐患排查治理、事故调查和处理等安全管理方面进行资料核查）。</w:t>
            </w:r>
          </w:p>
          <w:p>
            <w:pPr>
              <w:pStyle w:val="null3"/>
              <w:ind w:firstLine="453"/>
              <w:jc w:val="both"/>
            </w:pPr>
            <w:r>
              <w:rPr>
                <w:rFonts w:ascii="仿宋_GB2312" w:hAnsi="仿宋_GB2312" w:cs="仿宋_GB2312" w:eastAsia="仿宋_GB2312"/>
                <w:sz w:val="24"/>
              </w:rPr>
              <w:t>（</w:t>
            </w:r>
            <w:r>
              <w:rPr>
                <w:rFonts w:ascii="仿宋_GB2312" w:hAnsi="仿宋_GB2312" w:cs="仿宋_GB2312" w:eastAsia="仿宋_GB2312"/>
                <w:sz w:val="24"/>
              </w:rPr>
              <w:t>2）现场管理：主要对煤矿采掘作业场所的环境、设备设施及作业行为等方面的合法、合规性进行现场检查（作业场所安全、设备设施安全、瓦斯治理、顶板维护、巷道维修、围岩松动圈测定、隐蔽致灾因素普查治理、隐蔽工作面、重大隐患治理清零情况、应急管理、通风安全情况、作业人员安全、技能安全、个体防护、作业许可及近期重点工作落实情况等内容）。</w:t>
            </w:r>
          </w:p>
          <w:p>
            <w:pPr>
              <w:pStyle w:val="null3"/>
              <w:ind w:firstLine="453"/>
              <w:jc w:val="both"/>
            </w:pPr>
            <w:r>
              <w:rPr>
                <w:rFonts w:ascii="仿宋_GB2312" w:hAnsi="仿宋_GB2312" w:cs="仿宋_GB2312" w:eastAsia="仿宋_GB2312"/>
                <w:sz w:val="24"/>
              </w:rPr>
              <w:t>（</w:t>
            </w:r>
            <w:r>
              <w:rPr>
                <w:rFonts w:ascii="仿宋_GB2312" w:hAnsi="仿宋_GB2312" w:cs="仿宋_GB2312" w:eastAsia="仿宋_GB2312"/>
                <w:sz w:val="24"/>
              </w:rPr>
              <w:t>3）其他检查内容：严格按照《安全生产法》《煤矿安全生产条例》《煤矿安全规程》《煤矿防治水细则》《矿山隐蔽致灾因素普查规范》《煤矿重大事故隐患判定标准》等法律、规章或规范开展检查。</w:t>
            </w:r>
          </w:p>
          <w:p>
            <w:pPr>
              <w:pStyle w:val="null3"/>
              <w:ind w:firstLine="45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检查人员配置</w:t>
            </w:r>
          </w:p>
          <w:p>
            <w:pPr>
              <w:pStyle w:val="null3"/>
              <w:ind w:firstLine="453"/>
              <w:jc w:val="both"/>
            </w:pPr>
            <w:r>
              <w:rPr>
                <w:rFonts w:ascii="仿宋_GB2312" w:hAnsi="仿宋_GB2312" w:cs="仿宋_GB2312" w:eastAsia="仿宋_GB2312"/>
                <w:sz w:val="24"/>
              </w:rPr>
              <w:t>①组长1人</w:t>
            </w:r>
            <w:r>
              <w:rPr>
                <w:rFonts w:ascii="仿宋_GB2312" w:hAnsi="仿宋_GB2312" w:cs="仿宋_GB2312" w:eastAsia="仿宋_GB2312"/>
                <w:sz w:val="24"/>
              </w:rPr>
              <w:t>；</w:t>
            </w:r>
          </w:p>
          <w:p>
            <w:pPr>
              <w:pStyle w:val="null3"/>
              <w:ind w:firstLine="453"/>
              <w:jc w:val="both"/>
            </w:pPr>
            <w:r>
              <w:rPr>
                <w:rFonts w:ascii="仿宋_GB2312" w:hAnsi="仿宋_GB2312" w:cs="仿宋_GB2312" w:eastAsia="仿宋_GB2312"/>
                <w:sz w:val="24"/>
              </w:rPr>
              <w:t>②组员</w:t>
            </w:r>
            <w:r>
              <w:rPr>
                <w:rFonts w:ascii="仿宋_GB2312" w:hAnsi="仿宋_GB2312" w:cs="仿宋_GB2312" w:eastAsia="仿宋_GB2312"/>
                <w:sz w:val="24"/>
              </w:rPr>
              <w:t>4</w:t>
            </w:r>
            <w:r>
              <w:rPr>
                <w:rFonts w:ascii="仿宋_GB2312" w:hAnsi="仿宋_GB2312" w:cs="仿宋_GB2312" w:eastAsia="仿宋_GB2312"/>
                <w:sz w:val="24"/>
              </w:rPr>
              <w:t>人</w:t>
            </w:r>
            <w:r>
              <w:rPr>
                <w:rFonts w:ascii="仿宋_GB2312" w:hAnsi="仿宋_GB2312" w:cs="仿宋_GB2312" w:eastAsia="仿宋_GB2312"/>
                <w:sz w:val="24"/>
              </w:rPr>
              <w:t>。</w:t>
            </w:r>
          </w:p>
          <w:p>
            <w:pPr>
              <w:pStyle w:val="null3"/>
              <w:ind w:firstLine="453"/>
              <w:jc w:val="both"/>
            </w:pPr>
            <w:r>
              <w:rPr>
                <w:rFonts w:ascii="仿宋_GB2312" w:hAnsi="仿宋_GB2312" w:cs="仿宋_GB2312" w:eastAsia="仿宋_GB2312"/>
                <w:sz w:val="24"/>
              </w:rPr>
              <w:t>上述人员均须具有中级及以上职称或具有同等专业水平的国家注册类执业资格，专业须覆盖采矿、机电、通风、地质、安全</w:t>
            </w:r>
            <w:r>
              <w:rPr>
                <w:rFonts w:ascii="仿宋_GB2312" w:hAnsi="仿宋_GB2312" w:cs="仿宋_GB2312" w:eastAsia="仿宋_GB2312"/>
                <w:sz w:val="24"/>
              </w:rPr>
              <w:t>。</w:t>
            </w:r>
          </w:p>
          <w:p>
            <w:pPr>
              <w:pStyle w:val="null3"/>
              <w:ind w:firstLine="45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）检查工作量</w:t>
            </w:r>
          </w:p>
          <w:p>
            <w:pPr>
              <w:pStyle w:val="null3"/>
              <w:ind w:firstLine="453"/>
              <w:jc w:val="both"/>
            </w:pPr>
            <w:r>
              <w:rPr>
                <w:rFonts w:ascii="仿宋_GB2312" w:hAnsi="仿宋_GB2312" w:cs="仿宋_GB2312" w:eastAsia="仿宋_GB2312"/>
                <w:sz w:val="24"/>
              </w:rPr>
              <w:t>煤矿</w:t>
            </w:r>
            <w:r>
              <w:rPr>
                <w:rFonts w:ascii="仿宋_GB2312" w:hAnsi="仿宋_GB2312" w:cs="仿宋_GB2312" w:eastAsia="仿宋_GB2312"/>
                <w:sz w:val="24"/>
              </w:rPr>
              <w:t>2家，每家</w:t>
            </w:r>
            <w:r>
              <w:rPr>
                <w:rFonts w:ascii="仿宋_GB2312" w:hAnsi="仿宋_GB2312" w:cs="仿宋_GB2312" w:eastAsia="仿宋_GB2312"/>
                <w:sz w:val="24"/>
              </w:rPr>
              <w:t>检查</w:t>
            </w:r>
            <w:r>
              <w:rPr>
                <w:rFonts w:ascii="仿宋_GB2312" w:hAnsi="仿宋_GB2312" w:cs="仿宋_GB2312" w:eastAsia="仿宋_GB2312"/>
                <w:sz w:val="24"/>
              </w:rPr>
              <w:t>2</w:t>
            </w:r>
            <w:r>
              <w:rPr>
                <w:rFonts w:ascii="仿宋_GB2312" w:hAnsi="仿宋_GB2312" w:cs="仿宋_GB2312" w:eastAsia="仿宋_GB2312"/>
                <w:sz w:val="24"/>
              </w:rPr>
              <w:t>天，</w:t>
            </w:r>
            <w:r>
              <w:rPr>
                <w:rFonts w:ascii="仿宋_GB2312" w:hAnsi="仿宋_GB2312" w:cs="仿宋_GB2312" w:eastAsia="仿宋_GB2312"/>
                <w:sz w:val="24"/>
              </w:rPr>
              <w:t>复查</w:t>
            </w:r>
            <w:r>
              <w:rPr>
                <w:rFonts w:ascii="仿宋_GB2312" w:hAnsi="仿宋_GB2312" w:cs="仿宋_GB2312" w:eastAsia="仿宋_GB2312"/>
                <w:sz w:val="24"/>
              </w:rPr>
              <w:t>1天，每年检查4次，</w:t>
            </w:r>
            <w:r>
              <w:rPr>
                <w:rFonts w:ascii="仿宋_GB2312" w:hAnsi="仿宋_GB2312" w:cs="仿宋_GB2312" w:eastAsia="仿宋_GB2312"/>
                <w:sz w:val="24"/>
              </w:rPr>
              <w:t>共需</w:t>
            </w:r>
            <w:r>
              <w:rPr>
                <w:rFonts w:ascii="仿宋_GB2312" w:hAnsi="仿宋_GB2312" w:cs="仿宋_GB2312" w:eastAsia="仿宋_GB2312"/>
                <w:sz w:val="24"/>
              </w:rPr>
              <w:t>24</w:t>
            </w:r>
            <w:r>
              <w:rPr>
                <w:rFonts w:ascii="仿宋_GB2312" w:hAnsi="仿宋_GB2312" w:cs="仿宋_GB2312" w:eastAsia="仿宋_GB2312"/>
                <w:sz w:val="24"/>
              </w:rPr>
              <w:t>天</w:t>
            </w:r>
            <w:r>
              <w:rPr>
                <w:rFonts w:ascii="仿宋_GB2312" w:hAnsi="仿宋_GB2312" w:cs="仿宋_GB2312" w:eastAsia="仿宋_GB2312"/>
                <w:sz w:val="24"/>
              </w:rPr>
              <w:t>。</w:t>
            </w:r>
          </w:p>
          <w:p>
            <w:pPr>
              <w:pStyle w:val="null3"/>
              <w:ind w:firstLine="455"/>
              <w:jc w:val="both"/>
            </w:pPr>
            <w:r>
              <w:rPr>
                <w:rFonts w:ascii="仿宋_GB2312" w:hAnsi="仿宋_GB2312" w:cs="仿宋_GB2312" w:eastAsia="仿宋_GB2312"/>
                <w:sz w:val="24"/>
                <w:b/>
              </w:rPr>
              <w:t>2</w:t>
            </w:r>
            <w:r>
              <w:rPr>
                <w:rFonts w:ascii="仿宋_GB2312" w:hAnsi="仿宋_GB2312" w:cs="仿宋_GB2312" w:eastAsia="仿宋_GB2312"/>
                <w:sz w:val="24"/>
                <w:b/>
              </w:rPr>
              <w:t>.非煤矿山方面</w:t>
            </w:r>
          </w:p>
          <w:p>
            <w:pPr>
              <w:pStyle w:val="null3"/>
              <w:ind w:firstLine="453"/>
              <w:jc w:val="both"/>
            </w:pPr>
            <w:r>
              <w:rPr>
                <w:rFonts w:ascii="仿宋_GB2312" w:hAnsi="仿宋_GB2312" w:cs="仿宋_GB2312" w:eastAsia="仿宋_GB2312"/>
                <w:sz w:val="24"/>
              </w:rPr>
              <w:t>（</w:t>
            </w:r>
            <w:r>
              <w:rPr>
                <w:rFonts w:ascii="仿宋_GB2312" w:hAnsi="仿宋_GB2312" w:cs="仿宋_GB2312" w:eastAsia="仿宋_GB2312"/>
                <w:sz w:val="24"/>
              </w:rPr>
              <w:t>1）证照合法性情况：矿山采矿许可证、安全生产许可证、工商营业执照</w:t>
            </w:r>
            <w:r>
              <w:rPr>
                <w:rFonts w:ascii="仿宋_GB2312" w:hAnsi="仿宋_GB2312" w:cs="仿宋_GB2312" w:eastAsia="仿宋_GB2312"/>
                <w:sz w:val="24"/>
              </w:rPr>
              <w:t>、</w:t>
            </w:r>
            <w:r>
              <w:rPr>
                <w:rFonts w:ascii="仿宋_GB2312" w:hAnsi="仿宋_GB2312" w:cs="仿宋_GB2312" w:eastAsia="仿宋_GB2312"/>
                <w:sz w:val="24"/>
              </w:rPr>
              <w:t>排污许可证</w:t>
            </w:r>
            <w:r>
              <w:rPr>
                <w:rFonts w:ascii="仿宋_GB2312" w:hAnsi="仿宋_GB2312" w:cs="仿宋_GB2312" w:eastAsia="仿宋_GB2312"/>
                <w:sz w:val="24"/>
              </w:rPr>
              <w:t>等相关证照合法有效性；外包施工队伍非煤矿山安全生产许可证和相应等级的施工资质，其资质等级及范围与所承揽工程是否相符；安全设施</w:t>
            </w:r>
            <w:r>
              <w:rPr>
                <w:rFonts w:ascii="仿宋_GB2312" w:hAnsi="仿宋_GB2312" w:cs="仿宋_GB2312" w:eastAsia="仿宋_GB2312"/>
                <w:sz w:val="24"/>
              </w:rPr>
              <w:t>“三同时”手续是否齐全完善、合法有效。</w:t>
            </w:r>
          </w:p>
          <w:p>
            <w:pPr>
              <w:pStyle w:val="null3"/>
              <w:ind w:firstLine="453"/>
              <w:jc w:val="both"/>
            </w:pPr>
            <w:r>
              <w:rPr>
                <w:rFonts w:ascii="仿宋_GB2312" w:hAnsi="仿宋_GB2312" w:cs="仿宋_GB2312" w:eastAsia="仿宋_GB2312"/>
                <w:sz w:val="24"/>
              </w:rPr>
              <w:t>（</w:t>
            </w:r>
            <w:r>
              <w:rPr>
                <w:rFonts w:ascii="仿宋_GB2312" w:hAnsi="仿宋_GB2312" w:cs="仿宋_GB2312" w:eastAsia="仿宋_GB2312"/>
                <w:sz w:val="24"/>
              </w:rPr>
              <w:t>2）安全管理情况：安全设施设计符合性，机构人员配备情况，安全生产费用提取和使用情况，风险分级管理与隐患排查治理情况，安全管理制度制定和执行情况，防范化解重大安全风险隐患情况，应急管理情况，</w:t>
            </w:r>
            <w:r>
              <w:rPr>
                <w:rFonts w:ascii="仿宋_GB2312" w:hAnsi="仿宋_GB2312" w:cs="仿宋_GB2312" w:eastAsia="仿宋_GB2312"/>
                <w:sz w:val="24"/>
              </w:rPr>
              <w:t>设备使用管理情况</w:t>
            </w:r>
            <w:r>
              <w:rPr>
                <w:rFonts w:ascii="仿宋_GB2312" w:hAnsi="仿宋_GB2312" w:cs="仿宋_GB2312" w:eastAsia="仿宋_GB2312"/>
                <w:sz w:val="24"/>
              </w:rPr>
              <w:t>，信息化</w:t>
            </w:r>
            <w:r>
              <w:rPr>
                <w:rFonts w:ascii="仿宋_GB2312" w:hAnsi="仿宋_GB2312" w:cs="仿宋_GB2312" w:eastAsia="仿宋_GB2312"/>
                <w:sz w:val="24"/>
              </w:rPr>
              <w:t>智能化</w:t>
            </w:r>
            <w:r>
              <w:rPr>
                <w:rFonts w:ascii="仿宋_GB2312" w:hAnsi="仿宋_GB2312" w:cs="仿宋_GB2312" w:eastAsia="仿宋_GB2312"/>
                <w:sz w:val="24"/>
              </w:rPr>
              <w:t>建设和应用情况等。</w:t>
            </w:r>
          </w:p>
          <w:p>
            <w:pPr>
              <w:pStyle w:val="null3"/>
              <w:ind w:firstLine="453"/>
              <w:jc w:val="both"/>
            </w:pPr>
            <w:r>
              <w:rPr>
                <w:rFonts w:ascii="仿宋_GB2312" w:hAnsi="仿宋_GB2312" w:cs="仿宋_GB2312" w:eastAsia="仿宋_GB2312"/>
                <w:sz w:val="24"/>
              </w:rPr>
              <w:t>（</w:t>
            </w:r>
            <w:r>
              <w:rPr>
                <w:rFonts w:ascii="仿宋_GB2312" w:hAnsi="仿宋_GB2312" w:cs="仿宋_GB2312" w:eastAsia="仿宋_GB2312"/>
                <w:sz w:val="24"/>
              </w:rPr>
              <w:t>3）现场管理</w:t>
            </w:r>
          </w:p>
          <w:p>
            <w:pPr>
              <w:pStyle w:val="null3"/>
              <w:ind w:firstLine="453"/>
              <w:jc w:val="both"/>
            </w:pPr>
            <w:r>
              <w:rPr>
                <w:rFonts w:ascii="仿宋_GB2312" w:hAnsi="仿宋_GB2312" w:cs="仿宋_GB2312" w:eastAsia="仿宋_GB2312"/>
                <w:sz w:val="24"/>
              </w:rPr>
              <w:t>①地下矿山：现场检查矿区周边环境情况、采空区塌陷事故防范方面、火灾事故防范方面、透水事故防范方面、中毒窒息事故防范方面、机电运输事故方面等，检查《关于开展非煤地下矿山冒顶片帮专项整治的通知》《加强非煤矿山安全基础工作方案》</w:t>
            </w:r>
            <w:r>
              <w:rPr>
                <w:rFonts w:ascii="仿宋_GB2312" w:hAnsi="仿宋_GB2312" w:cs="仿宋_GB2312" w:eastAsia="仿宋_GB2312"/>
                <w:sz w:val="24"/>
              </w:rPr>
              <w:t>《</w:t>
            </w:r>
            <w:r>
              <w:rPr>
                <w:rFonts w:ascii="仿宋_GB2312" w:hAnsi="仿宋_GB2312" w:cs="仿宋_GB2312" w:eastAsia="仿宋_GB2312"/>
                <w:sz w:val="24"/>
              </w:rPr>
              <w:t>关于防范遏制矿山领域重大安全事故</w:t>
            </w:r>
            <w:r>
              <w:rPr>
                <w:rFonts w:ascii="仿宋_GB2312" w:hAnsi="仿宋_GB2312" w:cs="仿宋_GB2312" w:eastAsia="仿宋_GB2312"/>
                <w:sz w:val="24"/>
              </w:rPr>
              <w:t>8条硬措施</w:t>
            </w:r>
            <w:r>
              <w:rPr>
                <w:rFonts w:ascii="仿宋_GB2312" w:hAnsi="仿宋_GB2312" w:cs="仿宋_GB2312" w:eastAsia="仿宋_GB2312"/>
                <w:sz w:val="24"/>
              </w:rPr>
              <w:t>》</w:t>
            </w:r>
            <w:r>
              <w:rPr>
                <w:rFonts w:ascii="仿宋_GB2312" w:hAnsi="仿宋_GB2312" w:cs="仿宋_GB2312" w:eastAsia="仿宋_GB2312"/>
                <w:sz w:val="24"/>
              </w:rPr>
              <w:t>要求开展工作情况，检查非煤矿山安全生产十条措施及配套制度落实情况。</w:t>
            </w:r>
          </w:p>
          <w:p>
            <w:pPr>
              <w:pStyle w:val="null3"/>
              <w:ind w:firstLine="453"/>
              <w:jc w:val="both"/>
            </w:pPr>
            <w:r>
              <w:rPr>
                <w:rFonts w:ascii="仿宋_GB2312" w:hAnsi="仿宋_GB2312" w:cs="仿宋_GB2312" w:eastAsia="仿宋_GB2312"/>
                <w:sz w:val="24"/>
              </w:rPr>
              <w:t>②露天矿山及排土场：周边环境情况，</w:t>
            </w:r>
            <w:r>
              <w:rPr>
                <w:rFonts w:ascii="仿宋_GB2312" w:hAnsi="仿宋_GB2312" w:cs="仿宋_GB2312" w:eastAsia="仿宋_GB2312"/>
                <w:sz w:val="24"/>
              </w:rPr>
              <w:t>是否具有地址勘探报告，是否按设计方案布局开采，</w:t>
            </w:r>
            <w:r>
              <w:rPr>
                <w:rFonts w:ascii="仿宋_GB2312" w:hAnsi="仿宋_GB2312" w:cs="仿宋_GB2312" w:eastAsia="仿宋_GB2312"/>
                <w:sz w:val="24"/>
              </w:rPr>
              <w:t>是否建立健全边坡管理和检查制度，是否查清开采境界内的废弃巷道，采空区和溶洞，是否采用自上而下、分台阶或分层的方式进行开采，工作帮坡角是否大于设计工作帮坡角和台阶（分层）高度是否超过设计高度，是否擅自开采或破坏设计规定保留的矿柱、岩柱和挂帮矿体，是否按照国家标准、行业标准对采场边坡、排土场稳定性进行评估，是否对高度</w:t>
            </w:r>
            <w:r>
              <w:rPr>
                <w:rFonts w:ascii="仿宋_GB2312" w:hAnsi="仿宋_GB2312" w:cs="仿宋_GB2312" w:eastAsia="仿宋_GB2312"/>
                <w:sz w:val="24"/>
              </w:rPr>
              <w:t>150米及以上边坡或排土场进行在线监测，是否有在排土场捡拾矿石的情况，是否按安全设施设计要求设置有完善的防排洪系统和截洪设施，是否定期对排洪系统进行安全检查。</w:t>
            </w:r>
          </w:p>
          <w:p>
            <w:pPr>
              <w:pStyle w:val="null3"/>
              <w:ind w:firstLine="453"/>
              <w:jc w:val="both"/>
            </w:pPr>
            <w:r>
              <w:rPr>
                <w:rFonts w:ascii="仿宋_GB2312" w:hAnsi="仿宋_GB2312" w:cs="仿宋_GB2312" w:eastAsia="仿宋_GB2312"/>
                <w:sz w:val="24"/>
              </w:rPr>
              <w:t>③尾矿库：周边环境情况，是否按法规、国家及行业标准对坝体稳定性进行评估，是否按照要求设置人工和在线安全监测设施，是否存在设计以外的尾矿、废料或者废水进库，坝体是否出现贯穿性横向裂缝、出现较大范围管涌和流土变形、出现深层滑动迹象，坝体外坡坡比、安全超高和干滩长度是否满足设计要求，坝体是否超过设计坝高、超设计库容储存尾矿，尾矿堆积坝上升速率是否大于设计堆积上升速率，浸润线埋深是否小于控制浸润线埋深，上游式筑坝是否在坝前均匀放矿、是否未经论证在库后或一侧岸坡放矿，排洪系统是否符合相关规定。</w:t>
            </w:r>
          </w:p>
          <w:p>
            <w:pPr>
              <w:pStyle w:val="null3"/>
              <w:ind w:firstLine="45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其他检查内容：严格按照《安全生产法》《金属非金属矿山安全规程》《矿山隐蔽致灾因素普查规范》《金属非金属矿山重大事故隐患判定标准》等法律、规章或规范开展检查。</w:t>
            </w:r>
          </w:p>
          <w:p>
            <w:pPr>
              <w:pStyle w:val="null3"/>
              <w:ind w:firstLine="45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检查人员配置</w:t>
            </w:r>
          </w:p>
          <w:p>
            <w:pPr>
              <w:pStyle w:val="null3"/>
              <w:ind w:firstLine="45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非煤地下矿山</w:t>
            </w:r>
          </w:p>
          <w:p>
            <w:pPr>
              <w:pStyle w:val="null3"/>
              <w:ind w:firstLine="453"/>
              <w:jc w:val="both"/>
            </w:pPr>
            <w:r>
              <w:rPr>
                <w:rFonts w:ascii="仿宋_GB2312" w:hAnsi="仿宋_GB2312" w:cs="仿宋_GB2312" w:eastAsia="仿宋_GB2312"/>
                <w:sz w:val="24"/>
              </w:rPr>
              <w:t>①组长1人；</w:t>
            </w:r>
          </w:p>
          <w:p>
            <w:pPr>
              <w:pStyle w:val="null3"/>
              <w:ind w:firstLine="453"/>
              <w:jc w:val="both"/>
            </w:pPr>
            <w:r>
              <w:rPr>
                <w:rFonts w:ascii="仿宋_GB2312" w:hAnsi="仿宋_GB2312" w:cs="仿宋_GB2312" w:eastAsia="仿宋_GB2312"/>
                <w:sz w:val="24"/>
              </w:rPr>
              <w:t>②组员</w:t>
            </w:r>
            <w:r>
              <w:rPr>
                <w:rFonts w:ascii="仿宋_GB2312" w:hAnsi="仿宋_GB2312" w:cs="仿宋_GB2312" w:eastAsia="仿宋_GB2312"/>
                <w:sz w:val="24"/>
              </w:rPr>
              <w:t>2</w:t>
            </w:r>
            <w:r>
              <w:rPr>
                <w:rFonts w:ascii="仿宋_GB2312" w:hAnsi="仿宋_GB2312" w:cs="仿宋_GB2312" w:eastAsia="仿宋_GB2312"/>
                <w:sz w:val="24"/>
              </w:rPr>
              <w:t>人；</w:t>
            </w:r>
          </w:p>
          <w:p>
            <w:pPr>
              <w:pStyle w:val="null3"/>
              <w:ind w:firstLine="453"/>
              <w:jc w:val="both"/>
            </w:pPr>
            <w:r>
              <w:rPr>
                <w:rFonts w:ascii="仿宋_GB2312" w:hAnsi="仿宋_GB2312" w:cs="仿宋_GB2312" w:eastAsia="仿宋_GB2312"/>
                <w:sz w:val="24"/>
              </w:rPr>
              <w:t>上述人员均须具有中级及以上职称或具有同等专业水平的国家注册类执业资格，专业须覆盖采矿、机电、通风、地质、安全。</w:t>
            </w:r>
          </w:p>
          <w:p>
            <w:pPr>
              <w:pStyle w:val="null3"/>
              <w:numPr>
                <w:ilvl w:val="0"/>
                <w:numId w:val="1"/>
              </w:numPr>
              <w:jc w:val="both"/>
            </w:pPr>
            <w:r>
              <w:rPr>
                <w:rFonts w:ascii="仿宋_GB2312" w:hAnsi="仿宋_GB2312" w:cs="仿宋_GB2312" w:eastAsia="仿宋_GB2312"/>
                <w:sz w:val="24"/>
              </w:rPr>
              <w:t>非煤露天矿山</w:t>
            </w:r>
          </w:p>
          <w:p>
            <w:pPr>
              <w:pStyle w:val="null3"/>
              <w:ind w:firstLine="480"/>
              <w:jc w:val="both"/>
            </w:pPr>
            <w:r>
              <w:rPr>
                <w:rFonts w:ascii="仿宋_GB2312" w:hAnsi="仿宋_GB2312" w:cs="仿宋_GB2312" w:eastAsia="仿宋_GB2312"/>
                <w:sz w:val="24"/>
              </w:rPr>
              <w:t>①组长1人；</w:t>
            </w:r>
          </w:p>
          <w:p>
            <w:pPr>
              <w:pStyle w:val="null3"/>
              <w:ind w:firstLine="453"/>
              <w:jc w:val="both"/>
            </w:pPr>
            <w:r>
              <w:rPr>
                <w:rFonts w:ascii="仿宋_GB2312" w:hAnsi="仿宋_GB2312" w:cs="仿宋_GB2312" w:eastAsia="仿宋_GB2312"/>
                <w:sz w:val="24"/>
              </w:rPr>
              <w:t>②组员</w:t>
            </w:r>
            <w:r>
              <w:rPr>
                <w:rFonts w:ascii="仿宋_GB2312" w:hAnsi="仿宋_GB2312" w:cs="仿宋_GB2312" w:eastAsia="仿宋_GB2312"/>
                <w:sz w:val="24"/>
              </w:rPr>
              <w:t>2</w:t>
            </w:r>
            <w:r>
              <w:rPr>
                <w:rFonts w:ascii="仿宋_GB2312" w:hAnsi="仿宋_GB2312" w:cs="仿宋_GB2312" w:eastAsia="仿宋_GB2312"/>
                <w:sz w:val="24"/>
              </w:rPr>
              <w:t>人；</w:t>
            </w:r>
          </w:p>
          <w:p>
            <w:pPr>
              <w:pStyle w:val="null3"/>
              <w:ind w:firstLine="453"/>
              <w:jc w:val="both"/>
            </w:pPr>
            <w:r>
              <w:rPr>
                <w:rFonts w:ascii="仿宋_GB2312" w:hAnsi="仿宋_GB2312" w:cs="仿宋_GB2312" w:eastAsia="仿宋_GB2312"/>
                <w:sz w:val="24"/>
              </w:rPr>
              <w:t>上述人员均须具有中级及以上职称或具有同等专业水平的国家注册类执业资格，专业须覆盖采矿、机电、地质。</w:t>
            </w:r>
          </w:p>
          <w:p>
            <w:pPr>
              <w:pStyle w:val="null3"/>
              <w:ind w:firstLine="45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）检查工作量</w:t>
            </w:r>
          </w:p>
          <w:p>
            <w:pPr>
              <w:pStyle w:val="null3"/>
              <w:ind w:firstLine="453"/>
              <w:jc w:val="both"/>
            </w:pPr>
            <w:r>
              <w:rPr>
                <w:rFonts w:ascii="仿宋_GB2312" w:hAnsi="仿宋_GB2312" w:cs="仿宋_GB2312" w:eastAsia="仿宋_GB2312"/>
                <w:sz w:val="24"/>
              </w:rPr>
              <w:t>①</w:t>
            </w:r>
            <w:r>
              <w:rPr>
                <w:rFonts w:ascii="仿宋_GB2312" w:hAnsi="仿宋_GB2312" w:cs="仿宋_GB2312" w:eastAsia="仿宋_GB2312"/>
                <w:sz w:val="24"/>
              </w:rPr>
              <w:t>非煤</w:t>
            </w:r>
            <w:r>
              <w:rPr>
                <w:rFonts w:ascii="仿宋_GB2312" w:hAnsi="仿宋_GB2312" w:cs="仿宋_GB2312" w:eastAsia="仿宋_GB2312"/>
                <w:sz w:val="24"/>
              </w:rPr>
              <w:t>地下矿山</w:t>
            </w:r>
            <w:r>
              <w:rPr>
                <w:rFonts w:ascii="仿宋_GB2312" w:hAnsi="仿宋_GB2312" w:cs="仿宋_GB2312" w:eastAsia="仿宋_GB2312"/>
                <w:sz w:val="24"/>
              </w:rPr>
              <w:t>6家，每家</w:t>
            </w:r>
            <w:r>
              <w:rPr>
                <w:rFonts w:ascii="仿宋_GB2312" w:hAnsi="仿宋_GB2312" w:cs="仿宋_GB2312" w:eastAsia="仿宋_GB2312"/>
                <w:sz w:val="24"/>
              </w:rPr>
              <w:t>检查</w:t>
            </w:r>
            <w:r>
              <w:rPr>
                <w:rFonts w:ascii="仿宋_GB2312" w:hAnsi="仿宋_GB2312" w:cs="仿宋_GB2312" w:eastAsia="仿宋_GB2312"/>
                <w:sz w:val="24"/>
              </w:rPr>
              <w:t>2</w:t>
            </w:r>
            <w:r>
              <w:rPr>
                <w:rFonts w:ascii="仿宋_GB2312" w:hAnsi="仿宋_GB2312" w:cs="仿宋_GB2312" w:eastAsia="仿宋_GB2312"/>
                <w:sz w:val="24"/>
              </w:rPr>
              <w:t>天，</w:t>
            </w:r>
            <w:r>
              <w:rPr>
                <w:rFonts w:ascii="仿宋_GB2312" w:hAnsi="仿宋_GB2312" w:cs="仿宋_GB2312" w:eastAsia="仿宋_GB2312"/>
                <w:sz w:val="24"/>
              </w:rPr>
              <w:t>每年检查</w:t>
            </w:r>
            <w:r>
              <w:rPr>
                <w:rFonts w:ascii="仿宋_GB2312" w:hAnsi="仿宋_GB2312" w:cs="仿宋_GB2312" w:eastAsia="仿宋_GB2312"/>
                <w:sz w:val="24"/>
              </w:rPr>
              <w:t>4次，</w:t>
            </w:r>
            <w:r>
              <w:rPr>
                <w:rFonts w:ascii="仿宋_GB2312" w:hAnsi="仿宋_GB2312" w:cs="仿宋_GB2312" w:eastAsia="仿宋_GB2312"/>
                <w:sz w:val="24"/>
              </w:rPr>
              <w:t>共需</w:t>
            </w:r>
            <w:r>
              <w:rPr>
                <w:rFonts w:ascii="仿宋_GB2312" w:hAnsi="仿宋_GB2312" w:cs="仿宋_GB2312" w:eastAsia="仿宋_GB2312"/>
                <w:sz w:val="24"/>
              </w:rPr>
              <w:t>48</w:t>
            </w:r>
            <w:r>
              <w:rPr>
                <w:rFonts w:ascii="仿宋_GB2312" w:hAnsi="仿宋_GB2312" w:cs="仿宋_GB2312" w:eastAsia="仿宋_GB2312"/>
                <w:sz w:val="24"/>
              </w:rPr>
              <w:t>天。</w:t>
            </w:r>
          </w:p>
          <w:p>
            <w:pPr>
              <w:pStyle w:val="null3"/>
              <w:ind w:firstLine="453"/>
              <w:jc w:val="both"/>
            </w:pPr>
            <w:r>
              <w:rPr>
                <w:rFonts w:ascii="仿宋_GB2312" w:hAnsi="仿宋_GB2312" w:cs="仿宋_GB2312" w:eastAsia="仿宋_GB2312"/>
                <w:sz w:val="24"/>
              </w:rPr>
              <w:t>②</w:t>
            </w:r>
            <w:r>
              <w:rPr>
                <w:rFonts w:ascii="仿宋_GB2312" w:hAnsi="仿宋_GB2312" w:cs="仿宋_GB2312" w:eastAsia="仿宋_GB2312"/>
                <w:sz w:val="24"/>
              </w:rPr>
              <w:t>非煤</w:t>
            </w:r>
            <w:r>
              <w:rPr>
                <w:rFonts w:ascii="仿宋_GB2312" w:hAnsi="仿宋_GB2312" w:cs="仿宋_GB2312" w:eastAsia="仿宋_GB2312"/>
                <w:sz w:val="24"/>
              </w:rPr>
              <w:t>露天矿山、尾矿库</w:t>
            </w:r>
            <w:r>
              <w:rPr>
                <w:rFonts w:ascii="仿宋_GB2312" w:hAnsi="仿宋_GB2312" w:cs="仿宋_GB2312" w:eastAsia="仿宋_GB2312"/>
                <w:sz w:val="24"/>
              </w:rPr>
              <w:t>23</w:t>
            </w:r>
            <w:r>
              <w:rPr>
                <w:rFonts w:ascii="仿宋_GB2312" w:hAnsi="仿宋_GB2312" w:cs="仿宋_GB2312" w:eastAsia="仿宋_GB2312"/>
                <w:sz w:val="24"/>
              </w:rPr>
              <w:t>家，每天</w:t>
            </w:r>
            <w:r>
              <w:rPr>
                <w:rFonts w:ascii="仿宋_GB2312" w:hAnsi="仿宋_GB2312" w:cs="仿宋_GB2312" w:eastAsia="仿宋_GB2312"/>
                <w:sz w:val="24"/>
              </w:rPr>
              <w:t>1</w:t>
            </w:r>
            <w:r>
              <w:rPr>
                <w:rFonts w:ascii="仿宋_GB2312" w:hAnsi="仿宋_GB2312" w:cs="仿宋_GB2312" w:eastAsia="仿宋_GB2312"/>
                <w:sz w:val="24"/>
              </w:rPr>
              <w:t>家，</w:t>
            </w:r>
            <w:r>
              <w:rPr>
                <w:rFonts w:ascii="仿宋_GB2312" w:hAnsi="仿宋_GB2312" w:cs="仿宋_GB2312" w:eastAsia="仿宋_GB2312"/>
                <w:sz w:val="24"/>
              </w:rPr>
              <w:t>每年</w:t>
            </w:r>
            <w:r>
              <w:rPr>
                <w:rFonts w:ascii="仿宋_GB2312" w:hAnsi="仿宋_GB2312" w:cs="仿宋_GB2312" w:eastAsia="仿宋_GB2312"/>
                <w:sz w:val="24"/>
              </w:rPr>
              <w:t>1次，</w:t>
            </w:r>
            <w:r>
              <w:rPr>
                <w:rFonts w:ascii="仿宋_GB2312" w:hAnsi="仿宋_GB2312" w:cs="仿宋_GB2312" w:eastAsia="仿宋_GB2312"/>
                <w:sz w:val="24"/>
              </w:rPr>
              <w:t>共需</w:t>
            </w:r>
            <w:r>
              <w:rPr>
                <w:rFonts w:ascii="仿宋_GB2312" w:hAnsi="仿宋_GB2312" w:cs="仿宋_GB2312" w:eastAsia="仿宋_GB2312"/>
                <w:sz w:val="24"/>
              </w:rPr>
              <w:t>23</w:t>
            </w:r>
            <w:r>
              <w:rPr>
                <w:rFonts w:ascii="仿宋_GB2312" w:hAnsi="仿宋_GB2312" w:cs="仿宋_GB2312" w:eastAsia="仿宋_GB2312"/>
                <w:sz w:val="24"/>
              </w:rPr>
              <w:t>天；</w:t>
            </w:r>
          </w:p>
          <w:p>
            <w:pPr>
              <w:pStyle w:val="null3"/>
              <w:ind w:firstLine="455"/>
              <w:jc w:val="both"/>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危化方面</w:t>
            </w:r>
          </w:p>
          <w:p>
            <w:pPr>
              <w:pStyle w:val="null3"/>
              <w:ind w:firstLine="45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基础管理：企业生产经营资质；安全设施</w:t>
            </w:r>
            <w:r>
              <w:rPr>
                <w:rFonts w:ascii="仿宋_GB2312" w:hAnsi="仿宋_GB2312" w:cs="仿宋_GB2312" w:eastAsia="仿宋_GB2312"/>
                <w:sz w:val="24"/>
              </w:rPr>
              <w:t>“三同时”执行情况；主要负责人、安全管理人员、特种人员相关证书；教育培训、安全管理制度、操作规程、清单制与双重预防机制运行情况；应急队伍建设、应急预案、应急演练；特种设备及强检仪器仪表管理；安全设备设施台账；重大危险源管理；隐患排查治理台账；领导带班管理；承包商管理；变更管理；作业许可管理等。</w:t>
            </w:r>
          </w:p>
          <w:p>
            <w:pPr>
              <w:pStyle w:val="null3"/>
              <w:ind w:firstLine="45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）现场管理：新改扩项目现场复核、现场安全管理、生产设备设施（含安全设施设置、维保等）、场所环境、爆炸危险区域划分和电气设备选型、从业人员操作行为（</w:t>
            </w:r>
            <w:r>
              <w:rPr>
                <w:rFonts w:ascii="仿宋_GB2312" w:hAnsi="仿宋_GB2312" w:cs="仿宋_GB2312" w:eastAsia="仿宋_GB2312"/>
                <w:sz w:val="24"/>
              </w:rPr>
              <w:t>“三违”）、中控室管理、消防安全、用电安全、重大危险源管理、仪器仪表和安全设施（DCS、SIS、GDS等）运行、危化品储存/使用/装卸管理、应急物资配备、特殊作业现场安全、检维修作业、辅助动力系统、相关方现场管理等。</w:t>
            </w:r>
          </w:p>
          <w:p>
            <w:pPr>
              <w:pStyle w:val="null3"/>
              <w:ind w:firstLine="45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其他检查内容：严格按照《安全生产法》《化工和危险化学品生产经营单位重大生产安全事故隐患判定标准（试行）》等法律或规范开展检查。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检查人员配置</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组长</w:t>
            </w:r>
            <w:r>
              <w:rPr>
                <w:rFonts w:ascii="仿宋_GB2312" w:hAnsi="仿宋_GB2312" w:cs="仿宋_GB2312" w:eastAsia="仿宋_GB2312"/>
                <w:sz w:val="24"/>
              </w:rPr>
              <w:t>1</w:t>
            </w:r>
            <w:r>
              <w:rPr>
                <w:rFonts w:ascii="仿宋_GB2312" w:hAnsi="仿宋_GB2312" w:cs="仿宋_GB2312" w:eastAsia="仿宋_GB2312"/>
                <w:sz w:val="24"/>
              </w:rPr>
              <w:t>人；</w:t>
            </w:r>
          </w:p>
          <w:p>
            <w:pPr>
              <w:pStyle w:val="null3"/>
              <w:ind w:firstLine="480"/>
              <w:jc w:val="both"/>
            </w:pPr>
            <w:r>
              <w:rPr>
                <w:rFonts w:ascii="仿宋_GB2312" w:hAnsi="仿宋_GB2312" w:cs="仿宋_GB2312" w:eastAsia="仿宋_GB2312"/>
                <w:sz w:val="24"/>
                <w:color w:val="000000"/>
              </w:rPr>
              <w:t>②</w:t>
            </w:r>
            <w:r>
              <w:rPr>
                <w:rFonts w:ascii="仿宋_GB2312" w:hAnsi="仿宋_GB2312" w:cs="仿宋_GB2312" w:eastAsia="仿宋_GB2312"/>
                <w:sz w:val="24"/>
                <w:color w:val="000000"/>
              </w:rPr>
              <w:t>组员</w:t>
            </w:r>
            <w:r>
              <w:rPr>
                <w:rFonts w:ascii="仿宋_GB2312" w:hAnsi="仿宋_GB2312" w:cs="仿宋_GB2312" w:eastAsia="仿宋_GB2312"/>
                <w:sz w:val="24"/>
                <w:color w:val="000000"/>
              </w:rPr>
              <w:t>1—2人；</w:t>
            </w:r>
          </w:p>
          <w:p>
            <w:pPr>
              <w:pStyle w:val="null3"/>
              <w:ind w:firstLine="480"/>
              <w:jc w:val="both"/>
            </w:pPr>
            <w:r>
              <w:rPr>
                <w:rFonts w:ascii="仿宋_GB2312" w:hAnsi="仿宋_GB2312" w:cs="仿宋_GB2312" w:eastAsia="仿宋_GB2312"/>
                <w:sz w:val="24"/>
              </w:rPr>
              <w:t>上述人员均须具有中级及以上职称或具有同等专业水平的国家注册类执业资格，组长须为化工安全相关专业，组员须为化工类相关专业或其他安全类相关专业。</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）检查工作量</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油库</w:t>
            </w:r>
            <w:r>
              <w:rPr>
                <w:rFonts w:ascii="仿宋_GB2312" w:hAnsi="仿宋_GB2312" w:cs="仿宋_GB2312" w:eastAsia="仿宋_GB2312"/>
                <w:sz w:val="24"/>
              </w:rPr>
              <w:t>2</w:t>
            </w:r>
            <w:r>
              <w:rPr>
                <w:rFonts w:ascii="仿宋_GB2312" w:hAnsi="仿宋_GB2312" w:cs="仿宋_GB2312" w:eastAsia="仿宋_GB2312"/>
                <w:sz w:val="24"/>
              </w:rPr>
              <w:t>家，</w:t>
            </w:r>
            <w:r>
              <w:rPr>
                <w:rFonts w:ascii="仿宋_GB2312" w:hAnsi="仿宋_GB2312" w:cs="仿宋_GB2312" w:eastAsia="仿宋_GB2312"/>
                <w:sz w:val="24"/>
              </w:rPr>
              <w:t>每家检查</w:t>
            </w:r>
            <w:r>
              <w:rPr>
                <w:rFonts w:ascii="仿宋_GB2312" w:hAnsi="仿宋_GB2312" w:cs="仿宋_GB2312" w:eastAsia="仿宋_GB2312"/>
                <w:sz w:val="24"/>
              </w:rPr>
              <w:t>2</w:t>
            </w:r>
            <w:r>
              <w:rPr>
                <w:rFonts w:ascii="仿宋_GB2312" w:hAnsi="仿宋_GB2312" w:cs="仿宋_GB2312" w:eastAsia="仿宋_GB2312"/>
                <w:sz w:val="24"/>
              </w:rPr>
              <w:t>天</w:t>
            </w:r>
            <w:r>
              <w:rPr>
                <w:rFonts w:ascii="仿宋_GB2312" w:hAnsi="仿宋_GB2312" w:cs="仿宋_GB2312" w:eastAsia="仿宋_GB2312"/>
                <w:sz w:val="24"/>
              </w:rPr>
              <w:t>，</w:t>
            </w:r>
            <w:r>
              <w:rPr>
                <w:rFonts w:ascii="仿宋_GB2312" w:hAnsi="仿宋_GB2312" w:cs="仿宋_GB2312" w:eastAsia="仿宋_GB2312"/>
                <w:sz w:val="24"/>
              </w:rPr>
              <w:t>每年</w:t>
            </w:r>
            <w:r>
              <w:rPr>
                <w:rFonts w:ascii="仿宋_GB2312" w:hAnsi="仿宋_GB2312" w:cs="仿宋_GB2312" w:eastAsia="仿宋_GB2312"/>
                <w:sz w:val="24"/>
              </w:rPr>
              <w:t>1次，</w:t>
            </w:r>
            <w:r>
              <w:rPr>
                <w:rFonts w:ascii="仿宋_GB2312" w:hAnsi="仿宋_GB2312" w:cs="仿宋_GB2312" w:eastAsia="仿宋_GB2312"/>
                <w:sz w:val="24"/>
              </w:rPr>
              <w:t>共需</w:t>
            </w:r>
            <w:r>
              <w:rPr>
                <w:rFonts w:ascii="仿宋_GB2312" w:hAnsi="仿宋_GB2312" w:cs="仿宋_GB2312" w:eastAsia="仿宋_GB2312"/>
                <w:sz w:val="24"/>
              </w:rPr>
              <w:t>4</w:t>
            </w:r>
            <w:r>
              <w:rPr>
                <w:rFonts w:ascii="仿宋_GB2312" w:hAnsi="仿宋_GB2312" w:cs="仿宋_GB2312" w:eastAsia="仿宋_GB2312"/>
                <w:sz w:val="24"/>
              </w:rPr>
              <w:t>天；</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加油站</w:t>
            </w:r>
            <w:r>
              <w:rPr>
                <w:rFonts w:ascii="仿宋_GB2312" w:hAnsi="仿宋_GB2312" w:cs="仿宋_GB2312" w:eastAsia="仿宋_GB2312"/>
                <w:sz w:val="24"/>
              </w:rPr>
              <w:t>和</w:t>
            </w:r>
            <w:r>
              <w:rPr>
                <w:rFonts w:ascii="仿宋_GB2312" w:hAnsi="仿宋_GB2312" w:cs="仿宋_GB2312" w:eastAsia="仿宋_GB2312"/>
                <w:sz w:val="24"/>
              </w:rPr>
              <w:t>气体充装</w:t>
            </w:r>
            <w:r>
              <w:rPr>
                <w:rFonts w:ascii="仿宋_GB2312" w:hAnsi="仿宋_GB2312" w:cs="仿宋_GB2312" w:eastAsia="仿宋_GB2312"/>
                <w:sz w:val="24"/>
              </w:rPr>
              <w:t>企业</w:t>
            </w:r>
            <w:r>
              <w:rPr>
                <w:rFonts w:ascii="仿宋_GB2312" w:hAnsi="仿宋_GB2312" w:cs="仿宋_GB2312" w:eastAsia="仿宋_GB2312"/>
                <w:sz w:val="24"/>
              </w:rPr>
              <w:t>42</w:t>
            </w:r>
            <w:r>
              <w:rPr>
                <w:rFonts w:ascii="仿宋_GB2312" w:hAnsi="仿宋_GB2312" w:cs="仿宋_GB2312" w:eastAsia="仿宋_GB2312"/>
                <w:sz w:val="24"/>
              </w:rPr>
              <w:t>家，每天</w:t>
            </w:r>
            <w:r>
              <w:rPr>
                <w:rFonts w:ascii="仿宋_GB2312" w:hAnsi="仿宋_GB2312" w:cs="仿宋_GB2312" w:eastAsia="仿宋_GB2312"/>
                <w:sz w:val="24"/>
              </w:rPr>
              <w:t>1</w:t>
            </w:r>
            <w:r>
              <w:rPr>
                <w:rFonts w:ascii="仿宋_GB2312" w:hAnsi="仿宋_GB2312" w:cs="仿宋_GB2312" w:eastAsia="仿宋_GB2312"/>
                <w:sz w:val="24"/>
              </w:rPr>
              <w:t>家，</w:t>
            </w:r>
            <w:r>
              <w:rPr>
                <w:rFonts w:ascii="仿宋_GB2312" w:hAnsi="仿宋_GB2312" w:cs="仿宋_GB2312" w:eastAsia="仿宋_GB2312"/>
                <w:sz w:val="24"/>
              </w:rPr>
              <w:t>每年</w:t>
            </w:r>
            <w:r>
              <w:rPr>
                <w:rFonts w:ascii="仿宋_GB2312" w:hAnsi="仿宋_GB2312" w:cs="仿宋_GB2312" w:eastAsia="仿宋_GB2312"/>
                <w:sz w:val="24"/>
              </w:rPr>
              <w:t>1次，</w:t>
            </w:r>
            <w:r>
              <w:rPr>
                <w:rFonts w:ascii="仿宋_GB2312" w:hAnsi="仿宋_GB2312" w:cs="仿宋_GB2312" w:eastAsia="仿宋_GB2312"/>
                <w:sz w:val="24"/>
              </w:rPr>
              <w:t>共需</w:t>
            </w:r>
            <w:r>
              <w:rPr>
                <w:rFonts w:ascii="仿宋_GB2312" w:hAnsi="仿宋_GB2312" w:cs="仿宋_GB2312" w:eastAsia="仿宋_GB2312"/>
                <w:sz w:val="24"/>
              </w:rPr>
              <w:t>42</w:t>
            </w:r>
            <w:r>
              <w:rPr>
                <w:rFonts w:ascii="仿宋_GB2312" w:hAnsi="仿宋_GB2312" w:cs="仿宋_GB2312" w:eastAsia="仿宋_GB2312"/>
                <w:sz w:val="24"/>
              </w:rPr>
              <w:t>天</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rPr>
              <w:t>.</w:t>
            </w:r>
            <w:r>
              <w:rPr>
                <w:rFonts w:ascii="仿宋_GB2312" w:hAnsi="仿宋_GB2312" w:cs="仿宋_GB2312" w:eastAsia="仿宋_GB2312"/>
                <w:sz w:val="24"/>
                <w:b/>
              </w:rPr>
              <w:t>工贸方面</w:t>
            </w:r>
          </w:p>
          <w:p>
            <w:pPr>
              <w:pStyle w:val="null3"/>
              <w:ind w:firstLine="45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基础管理：企业安全设施</w:t>
            </w:r>
            <w:r>
              <w:rPr>
                <w:rFonts w:ascii="仿宋_GB2312" w:hAnsi="仿宋_GB2312" w:cs="仿宋_GB2312" w:eastAsia="仿宋_GB2312"/>
                <w:sz w:val="24"/>
              </w:rPr>
              <w:t>“三同时”执行情况；主要负责人、安全管理人员、特种人员相关证书；教育培训、安全管理组织机构、安全管理制度、操作规程、清单制与双重预防机制运行情况；安全生产投入保障；应急队伍建设、应急预案、应急演练；特种设备及强检仪器仪表管理；安全设备设施台账；隐患排查治理台账；相关方管理；变更管理；作业许可管理等。</w:t>
            </w:r>
          </w:p>
          <w:p>
            <w:pPr>
              <w:pStyle w:val="null3"/>
              <w:ind w:firstLine="45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现场管理：新改扩项目现场复核、现场安全管理、生产设备设施（含安全设施设置、维保等）、粉尘涉爆场所电气设备合规性、作业活动现场管理（含特殊作业）、消防安全、用电安全、安全警示标识、有限空间管理、危化品储存</w:t>
            </w:r>
            <w:r>
              <w:rPr>
                <w:rFonts w:ascii="仿宋_GB2312" w:hAnsi="仿宋_GB2312" w:cs="仿宋_GB2312" w:eastAsia="仿宋_GB2312"/>
                <w:sz w:val="24"/>
              </w:rPr>
              <w:t>/使用/装卸管理、应急物资配备、检维修作业、辅助动力系统、相关方现场管理等。</w:t>
            </w:r>
          </w:p>
          <w:p>
            <w:pPr>
              <w:pStyle w:val="null3"/>
              <w:ind w:firstLine="45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其他检查内容：严格按照《安全生产法》《工贸企业重大事故隐患判定标准》等法律或规范开展检查。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检查人员配置</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组长</w:t>
            </w:r>
            <w:r>
              <w:rPr>
                <w:rFonts w:ascii="仿宋_GB2312" w:hAnsi="仿宋_GB2312" w:cs="仿宋_GB2312" w:eastAsia="仿宋_GB2312"/>
                <w:sz w:val="24"/>
              </w:rPr>
              <w:t>1</w:t>
            </w:r>
            <w:r>
              <w:rPr>
                <w:rFonts w:ascii="仿宋_GB2312" w:hAnsi="仿宋_GB2312" w:cs="仿宋_GB2312" w:eastAsia="仿宋_GB2312"/>
                <w:sz w:val="24"/>
              </w:rPr>
              <w:t>人；</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组员</w:t>
            </w:r>
            <w:r>
              <w:rPr>
                <w:rFonts w:ascii="仿宋_GB2312" w:hAnsi="仿宋_GB2312" w:cs="仿宋_GB2312" w:eastAsia="仿宋_GB2312"/>
                <w:sz w:val="24"/>
              </w:rPr>
              <w:t>1</w:t>
            </w:r>
            <w:r>
              <w:rPr>
                <w:rFonts w:ascii="仿宋_GB2312" w:hAnsi="仿宋_GB2312" w:cs="仿宋_GB2312" w:eastAsia="仿宋_GB2312"/>
                <w:sz w:val="24"/>
              </w:rPr>
              <w:t>人；</w:t>
            </w:r>
          </w:p>
          <w:p>
            <w:pPr>
              <w:pStyle w:val="null3"/>
              <w:ind w:firstLine="480"/>
              <w:jc w:val="both"/>
            </w:pPr>
            <w:r>
              <w:rPr>
                <w:rFonts w:ascii="仿宋_GB2312" w:hAnsi="仿宋_GB2312" w:cs="仿宋_GB2312" w:eastAsia="仿宋_GB2312"/>
                <w:sz w:val="24"/>
              </w:rPr>
              <w:t>上述人员均须具有中级及以上职称或具有同等专业水平的国家注册类执业资格，专业须为安全类相关专业。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）检查工作量</w:t>
            </w:r>
          </w:p>
          <w:p>
            <w:pPr>
              <w:pStyle w:val="null3"/>
              <w:jc w:val="both"/>
            </w:pPr>
            <w:r>
              <w:rPr>
                <w:rFonts w:ascii="仿宋_GB2312" w:hAnsi="仿宋_GB2312" w:cs="仿宋_GB2312" w:eastAsia="仿宋_GB2312"/>
                <w:sz w:val="24"/>
              </w:rPr>
              <w:t>工贸企业</w:t>
            </w:r>
            <w:r>
              <w:rPr>
                <w:rFonts w:ascii="仿宋_GB2312" w:hAnsi="仿宋_GB2312" w:cs="仿宋_GB2312" w:eastAsia="仿宋_GB2312"/>
                <w:sz w:val="24"/>
              </w:rPr>
              <w:t>24</w:t>
            </w:r>
            <w:r>
              <w:rPr>
                <w:rFonts w:ascii="仿宋_GB2312" w:hAnsi="仿宋_GB2312" w:cs="仿宋_GB2312" w:eastAsia="仿宋_GB2312"/>
                <w:sz w:val="24"/>
              </w:rPr>
              <w:t>家，每天</w:t>
            </w:r>
            <w:r>
              <w:rPr>
                <w:rFonts w:ascii="仿宋_GB2312" w:hAnsi="仿宋_GB2312" w:cs="仿宋_GB2312" w:eastAsia="仿宋_GB2312"/>
                <w:sz w:val="24"/>
              </w:rPr>
              <w:t>检查</w:t>
            </w:r>
            <w:r>
              <w:rPr>
                <w:rFonts w:ascii="仿宋_GB2312" w:hAnsi="仿宋_GB2312" w:cs="仿宋_GB2312" w:eastAsia="仿宋_GB2312"/>
                <w:sz w:val="24"/>
              </w:rPr>
              <w:t>1</w:t>
            </w:r>
            <w:r>
              <w:rPr>
                <w:rFonts w:ascii="仿宋_GB2312" w:hAnsi="仿宋_GB2312" w:cs="仿宋_GB2312" w:eastAsia="仿宋_GB2312"/>
                <w:sz w:val="24"/>
              </w:rPr>
              <w:t>家，</w:t>
            </w:r>
            <w:r>
              <w:rPr>
                <w:rFonts w:ascii="仿宋_GB2312" w:hAnsi="仿宋_GB2312" w:cs="仿宋_GB2312" w:eastAsia="仿宋_GB2312"/>
                <w:sz w:val="24"/>
              </w:rPr>
              <w:t>每年检查</w:t>
            </w:r>
            <w:r>
              <w:rPr>
                <w:rFonts w:ascii="仿宋_GB2312" w:hAnsi="仿宋_GB2312" w:cs="仿宋_GB2312" w:eastAsia="仿宋_GB2312"/>
                <w:sz w:val="24"/>
              </w:rPr>
              <w:t>1次，</w:t>
            </w:r>
            <w:r>
              <w:rPr>
                <w:rFonts w:ascii="仿宋_GB2312" w:hAnsi="仿宋_GB2312" w:cs="仿宋_GB2312" w:eastAsia="仿宋_GB2312"/>
                <w:sz w:val="24"/>
              </w:rPr>
              <w:t>共需</w:t>
            </w:r>
            <w:r>
              <w:rPr>
                <w:rFonts w:ascii="仿宋_GB2312" w:hAnsi="仿宋_GB2312" w:cs="仿宋_GB2312" w:eastAsia="仿宋_GB2312"/>
                <w:sz w:val="24"/>
              </w:rPr>
              <w:t>24</w:t>
            </w:r>
            <w:r>
              <w:rPr>
                <w:rFonts w:ascii="仿宋_GB2312" w:hAnsi="仿宋_GB2312" w:cs="仿宋_GB2312" w:eastAsia="仿宋_GB2312"/>
                <w:sz w:val="24"/>
              </w:rPr>
              <w:t>天。</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成果要求</w:t>
            </w:r>
          </w:p>
        </w:tc>
        <w:tc>
          <w:tcPr>
            <w:tcW w:type="dxa" w:w="5814"/>
          </w:tcPr>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根据现场排查情况</w:t>
            </w:r>
            <w:r>
              <w:rPr>
                <w:rFonts w:ascii="仿宋_GB2312" w:hAnsi="仿宋_GB2312" w:cs="仿宋_GB2312" w:eastAsia="仿宋_GB2312"/>
                <w:sz w:val="24"/>
              </w:rPr>
              <w:t>，</w:t>
            </w:r>
            <w:r>
              <w:rPr>
                <w:rFonts w:ascii="仿宋_GB2312" w:hAnsi="仿宋_GB2312" w:cs="仿宋_GB2312" w:eastAsia="仿宋_GB2312"/>
                <w:sz w:val="24"/>
              </w:rPr>
              <w:t>出具检查意见书</w:t>
            </w:r>
            <w:r>
              <w:rPr>
                <w:rFonts w:ascii="仿宋_GB2312" w:hAnsi="仿宋_GB2312" w:cs="仿宋_GB2312" w:eastAsia="仿宋_GB2312"/>
                <w:sz w:val="24"/>
              </w:rPr>
              <w:t>（包括问题隐患清单），</w:t>
            </w:r>
            <w:r>
              <w:rPr>
                <w:rFonts w:ascii="仿宋_GB2312" w:hAnsi="仿宋_GB2312" w:cs="仿宋_GB2312" w:eastAsia="仿宋_GB2312"/>
                <w:sz w:val="24"/>
              </w:rPr>
              <w:t>提出解决问题的</w:t>
            </w:r>
            <w:r>
              <w:rPr>
                <w:rFonts w:ascii="仿宋_GB2312" w:hAnsi="仿宋_GB2312" w:cs="仿宋_GB2312" w:eastAsia="仿宋_GB2312"/>
                <w:sz w:val="24"/>
              </w:rPr>
              <w:t>合理化</w:t>
            </w:r>
            <w:r>
              <w:rPr>
                <w:rFonts w:ascii="仿宋_GB2312" w:hAnsi="仿宋_GB2312" w:cs="仿宋_GB2312" w:eastAsia="仿宋_GB2312"/>
                <w:sz w:val="24"/>
              </w:rPr>
              <w:t>建议和措施</w:t>
            </w:r>
            <w:r>
              <w:rPr>
                <w:rFonts w:ascii="仿宋_GB2312" w:hAnsi="仿宋_GB2312" w:cs="仿宋_GB2312" w:eastAsia="仿宋_GB2312"/>
                <w:sz w:val="24"/>
              </w:rPr>
              <w:t>，</w:t>
            </w:r>
            <w:r>
              <w:rPr>
                <w:rFonts w:ascii="仿宋_GB2312" w:hAnsi="仿宋_GB2312" w:cs="仿宋_GB2312" w:eastAsia="仿宋_GB2312"/>
                <w:sz w:val="24"/>
              </w:rPr>
              <w:t>为</w:t>
            </w:r>
            <w:r>
              <w:rPr>
                <w:rFonts w:ascii="仿宋_GB2312" w:hAnsi="仿宋_GB2312" w:cs="仿宋_GB2312" w:eastAsia="仿宋_GB2312"/>
                <w:sz w:val="24"/>
              </w:rPr>
              <w:t>各行业领域安全</w:t>
            </w:r>
            <w:r>
              <w:rPr>
                <w:rFonts w:ascii="仿宋_GB2312" w:hAnsi="仿宋_GB2312" w:cs="仿宋_GB2312" w:eastAsia="仿宋_GB2312"/>
                <w:sz w:val="24"/>
              </w:rPr>
              <w:t>隐患整改提供</w:t>
            </w:r>
            <w:r>
              <w:rPr>
                <w:rFonts w:ascii="仿宋_GB2312" w:hAnsi="仿宋_GB2312" w:cs="仿宋_GB2312" w:eastAsia="仿宋_GB2312"/>
                <w:sz w:val="24"/>
              </w:rPr>
              <w:t>技术</w:t>
            </w:r>
            <w:r>
              <w:rPr>
                <w:rFonts w:ascii="仿宋_GB2312" w:hAnsi="仿宋_GB2312" w:cs="仿宋_GB2312" w:eastAsia="仿宋_GB2312"/>
                <w:sz w:val="24"/>
              </w:rPr>
              <w:t>支持</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（二）每轮完成现场隐患排查后，</w:t>
            </w:r>
            <w:r>
              <w:rPr>
                <w:rFonts w:ascii="仿宋_GB2312" w:hAnsi="仿宋_GB2312" w:cs="仿宋_GB2312" w:eastAsia="仿宋_GB2312"/>
                <w:sz w:val="24"/>
              </w:rPr>
              <w:t>15个工作日内汇总检查情况，编制完成《南江县安全隐患排查</w:t>
            </w:r>
            <w:r>
              <w:rPr>
                <w:rFonts w:ascii="仿宋_GB2312" w:hAnsi="仿宋_GB2312" w:cs="仿宋_GB2312" w:eastAsia="仿宋_GB2312"/>
                <w:sz w:val="24"/>
              </w:rPr>
              <w:t>总结报告</w:t>
            </w:r>
            <w:r>
              <w:rPr>
                <w:rFonts w:ascii="仿宋_GB2312" w:hAnsi="仿宋_GB2312" w:cs="仿宋_GB2312" w:eastAsia="仿宋_GB2312"/>
                <w:sz w:val="24"/>
              </w:rPr>
              <w:t>》</w:t>
            </w:r>
            <w:r>
              <w:rPr>
                <w:rFonts w:ascii="仿宋_GB2312" w:hAnsi="仿宋_GB2312" w:cs="仿宋_GB2312" w:eastAsia="仿宋_GB2312"/>
                <w:sz w:val="24"/>
              </w:rPr>
              <w:t>，报送县应急管理局</w:t>
            </w:r>
            <w:r>
              <w:rPr>
                <w:rFonts w:ascii="仿宋_GB2312" w:hAnsi="仿宋_GB2312" w:cs="仿宋_GB2312" w:eastAsia="仿宋_GB2312"/>
                <w:sz w:val="24"/>
              </w:rPr>
              <w:t>认可并备案</w:t>
            </w:r>
            <w:r>
              <w:rPr>
                <w:rFonts w:ascii="仿宋_GB2312" w:hAnsi="仿宋_GB2312" w:cs="仿宋_GB2312" w:eastAsia="仿宋_GB2312"/>
                <w:sz w:val="24"/>
              </w:rPr>
              <w:t>。</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保密要求</w:t>
            </w:r>
          </w:p>
        </w:tc>
        <w:tc>
          <w:tcPr>
            <w:tcW w:type="dxa" w:w="5814"/>
          </w:tcPr>
          <w:p>
            <w:pPr>
              <w:pStyle w:val="null3"/>
              <w:jc w:val="both"/>
            </w:pPr>
            <w:r>
              <w:rPr>
                <w:rFonts w:ascii="仿宋_GB2312" w:hAnsi="仿宋_GB2312" w:cs="仿宋_GB2312" w:eastAsia="仿宋_GB2312"/>
                <w:sz w:val="24"/>
              </w:rPr>
              <w:t>供应商</w:t>
            </w:r>
            <w:r>
              <w:rPr>
                <w:rFonts w:ascii="仿宋_GB2312" w:hAnsi="仿宋_GB2312" w:cs="仿宋_GB2312" w:eastAsia="仿宋_GB2312"/>
                <w:sz w:val="24"/>
              </w:rPr>
              <w:t>应按照《保密法》相关规定，在项目实施过程对收集的相关资料和提交的成果严格保密，未经采购人同意不得对外发布，由此而导致的一切后果由</w:t>
            </w:r>
            <w:r>
              <w:rPr>
                <w:rFonts w:ascii="仿宋_GB2312" w:hAnsi="仿宋_GB2312" w:cs="仿宋_GB2312" w:eastAsia="仿宋_GB2312"/>
                <w:sz w:val="24"/>
              </w:rPr>
              <w:t>供应商</w:t>
            </w:r>
            <w:r>
              <w:rPr>
                <w:rFonts w:ascii="仿宋_GB2312" w:hAnsi="仿宋_GB2312" w:cs="仿宋_GB2312" w:eastAsia="仿宋_GB2312"/>
                <w:sz w:val="24"/>
              </w:rPr>
              <w:t>自行承担。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成果归属</w:t>
            </w:r>
          </w:p>
        </w:tc>
        <w:tc>
          <w:tcPr>
            <w:tcW w:type="dxa" w:w="5814"/>
          </w:tcPr>
          <w:p>
            <w:pPr>
              <w:pStyle w:val="null3"/>
              <w:jc w:val="both"/>
            </w:pPr>
            <w:r>
              <w:rPr>
                <w:rFonts w:ascii="仿宋_GB2312" w:hAnsi="仿宋_GB2312" w:cs="仿宋_GB2312" w:eastAsia="仿宋_GB2312"/>
                <w:sz w:val="24"/>
              </w:rPr>
              <w:t>本项目所形成的全部服务成果归采购人所有，</w:t>
            </w:r>
            <w:r>
              <w:rPr>
                <w:rFonts w:ascii="仿宋_GB2312" w:hAnsi="仿宋_GB2312" w:cs="仿宋_GB2312" w:eastAsia="仿宋_GB2312"/>
                <w:sz w:val="24"/>
              </w:rPr>
              <w:t>供应商</w:t>
            </w:r>
            <w:r>
              <w:rPr>
                <w:rFonts w:ascii="仿宋_GB2312" w:hAnsi="仿宋_GB2312" w:cs="仿宋_GB2312" w:eastAsia="仿宋_GB2312"/>
                <w:sz w:val="24"/>
              </w:rPr>
              <w:t>不得对外发表、出版；确实因学术交流、职称评定等需要必须征得采购人书面授权许可，若因此带来的相关法律、经济纠纷与采购人无关，</w:t>
            </w:r>
            <w:r>
              <w:rPr>
                <w:rFonts w:ascii="仿宋_GB2312" w:hAnsi="仿宋_GB2312" w:cs="仿宋_GB2312" w:eastAsia="仿宋_GB2312"/>
                <w:sz w:val="24"/>
              </w:rPr>
              <w:t>供应商</w:t>
            </w:r>
            <w:r>
              <w:rPr>
                <w:rFonts w:ascii="仿宋_GB2312" w:hAnsi="仿宋_GB2312" w:cs="仿宋_GB2312" w:eastAsia="仿宋_GB2312"/>
                <w:sz w:val="24"/>
              </w:rPr>
              <w:t>应自行承担全部法律和经济等相关责任。</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其他服务要求</w:t>
            </w: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成交供应商</w:t>
            </w:r>
            <w:r>
              <w:rPr>
                <w:rFonts w:ascii="仿宋_GB2312" w:hAnsi="仿宋_GB2312" w:cs="仿宋_GB2312" w:eastAsia="仿宋_GB2312"/>
                <w:sz w:val="24"/>
              </w:rPr>
              <w:t>在项目实施过程中必须接受和配合相关单位的监督、检查、审核和指导，同时负责编制、归档资料，在采购人需要的情况下协助采购人完成与本项目相关的其他工作。</w:t>
            </w:r>
          </w:p>
          <w:p>
            <w:pPr>
              <w:pStyle w:val="null3"/>
              <w:jc w:val="both"/>
            </w:pPr>
            <w:r>
              <w:rPr>
                <w:rFonts w:ascii="仿宋_GB2312" w:hAnsi="仿宋_GB2312" w:cs="仿宋_GB2312" w:eastAsia="仿宋_GB2312"/>
                <w:sz w:val="24"/>
              </w:rPr>
              <w:t>2.在本磋商文件中未明确的与本项目履约切实相关的</w:t>
            </w:r>
            <w:r>
              <w:rPr>
                <w:rFonts w:ascii="仿宋_GB2312" w:hAnsi="仿宋_GB2312" w:cs="仿宋_GB2312" w:eastAsia="仿宋_GB2312"/>
                <w:sz w:val="24"/>
              </w:rPr>
              <w:t>服务</w:t>
            </w:r>
            <w:r>
              <w:rPr>
                <w:rFonts w:ascii="仿宋_GB2312" w:hAnsi="仿宋_GB2312" w:cs="仿宋_GB2312" w:eastAsia="仿宋_GB2312"/>
                <w:sz w:val="24"/>
              </w:rPr>
              <w:t>事宜，经双方协商一致后在合同中另行约定（约定的内容须符合国家相关法律法规的规定）。</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南江县辖区范围内</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（1）验收方式：由甲方组织，乙方参与并提交验收申请，乙方提交合格的成果后一次性验收。 （2）验收标准：严格按照《财政部关于进一步加强政府采购需求和履约验收管理的指导意见的通知》（财库〔2016〕205号）、《财政部关于印发&lt;政府采购需求管理办法&gt;的通知》（财库〔2021〕22号）及《巴中市财政局关于进一步加强政府采购项目合同履约验收管理工作的通知》（巴财采〔2021〕21号）、采购文件规定的要求和响应文件承诺及合同约定的标准进行验收。 （3）验收内容：技术服务和商务要求全部内容及合同履约情况。 （4）验收结果运用：验收结果作为支付采购资金的依据；验收合格的，双方签署政府采购验收报告，验收不合格的，由乙方进行整改，直至验收合格为止。</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1、进度款，合同签订生效后，前三个月完成检查工作后，达到付款条件起15日内，据实情况说明为支付合同总金额的10%。</w:t>
            </w:r>
          </w:p>
          <w:p>
            <w:pPr>
              <w:pStyle w:val="null3"/>
              <w:jc w:val="left"/>
            </w:pPr>
            <w:r>
              <w:rPr>
                <w:rFonts w:ascii="仿宋_GB2312" w:hAnsi="仿宋_GB2312" w:cs="仿宋_GB2312" w:eastAsia="仿宋_GB2312"/>
              </w:rPr>
              <w:t>2、进度款，前六个月完成检查工作后，达到付款条件起15日内，据实情况说明为支付合同总金额的40%。</w:t>
            </w:r>
          </w:p>
          <w:p>
            <w:pPr>
              <w:pStyle w:val="null3"/>
              <w:jc w:val="left"/>
            </w:pPr>
            <w:r>
              <w:rPr>
                <w:rFonts w:ascii="仿宋_GB2312" w:hAnsi="仿宋_GB2312" w:cs="仿宋_GB2312" w:eastAsia="仿宋_GB2312"/>
              </w:rPr>
              <w:t>3、尾款，全面完成检查并出具隐患排查总结报告，并通过采购人组织的验收合格后，达到付款条件起15日内，据实情况说明为按实际检查内容核算费用支付合同总金额的50%。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 （1）甲乙双方必须遵守本合同并执行合同中的各项规定，保证本合同的正常履行。 （2）如因乙方工作人员在履行职务过程中的疏忽、失职、过错等故意或者过失原因给甲方造成损失或侵害，包括但不限于甲方本身的财产损失、由此而导致的甲方对任何第三方的法律责任等，乙方对此均应承担全部的赔偿责任。 争议解决办法： （1）在执行本合同中发生的或与本合同有关的争端，双方应通过友好协商解决，经协商不能达成协议时，应提交有管辖权的人民法院提起诉讼解决。 （2）法院判决应为最终决定，并对双方具有约束力。 （3）除另有判决外，诉讼费应由败诉方负担。 （4）在诉讼期间，除正在进行诉讼部分外，合同其他部分继续执行。</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人员配置要求</w:t>
            </w:r>
          </w:p>
        </w:tc>
        <w:tc>
          <w:tcPr>
            <w:tcW w:type="dxa" w:w="5814"/>
          </w:tcPr>
          <w:p>
            <w:pPr>
              <w:pStyle w:val="null3"/>
              <w:jc w:val="left"/>
            </w:pPr>
            <w:r>
              <w:rPr>
                <w:rFonts w:ascii="仿宋_GB2312" w:hAnsi="仿宋_GB2312" w:cs="仿宋_GB2312" w:eastAsia="仿宋_GB2312"/>
              </w:rPr>
              <w:t>供应商应根据本项目技术服务要求配置必要的设备和专业技术人员，并接受采购人的监督管理。</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价格构成及报价要求：（1）价格构成：供应商报价应结合本项目特征及供应商自身情况进行报价，供应商的报价是完成本项目的全部费用，包括服务费、设施设备使用费、专家差旅费、专家费、资料费、成果审查费、保险费、税费、安全文明费、管理费、合理的利润等与本项目相关的一切费用。报价以元为单位保留两位小数。 （2）报价要求：供应商应在响应文件中报出排查煤矿、非煤地下矿山、非煤露天矿山及尾矿库、油库、加油站和气体充装企业、工贸企业的单价和总价。 ★2、安全责任：本项目实施过程中因成交供应商自身原因造成的安全责任全部自行负责，采购人不承担任何责任。成交供应商应为本项目参与人员购买工伤保险和人身意外伤害保险。（实质性要求，在响应文件中提供承诺函） ★3、后续服务要求：本项目后续服务期为项目验收合格后6个月。在后续服务期内如根据实际情况需对成交供应商提交的成果进行修订和完善，成交供应商应按采购人的要求进行修订和完善，如需成交供应商对成果进行解释和说明的，成交供应商应按采购人的要求进行解释和说明，采购人均不再另外付费。在后续服务期内，在接到采购人的通知后1小时内响应，无法远程服务的，应当在24小时内到达采购人指定的现场开展相关服务。 ★4、结算方式：（1）本项目结算方式按实际完成检查企业数量为结算依据； （2）核算标准： ①每完成一家企业的检查工作，须完全符合磋商文件“附表1”中的专家人员数量、检查天数、检查次数等要求，每有一项人数、天数及次数不满足“附表1”中内容要求则视为该项检查工作未完成，考核不达标，采购人有权全额扣除对该企业的检查工作费用。 ②各项检查工作中成立的检查组，每有1名为中级职称（或等同于中级职称专业水平的注册类执业资格）人员，则在相应的检查中该人员每天每次减扣劳务费300元。 ③检查人员为副高级及以上职称（或等同于副高级职称专业水平的注册类执业资格）的不作扣减。（专家劳务费扣减费用标准参考《南江县安全生产、自然灾害专家管理办法（试行）的通知》）。 5、方案要求：供应商根据本项目采购需求在响应文件中提供技术服务方案和后续服务方案，具体的细化量化指标详见分包评审条款。 6、其他要求：其他未明事项双方协商一致后在合同中约定。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1.供应商需在项目电子化交易系统中按要求填写《投标（响应）函》完成承诺；</w:t>
              <w:br/>
              <w:t>2.供应商是法人的，提供统一社会信用代码《营业执照》或其他能够证明其依法有效存在的书面材料原件扫描件；供应商是其他组织的，提供能够证明其依法有效存在的书面材料原件扫描件；供应商是自然人的，提供其有效期内的身份证原件扫描件。</w:t>
              <w:br/>
              <w:t>注：以上资料须进行电子签章。</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提供具有健全的财务会计制度证明材料（以下任选其一）：</w:t>
              <w:br/>
              <w:t>（1）可提供供应商2023或2024年度经审计的财务报告原件扫描件；</w:t>
              <w:br/>
              <w:t>（2）可提供供应商2023或2024年度财务报表（至少包括资产负债表和利润表）原件扫描件；</w:t>
              <w:br/>
              <w:t>（3）可提供具有健全的财务会计制度承诺函。</w:t>
              <w:br/>
              <w:t>注：以上资料须进行电子签章。</w:t>
            </w:r>
          </w:p>
        </w:tc>
        <w:tc>
          <w:tcPr>
            <w:tcW w:type="dxa" w:w="1910"/>
          </w:tcPr>
          <w:p>
            <w:pPr>
              <w:pStyle w:val="null3"/>
              <w:jc w:val="left"/>
            </w:pPr>
            <w:r>
              <w:rPr>
                <w:rFonts w:ascii="仿宋_GB2312" w:hAnsi="仿宋_GB2312" w:cs="仿宋_GB2312" w:eastAsia="仿宋_GB2312"/>
              </w:rPr>
              <w:t>具有健全财务会计制度的证明材料</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其他资格要求</w:t>
            </w:r>
          </w:p>
        </w:tc>
        <w:tc>
          <w:tcPr>
            <w:tcW w:type="dxa" w:w="3322"/>
          </w:tcPr>
          <w:p>
            <w:pPr>
              <w:pStyle w:val="null3"/>
              <w:jc w:val="left"/>
            </w:pPr>
            <w:r>
              <w:rPr>
                <w:rFonts w:ascii="仿宋_GB2312" w:hAnsi="仿宋_GB2312" w:cs="仿宋_GB2312" w:eastAsia="仿宋_GB2312"/>
              </w:rPr>
              <w:t>1.参加本项目政府采购活动的供应商、法定代表人（主要负责人）在参加本项目前三年内不具有行贿犯罪记录。（在响应文件中提供承诺函，格式自拟） 2.具有法律、行政法规规定的其他条件。（在响应文件中提供承诺函，格式自拟） 3.提供供应商基本情况表。 4.提供法定代表人/负责人有效的身份证原件扫描件。 5.参加本项目政府采购活动的授权代表不是法定代表人（单位负责人）的，应提供授权委托书及授权代表有效的身份证原件扫描件。 注：以上资料须进行电子签章</w:t>
            </w:r>
          </w:p>
        </w:tc>
        <w:tc>
          <w:tcPr>
            <w:tcW w:type="dxa" w:w="1910"/>
          </w:tcPr>
          <w:p>
            <w:pPr>
              <w:pStyle w:val="null3"/>
              <w:jc w:val="left"/>
            </w:pPr>
            <w:r>
              <w:rPr>
                <w:rFonts w:ascii="仿宋_GB2312" w:hAnsi="仿宋_GB2312" w:cs="仿宋_GB2312" w:eastAsia="仿宋_GB2312"/>
              </w:rPr>
              <w:t>供应商基本情况表.docx,供应商应提交的相关证明材料</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1.在磋商过程中，评审小组认为供应商报价低于最高限价的50%或者低于其他有效供应商报价算术平均价40%的，有可能影响项目实施质量或者不能诚信履约的，评审小组应当要求其在合理的时间内提供成本构成书面说明，并提交相关证明材料。书面说明应当按照国家财务会计制度的规定要求，逐项就供应商提供的货物的主营业务成本、税金及附加、销售费用、管理费用、财务费用等成本构成事项详细陈述。 2.供应商提交的相关证明材料，应当加盖供应商（法定名称）电子印章，在评审小组要求的时间内通过项目电子化交易系统进行提交，否则提交的相关证明材料无效。供应商不能证明其报价合理性的，评审小组应当将其响应文件作为无效处理。</w:t>
            </w:r>
          </w:p>
        </w:tc>
        <w:tc>
          <w:tcPr>
            <w:tcW w:type="dxa" w:w="1910"/>
          </w:tcPr>
          <w:p>
            <w:pPr>
              <w:pStyle w:val="null3"/>
              <w:jc w:val="left"/>
            </w:pPr>
            <w:r>
              <w:rPr>
                <w:rFonts w:ascii="仿宋_GB2312" w:hAnsi="仿宋_GB2312" w:cs="仿宋_GB2312" w:eastAsia="仿宋_GB2312"/>
              </w:rPr>
              <w:t>报价一览表,报价明细表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技术服务、商务响应部分</w:t>
            </w:r>
          </w:p>
        </w:tc>
        <w:tc>
          <w:tcPr>
            <w:tcW w:type="dxa" w:w="3322"/>
          </w:tcPr>
          <w:p>
            <w:pPr>
              <w:pStyle w:val="null3"/>
              <w:jc w:val="left"/>
            </w:pPr>
            <w:r>
              <w:rPr>
                <w:rFonts w:ascii="仿宋_GB2312" w:hAnsi="仿宋_GB2312" w:cs="仿宋_GB2312" w:eastAsia="仿宋_GB2312"/>
              </w:rPr>
              <w:t>供应商需在项目电子化交易系统中按要求上传相应文件并进行电子签章。</w:t>
            </w:r>
          </w:p>
        </w:tc>
        <w:tc>
          <w:tcPr>
            <w:tcW w:type="dxa" w:w="1910"/>
          </w:tcPr>
          <w:p>
            <w:pPr>
              <w:pStyle w:val="null3"/>
              <w:jc w:val="left"/>
            </w:pPr>
            <w:r>
              <w:rPr>
                <w:rFonts w:ascii="仿宋_GB2312" w:hAnsi="仿宋_GB2312" w:cs="仿宋_GB2312" w:eastAsia="仿宋_GB2312"/>
              </w:rPr>
              <w:t>技术服务应答表.docx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评分标准中的技术服务方案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技术服务方案</w:t>
            </w:r>
          </w:p>
        </w:tc>
        <w:tc>
          <w:tcPr>
            <w:tcW w:type="dxa" w:w="2575"/>
          </w:tcPr>
          <w:p>
            <w:pPr>
              <w:pStyle w:val="null3"/>
              <w:jc w:val="left"/>
            </w:pPr>
            <w:r>
              <w:rPr>
                <w:rFonts w:ascii="仿宋_GB2312" w:hAnsi="仿宋_GB2312" w:cs="仿宋_GB2312" w:eastAsia="仿宋_GB2312"/>
              </w:rPr>
              <w:t>1.供应商针对本项目采购需求和技术服务要求提供的项目实施方案，细化量化指标包含：①项目背景分析；②项目实施重点难点分析及解决措施；③项目实施进度计划及保证措施；④设施设备配备；⑤安全文明及应急预案；⑥项目实施保障措施等。以上内容完整且完全满足本项目实际要求的得18分；每缺少一项内容或内容不符合本项目实际要求的扣3分，每有一处内容缺陷（指项目实施地点、项目名称错误或引用的标准规范错误或实施计划超期或仅有框架标题无细化措施或标题与内容描述不符或有关内容不符合技术服务及商务要求或分项内容描述不完整）的扣1.5分，扣完为止。 2.供应商针对本项目采购需求及技术服务要求提供的项目技术方案，细化量化指标包含：①项目实施技术路线；②煤矿企业安全检查方案；③非煤矿山安全检查方案；④危化企业检查方案；⑤工贸企业安全检查方案；⑥预期成果分析等。以上内容完整且完全满足本项目实际要求的得24分；每缺少一项内容或内容不符合本项目实际要求的扣4分，每有一处内容缺陷（指项目实施地点、项目名称错误或引用的标准规范错误或实施计划超期或仅有框架标题无细化措施或标题与内容描述不符或有关内容不符合技术服务及商务要求或分项内容描述不完整）的扣2分，扣完为止。 3.供应商针对本项目采购需求及技术服务要求提供的质量保障方案，细化量化指标包含：①质量控制目标；②质量控制内容；③质量控制措施；④质量检查方法等。以上内容完整且完全满足本项目实际要求的得16分；每缺少一项内容或内容不符合本项目实际要求的扣4分，每有一处内容缺陷（指项目实施地点、项目名称错误或引用的标准规范错误或实施计划超期或仅有框架标题无细化措施或标题与内容描述不符或有关内容不符合技术服务及商务要求或分项内容描述不完整）的扣2分，扣完为止。</w:t>
            </w:r>
          </w:p>
        </w:tc>
        <w:tc>
          <w:tcPr>
            <w:tcW w:type="dxa" w:w="831"/>
          </w:tcPr>
          <w:p>
            <w:pPr>
              <w:pStyle w:val="null3"/>
              <w:jc w:val="center"/>
            </w:pPr>
            <w:r>
              <w:rPr>
                <w:rFonts w:ascii="仿宋_GB2312" w:hAnsi="仿宋_GB2312" w:cs="仿宋_GB2312" w:eastAsia="仿宋_GB2312"/>
              </w:rPr>
              <w:t>58.0000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后续服务方案</w:t>
            </w:r>
          </w:p>
        </w:tc>
        <w:tc>
          <w:tcPr>
            <w:tcW w:type="dxa" w:w="2575"/>
          </w:tcPr>
          <w:p>
            <w:pPr>
              <w:pStyle w:val="null3"/>
              <w:jc w:val="left"/>
            </w:pPr>
            <w:r>
              <w:rPr>
                <w:rFonts w:ascii="仿宋_GB2312" w:hAnsi="仿宋_GB2312" w:cs="仿宋_GB2312" w:eastAsia="仿宋_GB2312"/>
              </w:rPr>
              <w:t>供应商针对本项目采购需求及技术服务要求提供的后续服务方案，细化量化指标包含：①后续服务内容及技术支持；②后续服务人员安排及联系方式；③后续服务响应承诺等。以上内容完整且完全满足本项目实际要求的得12分；每缺少一项内容或内容不符合本项目实际要求的扣4分，每有一处内容缺陷（指项目实施地点、项目名称错误或引用的标准规范错误或实施计划超期或仅有框架标题无细化措施或标题与内容描述不符或有关内容不符合技术服务及商务要求或分项内容描述不完整）的扣2分，扣完为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供应商每提供一个2022年1月1日至今类似项目业绩得5分。本项最多得20分。 注：①类似项目：指矿山或工贸或危险化学品等安全隐患排查或安全评价（估）类服务项目。 ②提供中标（成交）通知书或合同原件扫描件，时间以中标（成交）通知书发出或合同签订时间为准；若合同中有生效时间的，以生效时间为准。 ③截止响应文件提交时间新注册不足一年且无业绩的供应商本项得5分。</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详见附件：供应商基本情况表.docx</w:t>
      </w:r>
    </w:p>
    <w:p>
      <w:pPr>
        <w:pStyle w:val="null3"/>
        <w:ind w:firstLine="960"/>
        <w:jc w:val="left"/>
      </w:pPr>
      <w:r>
        <w:rPr>
          <w:rFonts w:ascii="仿宋_GB2312" w:hAnsi="仿宋_GB2312" w:cs="仿宋_GB2312" w:eastAsia="仿宋_GB2312"/>
        </w:rPr>
        <w:t>详见附件：技术服务应答表.docx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详见附件：采购合同（草案）.docx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