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BC6D8">
      <w:pPr>
        <w:pStyle w:val="3"/>
        <w:wordWrap w:val="0"/>
        <w:spacing w:before="0" w:beforeAutospacing="0" w:after="0" w:afterAutospacing="0" w:line="500" w:lineRule="exact"/>
        <w:jc w:val="center"/>
        <w:rPr>
          <w:rFonts w:ascii="仿宋" w:hAnsi="仿宋" w:eastAsia="仿宋" w:cs="仿宋"/>
          <w:b/>
          <w:color w:val="auto"/>
          <w:sz w:val="32"/>
          <w:szCs w:val="32"/>
        </w:rPr>
      </w:pPr>
      <w:r>
        <w:rPr>
          <w:rFonts w:hint="eastAsia" w:ascii="仿宋" w:hAnsi="仿宋" w:eastAsia="仿宋" w:cs="仿宋"/>
          <w:b/>
          <w:color w:val="auto"/>
          <w:sz w:val="32"/>
          <w:szCs w:val="32"/>
        </w:rPr>
        <w:t>政府采购合同（草案）</w:t>
      </w:r>
      <w:bookmarkStart w:id="3" w:name="_GoBack"/>
      <w:bookmarkEnd w:id="3"/>
    </w:p>
    <w:p w14:paraId="052E18D5">
      <w:pPr>
        <w:spacing w:line="360" w:lineRule="auto"/>
        <w:ind w:firstLine="480" w:firstLineChars="200"/>
        <w:rPr>
          <w:rFonts w:ascii="仿宋" w:hAnsi="仿宋" w:eastAsia="仿宋" w:cs="仿宋"/>
          <w:color w:val="auto"/>
          <w:sz w:val="24"/>
          <w:szCs w:val="24"/>
        </w:rPr>
      </w:pPr>
      <w:bookmarkStart w:id="0" w:name="_Toc350864527"/>
      <w:bookmarkEnd w:id="0"/>
      <w:bookmarkStart w:id="1" w:name="_Toc349810624"/>
      <w:bookmarkEnd w:id="1"/>
    </w:p>
    <w:p w14:paraId="1F1A59FC">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合同编号：______</w:t>
      </w:r>
    </w:p>
    <w:p w14:paraId="439C1165">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签订地点：______</w:t>
      </w:r>
    </w:p>
    <w:p w14:paraId="5632C25C">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签订时间：______年______月______日</w:t>
      </w:r>
    </w:p>
    <w:p w14:paraId="545BAAD0">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采购人（甲方）：______</w:t>
      </w:r>
    </w:p>
    <w:p w14:paraId="6F9402E5">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供应商（乙方）：______</w:t>
      </w:r>
    </w:p>
    <w:p w14:paraId="60BE8069">
      <w:pPr>
        <w:spacing w:line="360" w:lineRule="auto"/>
        <w:rPr>
          <w:rFonts w:ascii="仿宋" w:hAnsi="仿宋" w:eastAsia="仿宋" w:cs="仿宋"/>
          <w:color w:val="auto"/>
          <w:sz w:val="24"/>
          <w:szCs w:val="24"/>
        </w:rPr>
      </w:pPr>
    </w:p>
    <w:p w14:paraId="6FF7DB1B">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根据《中华人民共和国政府采购法》《中华人民共和国民法典》及____采购项目（项目编号：</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）的《</w:t>
      </w:r>
      <w:r>
        <w:rPr>
          <w:rFonts w:ascii="仿宋" w:hAnsi="仿宋" w:eastAsia="仿宋" w:cs="仿宋"/>
          <w:color w:val="auto"/>
          <w:sz w:val="24"/>
          <w:szCs w:val="24"/>
        </w:rPr>
        <w:t>磋商</w:t>
      </w:r>
      <w:r>
        <w:rPr>
          <w:rFonts w:hint="eastAsia" w:ascii="仿宋" w:hAnsi="仿宋" w:eastAsia="仿宋" w:cs="仿宋"/>
          <w:color w:val="auto"/>
          <w:sz w:val="24"/>
          <w:szCs w:val="24"/>
        </w:rPr>
        <w:t>文件》、乙方的《</w:t>
      </w:r>
      <w:r>
        <w:rPr>
          <w:rFonts w:ascii="仿宋" w:hAnsi="仿宋" w:eastAsia="仿宋" w:cs="仿宋"/>
          <w:color w:val="auto"/>
          <w:sz w:val="24"/>
          <w:szCs w:val="24"/>
        </w:rPr>
        <w:t>响应</w:t>
      </w:r>
      <w:r>
        <w:rPr>
          <w:rFonts w:hint="eastAsia" w:ascii="仿宋" w:hAnsi="仿宋" w:eastAsia="仿宋" w:cs="仿宋"/>
          <w:color w:val="auto"/>
          <w:sz w:val="24"/>
          <w:szCs w:val="24"/>
        </w:rPr>
        <w:t>文件》及《</w:t>
      </w:r>
      <w:r>
        <w:rPr>
          <w:rFonts w:ascii="仿宋" w:hAnsi="仿宋" w:eastAsia="仿宋" w:cs="仿宋"/>
          <w:color w:val="auto"/>
          <w:sz w:val="24"/>
          <w:szCs w:val="24"/>
        </w:rPr>
        <w:t>成交</w:t>
      </w:r>
      <w:r>
        <w:rPr>
          <w:rFonts w:hint="eastAsia" w:ascii="仿宋" w:hAnsi="仿宋" w:eastAsia="仿宋" w:cs="仿宋"/>
          <w:color w:val="auto"/>
          <w:sz w:val="24"/>
          <w:szCs w:val="24"/>
        </w:rPr>
        <w:t>通知书》，甲、乙双方同意签订本合同。详细技术说明及其他有关合同项目的特定信息由合同附件予以说明，合同附件及本项目的</w:t>
      </w:r>
      <w:r>
        <w:rPr>
          <w:rFonts w:ascii="仿宋" w:hAnsi="仿宋" w:eastAsia="仿宋" w:cs="仿宋"/>
          <w:color w:val="auto"/>
          <w:sz w:val="24"/>
          <w:szCs w:val="24"/>
        </w:rPr>
        <w:t>磋商</w:t>
      </w:r>
      <w:r>
        <w:rPr>
          <w:rFonts w:hint="eastAsia" w:ascii="仿宋" w:hAnsi="仿宋" w:eastAsia="仿宋" w:cs="仿宋"/>
          <w:color w:val="auto"/>
          <w:sz w:val="24"/>
          <w:szCs w:val="24"/>
        </w:rPr>
        <w:t>文件、</w:t>
      </w:r>
      <w:r>
        <w:rPr>
          <w:rFonts w:ascii="仿宋" w:hAnsi="仿宋" w:eastAsia="仿宋" w:cs="仿宋"/>
          <w:color w:val="auto"/>
          <w:sz w:val="24"/>
          <w:szCs w:val="24"/>
        </w:rPr>
        <w:t>响应</w:t>
      </w:r>
      <w:r>
        <w:rPr>
          <w:rFonts w:hint="eastAsia" w:ascii="仿宋" w:hAnsi="仿宋" w:eastAsia="仿宋" w:cs="仿宋"/>
          <w:color w:val="auto"/>
          <w:sz w:val="24"/>
          <w:szCs w:val="24"/>
        </w:rPr>
        <w:t>文件、《</w:t>
      </w:r>
      <w:r>
        <w:rPr>
          <w:rFonts w:ascii="仿宋" w:hAnsi="仿宋" w:eastAsia="仿宋" w:cs="仿宋"/>
          <w:color w:val="auto"/>
          <w:sz w:val="24"/>
          <w:szCs w:val="24"/>
        </w:rPr>
        <w:t>成交</w:t>
      </w:r>
      <w:r>
        <w:rPr>
          <w:rFonts w:hint="eastAsia" w:ascii="仿宋" w:hAnsi="仿宋" w:eastAsia="仿宋" w:cs="仿宋"/>
          <w:color w:val="auto"/>
          <w:sz w:val="24"/>
          <w:szCs w:val="24"/>
        </w:rPr>
        <w:t>通知书》等均为本合同不可分割的部分。双方同意共同遵守如下条款：</w:t>
      </w:r>
    </w:p>
    <w:p w14:paraId="522C8D67">
      <w:pPr>
        <w:spacing w:line="360" w:lineRule="auto"/>
        <w:ind w:firstLine="482" w:firstLineChars="200"/>
        <w:rPr>
          <w:rFonts w:ascii="仿宋" w:hAnsi="仿宋" w:eastAsia="仿宋" w:cs="仿宋"/>
          <w:b/>
          <w:color w:val="auto"/>
          <w:sz w:val="24"/>
          <w:szCs w:val="24"/>
        </w:rPr>
      </w:pPr>
      <w:r>
        <w:rPr>
          <w:rFonts w:hint="eastAsia" w:ascii="仿宋" w:hAnsi="仿宋" w:eastAsia="仿宋" w:cs="仿宋"/>
          <w:b/>
          <w:color w:val="auto"/>
          <w:sz w:val="24"/>
          <w:szCs w:val="24"/>
        </w:rPr>
        <w:t>第一条：合同标的</w:t>
      </w:r>
    </w:p>
    <w:tbl>
      <w:tblPr>
        <w:tblStyle w:val="4"/>
        <w:tblW w:w="4667"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754"/>
        <w:gridCol w:w="2999"/>
        <w:gridCol w:w="1613"/>
        <w:gridCol w:w="1504"/>
        <w:gridCol w:w="1799"/>
      </w:tblGrid>
      <w:tr w14:paraId="74C7AC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435" w:type="pct"/>
            <w:tcBorders>
              <w:top w:val="single" w:color="auto" w:sz="4" w:space="0"/>
              <w:left w:val="single" w:color="auto" w:sz="4" w:space="0"/>
              <w:bottom w:val="single" w:color="auto" w:sz="4" w:space="0"/>
              <w:right w:val="single" w:color="auto" w:sz="4" w:space="0"/>
            </w:tcBorders>
            <w:vAlign w:val="center"/>
          </w:tcPr>
          <w:p w14:paraId="664E89B4">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序号</w:t>
            </w:r>
          </w:p>
        </w:tc>
        <w:tc>
          <w:tcPr>
            <w:tcW w:w="1729" w:type="pct"/>
            <w:tcBorders>
              <w:top w:val="single" w:color="auto" w:sz="4" w:space="0"/>
              <w:left w:val="single" w:color="auto" w:sz="4" w:space="0"/>
              <w:bottom w:val="single" w:color="auto" w:sz="4" w:space="0"/>
              <w:right w:val="single" w:color="auto" w:sz="4" w:space="0"/>
            </w:tcBorders>
            <w:vAlign w:val="center"/>
          </w:tcPr>
          <w:p w14:paraId="4ABDBACB">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采购内容</w:t>
            </w:r>
          </w:p>
        </w:tc>
        <w:tc>
          <w:tcPr>
            <w:tcW w:w="930" w:type="pct"/>
            <w:tcBorders>
              <w:top w:val="single" w:color="auto" w:sz="4" w:space="0"/>
              <w:left w:val="single" w:color="auto" w:sz="4" w:space="0"/>
              <w:bottom w:val="single" w:color="auto" w:sz="4" w:space="0"/>
              <w:right w:val="single" w:color="auto" w:sz="4" w:space="0"/>
            </w:tcBorders>
            <w:vAlign w:val="center"/>
          </w:tcPr>
          <w:p w14:paraId="5E75AAEF">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数量</w:t>
            </w:r>
          </w:p>
        </w:tc>
        <w:tc>
          <w:tcPr>
            <w:tcW w:w="867" w:type="pct"/>
            <w:tcBorders>
              <w:top w:val="single" w:color="auto" w:sz="4" w:space="0"/>
              <w:left w:val="single" w:color="auto" w:sz="4" w:space="0"/>
              <w:bottom w:val="single" w:color="auto" w:sz="4" w:space="0"/>
              <w:right w:val="single" w:color="auto" w:sz="4" w:space="0"/>
            </w:tcBorders>
            <w:vAlign w:val="center"/>
          </w:tcPr>
          <w:p w14:paraId="7604B0F4">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 xml:space="preserve"> </w:t>
            </w:r>
            <w:r>
              <w:rPr>
                <w:rFonts w:hint="eastAsia" w:ascii="仿宋" w:hAnsi="仿宋" w:eastAsia="仿宋" w:cs="仿宋"/>
                <w:b/>
                <w:color w:val="auto"/>
                <w:sz w:val="24"/>
                <w:szCs w:val="24"/>
                <w:lang w:val="en-US" w:eastAsia="zh-CN"/>
              </w:rPr>
              <w:t>单价</w:t>
            </w:r>
            <w:r>
              <w:rPr>
                <w:rFonts w:hint="eastAsia" w:ascii="仿宋" w:hAnsi="仿宋" w:eastAsia="仿宋" w:cs="仿宋"/>
                <w:b/>
                <w:color w:val="auto"/>
                <w:sz w:val="24"/>
                <w:szCs w:val="24"/>
              </w:rPr>
              <w:t>（元）</w:t>
            </w:r>
          </w:p>
        </w:tc>
        <w:tc>
          <w:tcPr>
            <w:tcW w:w="1037" w:type="pct"/>
            <w:tcBorders>
              <w:top w:val="single" w:color="auto" w:sz="4" w:space="0"/>
              <w:left w:val="single" w:color="auto" w:sz="4" w:space="0"/>
              <w:bottom w:val="single" w:color="auto" w:sz="4" w:space="0"/>
              <w:right w:val="single" w:color="auto" w:sz="4" w:space="0"/>
            </w:tcBorders>
            <w:vAlign w:val="center"/>
          </w:tcPr>
          <w:p w14:paraId="60648533">
            <w:pPr>
              <w:spacing w:line="360" w:lineRule="auto"/>
              <w:jc w:val="center"/>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总价（元）</w:t>
            </w:r>
          </w:p>
        </w:tc>
      </w:tr>
      <w:tr w14:paraId="59CE6C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435" w:type="pct"/>
            <w:tcBorders>
              <w:top w:val="single" w:color="auto" w:sz="4" w:space="0"/>
              <w:left w:val="single" w:color="auto" w:sz="4" w:space="0"/>
              <w:bottom w:val="single" w:color="auto" w:sz="4" w:space="0"/>
              <w:right w:val="single" w:color="auto" w:sz="4" w:space="0"/>
            </w:tcBorders>
            <w:vAlign w:val="center"/>
          </w:tcPr>
          <w:p w14:paraId="64C61F33">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p>
        </w:tc>
        <w:tc>
          <w:tcPr>
            <w:tcW w:w="1729" w:type="pct"/>
            <w:tcBorders>
              <w:top w:val="single" w:color="auto" w:sz="4" w:space="0"/>
              <w:left w:val="single" w:color="auto" w:sz="4" w:space="0"/>
              <w:bottom w:val="single" w:color="auto" w:sz="4" w:space="0"/>
              <w:right w:val="single" w:color="auto" w:sz="4" w:space="0"/>
            </w:tcBorders>
            <w:vAlign w:val="center"/>
          </w:tcPr>
          <w:p w14:paraId="2DF1B21C">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煤矿</w:t>
            </w:r>
          </w:p>
        </w:tc>
        <w:tc>
          <w:tcPr>
            <w:tcW w:w="930" w:type="pct"/>
            <w:tcBorders>
              <w:top w:val="single" w:color="auto" w:sz="4" w:space="0"/>
              <w:left w:val="single" w:color="auto" w:sz="4" w:space="0"/>
              <w:bottom w:val="single" w:color="auto" w:sz="4" w:space="0"/>
              <w:right w:val="single" w:color="auto" w:sz="4" w:space="0"/>
            </w:tcBorders>
            <w:vAlign w:val="center"/>
          </w:tcPr>
          <w:p w14:paraId="2622B008">
            <w:pPr>
              <w:spacing w:line="360" w:lineRule="auto"/>
              <w:ind w:firstLine="480" w:firstLineChars="200"/>
              <w:rPr>
                <w:rFonts w:ascii="仿宋" w:hAnsi="仿宋" w:eastAsia="仿宋" w:cs="仿宋"/>
                <w:color w:val="auto"/>
                <w:sz w:val="24"/>
                <w:szCs w:val="24"/>
                <w:lang w:val="en-US"/>
              </w:rPr>
            </w:pPr>
            <w:r>
              <w:rPr>
                <w:rFonts w:hint="eastAsia" w:ascii="仿宋" w:hAnsi="仿宋" w:eastAsia="仿宋" w:cs="仿宋"/>
                <w:color w:val="auto"/>
                <w:sz w:val="24"/>
                <w:szCs w:val="24"/>
                <w:lang w:val="en-US" w:eastAsia="zh-CN"/>
              </w:rPr>
              <w:t>2家</w:t>
            </w:r>
          </w:p>
        </w:tc>
        <w:tc>
          <w:tcPr>
            <w:tcW w:w="867" w:type="pct"/>
            <w:tcBorders>
              <w:top w:val="single" w:color="auto" w:sz="4" w:space="0"/>
              <w:left w:val="single" w:color="auto" w:sz="4" w:space="0"/>
              <w:bottom w:val="single" w:color="auto" w:sz="4" w:space="0"/>
              <w:right w:val="single" w:color="auto" w:sz="4" w:space="0"/>
            </w:tcBorders>
            <w:vAlign w:val="center"/>
          </w:tcPr>
          <w:p w14:paraId="24CAB32F">
            <w:pPr>
              <w:spacing w:line="360" w:lineRule="auto"/>
              <w:ind w:firstLine="480" w:firstLineChars="200"/>
              <w:jc w:val="center"/>
              <w:rPr>
                <w:rFonts w:hint="eastAsia" w:ascii="仿宋" w:hAnsi="仿宋" w:eastAsia="仿宋" w:cs="仿宋"/>
                <w:color w:val="auto"/>
                <w:sz w:val="24"/>
                <w:szCs w:val="24"/>
              </w:rPr>
            </w:pPr>
          </w:p>
        </w:tc>
        <w:tc>
          <w:tcPr>
            <w:tcW w:w="1037" w:type="pct"/>
            <w:tcBorders>
              <w:top w:val="single" w:color="auto" w:sz="4" w:space="0"/>
              <w:left w:val="single" w:color="auto" w:sz="4" w:space="0"/>
              <w:bottom w:val="single" w:color="auto" w:sz="4" w:space="0"/>
              <w:right w:val="single" w:color="auto" w:sz="4" w:space="0"/>
            </w:tcBorders>
            <w:vAlign w:val="center"/>
          </w:tcPr>
          <w:p w14:paraId="0B6623B8">
            <w:pPr>
              <w:spacing w:line="360" w:lineRule="auto"/>
              <w:ind w:firstLine="480" w:firstLineChars="200"/>
              <w:jc w:val="center"/>
              <w:rPr>
                <w:rFonts w:hint="eastAsia" w:ascii="仿宋" w:hAnsi="仿宋" w:eastAsia="仿宋" w:cs="仿宋"/>
                <w:color w:val="auto"/>
                <w:sz w:val="24"/>
                <w:szCs w:val="24"/>
              </w:rPr>
            </w:pPr>
          </w:p>
        </w:tc>
      </w:tr>
      <w:tr w14:paraId="31A7266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 w:hRule="atLeast"/>
          <w:jc w:val="center"/>
        </w:trPr>
        <w:tc>
          <w:tcPr>
            <w:tcW w:w="435" w:type="pct"/>
            <w:tcBorders>
              <w:top w:val="single" w:color="auto" w:sz="4" w:space="0"/>
              <w:left w:val="single" w:color="auto" w:sz="4" w:space="0"/>
              <w:bottom w:val="single" w:color="auto" w:sz="4" w:space="0"/>
              <w:right w:val="single" w:color="auto" w:sz="4" w:space="0"/>
            </w:tcBorders>
            <w:vAlign w:val="center"/>
          </w:tcPr>
          <w:p w14:paraId="0C0002BA">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p>
        </w:tc>
        <w:tc>
          <w:tcPr>
            <w:tcW w:w="1729" w:type="pct"/>
            <w:tcBorders>
              <w:top w:val="single" w:color="auto" w:sz="4" w:space="0"/>
              <w:left w:val="single" w:color="auto" w:sz="4" w:space="0"/>
              <w:bottom w:val="single" w:color="auto" w:sz="4" w:space="0"/>
              <w:right w:val="single" w:color="auto" w:sz="4" w:space="0"/>
            </w:tcBorders>
            <w:vAlign w:val="center"/>
          </w:tcPr>
          <w:p w14:paraId="6CC05A22">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非煤地下矿山</w:t>
            </w:r>
          </w:p>
        </w:tc>
        <w:tc>
          <w:tcPr>
            <w:tcW w:w="930" w:type="pct"/>
            <w:tcBorders>
              <w:top w:val="single" w:color="auto" w:sz="4" w:space="0"/>
              <w:left w:val="single" w:color="auto" w:sz="4" w:space="0"/>
              <w:bottom w:val="single" w:color="auto" w:sz="4" w:space="0"/>
              <w:right w:val="single" w:color="auto" w:sz="4" w:space="0"/>
            </w:tcBorders>
            <w:vAlign w:val="center"/>
          </w:tcPr>
          <w:p w14:paraId="2D676F2C">
            <w:pPr>
              <w:spacing w:line="360" w:lineRule="auto"/>
              <w:ind w:firstLine="480" w:firstLineChars="200"/>
              <w:rPr>
                <w:rFonts w:ascii="仿宋" w:hAnsi="仿宋" w:eastAsia="仿宋" w:cs="仿宋"/>
                <w:color w:val="auto"/>
                <w:sz w:val="24"/>
                <w:szCs w:val="24"/>
                <w:lang w:val="en-US"/>
              </w:rPr>
            </w:pPr>
            <w:r>
              <w:rPr>
                <w:rFonts w:hint="eastAsia" w:ascii="仿宋" w:hAnsi="仿宋" w:eastAsia="仿宋" w:cs="仿宋"/>
                <w:color w:val="auto"/>
                <w:sz w:val="24"/>
                <w:szCs w:val="24"/>
                <w:lang w:val="en-US" w:eastAsia="zh-CN"/>
              </w:rPr>
              <w:t>6家</w:t>
            </w:r>
          </w:p>
        </w:tc>
        <w:tc>
          <w:tcPr>
            <w:tcW w:w="867" w:type="pct"/>
            <w:tcBorders>
              <w:top w:val="single" w:color="auto" w:sz="4" w:space="0"/>
              <w:left w:val="single" w:color="auto" w:sz="4" w:space="0"/>
              <w:bottom w:val="single" w:color="auto" w:sz="4" w:space="0"/>
              <w:right w:val="single" w:color="auto" w:sz="4" w:space="0"/>
            </w:tcBorders>
            <w:vAlign w:val="center"/>
          </w:tcPr>
          <w:p w14:paraId="3461409C">
            <w:pPr>
              <w:spacing w:line="360" w:lineRule="auto"/>
              <w:ind w:firstLine="480" w:firstLineChars="200"/>
              <w:jc w:val="center"/>
              <w:rPr>
                <w:rFonts w:hint="eastAsia" w:ascii="仿宋" w:hAnsi="仿宋" w:eastAsia="仿宋" w:cs="仿宋"/>
                <w:color w:val="auto"/>
                <w:sz w:val="24"/>
                <w:szCs w:val="24"/>
              </w:rPr>
            </w:pPr>
          </w:p>
        </w:tc>
        <w:tc>
          <w:tcPr>
            <w:tcW w:w="1037" w:type="pct"/>
            <w:tcBorders>
              <w:top w:val="single" w:color="auto" w:sz="4" w:space="0"/>
              <w:left w:val="single" w:color="auto" w:sz="4" w:space="0"/>
              <w:bottom w:val="single" w:color="auto" w:sz="4" w:space="0"/>
              <w:right w:val="single" w:color="auto" w:sz="4" w:space="0"/>
            </w:tcBorders>
            <w:vAlign w:val="center"/>
          </w:tcPr>
          <w:p w14:paraId="7F5D7FE2">
            <w:pPr>
              <w:spacing w:line="360" w:lineRule="auto"/>
              <w:ind w:firstLine="480" w:firstLineChars="200"/>
              <w:jc w:val="center"/>
              <w:rPr>
                <w:rFonts w:hint="eastAsia" w:ascii="仿宋" w:hAnsi="仿宋" w:eastAsia="仿宋" w:cs="仿宋"/>
                <w:color w:val="auto"/>
                <w:sz w:val="24"/>
                <w:szCs w:val="24"/>
              </w:rPr>
            </w:pPr>
          </w:p>
        </w:tc>
      </w:tr>
      <w:tr w14:paraId="3B2762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7" w:hRule="atLeast"/>
          <w:jc w:val="center"/>
        </w:trPr>
        <w:tc>
          <w:tcPr>
            <w:tcW w:w="435" w:type="pct"/>
            <w:tcBorders>
              <w:top w:val="single" w:color="auto" w:sz="4" w:space="0"/>
              <w:left w:val="single" w:color="auto" w:sz="4" w:space="0"/>
              <w:bottom w:val="single" w:color="auto" w:sz="4" w:space="0"/>
              <w:right w:val="single" w:color="auto" w:sz="4" w:space="0"/>
            </w:tcBorders>
            <w:vAlign w:val="center"/>
          </w:tcPr>
          <w:p w14:paraId="3039FB3D">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p>
        </w:tc>
        <w:tc>
          <w:tcPr>
            <w:tcW w:w="1729" w:type="pct"/>
            <w:tcBorders>
              <w:top w:val="single" w:color="auto" w:sz="4" w:space="0"/>
              <w:left w:val="single" w:color="auto" w:sz="4" w:space="0"/>
              <w:bottom w:val="single" w:color="auto" w:sz="4" w:space="0"/>
              <w:right w:val="single" w:color="auto" w:sz="4" w:space="0"/>
            </w:tcBorders>
            <w:vAlign w:val="center"/>
          </w:tcPr>
          <w:p w14:paraId="09B9DED5">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非煤露天矿山及尾矿库</w:t>
            </w:r>
          </w:p>
        </w:tc>
        <w:tc>
          <w:tcPr>
            <w:tcW w:w="930" w:type="pct"/>
            <w:tcBorders>
              <w:top w:val="single" w:color="auto" w:sz="4" w:space="0"/>
              <w:left w:val="single" w:color="auto" w:sz="4" w:space="0"/>
              <w:bottom w:val="single" w:color="auto" w:sz="4" w:space="0"/>
              <w:right w:val="single" w:color="auto" w:sz="4" w:space="0"/>
            </w:tcBorders>
            <w:vAlign w:val="center"/>
          </w:tcPr>
          <w:p w14:paraId="1A7C7E7B">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23家</w:t>
            </w:r>
          </w:p>
        </w:tc>
        <w:tc>
          <w:tcPr>
            <w:tcW w:w="867" w:type="pct"/>
            <w:tcBorders>
              <w:top w:val="single" w:color="auto" w:sz="4" w:space="0"/>
              <w:left w:val="single" w:color="auto" w:sz="4" w:space="0"/>
              <w:bottom w:val="single" w:color="auto" w:sz="4" w:space="0"/>
              <w:right w:val="single" w:color="auto" w:sz="4" w:space="0"/>
            </w:tcBorders>
            <w:vAlign w:val="center"/>
          </w:tcPr>
          <w:p w14:paraId="3A5B2D4A">
            <w:pPr>
              <w:spacing w:line="360" w:lineRule="auto"/>
              <w:ind w:firstLine="480" w:firstLineChars="200"/>
              <w:jc w:val="center"/>
              <w:rPr>
                <w:rFonts w:hint="eastAsia" w:ascii="仿宋" w:hAnsi="仿宋" w:eastAsia="仿宋" w:cs="仿宋"/>
                <w:color w:val="auto"/>
                <w:sz w:val="24"/>
                <w:szCs w:val="24"/>
              </w:rPr>
            </w:pPr>
          </w:p>
        </w:tc>
        <w:tc>
          <w:tcPr>
            <w:tcW w:w="1037" w:type="pct"/>
            <w:tcBorders>
              <w:top w:val="single" w:color="auto" w:sz="4" w:space="0"/>
              <w:left w:val="single" w:color="auto" w:sz="4" w:space="0"/>
              <w:bottom w:val="single" w:color="auto" w:sz="4" w:space="0"/>
              <w:right w:val="single" w:color="auto" w:sz="4" w:space="0"/>
            </w:tcBorders>
            <w:vAlign w:val="center"/>
          </w:tcPr>
          <w:p w14:paraId="4D63C8CD">
            <w:pPr>
              <w:spacing w:line="360" w:lineRule="auto"/>
              <w:ind w:firstLine="480" w:firstLineChars="200"/>
              <w:jc w:val="center"/>
              <w:rPr>
                <w:rFonts w:hint="eastAsia" w:ascii="仿宋" w:hAnsi="仿宋" w:eastAsia="仿宋" w:cs="仿宋"/>
                <w:color w:val="auto"/>
                <w:sz w:val="24"/>
                <w:szCs w:val="24"/>
              </w:rPr>
            </w:pPr>
          </w:p>
        </w:tc>
      </w:tr>
      <w:tr w14:paraId="508191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0" w:hRule="atLeast"/>
          <w:jc w:val="center"/>
        </w:trPr>
        <w:tc>
          <w:tcPr>
            <w:tcW w:w="435" w:type="pct"/>
            <w:tcBorders>
              <w:top w:val="single" w:color="auto" w:sz="4" w:space="0"/>
              <w:left w:val="single" w:color="auto" w:sz="4" w:space="0"/>
              <w:bottom w:val="single" w:color="auto" w:sz="4" w:space="0"/>
              <w:right w:val="single" w:color="auto" w:sz="4" w:space="0"/>
            </w:tcBorders>
            <w:vAlign w:val="center"/>
          </w:tcPr>
          <w:p w14:paraId="32F84506">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p>
        </w:tc>
        <w:tc>
          <w:tcPr>
            <w:tcW w:w="1729" w:type="pct"/>
            <w:tcBorders>
              <w:top w:val="single" w:color="auto" w:sz="4" w:space="0"/>
              <w:left w:val="single" w:color="auto" w:sz="4" w:space="0"/>
              <w:bottom w:val="single" w:color="auto" w:sz="4" w:space="0"/>
              <w:right w:val="single" w:color="auto" w:sz="4" w:space="0"/>
            </w:tcBorders>
            <w:vAlign w:val="center"/>
          </w:tcPr>
          <w:p w14:paraId="6E7ADC84">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油库</w:t>
            </w:r>
          </w:p>
        </w:tc>
        <w:tc>
          <w:tcPr>
            <w:tcW w:w="930" w:type="pct"/>
            <w:tcBorders>
              <w:top w:val="single" w:color="auto" w:sz="4" w:space="0"/>
              <w:left w:val="single" w:color="auto" w:sz="4" w:space="0"/>
              <w:bottom w:val="single" w:color="auto" w:sz="4" w:space="0"/>
              <w:right w:val="single" w:color="auto" w:sz="4" w:space="0"/>
            </w:tcBorders>
            <w:vAlign w:val="center"/>
          </w:tcPr>
          <w:p w14:paraId="625B0A60">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2家</w:t>
            </w:r>
          </w:p>
        </w:tc>
        <w:tc>
          <w:tcPr>
            <w:tcW w:w="867" w:type="pct"/>
            <w:tcBorders>
              <w:top w:val="single" w:color="auto" w:sz="4" w:space="0"/>
              <w:left w:val="single" w:color="auto" w:sz="4" w:space="0"/>
              <w:bottom w:val="single" w:color="auto" w:sz="4" w:space="0"/>
              <w:right w:val="single" w:color="auto" w:sz="4" w:space="0"/>
            </w:tcBorders>
            <w:vAlign w:val="center"/>
          </w:tcPr>
          <w:p w14:paraId="64215E46">
            <w:pPr>
              <w:spacing w:line="360" w:lineRule="auto"/>
              <w:ind w:firstLine="480" w:firstLineChars="200"/>
              <w:jc w:val="center"/>
              <w:rPr>
                <w:rFonts w:hint="eastAsia" w:ascii="仿宋" w:hAnsi="仿宋" w:eastAsia="仿宋" w:cs="仿宋"/>
                <w:color w:val="auto"/>
                <w:sz w:val="24"/>
                <w:szCs w:val="24"/>
              </w:rPr>
            </w:pPr>
          </w:p>
        </w:tc>
        <w:tc>
          <w:tcPr>
            <w:tcW w:w="1037" w:type="pct"/>
            <w:tcBorders>
              <w:top w:val="single" w:color="auto" w:sz="4" w:space="0"/>
              <w:left w:val="single" w:color="auto" w:sz="4" w:space="0"/>
              <w:bottom w:val="single" w:color="auto" w:sz="4" w:space="0"/>
              <w:right w:val="single" w:color="auto" w:sz="4" w:space="0"/>
            </w:tcBorders>
            <w:vAlign w:val="center"/>
          </w:tcPr>
          <w:p w14:paraId="7C9F6B23">
            <w:pPr>
              <w:spacing w:line="360" w:lineRule="auto"/>
              <w:ind w:firstLine="480" w:firstLineChars="200"/>
              <w:jc w:val="center"/>
              <w:rPr>
                <w:rFonts w:hint="eastAsia" w:ascii="仿宋" w:hAnsi="仿宋" w:eastAsia="仿宋" w:cs="仿宋"/>
                <w:color w:val="auto"/>
                <w:sz w:val="24"/>
                <w:szCs w:val="24"/>
              </w:rPr>
            </w:pPr>
          </w:p>
        </w:tc>
      </w:tr>
      <w:tr w14:paraId="15630B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435" w:type="pct"/>
            <w:tcBorders>
              <w:top w:val="single" w:color="auto" w:sz="4" w:space="0"/>
              <w:left w:val="single" w:color="auto" w:sz="4" w:space="0"/>
              <w:bottom w:val="single" w:color="auto" w:sz="4" w:space="0"/>
              <w:right w:val="single" w:color="auto" w:sz="4" w:space="0"/>
            </w:tcBorders>
            <w:vAlign w:val="center"/>
          </w:tcPr>
          <w:p w14:paraId="6620D499">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w:t>
            </w:r>
          </w:p>
        </w:tc>
        <w:tc>
          <w:tcPr>
            <w:tcW w:w="1729" w:type="pct"/>
            <w:tcBorders>
              <w:top w:val="single" w:color="auto" w:sz="4" w:space="0"/>
              <w:left w:val="single" w:color="auto" w:sz="4" w:space="0"/>
              <w:bottom w:val="single" w:color="auto" w:sz="4" w:space="0"/>
              <w:right w:val="single" w:color="auto" w:sz="4" w:space="0"/>
            </w:tcBorders>
            <w:vAlign w:val="center"/>
          </w:tcPr>
          <w:p w14:paraId="1DEF3DA6">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加油站和气体充装企业</w:t>
            </w:r>
          </w:p>
        </w:tc>
        <w:tc>
          <w:tcPr>
            <w:tcW w:w="930" w:type="pct"/>
            <w:tcBorders>
              <w:top w:val="single" w:color="auto" w:sz="4" w:space="0"/>
              <w:left w:val="single" w:color="auto" w:sz="4" w:space="0"/>
              <w:bottom w:val="single" w:color="auto" w:sz="4" w:space="0"/>
              <w:right w:val="single" w:color="auto" w:sz="4" w:space="0"/>
            </w:tcBorders>
            <w:vAlign w:val="center"/>
          </w:tcPr>
          <w:p w14:paraId="4B9F75F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42家</w:t>
            </w:r>
          </w:p>
        </w:tc>
        <w:tc>
          <w:tcPr>
            <w:tcW w:w="867" w:type="pct"/>
            <w:tcBorders>
              <w:top w:val="single" w:color="auto" w:sz="4" w:space="0"/>
              <w:left w:val="single" w:color="auto" w:sz="4" w:space="0"/>
              <w:bottom w:val="single" w:color="auto" w:sz="4" w:space="0"/>
              <w:right w:val="single" w:color="auto" w:sz="4" w:space="0"/>
            </w:tcBorders>
            <w:vAlign w:val="center"/>
          </w:tcPr>
          <w:p w14:paraId="50FC4872">
            <w:pPr>
              <w:spacing w:line="360" w:lineRule="auto"/>
              <w:ind w:firstLine="480" w:firstLineChars="200"/>
              <w:jc w:val="center"/>
              <w:rPr>
                <w:rFonts w:hint="eastAsia" w:ascii="仿宋" w:hAnsi="仿宋" w:eastAsia="仿宋" w:cs="仿宋"/>
                <w:color w:val="auto"/>
                <w:sz w:val="24"/>
                <w:szCs w:val="24"/>
              </w:rPr>
            </w:pPr>
          </w:p>
        </w:tc>
        <w:tc>
          <w:tcPr>
            <w:tcW w:w="1037" w:type="pct"/>
            <w:tcBorders>
              <w:top w:val="single" w:color="auto" w:sz="4" w:space="0"/>
              <w:left w:val="single" w:color="auto" w:sz="4" w:space="0"/>
              <w:bottom w:val="single" w:color="auto" w:sz="4" w:space="0"/>
              <w:right w:val="single" w:color="auto" w:sz="4" w:space="0"/>
            </w:tcBorders>
            <w:vAlign w:val="center"/>
          </w:tcPr>
          <w:p w14:paraId="4059929F">
            <w:pPr>
              <w:spacing w:line="360" w:lineRule="auto"/>
              <w:ind w:firstLine="480" w:firstLineChars="200"/>
              <w:jc w:val="center"/>
              <w:rPr>
                <w:rFonts w:hint="eastAsia" w:ascii="仿宋" w:hAnsi="仿宋" w:eastAsia="仿宋" w:cs="仿宋"/>
                <w:color w:val="auto"/>
                <w:sz w:val="24"/>
                <w:szCs w:val="24"/>
              </w:rPr>
            </w:pPr>
          </w:p>
        </w:tc>
      </w:tr>
      <w:tr w14:paraId="5E1EE6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9" w:hRule="atLeast"/>
          <w:jc w:val="center"/>
        </w:trPr>
        <w:tc>
          <w:tcPr>
            <w:tcW w:w="435" w:type="pct"/>
            <w:tcBorders>
              <w:top w:val="single" w:color="auto" w:sz="4" w:space="0"/>
              <w:left w:val="single" w:color="auto" w:sz="4" w:space="0"/>
              <w:bottom w:val="single" w:color="auto" w:sz="4" w:space="0"/>
              <w:right w:val="single" w:color="auto" w:sz="4" w:space="0"/>
            </w:tcBorders>
            <w:vAlign w:val="center"/>
          </w:tcPr>
          <w:p w14:paraId="4F8996F7">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w:t>
            </w:r>
          </w:p>
        </w:tc>
        <w:tc>
          <w:tcPr>
            <w:tcW w:w="1729" w:type="pct"/>
            <w:tcBorders>
              <w:top w:val="single" w:color="auto" w:sz="4" w:space="0"/>
              <w:left w:val="single" w:color="auto" w:sz="4" w:space="0"/>
              <w:bottom w:val="single" w:color="auto" w:sz="4" w:space="0"/>
              <w:right w:val="single" w:color="auto" w:sz="4" w:space="0"/>
            </w:tcBorders>
            <w:vAlign w:val="center"/>
          </w:tcPr>
          <w:p w14:paraId="542138B9">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工贸</w:t>
            </w:r>
          </w:p>
        </w:tc>
        <w:tc>
          <w:tcPr>
            <w:tcW w:w="930" w:type="pct"/>
            <w:tcBorders>
              <w:top w:val="single" w:color="auto" w:sz="4" w:space="0"/>
              <w:left w:val="single" w:color="auto" w:sz="4" w:space="0"/>
              <w:bottom w:val="single" w:color="auto" w:sz="4" w:space="0"/>
              <w:right w:val="single" w:color="auto" w:sz="4" w:space="0"/>
            </w:tcBorders>
            <w:vAlign w:val="center"/>
          </w:tcPr>
          <w:p w14:paraId="56F6AD3B">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24家</w:t>
            </w:r>
          </w:p>
        </w:tc>
        <w:tc>
          <w:tcPr>
            <w:tcW w:w="867" w:type="pct"/>
            <w:tcBorders>
              <w:top w:val="single" w:color="auto" w:sz="4" w:space="0"/>
              <w:left w:val="single" w:color="auto" w:sz="4" w:space="0"/>
              <w:bottom w:val="single" w:color="auto" w:sz="4" w:space="0"/>
              <w:right w:val="single" w:color="auto" w:sz="4" w:space="0"/>
            </w:tcBorders>
            <w:vAlign w:val="center"/>
          </w:tcPr>
          <w:p w14:paraId="17163CD0">
            <w:pPr>
              <w:spacing w:line="360" w:lineRule="auto"/>
              <w:ind w:firstLine="480" w:firstLineChars="200"/>
              <w:jc w:val="center"/>
              <w:rPr>
                <w:rFonts w:hint="eastAsia" w:ascii="仿宋" w:hAnsi="仿宋" w:eastAsia="仿宋" w:cs="仿宋"/>
                <w:color w:val="auto"/>
                <w:sz w:val="24"/>
                <w:szCs w:val="24"/>
              </w:rPr>
            </w:pPr>
          </w:p>
        </w:tc>
        <w:tc>
          <w:tcPr>
            <w:tcW w:w="1037" w:type="pct"/>
            <w:tcBorders>
              <w:top w:val="single" w:color="auto" w:sz="4" w:space="0"/>
              <w:left w:val="single" w:color="auto" w:sz="4" w:space="0"/>
              <w:bottom w:val="single" w:color="auto" w:sz="4" w:space="0"/>
              <w:right w:val="single" w:color="auto" w:sz="4" w:space="0"/>
            </w:tcBorders>
            <w:vAlign w:val="center"/>
          </w:tcPr>
          <w:p w14:paraId="01FEA8F1">
            <w:pPr>
              <w:spacing w:line="360" w:lineRule="auto"/>
              <w:ind w:firstLine="480" w:firstLineChars="200"/>
              <w:jc w:val="center"/>
              <w:rPr>
                <w:rFonts w:hint="eastAsia" w:ascii="仿宋" w:hAnsi="仿宋" w:eastAsia="仿宋" w:cs="仿宋"/>
                <w:color w:val="auto"/>
                <w:sz w:val="24"/>
                <w:szCs w:val="24"/>
              </w:rPr>
            </w:pPr>
          </w:p>
        </w:tc>
      </w:tr>
    </w:tbl>
    <w:p w14:paraId="74B08A73">
      <w:pPr>
        <w:spacing w:line="360" w:lineRule="auto"/>
        <w:ind w:firstLine="482" w:firstLineChars="200"/>
        <w:rPr>
          <w:rFonts w:ascii="仿宋" w:hAnsi="仿宋" w:eastAsia="仿宋" w:cs="仿宋"/>
          <w:b/>
          <w:color w:val="auto"/>
          <w:sz w:val="24"/>
          <w:szCs w:val="24"/>
        </w:rPr>
      </w:pPr>
      <w:r>
        <w:rPr>
          <w:rFonts w:hint="eastAsia" w:ascii="仿宋" w:hAnsi="仿宋" w:eastAsia="仿宋" w:cs="仿宋"/>
          <w:b/>
          <w:color w:val="auto"/>
          <w:sz w:val="24"/>
          <w:szCs w:val="24"/>
        </w:rPr>
        <w:t>第二条：合同总价</w:t>
      </w:r>
    </w:p>
    <w:p w14:paraId="0467441D">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合同总价为人民币</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元（大写：________），该合同总价包含</w:t>
      </w:r>
      <w:r>
        <w:rPr>
          <w:rFonts w:hint="eastAsia" w:ascii="仿宋" w:hAnsi="仿宋" w:eastAsia="仿宋" w:cs="仿宋"/>
          <w:color w:val="auto"/>
          <w:kern w:val="0"/>
          <w:sz w:val="24"/>
          <w:szCs w:val="24"/>
        </w:rPr>
        <w:t>包括服务费、设施设备使用费、专家差旅费、专家费、资料费、成果审查费、保险费、税费、安全文明费、管理费、合理的利润等与本项目相关的一切费用</w:t>
      </w:r>
      <w:r>
        <w:rPr>
          <w:rFonts w:hint="eastAsia" w:ascii="仿宋" w:hAnsi="仿宋" w:eastAsia="仿宋" w:cs="仿宋"/>
          <w:color w:val="auto"/>
          <w:sz w:val="24"/>
          <w:szCs w:val="24"/>
        </w:rPr>
        <w:t>，甲方不再另行支付其他费用。</w:t>
      </w:r>
    </w:p>
    <w:p w14:paraId="02DA3187">
      <w:pPr>
        <w:spacing w:line="360" w:lineRule="auto"/>
        <w:ind w:firstLine="482" w:firstLineChars="200"/>
        <w:rPr>
          <w:rFonts w:ascii="仿宋" w:hAnsi="仿宋" w:eastAsia="仿宋" w:cs="仿宋"/>
          <w:b/>
          <w:color w:val="auto"/>
          <w:sz w:val="24"/>
          <w:szCs w:val="24"/>
        </w:rPr>
      </w:pPr>
      <w:r>
        <w:rPr>
          <w:rFonts w:hint="eastAsia" w:ascii="仿宋" w:hAnsi="仿宋" w:eastAsia="仿宋" w:cs="仿宋"/>
          <w:b/>
          <w:color w:val="auto"/>
          <w:sz w:val="24"/>
          <w:szCs w:val="24"/>
        </w:rPr>
        <w:t>第三条：服务内容、质量标准及其他要求</w:t>
      </w:r>
    </w:p>
    <w:p w14:paraId="0B836775">
      <w:pPr>
        <w:spacing w:line="360" w:lineRule="auto"/>
        <w:ind w:firstLine="424" w:firstLineChars="177"/>
        <w:rPr>
          <w:rFonts w:ascii="仿宋" w:hAnsi="仿宋" w:eastAsia="仿宋" w:cs="仿宋"/>
          <w:bCs/>
          <w:color w:val="auto"/>
          <w:sz w:val="24"/>
          <w:szCs w:val="24"/>
          <w:u w:val="single"/>
        </w:rPr>
      </w:pPr>
      <w:r>
        <w:rPr>
          <w:rFonts w:hint="eastAsia" w:ascii="仿宋" w:hAnsi="仿宋" w:eastAsia="仿宋" w:cs="仿宋"/>
          <w:bCs/>
          <w:color w:val="auto"/>
          <w:sz w:val="24"/>
          <w:szCs w:val="24"/>
        </w:rPr>
        <w:t>（一）</w:t>
      </w:r>
      <w:r>
        <w:rPr>
          <w:rFonts w:ascii="仿宋" w:hAnsi="仿宋" w:eastAsia="仿宋" w:cs="仿宋"/>
          <w:color w:val="auto"/>
          <w:kern w:val="0"/>
          <w:sz w:val="24"/>
          <w:szCs w:val="24"/>
          <w:lang w:val="zh-CN"/>
        </w:rPr>
        <w:t>服务范围</w:t>
      </w:r>
      <w:r>
        <w:rPr>
          <w:rFonts w:hint="eastAsia" w:ascii="仿宋" w:hAnsi="仿宋" w:eastAsia="仿宋" w:cs="仿宋"/>
          <w:bCs/>
          <w:color w:val="auto"/>
          <w:sz w:val="24"/>
          <w:szCs w:val="24"/>
        </w:rPr>
        <w:t>：</w:t>
      </w:r>
      <w:r>
        <w:rPr>
          <w:rFonts w:hint="eastAsia" w:ascii="仿宋" w:hAnsi="仿宋" w:eastAsia="仿宋" w:cs="仿宋"/>
          <w:bCs/>
          <w:color w:val="auto"/>
          <w:sz w:val="24"/>
          <w:szCs w:val="24"/>
          <w:u w:val="single"/>
        </w:rPr>
        <w:t xml:space="preserve">               </w:t>
      </w:r>
    </w:p>
    <w:p w14:paraId="67B3DB39">
      <w:pPr>
        <w:pStyle w:val="3"/>
        <w:wordWrap w:val="0"/>
        <w:spacing w:before="0" w:beforeAutospacing="0" w:after="0" w:afterAutospacing="0" w:line="500" w:lineRule="exact"/>
        <w:ind w:firstLine="424" w:firstLineChars="177"/>
        <w:jc w:val="both"/>
        <w:rPr>
          <w:rFonts w:ascii="仿宋" w:hAnsi="仿宋" w:eastAsia="仿宋" w:cs="仿宋"/>
          <w:color w:val="auto"/>
          <w:lang w:val="zh-CN"/>
        </w:rPr>
      </w:pPr>
      <w:r>
        <w:rPr>
          <w:rFonts w:hint="eastAsia" w:ascii="仿宋" w:hAnsi="仿宋" w:eastAsia="仿宋" w:cs="仿宋"/>
          <w:bCs/>
          <w:color w:val="auto"/>
        </w:rPr>
        <w:t>（二）</w:t>
      </w:r>
      <w:r>
        <w:rPr>
          <w:rFonts w:hint="eastAsia" w:ascii="仿宋" w:hAnsi="仿宋" w:eastAsia="仿宋" w:cs="仿宋"/>
          <w:color w:val="auto"/>
          <w:lang w:val="zh-CN"/>
        </w:rPr>
        <w:t>服务内容</w:t>
      </w:r>
      <w:r>
        <w:rPr>
          <w:rFonts w:hint="eastAsia" w:ascii="仿宋" w:hAnsi="仿宋" w:eastAsia="仿宋" w:cs="仿宋"/>
          <w:bCs/>
          <w:color w:val="auto"/>
        </w:rPr>
        <w:t>：</w:t>
      </w:r>
      <w:r>
        <w:rPr>
          <w:rFonts w:hint="eastAsia" w:ascii="仿宋" w:hAnsi="仿宋" w:eastAsia="仿宋" w:cs="仿宋"/>
          <w:color w:val="auto"/>
          <w:u w:val="single"/>
          <w:shd w:val="clear" w:color="auto" w:fill="FFFFFF"/>
        </w:rPr>
        <w:t xml:space="preserve">                  </w:t>
      </w:r>
    </w:p>
    <w:p w14:paraId="24657569">
      <w:pPr>
        <w:pStyle w:val="3"/>
        <w:wordWrap w:val="0"/>
        <w:spacing w:before="0" w:beforeAutospacing="0" w:after="0" w:afterAutospacing="0" w:line="500" w:lineRule="exact"/>
        <w:ind w:left="480"/>
        <w:jc w:val="both"/>
        <w:rPr>
          <w:rFonts w:ascii="仿宋" w:hAnsi="仿宋" w:eastAsia="仿宋" w:cs="仿宋"/>
          <w:color w:val="auto"/>
          <w:u w:val="single"/>
        </w:rPr>
      </w:pPr>
      <w:r>
        <w:rPr>
          <w:rFonts w:hint="eastAsia" w:ascii="仿宋" w:hAnsi="仿宋" w:eastAsia="仿宋" w:cs="仿宋"/>
          <w:color w:val="auto"/>
          <w:lang w:val="zh-CN"/>
        </w:rPr>
        <w:t>（三）成果要求：</w:t>
      </w:r>
      <w:r>
        <w:rPr>
          <w:rFonts w:hint="eastAsia" w:ascii="仿宋" w:hAnsi="仿宋" w:eastAsia="仿宋" w:cs="仿宋"/>
          <w:color w:val="auto"/>
          <w:u w:val="single"/>
        </w:rPr>
        <w:t xml:space="preserve">                   </w:t>
      </w:r>
    </w:p>
    <w:p w14:paraId="3EB04C41">
      <w:pPr>
        <w:pStyle w:val="3"/>
        <w:wordWrap w:val="0"/>
        <w:ind w:firstLine="480" w:firstLineChars="200"/>
        <w:rPr>
          <w:rFonts w:ascii="仿宋" w:hAnsi="仿宋" w:eastAsia="仿宋" w:cs="仿宋"/>
          <w:color w:val="auto"/>
          <w:u w:val="single"/>
        </w:rPr>
      </w:pPr>
      <w:r>
        <w:rPr>
          <w:rFonts w:hint="eastAsia" w:ascii="仿宋" w:hAnsi="仿宋" w:eastAsia="仿宋" w:cs="仿宋"/>
          <w:color w:val="auto"/>
          <w:lang w:val="zh-CN"/>
        </w:rPr>
        <w:t>（四）服务质量要求：</w:t>
      </w:r>
      <w:r>
        <w:rPr>
          <w:rFonts w:hint="eastAsia" w:ascii="仿宋" w:hAnsi="仿宋" w:eastAsia="仿宋" w:cs="仿宋"/>
          <w:color w:val="auto"/>
          <w:u w:val="single"/>
        </w:rPr>
        <w:t xml:space="preserve">                </w:t>
      </w:r>
    </w:p>
    <w:p w14:paraId="0426C39B">
      <w:pPr>
        <w:pStyle w:val="3"/>
        <w:wordWrap w:val="0"/>
        <w:ind w:firstLine="480" w:firstLineChars="200"/>
        <w:rPr>
          <w:rFonts w:ascii="仿宋" w:hAnsi="仿宋" w:eastAsia="仿宋" w:cs="仿宋"/>
          <w:color w:val="auto"/>
          <w:u w:val="single"/>
        </w:rPr>
      </w:pPr>
      <w:r>
        <w:rPr>
          <w:rFonts w:hint="eastAsia" w:ascii="仿宋" w:hAnsi="仿宋" w:eastAsia="仿宋" w:cs="仿宋"/>
          <w:color w:val="auto"/>
        </w:rPr>
        <w:t>（五）保密要求：</w:t>
      </w:r>
      <w:r>
        <w:rPr>
          <w:rFonts w:hint="eastAsia" w:ascii="仿宋" w:hAnsi="仿宋" w:eastAsia="仿宋" w:cs="仿宋"/>
          <w:color w:val="auto"/>
          <w:u w:val="single"/>
        </w:rPr>
        <w:t xml:space="preserve">                   </w:t>
      </w:r>
    </w:p>
    <w:p w14:paraId="6333CE48">
      <w:pPr>
        <w:pStyle w:val="6"/>
        <w:tabs>
          <w:tab w:val="left" w:pos="0"/>
        </w:tabs>
        <w:spacing w:before="120" w:after="120" w:line="360" w:lineRule="auto"/>
        <w:ind w:firstLine="480" w:firstLineChars="200"/>
        <w:rPr>
          <w:rFonts w:ascii="仿宋" w:hAnsi="仿宋" w:eastAsia="仿宋" w:cs="仿宋"/>
          <w:bCs/>
          <w:color w:val="auto"/>
          <w:sz w:val="24"/>
          <w:szCs w:val="24"/>
        </w:rPr>
      </w:pPr>
      <w:r>
        <w:rPr>
          <w:rFonts w:hint="eastAsia" w:ascii="仿宋" w:hAnsi="仿宋" w:eastAsia="仿宋" w:cs="仿宋"/>
          <w:bCs/>
          <w:color w:val="auto"/>
          <w:sz w:val="24"/>
          <w:szCs w:val="24"/>
        </w:rPr>
        <w:t>（五）服务期限：</w:t>
      </w:r>
      <w:bookmarkStart w:id="2" w:name="OLE_LINK2"/>
      <w:r>
        <w:rPr>
          <w:rFonts w:hint="eastAsia" w:ascii="仿宋" w:hAnsi="仿宋" w:eastAsia="仿宋" w:cs="仿宋"/>
          <w:bCs/>
          <w:color w:val="auto"/>
          <w:sz w:val="24"/>
          <w:szCs w:val="24"/>
        </w:rPr>
        <w:t>合同签订后</w:t>
      </w:r>
      <w:r>
        <w:rPr>
          <w:rFonts w:ascii="仿宋" w:hAnsi="仿宋" w:eastAsia="仿宋" w:cs="仿宋"/>
          <w:bCs/>
          <w:color w:val="auto"/>
          <w:sz w:val="24"/>
          <w:szCs w:val="24"/>
        </w:rPr>
        <w:t>365</w:t>
      </w:r>
      <w:r>
        <w:rPr>
          <w:rFonts w:hint="eastAsia" w:ascii="仿宋" w:hAnsi="仿宋" w:eastAsia="仿宋" w:cs="仿宋"/>
          <w:bCs/>
          <w:color w:val="auto"/>
          <w:sz w:val="24"/>
          <w:szCs w:val="24"/>
        </w:rPr>
        <w:t>个日历天内完成</w:t>
      </w:r>
      <w:bookmarkEnd w:id="2"/>
      <w:r>
        <w:rPr>
          <w:rFonts w:hint="eastAsia" w:ascii="仿宋" w:hAnsi="仿宋" w:eastAsia="仿宋" w:cs="仿宋"/>
          <w:bCs/>
          <w:color w:val="auto"/>
          <w:sz w:val="24"/>
          <w:szCs w:val="24"/>
        </w:rPr>
        <w:t>。</w:t>
      </w:r>
    </w:p>
    <w:p w14:paraId="1415F927">
      <w:pPr>
        <w:spacing w:line="500" w:lineRule="exact"/>
        <w:ind w:firstLine="480" w:firstLineChars="200"/>
        <w:rPr>
          <w:rFonts w:ascii="仿宋" w:hAnsi="仿宋" w:eastAsia="仿宋" w:cs="仿宋"/>
          <w:bCs/>
          <w:color w:val="auto"/>
          <w:sz w:val="24"/>
          <w:szCs w:val="24"/>
        </w:rPr>
      </w:pPr>
      <w:r>
        <w:rPr>
          <w:rFonts w:hint="eastAsia" w:ascii="仿宋" w:hAnsi="仿宋" w:eastAsia="仿宋" w:cs="仿宋"/>
          <w:bCs/>
          <w:color w:val="auto"/>
          <w:sz w:val="24"/>
          <w:szCs w:val="24"/>
        </w:rPr>
        <w:t>（六）履约验收</w:t>
      </w:r>
    </w:p>
    <w:p w14:paraId="00F82946">
      <w:pPr>
        <w:pStyle w:val="3"/>
        <w:wordWrap w:val="0"/>
        <w:adjustRightInd/>
        <w:snapToGrid/>
        <w:spacing w:before="0" w:beforeAutospacing="0" w:after="0" w:afterAutospacing="0" w:line="500" w:lineRule="exact"/>
        <w:ind w:firstLine="420" w:firstLineChars="175"/>
        <w:jc w:val="both"/>
        <w:rPr>
          <w:rFonts w:ascii="仿宋" w:hAnsi="仿宋" w:eastAsia="仿宋" w:cs="仿宋"/>
          <w:color w:val="auto"/>
          <w:kern w:val="2"/>
        </w:rPr>
      </w:pPr>
      <w:r>
        <w:rPr>
          <w:rFonts w:hint="eastAsia" w:ascii="仿宋" w:hAnsi="仿宋" w:eastAsia="仿宋" w:cs="仿宋"/>
          <w:color w:val="auto"/>
          <w:kern w:val="2"/>
        </w:rPr>
        <w:t>1.验收方式：由甲方组织，乙方参与并提交验收申请，乙方提交合格的成果后一次性验收。</w:t>
      </w:r>
    </w:p>
    <w:p w14:paraId="79E30A3E">
      <w:pPr>
        <w:pStyle w:val="3"/>
        <w:wordWrap w:val="0"/>
        <w:adjustRightInd/>
        <w:snapToGrid/>
        <w:spacing w:before="0" w:beforeAutospacing="0" w:after="0" w:afterAutospacing="0" w:line="500" w:lineRule="exact"/>
        <w:ind w:firstLine="420" w:firstLineChars="175"/>
        <w:jc w:val="both"/>
        <w:rPr>
          <w:rFonts w:ascii="仿宋" w:hAnsi="仿宋" w:eastAsia="仿宋" w:cs="仿宋"/>
          <w:color w:val="auto"/>
          <w:kern w:val="2"/>
        </w:rPr>
      </w:pPr>
      <w:r>
        <w:rPr>
          <w:rFonts w:hint="eastAsia" w:ascii="仿宋" w:hAnsi="仿宋" w:eastAsia="仿宋" w:cs="仿宋"/>
          <w:color w:val="auto"/>
          <w:kern w:val="2"/>
        </w:rPr>
        <w:t>2.验收标准：严格按照《财政部关于进一步加强政府采购需求和履约验收管理的指导意见的通知》（财库〔2016〕205号）、《财政部关于印发&lt;政府采购需求管理办法&gt;的通知》（财库〔2021〕22号）及《巴中市财政局关于进一步加强政府采购项目合同履约验收管理工作的通知》（巴财采〔2021〕21号）、采购文件规定的要求和响应文件承诺及合同约定的标准进行验收。</w:t>
      </w:r>
    </w:p>
    <w:p w14:paraId="5C26E0FB">
      <w:pPr>
        <w:pStyle w:val="3"/>
        <w:wordWrap w:val="0"/>
        <w:adjustRightInd/>
        <w:snapToGrid/>
        <w:spacing w:before="0" w:beforeAutospacing="0" w:after="0" w:afterAutospacing="0" w:line="500" w:lineRule="exact"/>
        <w:ind w:firstLine="420" w:firstLineChars="175"/>
        <w:jc w:val="both"/>
        <w:rPr>
          <w:rFonts w:ascii="仿宋" w:hAnsi="仿宋" w:eastAsia="仿宋" w:cs="仿宋"/>
          <w:color w:val="auto"/>
          <w:kern w:val="2"/>
        </w:rPr>
      </w:pPr>
      <w:r>
        <w:rPr>
          <w:rFonts w:hint="eastAsia" w:ascii="仿宋" w:hAnsi="仿宋" w:eastAsia="仿宋" w:cs="仿宋"/>
          <w:color w:val="auto"/>
          <w:kern w:val="2"/>
        </w:rPr>
        <w:t>3.验收内容：技术服务和商务要求全部内容及合同履约情况。</w:t>
      </w:r>
    </w:p>
    <w:p w14:paraId="16B0EBB9">
      <w:pPr>
        <w:pStyle w:val="3"/>
        <w:wordWrap w:val="0"/>
        <w:adjustRightInd/>
        <w:snapToGrid/>
        <w:spacing w:before="0" w:beforeAutospacing="0" w:after="0" w:afterAutospacing="0" w:line="500" w:lineRule="exact"/>
        <w:ind w:firstLine="420" w:firstLineChars="175"/>
        <w:jc w:val="both"/>
        <w:rPr>
          <w:rFonts w:ascii="仿宋" w:hAnsi="仿宋" w:eastAsia="仿宋" w:cs="仿宋"/>
          <w:bCs/>
          <w:color w:val="auto"/>
          <w:kern w:val="2"/>
        </w:rPr>
      </w:pPr>
      <w:r>
        <w:rPr>
          <w:rFonts w:hint="eastAsia" w:ascii="仿宋" w:hAnsi="仿宋" w:eastAsia="仿宋" w:cs="仿宋"/>
          <w:color w:val="auto"/>
          <w:kern w:val="2"/>
        </w:rPr>
        <w:t>4.验收结果运用：验收结果作为支付采购资金的依据；验收合格的，双方签署政府采购验收报告，验收不合格的，由乙方进行整改，直至验收合格为止。</w:t>
      </w:r>
    </w:p>
    <w:p w14:paraId="1A76EF62">
      <w:pPr>
        <w:spacing w:line="500" w:lineRule="exact"/>
        <w:ind w:firstLine="480" w:firstLineChars="200"/>
        <w:rPr>
          <w:rFonts w:ascii="仿宋" w:hAnsi="仿宋" w:eastAsia="仿宋" w:cs="仿宋"/>
          <w:color w:val="auto"/>
          <w:sz w:val="24"/>
          <w:szCs w:val="24"/>
        </w:rPr>
      </w:pPr>
      <w:r>
        <w:rPr>
          <w:rFonts w:hint="eastAsia" w:ascii="仿宋" w:hAnsi="仿宋" w:eastAsia="仿宋" w:cs="仿宋"/>
          <w:bCs/>
          <w:color w:val="auto"/>
          <w:sz w:val="24"/>
          <w:szCs w:val="24"/>
        </w:rPr>
        <w:t>（七）安全责任：</w:t>
      </w:r>
      <w:r>
        <w:rPr>
          <w:rFonts w:hint="eastAsia" w:ascii="仿宋" w:hAnsi="仿宋" w:eastAsia="仿宋" w:cs="仿宋"/>
          <w:color w:val="auto"/>
          <w:sz w:val="24"/>
          <w:szCs w:val="24"/>
        </w:rPr>
        <w:t>乙方在实施本项目期间因其自身原因造成的所有的安全责任全部自行负责，甲方不承担任何责任。乙方应当为参与本项目实施人员购买工伤保险和人身意外伤害保险。</w:t>
      </w:r>
    </w:p>
    <w:p w14:paraId="48C3DF85">
      <w:pPr>
        <w:spacing w:line="360" w:lineRule="auto"/>
        <w:ind w:firstLine="480" w:firstLineChars="200"/>
        <w:rPr>
          <w:rFonts w:ascii="仿宋" w:hAnsi="仿宋" w:eastAsia="仿宋" w:cs="仿宋"/>
          <w:bCs/>
          <w:color w:val="auto"/>
          <w:sz w:val="24"/>
          <w:szCs w:val="24"/>
        </w:rPr>
      </w:pPr>
      <w:r>
        <w:rPr>
          <w:rFonts w:hint="eastAsia" w:ascii="仿宋" w:hAnsi="仿宋" w:eastAsia="仿宋" w:cs="仿宋"/>
          <w:bCs/>
          <w:color w:val="auto"/>
          <w:sz w:val="24"/>
          <w:szCs w:val="24"/>
        </w:rPr>
        <w:t>（八）后续服务要求</w:t>
      </w:r>
    </w:p>
    <w:p w14:paraId="175779CD">
      <w:pPr>
        <w:pStyle w:val="2"/>
        <w:spacing w:before="232" w:line="360" w:lineRule="auto"/>
        <w:ind w:left="127" w:right="112" w:firstLine="489"/>
        <w:rPr>
          <w:rFonts w:ascii="仿宋" w:hAnsi="仿宋" w:eastAsia="仿宋" w:cs="仿宋"/>
          <w:color w:val="auto"/>
          <w:spacing w:val="-3"/>
          <w:sz w:val="24"/>
          <w:szCs w:val="24"/>
        </w:rPr>
      </w:pPr>
      <w:r>
        <w:rPr>
          <w:rFonts w:hint="eastAsia" w:ascii="仿宋" w:hAnsi="仿宋" w:eastAsia="仿宋" w:cs="仿宋"/>
          <w:color w:val="auto"/>
          <w:kern w:val="0"/>
          <w:sz w:val="24"/>
          <w:szCs w:val="24"/>
        </w:rPr>
        <w:t>本项目后续服务期为项目验收合格后</w:t>
      </w:r>
      <w:r>
        <w:rPr>
          <w:rFonts w:ascii="仿宋" w:hAnsi="仿宋" w:eastAsia="仿宋" w:cs="仿宋"/>
          <w:color w:val="auto"/>
          <w:kern w:val="0"/>
          <w:sz w:val="24"/>
          <w:szCs w:val="24"/>
        </w:rPr>
        <w:t>6个月</w:t>
      </w:r>
      <w:r>
        <w:rPr>
          <w:rFonts w:hint="eastAsia" w:ascii="仿宋" w:hAnsi="仿宋" w:eastAsia="仿宋" w:cs="仿宋"/>
          <w:color w:val="auto"/>
          <w:kern w:val="0"/>
          <w:sz w:val="24"/>
          <w:szCs w:val="24"/>
        </w:rPr>
        <w:t>。在后续服务期内，如甲方根据实际情况需对乙方提交的成果进行修订和完善，乙方应按甲方的要求及时修订和完善；如需乙方</w:t>
      </w:r>
      <w:r>
        <w:rPr>
          <w:rFonts w:ascii="仿宋" w:hAnsi="仿宋" w:eastAsia="仿宋" w:cs="仿宋"/>
          <w:color w:val="auto"/>
          <w:kern w:val="0"/>
          <w:sz w:val="24"/>
          <w:szCs w:val="24"/>
        </w:rPr>
        <w:t>进行解释和说明的</w:t>
      </w:r>
      <w:r>
        <w:rPr>
          <w:rFonts w:hint="eastAsia" w:ascii="仿宋" w:hAnsi="仿宋" w:eastAsia="仿宋" w:cs="仿宋"/>
          <w:color w:val="auto"/>
          <w:kern w:val="0"/>
          <w:sz w:val="24"/>
          <w:szCs w:val="24"/>
        </w:rPr>
        <w:t>，乙方应按照甲方的要求</w:t>
      </w:r>
      <w:r>
        <w:rPr>
          <w:rFonts w:ascii="仿宋" w:hAnsi="仿宋" w:eastAsia="仿宋" w:cs="仿宋"/>
          <w:color w:val="auto"/>
          <w:kern w:val="0"/>
          <w:sz w:val="24"/>
          <w:szCs w:val="24"/>
        </w:rPr>
        <w:t>进行解释和说明</w:t>
      </w:r>
      <w:r>
        <w:rPr>
          <w:rFonts w:hint="eastAsia" w:ascii="仿宋" w:hAnsi="仿宋" w:eastAsia="仿宋" w:cs="仿宋"/>
          <w:color w:val="auto"/>
          <w:kern w:val="0"/>
          <w:sz w:val="24"/>
          <w:szCs w:val="24"/>
        </w:rPr>
        <w:t>，甲方不再另行支付费用。在后续服务期内，在接到甲方的通知后1小时内响应，无法远程服务的，应当在24小时内到达甲方指定的现场开展相关服务。</w:t>
      </w:r>
    </w:p>
    <w:p w14:paraId="1790CD68">
      <w:pPr>
        <w:pStyle w:val="3"/>
        <w:wordWrap w:val="0"/>
        <w:ind w:firstLine="480" w:firstLineChars="200"/>
        <w:rPr>
          <w:rFonts w:ascii="仿宋" w:hAnsi="仿宋" w:eastAsia="仿宋" w:cs="仿宋"/>
          <w:color w:val="auto"/>
          <w:u w:val="single"/>
        </w:rPr>
      </w:pPr>
      <w:r>
        <w:rPr>
          <w:rFonts w:hint="eastAsia" w:ascii="仿宋" w:hAnsi="仿宋" w:eastAsia="仿宋" w:cs="仿宋"/>
          <w:color w:val="auto"/>
        </w:rPr>
        <w:t>（</w:t>
      </w:r>
      <w:r>
        <w:rPr>
          <w:rFonts w:ascii="仿宋" w:hAnsi="仿宋" w:eastAsia="仿宋" w:cs="仿宋"/>
          <w:color w:val="auto"/>
        </w:rPr>
        <w:t>九</w:t>
      </w:r>
      <w:r>
        <w:rPr>
          <w:rFonts w:hint="eastAsia" w:ascii="仿宋" w:hAnsi="仿宋" w:eastAsia="仿宋" w:cs="仿宋"/>
          <w:color w:val="auto"/>
        </w:rPr>
        <w:t>）</w:t>
      </w:r>
      <w:r>
        <w:rPr>
          <w:rFonts w:ascii="仿宋" w:hAnsi="仿宋" w:eastAsia="仿宋" w:cs="仿宋"/>
          <w:color w:val="auto"/>
        </w:rPr>
        <w:t>其他</w:t>
      </w:r>
      <w:r>
        <w:rPr>
          <w:rFonts w:hint="eastAsia" w:ascii="仿宋" w:hAnsi="仿宋" w:eastAsia="仿宋" w:cs="仿宋"/>
          <w:color w:val="auto"/>
        </w:rPr>
        <w:t>要求：</w:t>
      </w:r>
      <w:r>
        <w:rPr>
          <w:rFonts w:hint="eastAsia" w:ascii="仿宋" w:hAnsi="仿宋" w:eastAsia="仿宋" w:cs="仿宋"/>
          <w:color w:val="auto"/>
          <w:u w:val="single"/>
        </w:rPr>
        <w:t xml:space="preserve">                   </w:t>
      </w:r>
    </w:p>
    <w:p w14:paraId="6B6DDD0E">
      <w:pPr>
        <w:spacing w:line="360" w:lineRule="auto"/>
        <w:ind w:firstLine="482" w:firstLineChars="200"/>
        <w:rPr>
          <w:rFonts w:ascii="仿宋" w:hAnsi="仿宋" w:eastAsia="仿宋" w:cs="仿宋"/>
          <w:b/>
          <w:color w:val="auto"/>
          <w:sz w:val="24"/>
          <w:szCs w:val="24"/>
        </w:rPr>
      </w:pPr>
      <w:r>
        <w:rPr>
          <w:rFonts w:hint="eastAsia" w:ascii="仿宋" w:hAnsi="仿宋" w:eastAsia="仿宋" w:cs="仿宋"/>
          <w:b/>
          <w:color w:val="auto"/>
          <w:sz w:val="24"/>
          <w:szCs w:val="24"/>
        </w:rPr>
        <w:t>第四条：服务费用支付方式</w:t>
      </w:r>
    </w:p>
    <w:p w14:paraId="35BC8723">
      <w:pPr>
        <w:widowControl/>
        <w:spacing w:beforeAutospacing="0" w:afterAutospacing="0" w:line="400" w:lineRule="exact"/>
        <w:ind w:left="0" w:firstLine="600" w:firstLineChars="250"/>
        <w:jc w:val="left"/>
        <w:rPr>
          <w:rFonts w:hint="eastAsia" w:ascii="仿宋" w:hAnsi="仿宋" w:eastAsia="仿宋" w:cs="仿宋"/>
          <w:b w:val="0"/>
          <w:bCs w:val="0"/>
          <w:color w:val="auto"/>
          <w:kern w:val="0"/>
          <w:sz w:val="24"/>
          <w:szCs w:val="24"/>
          <w:lang w:val="en-US" w:eastAsia="zh-CN" w:bidi="ar-SA"/>
        </w:rPr>
      </w:pPr>
      <w:r>
        <w:rPr>
          <w:rFonts w:ascii="仿宋" w:hAnsi="仿宋" w:eastAsia="仿宋" w:cs="仿宋"/>
          <w:b w:val="0"/>
          <w:bCs w:val="0"/>
          <w:color w:val="auto"/>
          <w:kern w:val="0"/>
          <w:sz w:val="24"/>
          <w:szCs w:val="24"/>
          <w:lang w:val="en-US" w:eastAsia="zh-CN" w:bidi="ar-SA"/>
        </w:rPr>
        <w:t>1.</w:t>
      </w:r>
      <w:r>
        <w:rPr>
          <w:rFonts w:hint="eastAsia" w:ascii="仿宋" w:hAnsi="仿宋" w:eastAsia="仿宋" w:cs="仿宋"/>
          <w:b w:val="0"/>
          <w:bCs w:val="0"/>
          <w:color w:val="auto"/>
          <w:kern w:val="0"/>
          <w:sz w:val="24"/>
          <w:szCs w:val="24"/>
          <w:lang w:val="en-US" w:eastAsia="zh-CN" w:bidi="ar-SA"/>
        </w:rPr>
        <w:t>合同签订生效后，</w:t>
      </w:r>
      <w:r>
        <w:rPr>
          <w:rFonts w:ascii="仿宋" w:hAnsi="仿宋" w:eastAsia="仿宋" w:cs="仿宋"/>
          <w:b w:val="0"/>
          <w:bCs w:val="0"/>
          <w:color w:val="auto"/>
          <w:kern w:val="0"/>
          <w:sz w:val="24"/>
          <w:szCs w:val="24"/>
          <w:lang w:val="en-US" w:eastAsia="zh-CN" w:bidi="ar-SA"/>
        </w:rPr>
        <w:t>前三个月</w:t>
      </w:r>
      <w:r>
        <w:rPr>
          <w:rFonts w:hint="eastAsia" w:ascii="仿宋" w:hAnsi="仿宋" w:eastAsia="仿宋" w:cs="仿宋"/>
          <w:b w:val="0"/>
          <w:bCs w:val="0"/>
          <w:color w:val="auto"/>
          <w:kern w:val="0"/>
          <w:sz w:val="24"/>
          <w:szCs w:val="24"/>
          <w:lang w:val="en-US" w:eastAsia="zh-CN" w:bidi="ar-SA"/>
        </w:rPr>
        <w:t>完成检查工作后，达到付款条件起15日内，支付合同总金额的10%；</w:t>
      </w:r>
    </w:p>
    <w:p w14:paraId="109201D3">
      <w:pPr>
        <w:widowControl/>
        <w:spacing w:beforeAutospacing="0" w:afterAutospacing="0" w:line="400" w:lineRule="exact"/>
        <w:ind w:firstLine="600" w:firstLineChars="250"/>
        <w:jc w:val="left"/>
        <w:rPr>
          <w:rFonts w:hint="eastAsia" w:ascii="仿宋" w:hAnsi="仿宋" w:eastAsia="仿宋" w:cs="仿宋"/>
          <w:b w:val="0"/>
          <w:bCs w:val="0"/>
          <w:color w:val="auto"/>
          <w:kern w:val="0"/>
          <w:sz w:val="24"/>
          <w:szCs w:val="24"/>
          <w:lang w:val="en-US" w:eastAsia="zh-CN" w:bidi="ar-SA"/>
        </w:rPr>
      </w:pPr>
      <w:r>
        <w:rPr>
          <w:rFonts w:ascii="仿宋" w:hAnsi="仿宋" w:eastAsia="仿宋" w:cs="仿宋"/>
          <w:b w:val="0"/>
          <w:bCs w:val="0"/>
          <w:color w:val="auto"/>
          <w:kern w:val="0"/>
          <w:sz w:val="24"/>
          <w:szCs w:val="24"/>
          <w:lang w:val="en-US" w:eastAsia="zh-CN" w:bidi="ar-SA"/>
        </w:rPr>
        <w:t>2.前六个月</w:t>
      </w:r>
      <w:r>
        <w:rPr>
          <w:rFonts w:hint="eastAsia" w:ascii="仿宋" w:hAnsi="仿宋" w:eastAsia="仿宋" w:cs="仿宋"/>
          <w:b w:val="0"/>
          <w:bCs w:val="0"/>
          <w:color w:val="auto"/>
          <w:kern w:val="0"/>
          <w:sz w:val="24"/>
          <w:szCs w:val="24"/>
          <w:lang w:val="en-US" w:eastAsia="zh-CN" w:bidi="ar-SA"/>
        </w:rPr>
        <w:t>完成检查工作后，达到付款条件起15日内，支付合同总金额的40%；</w:t>
      </w:r>
    </w:p>
    <w:p w14:paraId="0BB83C0C">
      <w:pPr>
        <w:pStyle w:val="2"/>
        <w:spacing w:before="232" w:line="360" w:lineRule="auto"/>
        <w:ind w:left="127" w:right="112" w:firstLine="480" w:firstLineChars="200"/>
        <w:rPr>
          <w:rFonts w:ascii="仿宋" w:hAnsi="仿宋" w:eastAsia="仿宋" w:cs="仿宋"/>
          <w:color w:val="auto"/>
          <w:kern w:val="0"/>
          <w:sz w:val="24"/>
          <w:szCs w:val="24"/>
          <w:lang w:val="zh-CN"/>
        </w:rPr>
      </w:pPr>
      <w:r>
        <w:rPr>
          <w:rFonts w:hint="eastAsia" w:ascii="仿宋" w:hAnsi="仿宋" w:eastAsia="仿宋" w:cs="仿宋"/>
          <w:b w:val="0"/>
          <w:bCs w:val="0"/>
          <w:color w:val="auto"/>
          <w:kern w:val="0"/>
          <w:sz w:val="24"/>
          <w:szCs w:val="24"/>
          <w:lang w:val="en-US" w:eastAsia="zh-CN" w:bidi="ar-SA"/>
        </w:rPr>
        <w:t>3.全面完成检查并出具隐患排查总结报告</w:t>
      </w:r>
      <w:r>
        <w:rPr>
          <w:rFonts w:ascii="仿宋" w:hAnsi="仿宋" w:eastAsia="仿宋" w:cs="仿宋"/>
          <w:b w:val="0"/>
          <w:bCs w:val="0"/>
          <w:color w:val="auto"/>
          <w:kern w:val="0"/>
          <w:sz w:val="24"/>
          <w:szCs w:val="24"/>
          <w:lang w:val="en-US" w:eastAsia="zh-CN" w:bidi="ar-SA"/>
        </w:rPr>
        <w:t>，</w:t>
      </w:r>
      <w:r>
        <w:rPr>
          <w:rFonts w:ascii="仿宋" w:hAnsi="仿宋" w:eastAsia="仿宋" w:cs="仿宋"/>
          <w:color w:val="auto"/>
          <w:kern w:val="0"/>
          <w:sz w:val="24"/>
          <w:szCs w:val="24"/>
          <w:lang w:val="en-US" w:eastAsia="zh-CN" w:bidi="ar-SA"/>
        </w:rPr>
        <w:t>并通过甲方组织的验收合格</w:t>
      </w:r>
      <w:r>
        <w:rPr>
          <w:rFonts w:hint="eastAsia" w:ascii="仿宋" w:hAnsi="仿宋" w:eastAsia="仿宋" w:cs="仿宋"/>
          <w:b w:val="0"/>
          <w:bCs w:val="0"/>
          <w:color w:val="auto"/>
          <w:kern w:val="0"/>
          <w:sz w:val="24"/>
          <w:szCs w:val="24"/>
          <w:lang w:val="en-US" w:eastAsia="zh-CN" w:bidi="ar-SA"/>
        </w:rPr>
        <w:t>后，达到付款条件起15日内，按实际检查内容核算费用支付剩余</w:t>
      </w:r>
      <w:r>
        <w:rPr>
          <w:rFonts w:ascii="仿宋" w:hAnsi="仿宋" w:eastAsia="仿宋" w:cs="仿宋"/>
          <w:b w:val="0"/>
          <w:bCs w:val="0"/>
          <w:color w:val="auto"/>
          <w:kern w:val="0"/>
          <w:sz w:val="24"/>
          <w:szCs w:val="24"/>
          <w:lang w:val="en-US" w:eastAsia="zh-CN" w:bidi="ar-SA"/>
        </w:rPr>
        <w:t>合同价款。</w:t>
      </w:r>
    </w:p>
    <w:p w14:paraId="2B5E2E92">
      <w:pPr>
        <w:widowControl/>
        <w:spacing w:line="360" w:lineRule="auto"/>
        <w:ind w:firstLine="549" w:firstLineChars="228"/>
        <w:jc w:val="left"/>
        <w:rPr>
          <w:rFonts w:ascii="仿宋" w:hAnsi="仿宋" w:eastAsia="仿宋" w:cs="仿宋"/>
          <w:b/>
          <w:color w:val="auto"/>
          <w:sz w:val="24"/>
          <w:szCs w:val="24"/>
        </w:rPr>
      </w:pPr>
      <w:r>
        <w:rPr>
          <w:rFonts w:hint="eastAsia" w:ascii="仿宋" w:hAnsi="仿宋" w:eastAsia="仿宋" w:cs="仿宋"/>
          <w:b/>
          <w:color w:val="auto"/>
          <w:sz w:val="24"/>
          <w:szCs w:val="24"/>
        </w:rPr>
        <w:t>第五条：知识产权</w:t>
      </w:r>
    </w:p>
    <w:p w14:paraId="4D75BA18">
      <w:pPr>
        <w:pStyle w:val="2"/>
        <w:spacing w:before="112" w:line="360" w:lineRule="auto"/>
        <w:ind w:left="31" w:right="103" w:firstLine="476"/>
        <w:rPr>
          <w:rFonts w:ascii="仿宋" w:hAnsi="仿宋" w:eastAsia="仿宋" w:cs="仿宋"/>
          <w:color w:val="auto"/>
          <w:kern w:val="0"/>
          <w:sz w:val="24"/>
          <w:szCs w:val="24"/>
        </w:rPr>
      </w:pPr>
      <w:r>
        <w:rPr>
          <w:rFonts w:hint="eastAsia" w:ascii="仿宋" w:hAnsi="仿宋" w:eastAsia="仿宋" w:cs="仿宋"/>
          <w:color w:val="auto"/>
          <w:kern w:val="0"/>
          <w:sz w:val="24"/>
          <w:szCs w:val="24"/>
        </w:rPr>
        <w:t>本项目所形成的全部服务成果归甲方所有，乙方不得对外发表、出版；确实因学术交流、职称评定等需要必须征得甲方书面授权许可，若因此带来的相关法律、经济纠纷与采购人无关，乙方应自行承担全部法律和经济等相关责任。</w:t>
      </w:r>
    </w:p>
    <w:p w14:paraId="786C676A">
      <w:pPr>
        <w:spacing w:line="360" w:lineRule="auto"/>
        <w:ind w:firstLine="482" w:firstLineChars="200"/>
        <w:rPr>
          <w:rFonts w:ascii="仿宋" w:hAnsi="仿宋" w:eastAsia="仿宋" w:cs="仿宋"/>
          <w:b/>
          <w:color w:val="auto"/>
          <w:sz w:val="24"/>
          <w:szCs w:val="24"/>
        </w:rPr>
      </w:pPr>
      <w:r>
        <w:rPr>
          <w:rFonts w:hint="eastAsia" w:ascii="仿宋" w:hAnsi="仿宋" w:eastAsia="仿宋" w:cs="仿宋"/>
          <w:b/>
          <w:color w:val="auto"/>
          <w:sz w:val="24"/>
          <w:szCs w:val="24"/>
        </w:rPr>
        <w:t>第六条：无产权瑕疵条款</w:t>
      </w:r>
    </w:p>
    <w:p w14:paraId="419B4104">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乙方保证所提供的服务的所有权完全属于乙方且无任何抵押、查封等产权瑕疵。如有产权瑕疵的，视为乙方违约。乙方应负担由此而产生的一切损失。</w:t>
      </w:r>
    </w:p>
    <w:p w14:paraId="5EA3443C">
      <w:pPr>
        <w:spacing w:line="360" w:lineRule="auto"/>
        <w:ind w:firstLine="482" w:firstLineChars="200"/>
        <w:rPr>
          <w:rFonts w:ascii="仿宋" w:hAnsi="仿宋" w:eastAsia="仿宋" w:cs="仿宋"/>
          <w:b/>
          <w:color w:val="auto"/>
          <w:sz w:val="24"/>
          <w:szCs w:val="24"/>
        </w:rPr>
      </w:pPr>
      <w:r>
        <w:rPr>
          <w:rFonts w:hint="eastAsia" w:ascii="仿宋" w:hAnsi="仿宋" w:eastAsia="仿宋" w:cs="仿宋"/>
          <w:b/>
          <w:color w:val="auto"/>
          <w:sz w:val="24"/>
          <w:szCs w:val="24"/>
        </w:rPr>
        <w:t>第七条：甲方的权利和义务</w:t>
      </w:r>
    </w:p>
    <w:p w14:paraId="470020E7">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1.甲方有权对合同规定范围内乙方的服务行为进行监督和检查，拥有监管权。有权定期核对乙方提供服务所配备的设备及人员数量。对甲方认为不合理的部分有权下达整改通知书，并要求乙方限期整改。</w:t>
      </w:r>
    </w:p>
    <w:p w14:paraId="6D827BFC">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2.甲方有权依据双方签订的考评办法对乙方提供的服务进行定期考评。当考评结果未达到标准时，有权依据考评办法约定的数额扣除履约担保。</w:t>
      </w:r>
    </w:p>
    <w:p w14:paraId="7510B73C">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3.负责检查监督乙方管理工作的实施及制度的执行情况。</w:t>
      </w:r>
    </w:p>
    <w:p w14:paraId="564806AD">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4.根据本合同规定，按时向乙方支付应付服务费用。</w:t>
      </w:r>
    </w:p>
    <w:p w14:paraId="6F216DEA">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5.国家法律、法规所规定由甲方承担的其它责任。</w:t>
      </w:r>
    </w:p>
    <w:p w14:paraId="1A462142">
      <w:pPr>
        <w:spacing w:line="360" w:lineRule="auto"/>
        <w:ind w:firstLine="482" w:firstLineChars="200"/>
        <w:rPr>
          <w:rFonts w:ascii="仿宋" w:hAnsi="仿宋" w:eastAsia="仿宋" w:cs="仿宋"/>
          <w:b/>
          <w:color w:val="auto"/>
          <w:sz w:val="24"/>
          <w:szCs w:val="24"/>
        </w:rPr>
      </w:pPr>
      <w:r>
        <w:rPr>
          <w:rFonts w:hint="eastAsia" w:ascii="仿宋" w:hAnsi="仿宋" w:eastAsia="仿宋" w:cs="仿宋"/>
          <w:b/>
          <w:color w:val="auto"/>
          <w:sz w:val="24"/>
          <w:szCs w:val="24"/>
        </w:rPr>
        <w:t>第八条：乙方的权利和义务</w:t>
      </w:r>
    </w:p>
    <w:p w14:paraId="3BB5D7A9">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1.对本合同规定的委托服务范围内的项目享有管理权及服务义务。</w:t>
      </w:r>
    </w:p>
    <w:p w14:paraId="69515E25">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2.根据本合同的规定向甲方收取相关服务费用，并有权在本项目管理范围内管理及合理使用。</w:t>
      </w:r>
    </w:p>
    <w:p w14:paraId="13BBE0EC">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3.及时向甲方通告本项目服务范围内有关服务的重大事项，及时配合处理投诉。</w:t>
      </w:r>
    </w:p>
    <w:p w14:paraId="562A5F4C">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4.接受项目行业管理部门及政府有关部门的指导，接受甲方的监督。</w:t>
      </w:r>
    </w:p>
    <w:p w14:paraId="5A1CF0D4">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5.国家法律、法规所规定由乙方承担的其它责任。</w:t>
      </w:r>
    </w:p>
    <w:p w14:paraId="62A11498">
      <w:pPr>
        <w:spacing w:line="360" w:lineRule="auto"/>
        <w:ind w:firstLine="482" w:firstLineChars="200"/>
        <w:rPr>
          <w:rFonts w:ascii="仿宋" w:hAnsi="仿宋" w:eastAsia="仿宋" w:cs="仿宋"/>
          <w:b/>
          <w:color w:val="auto"/>
          <w:sz w:val="24"/>
          <w:szCs w:val="24"/>
        </w:rPr>
      </w:pPr>
      <w:r>
        <w:rPr>
          <w:rFonts w:hint="eastAsia" w:ascii="仿宋" w:hAnsi="仿宋" w:eastAsia="仿宋" w:cs="仿宋"/>
          <w:b/>
          <w:color w:val="auto"/>
          <w:sz w:val="24"/>
          <w:szCs w:val="24"/>
        </w:rPr>
        <w:t>第九条：违约责任</w:t>
      </w:r>
    </w:p>
    <w:p w14:paraId="38C8871E">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1.甲乙双方必须遵守本合同并执行合同中的各项规定，保证本合同的正常履行。</w:t>
      </w:r>
    </w:p>
    <w:p w14:paraId="6D17C436">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406C8443">
      <w:pPr>
        <w:spacing w:line="360" w:lineRule="auto"/>
        <w:ind w:firstLine="482" w:firstLineChars="200"/>
        <w:rPr>
          <w:rFonts w:ascii="仿宋" w:hAnsi="仿宋" w:eastAsia="仿宋" w:cs="仿宋"/>
          <w:b/>
          <w:color w:val="auto"/>
          <w:sz w:val="24"/>
          <w:szCs w:val="24"/>
        </w:rPr>
      </w:pPr>
      <w:r>
        <w:rPr>
          <w:rFonts w:hint="eastAsia" w:ascii="仿宋" w:hAnsi="仿宋" w:eastAsia="仿宋" w:cs="仿宋"/>
          <w:b/>
          <w:color w:val="auto"/>
          <w:sz w:val="24"/>
          <w:szCs w:val="24"/>
        </w:rPr>
        <w:t>第十条：不可抗力事件处理</w:t>
      </w:r>
    </w:p>
    <w:p w14:paraId="20F9AF0C">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1.在合同有效期内，任何一方因不可抗力事件导致不能履行合同，则合同履行期可延长，其延长期与不可抗力影响期相同。</w:t>
      </w:r>
    </w:p>
    <w:p w14:paraId="3F426C15">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2.不可抗力事件发生后，应立即通知对方，并寄送有关权威机构出具的证明。</w:t>
      </w:r>
    </w:p>
    <w:p w14:paraId="0A883AE8">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3.不可抗力事件延续20天以上，双方应通过友好协商，确定是否继续履行合同。</w:t>
      </w:r>
    </w:p>
    <w:p w14:paraId="6518A715">
      <w:pPr>
        <w:spacing w:line="360" w:lineRule="auto"/>
        <w:ind w:firstLine="482" w:firstLineChars="200"/>
        <w:rPr>
          <w:rFonts w:ascii="仿宋" w:hAnsi="仿宋" w:eastAsia="仿宋" w:cs="仿宋"/>
          <w:b/>
          <w:color w:val="auto"/>
          <w:sz w:val="24"/>
          <w:szCs w:val="24"/>
        </w:rPr>
      </w:pPr>
      <w:r>
        <w:rPr>
          <w:rFonts w:hint="eastAsia" w:ascii="仿宋" w:hAnsi="仿宋" w:eastAsia="仿宋" w:cs="仿宋"/>
          <w:b/>
          <w:color w:val="auto"/>
          <w:sz w:val="24"/>
          <w:szCs w:val="24"/>
        </w:rPr>
        <w:t>第十一条：解决合同纠纷的方式</w:t>
      </w:r>
    </w:p>
    <w:p w14:paraId="6A56E2B0">
      <w:pPr>
        <w:spacing w:line="360" w:lineRule="auto"/>
        <w:ind w:firstLine="480" w:firstLineChars="200"/>
        <w:rPr>
          <w:rFonts w:hint="eastAsia" w:ascii="仿宋" w:hAnsi="仿宋" w:eastAsia="仿宋" w:cs="仿宋"/>
          <w:color w:val="auto"/>
          <w:sz w:val="24"/>
          <w:szCs w:val="24"/>
        </w:rPr>
      </w:pPr>
      <w:r>
        <w:rPr>
          <w:rFonts w:ascii="仿宋" w:hAnsi="仿宋" w:eastAsia="仿宋" w:cs="仿宋"/>
          <w:color w:val="auto"/>
          <w:sz w:val="24"/>
          <w:szCs w:val="24"/>
        </w:rPr>
        <w:t>1.</w:t>
      </w:r>
      <w:r>
        <w:rPr>
          <w:rFonts w:hint="eastAsia" w:ascii="仿宋" w:hAnsi="仿宋" w:eastAsia="仿宋" w:cs="仿宋"/>
          <w:color w:val="auto"/>
          <w:sz w:val="24"/>
          <w:szCs w:val="24"/>
        </w:rPr>
        <w:t>在执行本合同中发生的或与本合同有关的争端，双方应通过友好协商解决，经协商不能达成协议时，应提交</w:t>
      </w:r>
      <w:r>
        <w:rPr>
          <w:rFonts w:ascii="仿宋" w:hAnsi="仿宋" w:eastAsia="仿宋" w:cs="仿宋"/>
          <w:color w:val="auto"/>
          <w:sz w:val="24"/>
          <w:szCs w:val="24"/>
        </w:rPr>
        <w:t>有管辖权的</w:t>
      </w:r>
      <w:r>
        <w:rPr>
          <w:rFonts w:hint="eastAsia" w:ascii="仿宋" w:hAnsi="仿宋" w:eastAsia="仿宋" w:cs="仿宋"/>
          <w:color w:val="auto"/>
          <w:sz w:val="24"/>
          <w:szCs w:val="24"/>
        </w:rPr>
        <w:t>人民法院提起诉讼解决。</w:t>
      </w:r>
    </w:p>
    <w:p w14:paraId="1957F382">
      <w:pPr>
        <w:spacing w:line="360" w:lineRule="auto"/>
        <w:ind w:firstLine="480" w:firstLineChars="200"/>
        <w:rPr>
          <w:rFonts w:hint="eastAsia" w:ascii="仿宋" w:hAnsi="仿宋" w:eastAsia="仿宋" w:cs="仿宋"/>
          <w:color w:val="auto"/>
          <w:sz w:val="24"/>
          <w:szCs w:val="24"/>
        </w:rPr>
      </w:pPr>
      <w:r>
        <w:rPr>
          <w:rFonts w:ascii="仿宋" w:hAnsi="仿宋" w:eastAsia="仿宋" w:cs="仿宋"/>
          <w:color w:val="auto"/>
          <w:sz w:val="24"/>
          <w:szCs w:val="24"/>
        </w:rPr>
        <w:t>2.</w:t>
      </w:r>
      <w:r>
        <w:rPr>
          <w:rFonts w:hint="eastAsia" w:ascii="仿宋" w:hAnsi="仿宋" w:eastAsia="仿宋" w:cs="仿宋"/>
          <w:color w:val="auto"/>
          <w:sz w:val="24"/>
          <w:szCs w:val="24"/>
        </w:rPr>
        <w:t>法院判决应为最终决定，并对双方具有约束力。</w:t>
      </w:r>
    </w:p>
    <w:p w14:paraId="0377FF75">
      <w:pPr>
        <w:spacing w:line="360" w:lineRule="auto"/>
        <w:ind w:firstLine="480" w:firstLineChars="200"/>
        <w:rPr>
          <w:rFonts w:hint="eastAsia" w:ascii="仿宋" w:hAnsi="仿宋" w:eastAsia="仿宋" w:cs="仿宋"/>
          <w:color w:val="auto"/>
          <w:sz w:val="24"/>
          <w:szCs w:val="24"/>
        </w:rPr>
      </w:pPr>
      <w:r>
        <w:rPr>
          <w:rFonts w:ascii="仿宋" w:hAnsi="仿宋" w:eastAsia="仿宋" w:cs="仿宋"/>
          <w:color w:val="auto"/>
          <w:sz w:val="24"/>
          <w:szCs w:val="24"/>
        </w:rPr>
        <w:t>3.</w:t>
      </w:r>
      <w:r>
        <w:rPr>
          <w:rFonts w:hint="eastAsia" w:ascii="仿宋" w:hAnsi="仿宋" w:eastAsia="仿宋" w:cs="仿宋"/>
          <w:color w:val="auto"/>
          <w:sz w:val="24"/>
          <w:szCs w:val="24"/>
        </w:rPr>
        <w:t>除另有判决外，诉讼费应由败诉方负担。</w:t>
      </w:r>
    </w:p>
    <w:p w14:paraId="404E222A">
      <w:pPr>
        <w:spacing w:line="360" w:lineRule="auto"/>
        <w:ind w:firstLine="480" w:firstLineChars="200"/>
        <w:rPr>
          <w:rFonts w:ascii="仿宋" w:hAnsi="仿宋" w:eastAsia="仿宋" w:cs="仿宋"/>
          <w:color w:val="auto"/>
          <w:sz w:val="24"/>
          <w:szCs w:val="24"/>
        </w:rPr>
      </w:pPr>
      <w:r>
        <w:rPr>
          <w:rFonts w:ascii="仿宋" w:hAnsi="仿宋" w:eastAsia="仿宋" w:cs="仿宋"/>
          <w:color w:val="auto"/>
          <w:sz w:val="24"/>
          <w:szCs w:val="24"/>
        </w:rPr>
        <w:t>4.</w:t>
      </w:r>
      <w:r>
        <w:rPr>
          <w:rFonts w:hint="eastAsia" w:ascii="仿宋" w:hAnsi="仿宋" w:eastAsia="仿宋" w:cs="仿宋"/>
          <w:color w:val="auto"/>
          <w:sz w:val="24"/>
          <w:szCs w:val="24"/>
        </w:rPr>
        <w:t>在诉讼期间，除正在进行诉讼部分外，合同其他部分继续执行。</w:t>
      </w:r>
    </w:p>
    <w:p w14:paraId="78847ABF">
      <w:pPr>
        <w:spacing w:line="360" w:lineRule="auto"/>
        <w:ind w:firstLine="482" w:firstLineChars="200"/>
        <w:rPr>
          <w:rFonts w:ascii="仿宋" w:hAnsi="仿宋" w:eastAsia="仿宋" w:cs="仿宋"/>
          <w:b/>
          <w:color w:val="auto"/>
          <w:sz w:val="24"/>
          <w:szCs w:val="24"/>
        </w:rPr>
      </w:pPr>
      <w:r>
        <w:rPr>
          <w:rFonts w:hint="eastAsia" w:ascii="仿宋" w:hAnsi="仿宋" w:eastAsia="仿宋" w:cs="仿宋"/>
          <w:b/>
          <w:color w:val="auto"/>
          <w:sz w:val="24"/>
          <w:szCs w:val="24"/>
        </w:rPr>
        <w:t>第十二条：合同生效及其他</w:t>
      </w:r>
    </w:p>
    <w:p w14:paraId="4DA67963">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1.合同经双方法定代表人或授权委托代理人签字并加盖单位公章后生效。</w:t>
      </w:r>
    </w:p>
    <w:p w14:paraId="7C0A5819">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2.合同执行中涉及采购资金和采购内容修改或补充的，须经政府采购监管部门审批，并签书面补充协议报政府采购监督管理部门备案，方可作为主合同不可分割的一部分。</w:t>
      </w:r>
    </w:p>
    <w:p w14:paraId="1AA9FE86">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3.本合同一式__份，自双方签章之日起起效。甲方__份，乙方__份，政府采购代理机构__份，同级财政部门备案__份，具有同等法律效力。</w:t>
      </w:r>
    </w:p>
    <w:p w14:paraId="2C0DF6AD">
      <w:pPr>
        <w:spacing w:line="360" w:lineRule="auto"/>
        <w:ind w:firstLine="482" w:firstLineChars="200"/>
        <w:rPr>
          <w:rFonts w:ascii="仿宋" w:hAnsi="仿宋" w:eastAsia="仿宋" w:cs="仿宋"/>
          <w:b/>
          <w:color w:val="auto"/>
          <w:sz w:val="24"/>
          <w:szCs w:val="24"/>
        </w:rPr>
      </w:pPr>
      <w:r>
        <w:rPr>
          <w:rFonts w:hint="eastAsia" w:ascii="仿宋" w:hAnsi="仿宋" w:eastAsia="仿宋" w:cs="仿宋"/>
          <w:b/>
          <w:color w:val="auto"/>
          <w:sz w:val="24"/>
          <w:szCs w:val="24"/>
        </w:rPr>
        <w:t>第十三条：附件</w:t>
      </w:r>
    </w:p>
    <w:p w14:paraId="46B5E5C1">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1.项目</w:t>
      </w:r>
      <w:r>
        <w:rPr>
          <w:rFonts w:ascii="仿宋" w:hAnsi="仿宋" w:eastAsia="仿宋" w:cs="仿宋"/>
          <w:color w:val="auto"/>
          <w:sz w:val="24"/>
          <w:szCs w:val="24"/>
        </w:rPr>
        <w:t>磋商</w:t>
      </w:r>
      <w:r>
        <w:rPr>
          <w:rFonts w:hint="eastAsia" w:ascii="仿宋" w:hAnsi="仿宋" w:eastAsia="仿宋" w:cs="仿宋"/>
          <w:color w:val="auto"/>
          <w:sz w:val="24"/>
          <w:szCs w:val="24"/>
        </w:rPr>
        <w:t>文件</w:t>
      </w:r>
    </w:p>
    <w:p w14:paraId="690C9C94">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2.项目修改澄清文件</w:t>
      </w:r>
    </w:p>
    <w:p w14:paraId="34C8AD3F">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3.项目</w:t>
      </w:r>
      <w:r>
        <w:rPr>
          <w:rFonts w:ascii="仿宋" w:hAnsi="仿宋" w:eastAsia="仿宋" w:cs="仿宋"/>
          <w:color w:val="auto"/>
          <w:sz w:val="24"/>
          <w:szCs w:val="24"/>
        </w:rPr>
        <w:t>响应</w:t>
      </w:r>
      <w:r>
        <w:rPr>
          <w:rFonts w:hint="eastAsia" w:ascii="仿宋" w:hAnsi="仿宋" w:eastAsia="仿宋" w:cs="仿宋"/>
          <w:color w:val="auto"/>
          <w:sz w:val="24"/>
          <w:szCs w:val="24"/>
        </w:rPr>
        <w:t>文件</w:t>
      </w:r>
    </w:p>
    <w:p w14:paraId="75389049">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4.</w:t>
      </w:r>
      <w:r>
        <w:rPr>
          <w:rFonts w:ascii="仿宋" w:hAnsi="仿宋" w:eastAsia="仿宋" w:cs="仿宋"/>
          <w:color w:val="auto"/>
          <w:sz w:val="24"/>
          <w:szCs w:val="24"/>
        </w:rPr>
        <w:t>成交</w:t>
      </w:r>
      <w:r>
        <w:rPr>
          <w:rFonts w:hint="eastAsia" w:ascii="仿宋" w:hAnsi="仿宋" w:eastAsia="仿宋" w:cs="仿宋"/>
          <w:color w:val="auto"/>
          <w:sz w:val="24"/>
          <w:szCs w:val="24"/>
        </w:rPr>
        <w:t>通知书</w:t>
      </w:r>
    </w:p>
    <w:p w14:paraId="33D64A2D">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5.其他</w:t>
      </w:r>
    </w:p>
    <w:p w14:paraId="419B36CF">
      <w:pPr>
        <w:spacing w:line="360" w:lineRule="auto"/>
        <w:ind w:firstLine="480" w:firstLineChars="200"/>
        <w:rPr>
          <w:rFonts w:ascii="仿宋" w:hAnsi="仿宋" w:eastAsia="仿宋" w:cs="仿宋"/>
          <w:color w:val="auto"/>
          <w:sz w:val="24"/>
          <w:szCs w:val="24"/>
        </w:rPr>
      </w:pPr>
    </w:p>
    <w:p w14:paraId="1C8C7405">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 xml:space="preserve">甲方：   （盖单位公章）   </w:t>
      </w:r>
      <w:r>
        <w:rPr>
          <w:rFonts w:hint="eastAsia" w:ascii="仿宋" w:hAnsi="仿宋" w:eastAsia="仿宋" w:cs="仿宋"/>
          <w:color w:val="auto"/>
          <w:sz w:val="24"/>
          <w:szCs w:val="24"/>
        </w:rPr>
        <w:tab/>
      </w:r>
      <w:r>
        <w:rPr>
          <w:rFonts w:hint="eastAsia" w:ascii="仿宋" w:hAnsi="仿宋" w:eastAsia="仿宋" w:cs="仿宋"/>
          <w:color w:val="auto"/>
          <w:sz w:val="24"/>
          <w:szCs w:val="24"/>
        </w:rPr>
        <w:tab/>
      </w:r>
      <w:r>
        <w:rPr>
          <w:rFonts w:hint="eastAsia" w:ascii="仿宋" w:hAnsi="仿宋" w:eastAsia="仿宋" w:cs="仿宋"/>
          <w:color w:val="auto"/>
          <w:sz w:val="24"/>
          <w:szCs w:val="24"/>
        </w:rPr>
        <w:t xml:space="preserve">     乙方：   （盖单位公章）</w:t>
      </w:r>
    </w:p>
    <w:p w14:paraId="755E8810">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法定代表人（授权代表）：           法定代表人（授权代表）：</w:t>
      </w:r>
    </w:p>
    <w:p w14:paraId="716EF895">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地    址：                         地    址：</w:t>
      </w:r>
    </w:p>
    <w:p w14:paraId="6E6ACFD1">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开户银行：                         开户银行：</w:t>
      </w:r>
    </w:p>
    <w:p w14:paraId="0EF4E8AF">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账号：                             账号：</w:t>
      </w:r>
    </w:p>
    <w:p w14:paraId="49FF4BD6">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电    话：                         电    话：</w:t>
      </w:r>
    </w:p>
    <w:p w14:paraId="11B7BA2C">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传    真：                         传    真：</w:t>
      </w:r>
    </w:p>
    <w:p w14:paraId="16F04ADE">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 xml:space="preserve">签约日期：____年__月__日 </w:t>
      </w:r>
      <w:r>
        <w:rPr>
          <w:rFonts w:hint="eastAsia" w:ascii="仿宋" w:hAnsi="仿宋" w:eastAsia="仿宋" w:cs="仿宋"/>
          <w:color w:val="auto"/>
          <w:sz w:val="24"/>
          <w:szCs w:val="24"/>
        </w:rPr>
        <w:tab/>
      </w:r>
      <w:r>
        <w:rPr>
          <w:rFonts w:hint="eastAsia" w:ascii="仿宋" w:hAnsi="仿宋" w:eastAsia="仿宋" w:cs="仿宋"/>
          <w:color w:val="auto"/>
          <w:sz w:val="24"/>
          <w:szCs w:val="24"/>
        </w:rPr>
        <w:tab/>
      </w:r>
      <w:r>
        <w:rPr>
          <w:rFonts w:hint="eastAsia" w:ascii="仿宋" w:hAnsi="仿宋" w:eastAsia="仿宋" w:cs="仿宋"/>
          <w:color w:val="auto"/>
          <w:sz w:val="24"/>
          <w:szCs w:val="24"/>
        </w:rPr>
        <w:tab/>
      </w:r>
      <w:r>
        <w:rPr>
          <w:rFonts w:hint="eastAsia" w:ascii="仿宋" w:hAnsi="仿宋" w:eastAsia="仿宋" w:cs="仿宋"/>
          <w:color w:val="auto"/>
          <w:sz w:val="24"/>
          <w:szCs w:val="24"/>
        </w:rPr>
        <w:t xml:space="preserve">  签约日期：____年__月__日</w:t>
      </w:r>
    </w:p>
    <w:p w14:paraId="4761C503">
      <w:pPr>
        <w:spacing w:line="360" w:lineRule="auto"/>
        <w:ind w:firstLine="420" w:firstLineChars="175"/>
        <w:rPr>
          <w:rFonts w:ascii="仿宋" w:hAnsi="仿宋" w:eastAsia="仿宋" w:cs="仿宋"/>
          <w:color w:val="auto"/>
          <w:sz w:val="24"/>
          <w:szCs w:val="24"/>
          <w:lang w:val="zh-CN"/>
        </w:rPr>
      </w:pPr>
      <w:r>
        <w:rPr>
          <w:rFonts w:hint="eastAsia" w:ascii="仿宋" w:hAnsi="仿宋" w:eastAsia="仿宋" w:cs="仿宋"/>
          <w:color w:val="auto"/>
          <w:sz w:val="24"/>
          <w:szCs w:val="24"/>
        </w:rPr>
        <w:t>注：本合同草案内容因项目实施需要有增加内容的，双方协商后在签订合同时约定。</w:t>
      </w:r>
    </w:p>
    <w:p w14:paraId="53D2C806"/>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w:altName w:val="Lucida Sans Unicode"/>
    <w:panose1 w:val="020B0602030504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D044A6"/>
    <w:rsid w:val="38D044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
    <w:name w:val="00、封面正文(与其他内容无关的格式)"/>
    <w:basedOn w:val="1"/>
    <w:qFormat/>
    <w:uiPriority w:val="0"/>
    <w:rPr>
      <w:rFonts w:ascii="宋体" w:hAnsi="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2025-03-06T03:21:00Z</dcterms:created>
  <dc:creator>酸柠萌</dc:creator>
  <cp:lastModifiedBy>酸柠萌</cp:lastModifiedBy>
  <dcterms:modified xsi:type="dcterms:W3CDTF">2025-03-06T03:22:14Z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B8B44CDD60834E39BFC0EE5C38E6C1A7_11</vt:lpwstr>
  </property>
  <property fmtid="{D5CDD505-2E9C-101B-9397-08002B2CF9AE}" pid="4" name="KSOTemplateDocerSaveRecord">
    <vt:lpwstr>eyJoZGlkIjoiODZkYzRmMDNkODk0YTFiMzNjODA1MWY0NzcxYzdiMjciLCJ1c2VySWQiOiIzMTg4NTc2MjIifQ==</vt:lpwstr>
  </property>
</Properties>
</file>