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版本号：241121001</w:t>
      </w:r>
    </w:p>
    <w:p>
      <w:pPr>
        <w:pStyle w:val="null3"/>
        <w:jc w:val="left"/>
        <w:outlineLvl w:val="0"/>
      </w:pPr>
      <w:r>
        <w:rPr>
          <w:b/>
          <w:sz w:val="48"/>
        </w:rPr>
        <w:t>招 标 文 件</w:t>
      </w:r>
    </w:p>
    <w:p>
      <w:pPr>
        <w:pStyle w:val="null3"/>
        <w:jc w:val="center"/>
        <w:outlineLvl w:val="0"/>
      </w:pPr>
      <w:r>
        <w:rPr>
          <w:b/>
          <w:sz w:val="48"/>
        </w:rPr>
        <w:t>（货物类）</w:t>
      </w:r>
    </w:p>
    <w:p>
      <w:pPr>
        <w:pStyle w:val="null3"/>
        <w:jc w:val="left"/>
        <w:outlineLvl w:val="2"/>
      </w:pPr>
      <w:r>
        <w:rPr>
          <w:b/>
          <w:sz w:val="28"/>
        </w:rPr>
        <w:t>采购项目名称：</w:t>
      </w:r>
      <w:r>
        <w:rPr>
          <w:b/>
          <w:sz w:val="28"/>
        </w:rPr>
        <w:t>南充市移动排涝能力提升项目第二批采购</w:t>
      </w:r>
    </w:p>
    <w:p>
      <w:pPr>
        <w:pStyle w:val="null3"/>
        <w:jc w:val="center"/>
        <w:outlineLvl w:val="2"/>
      </w:pPr>
      <w:r>
        <w:rPr>
          <w:b/>
          <w:sz w:val="28"/>
        </w:rPr>
        <w:t>采购项目编号：</w:t>
      </w:r>
      <w:r>
        <w:rPr>
          <w:b/>
          <w:sz w:val="28"/>
        </w:rPr>
        <w:t>N5113012024000338</w:t>
      </w:r>
    </w:p>
    <w:p>
      <w:pPr>
        <w:pStyle w:val="null3"/>
        <w:jc w:val="left"/>
        <w:outlineLvl w:val="2"/>
      </w:pPr>
      <w:r>
        <w:rPr>
          <w:b/>
          <w:sz w:val="28"/>
        </w:rPr>
        <w:t>南充市住房和城乡建设局</w:t>
      </w:r>
    </w:p>
    <w:p>
      <w:pPr>
        <w:pStyle w:val="null3"/>
        <w:jc w:val="center"/>
        <w:outlineLvl w:val="2"/>
      </w:pPr>
      <w:r>
        <w:rPr>
          <w:b/>
          <w:sz w:val="28"/>
        </w:rPr>
        <w:t>四川迈进工程管理咨询有限公司</w:t>
      </w:r>
      <w:r>
        <w:rPr>
          <w:b/>
          <w:sz w:val="28"/>
        </w:rPr>
        <w:t>共同编制</w:t>
      </w:r>
    </w:p>
    <w:p>
      <w:pPr>
        <w:pStyle w:val="null3"/>
        <w:jc w:val="center"/>
      </w:pPr>
      <w:r>
        <w:rPr/>
        <w:t>2024年11月21日</w:t>
      </w:r>
    </w:p>
    <w:p>
      <w:pPr>
        <w:pStyle w:val="null3"/>
      </w:pPr>
      <w:r>
        <w:rPr/>
        <w:t xml:space="preserve"> </w:t>
        <w:br/>
        <w:br w:type="page"/>
      </w:r>
    </w:p>
    <w:p>
      <w:pPr>
        <w:pStyle w:val="null3"/>
        <w:jc w:val="center"/>
        <w:outlineLvl w:val="1"/>
      </w:pPr>
      <w:r>
        <w:rPr>
          <w:b/>
          <w:sz w:val="36"/>
        </w:rPr>
        <w:t>第一章 投标邀请</w:t>
      </w:r>
    </w:p>
    <w:p>
      <w:pPr>
        <w:pStyle w:val="null3"/>
        <w:ind w:firstLine="480"/>
        <w:jc w:val="left"/>
      </w:pPr>
      <w:r>
        <w:rPr/>
        <w:t>四川迈进工程管理咨询有限公司</w:t>
      </w:r>
      <w:r>
        <w:rPr/>
        <w:t xml:space="preserve"> （以下简称“代理机构”）受 </w:t>
      </w:r>
      <w:r>
        <w:rPr/>
        <w:t>南充市住房和城乡建设局</w:t>
      </w:r>
      <w:r>
        <w:rPr/>
        <w:t xml:space="preserve"> 委托，拟对 </w:t>
      </w:r>
      <w:r>
        <w:rPr/>
        <w:t>南充市移动排涝能力提升项目第二批采购</w:t>
      </w:r>
      <w:r>
        <w:rPr/>
        <w:t xml:space="preserve"> 采用公开招标方式进行采购，兹邀请符合本次招标要求的供应商参加投标。本项目为四川省</w:t>
      </w:r>
      <w:r>
        <w:rPr/>
        <w:t>南充市市本级</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N5113012024000338</w:t>
      </w:r>
    </w:p>
    <w:p>
      <w:pPr>
        <w:pStyle w:val="null3"/>
        <w:jc w:val="left"/>
        <w:outlineLvl w:val="2"/>
      </w:pPr>
      <w:r>
        <w:rPr>
          <w:b/>
          <w:sz w:val="28"/>
        </w:rPr>
        <w:t>1.2.采购项目名称</w:t>
      </w:r>
      <w:r>
        <w:rPr>
          <w:b/>
          <w:sz w:val="28"/>
        </w:rPr>
        <w:t xml:space="preserve">： </w:t>
      </w:r>
      <w:r>
        <w:rPr>
          <w:b/>
          <w:sz w:val="28"/>
        </w:rPr>
        <w:t>南充市移动排涝能力提升项目第二批采购</w:t>
      </w:r>
    </w:p>
    <w:p>
      <w:pPr>
        <w:pStyle w:val="null3"/>
        <w:jc w:val="left"/>
        <w:outlineLvl w:val="2"/>
      </w:pPr>
      <w:r>
        <w:rPr>
          <w:b/>
          <w:sz w:val="28"/>
        </w:rPr>
        <w:t>1.3.招标项目简介</w:t>
      </w:r>
    </w:p>
    <w:p>
      <w:pPr>
        <w:pStyle w:val="null3"/>
        <w:ind w:firstLine="480"/>
        <w:jc w:val="left"/>
      </w:pPr>
      <w:r>
        <w:rPr/>
        <w:t>拟采购移动排涝设备及配套设备一批保障南充及川东北地区城市应急排水救援需要。</w:t>
      </w:r>
    </w:p>
    <w:p>
      <w:pPr>
        <w:pStyle w:val="null3"/>
        <w:jc w:val="left"/>
        <w:outlineLvl w:val="2"/>
      </w:pPr>
      <w:r>
        <w:rPr>
          <w:b/>
          <w:sz w:val="28"/>
        </w:rPr>
        <w:t>1.4.邀请供应商方式</w:t>
      </w:r>
    </w:p>
    <w:p>
      <w:pPr>
        <w:pStyle w:val="null3"/>
        <w:ind w:firstLine="480"/>
        <w:jc w:val="left"/>
      </w:pPr>
      <w:r>
        <w:rPr/>
        <w:t>本项目以招标公告的方式邀请供应商参加投标，招标公告在四川政府采购网（www.ccgp-sichuan.gov.cn）发布。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采购包1：无。</w:t>
      </w:r>
    </w:p>
    <w:p>
      <w:pPr>
        <w:pStyle w:val="null3"/>
        <w:jc w:val="left"/>
      </w:pPr>
      <w:r>
        <w:rPr/>
        <w:t>采购包2：无。</w:t>
      </w:r>
    </w:p>
    <w:p>
      <w:pPr>
        <w:pStyle w:val="null3"/>
        <w:jc w:val="left"/>
      </w:pPr>
      <w:r>
        <w:rPr/>
        <w:t>采购包3：无。</w:t>
      </w:r>
    </w:p>
    <w:p>
      <w:pPr>
        <w:pStyle w:val="null3"/>
        <w:jc w:val="left"/>
      </w:pPr>
      <w:r>
        <w:rPr/>
        <w:t>采购包4：无。</w:t>
      </w:r>
    </w:p>
    <w:p>
      <w:pPr>
        <w:pStyle w:val="null3"/>
        <w:ind w:firstLine="480"/>
        <w:jc w:val="left"/>
      </w:pPr>
      <w:r>
        <w:rPr/>
        <w:t>三、本项目的特定资格要求：</w:t>
      </w:r>
    </w:p>
    <w:p>
      <w:pPr>
        <w:pStyle w:val="null3"/>
        <w:ind w:firstLine="480"/>
        <w:jc w:val="left"/>
      </w:pPr>
      <w:r>
        <w:rPr/>
        <w:t>采购包1：</w:t>
      </w:r>
    </w:p>
    <w:p>
      <w:pPr>
        <w:pStyle w:val="null3"/>
        <w:jc w:val="left"/>
      </w:pPr>
      <w:r>
        <w:rPr/>
        <w:t>1、接受联合体投标（描述：以联合体投标的应当在投标文件中提交联合协议，载明联合体各方承担的工作和义务。）</w:t>
      </w:r>
    </w:p>
    <w:p>
      <w:pPr>
        <w:pStyle w:val="null3"/>
        <w:jc w:val="left"/>
      </w:pPr>
      <w:r>
        <w:rPr/>
        <w:t>采购包2：</w:t>
      </w:r>
    </w:p>
    <w:p>
      <w:pPr>
        <w:pStyle w:val="null3"/>
        <w:jc w:val="left"/>
      </w:pPr>
      <w:r>
        <w:rPr/>
        <w:t>1、接受联合体投标（描述：以联合体投标的应当在投标文件中提交联合协议，载明联合体各方承担的工作和义务。）</w:t>
      </w:r>
    </w:p>
    <w:p>
      <w:pPr>
        <w:pStyle w:val="null3"/>
        <w:jc w:val="left"/>
      </w:pPr>
      <w:r>
        <w:rPr/>
        <w:t>采购包3：</w:t>
      </w:r>
    </w:p>
    <w:p>
      <w:pPr>
        <w:pStyle w:val="null3"/>
        <w:jc w:val="left"/>
      </w:pPr>
      <w:r>
        <w:rPr/>
        <w:t>1、接受联合体投标（描述：以联合体投标的应当在投标文件中提交联合协议，载明联合体各方承担的工作和义务。）</w:t>
      </w:r>
    </w:p>
    <w:p>
      <w:pPr>
        <w:pStyle w:val="null3"/>
        <w:jc w:val="left"/>
      </w:pPr>
      <w:r>
        <w:rPr/>
        <w:t>采购包4：</w:t>
      </w:r>
    </w:p>
    <w:p>
      <w:pPr>
        <w:pStyle w:val="null3"/>
        <w:jc w:val="left"/>
      </w:pPr>
      <w:r>
        <w:rPr/>
        <w:t>1、接受联合体投标（描述：以联合体投标的应当在投标文件中提交联合协议，载明联合体各方承担的工作和义务。）</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CA及签章服务电话：通过四川政府采购网-办事指南进行查询</w:t>
      </w:r>
    </w:p>
    <w:p>
      <w:pPr>
        <w:pStyle w:val="null3"/>
        <w:jc w:val="left"/>
        <w:outlineLvl w:val="2"/>
      </w:pPr>
      <w:r>
        <w:rPr>
          <w:b/>
          <w:sz w:val="28"/>
        </w:rPr>
        <w:t>1.7.招标文件获取时间、方式及地址</w:t>
      </w:r>
    </w:p>
    <w:p>
      <w:pPr>
        <w:pStyle w:val="null3"/>
        <w:ind w:firstLine="480"/>
        <w:jc w:val="left"/>
      </w:pPr>
      <w:r>
        <w:rPr/>
        <w:t>一、招标文件获取时间：详见采购公告。</w:t>
      </w:r>
    </w:p>
    <w:p>
      <w:pPr>
        <w:pStyle w:val="null3"/>
        <w:ind w:firstLine="480"/>
        <w:jc w:val="left"/>
      </w:pPr>
      <w:r>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t>注：获取的招标文件由正文和附件组成，正文部分包括pdf、word两种格式版本，如内容有不一致的，以pdf格式内容为准。</w:t>
      </w:r>
    </w:p>
    <w:p>
      <w:pPr>
        <w:pStyle w:val="null3"/>
        <w:jc w:val="left"/>
        <w:outlineLvl w:val="2"/>
      </w:pPr>
      <w:r>
        <w:rPr>
          <w:b/>
          <w:sz w:val="28"/>
        </w:rPr>
        <w:t>1.8.投标截止时间及开标时间、方式、地点</w:t>
      </w:r>
    </w:p>
    <w:p>
      <w:pPr>
        <w:pStyle w:val="null3"/>
        <w:ind w:firstLine="480"/>
        <w:jc w:val="left"/>
      </w:pPr>
      <w:r>
        <w:rPr/>
        <w:t>一、投标截止时间及开标时间：详见采购公告。</w:t>
      </w:r>
    </w:p>
    <w:p>
      <w:pPr>
        <w:pStyle w:val="null3"/>
        <w:ind w:firstLine="480"/>
        <w:jc w:val="left"/>
      </w:pPr>
      <w:r>
        <w:rPr/>
        <w:t>二、投标人应当在投标截止时间前，通过交易系统提交投标文件。成功提交的，投标人将收到已提交投标文件的回执单。</w:t>
      </w:r>
    </w:p>
    <w:p>
      <w:pPr>
        <w:pStyle w:val="null3"/>
        <w:ind w:firstLine="480"/>
        <w:jc w:val="left"/>
      </w:pPr>
      <w:r>
        <w:rPr/>
        <w:t>三、本项目采取网上开标，采购人或者代理机构通过交易系统“开标/开启大厅”组织在线开标。</w:t>
      </w:r>
    </w:p>
    <w:p>
      <w:pPr>
        <w:pStyle w:val="null3"/>
        <w:jc w:val="left"/>
        <w:outlineLvl w:val="2"/>
      </w:pPr>
      <w:r>
        <w:rPr>
          <w:b/>
          <w:sz w:val="28"/>
        </w:rPr>
        <w:t>1.9.供应商信用融资</w:t>
      </w:r>
    </w:p>
    <w:p>
      <w:pPr>
        <w:pStyle w:val="null3"/>
        <w:ind w:firstLine="480"/>
        <w:jc w:val="left"/>
      </w:pPr>
      <w:r>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b/>
          <w:sz w:val="28"/>
        </w:rPr>
        <w:t>1.10.联系方式</w:t>
      </w:r>
    </w:p>
    <w:p>
      <w:pPr>
        <w:pStyle w:val="null3"/>
        <w:ind w:firstLine="480"/>
        <w:jc w:val="left"/>
      </w:pPr>
      <w:r>
        <w:rPr>
          <w:b/>
        </w:rPr>
        <w:t>采购人</w:t>
      </w:r>
      <w:r>
        <w:rPr>
          <w:b/>
        </w:rPr>
        <w:t xml:space="preserve">： </w:t>
      </w:r>
      <w:r>
        <w:rPr>
          <w:b/>
        </w:rPr>
        <w:t>南充市住房和城乡建设局</w:t>
      </w:r>
    </w:p>
    <w:p>
      <w:pPr>
        <w:pStyle w:val="null3"/>
        <w:ind w:firstLine="480"/>
        <w:jc w:val="left"/>
      </w:pPr>
      <w:r>
        <w:rPr/>
        <w:t xml:space="preserve"> 地址： </w:t>
      </w:r>
      <w:r>
        <w:rPr/>
        <w:t>南充市顺庆区万年东路1号</w:t>
      </w:r>
    </w:p>
    <w:p>
      <w:pPr>
        <w:pStyle w:val="null3"/>
        <w:jc w:val="left"/>
      </w:pPr>
      <w:r>
        <w:rPr/>
        <w:t xml:space="preserve"> 邮编： </w:t>
      </w:r>
      <w:r>
        <w:rPr/>
        <w:t>637000</w:t>
      </w:r>
    </w:p>
    <w:p>
      <w:pPr>
        <w:pStyle w:val="null3"/>
        <w:jc w:val="left"/>
      </w:pPr>
      <w:r>
        <w:rPr/>
        <w:t xml:space="preserve"> 联系人： </w:t>
      </w:r>
      <w:r>
        <w:rPr/>
        <w:t>李先生</w:t>
      </w:r>
    </w:p>
    <w:p>
      <w:pPr>
        <w:pStyle w:val="null3"/>
        <w:jc w:val="left"/>
      </w:pPr>
      <w:r>
        <w:rPr/>
        <w:t xml:space="preserve"> 联系电话： </w:t>
      </w:r>
      <w:r>
        <w:rPr/>
        <w:t>0817-2712251</w:t>
      </w:r>
    </w:p>
    <w:p>
      <w:pPr>
        <w:pStyle w:val="null3"/>
        <w:ind w:firstLine="480"/>
        <w:jc w:val="left"/>
      </w:pPr>
      <w:r>
        <w:rPr>
          <w:b/>
        </w:rPr>
        <w:t>代理机构</w:t>
      </w:r>
      <w:r>
        <w:rPr>
          <w:b/>
        </w:rPr>
        <w:t xml:space="preserve">： </w:t>
      </w:r>
      <w:r>
        <w:rPr>
          <w:b/>
        </w:rPr>
        <w:t>四川迈进工程管理咨询有限公司</w:t>
      </w:r>
    </w:p>
    <w:p>
      <w:pPr>
        <w:pStyle w:val="null3"/>
        <w:ind w:firstLine="480"/>
        <w:jc w:val="left"/>
      </w:pPr>
      <w:r>
        <w:rPr/>
        <w:t xml:space="preserve"> 地址： </w:t>
      </w:r>
      <w:r>
        <w:rPr/>
        <w:t>四川省南充市嘉陵区滨江南路二段78号宏凌大厦7层7号</w:t>
      </w:r>
    </w:p>
    <w:p>
      <w:pPr>
        <w:pStyle w:val="null3"/>
        <w:jc w:val="left"/>
      </w:pPr>
      <w:r>
        <w:rPr/>
        <w:t xml:space="preserve"> 邮编： </w:t>
      </w:r>
      <w:r>
        <w:rPr/>
        <w:t>637900</w:t>
      </w:r>
    </w:p>
    <w:p>
      <w:pPr>
        <w:pStyle w:val="null3"/>
        <w:jc w:val="left"/>
      </w:pPr>
      <w:r>
        <w:rPr/>
        <w:t xml:space="preserve"> 联系人： </w:t>
      </w:r>
      <w:r>
        <w:rPr/>
        <w:t>李先生</w:t>
      </w:r>
    </w:p>
    <w:p>
      <w:pPr>
        <w:pStyle w:val="null3"/>
        <w:jc w:val="left"/>
      </w:pPr>
      <w:r>
        <w:rPr/>
        <w:t xml:space="preserve"> 联系电话： </w:t>
      </w:r>
      <w:r>
        <w:rPr/>
        <w:t>0817-3763148</w:t>
      </w:r>
    </w:p>
    <w:p>
      <w:pPr>
        <w:pStyle w:val="null3"/>
      </w:pPr>
      <w:r>
        <w:rPr/>
        <w:t xml:space="preserve"> </w:t>
        <w:br/>
        <w:br w:type="page"/>
      </w:r>
    </w:p>
    <w:p>
      <w:pPr>
        <w:pStyle w:val="null3"/>
        <w:jc w:val="center"/>
        <w:outlineLvl w:val="1"/>
      </w:pPr>
      <w:r>
        <w:rPr>
          <w:b/>
          <w:sz w:val="36"/>
        </w:rPr>
        <w:t>第二章 投标人须知</w:t>
      </w:r>
    </w:p>
    <w:p>
      <w:pPr>
        <w:pStyle w:val="null3"/>
        <w:jc w:val="left"/>
        <w:outlineLvl w:val="2"/>
      </w:pPr>
      <w:r>
        <w:rPr>
          <w:b/>
          <w:sz w:val="28"/>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采购包1：77,400,000.00元</w:t>
            </w:r>
          </w:p>
          <w:p>
            <w:pPr>
              <w:pStyle w:val="null3"/>
              <w:jc w:val="left"/>
            </w:pPr>
            <w:r>
              <w:rPr/>
              <w:t>采购包2：16,250,000.00元</w:t>
            </w:r>
          </w:p>
          <w:p>
            <w:pPr>
              <w:pStyle w:val="null3"/>
              <w:jc w:val="left"/>
            </w:pPr>
            <w:r>
              <w:rPr/>
              <w:t>采购包3：51,200,000.00元</w:t>
            </w:r>
          </w:p>
          <w:p>
            <w:pPr>
              <w:pStyle w:val="null3"/>
              <w:jc w:val="left"/>
            </w:pPr>
            <w:r>
              <w:rPr/>
              <w:t>采购包4：28,310,000.00元</w:t>
            </w:r>
          </w:p>
          <w:p>
            <w:pPr>
              <w:pStyle w:val="null3"/>
              <w:jc w:val="left"/>
            </w:pPr>
            <w:r>
              <w:rPr/>
              <w:t>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t>2</w:t>
            </w:r>
          </w:p>
        </w:tc>
        <w:tc>
          <w:tcPr>
            <w:tcW w:type="dxa" w:w="2252"/>
          </w:tcPr>
          <w:p>
            <w:pPr>
              <w:pStyle w:val="null3"/>
              <w:jc w:val="left"/>
            </w:pPr>
            <w:r>
              <w:rPr/>
              <w:t>评标方法</w:t>
            </w:r>
          </w:p>
        </w:tc>
        <w:tc>
          <w:tcPr>
            <w:tcW w:type="dxa" w:w="5004"/>
          </w:tcPr>
          <w:p>
            <w:pPr>
              <w:pStyle w:val="null3"/>
              <w:jc w:val="left"/>
            </w:pPr>
            <w:r>
              <w:rPr/>
              <w:t>采购包1：综合评分法</w:t>
            </w:r>
          </w:p>
          <w:p>
            <w:pPr>
              <w:pStyle w:val="null3"/>
              <w:jc w:val="left"/>
            </w:pPr>
            <w:r>
              <w:rPr/>
              <w:t>采购包2：综合评分法</w:t>
            </w:r>
          </w:p>
          <w:p>
            <w:pPr>
              <w:pStyle w:val="null3"/>
              <w:jc w:val="left"/>
            </w:pPr>
            <w:r>
              <w:rPr/>
              <w:t>采购包3：综合评分法</w:t>
            </w:r>
          </w:p>
          <w:p>
            <w:pPr>
              <w:pStyle w:val="null3"/>
              <w:jc w:val="left"/>
            </w:pPr>
            <w:r>
              <w:rPr/>
              <w:t>采购包4：综合评分法</w:t>
            </w:r>
            <w:r>
              <w:rPr/>
              <w:t xml:space="preserve"> （具体规则详见第五章）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采购包1：接受联合体</w:t>
            </w:r>
          </w:p>
          <w:p>
            <w:pPr>
              <w:pStyle w:val="null3"/>
              <w:jc w:val="left"/>
            </w:pPr>
            <w:r>
              <w:rPr/>
              <w:t>采购包2：接受联合体</w:t>
            </w:r>
          </w:p>
          <w:p>
            <w:pPr>
              <w:pStyle w:val="null3"/>
              <w:jc w:val="left"/>
            </w:pPr>
            <w:r>
              <w:rPr/>
              <w:t>采购包3：接受联合体</w:t>
            </w:r>
          </w:p>
          <w:p>
            <w:pPr>
              <w:pStyle w:val="null3"/>
              <w:jc w:val="left"/>
            </w:pPr>
            <w:r>
              <w:rPr/>
              <w:t>采购包4：接受联合体</w:t>
            </w:r>
          </w:p>
          <w:p>
            <w:pPr>
              <w:pStyle w:val="null3"/>
              <w:jc w:val="left"/>
            </w:pPr>
            <w:r>
              <w:rPr/>
              <w:t>如接受联合体，需符合以下要求：</w:t>
            </w:r>
          </w:p>
          <w:p>
            <w:pPr>
              <w:pStyle w:val="null3"/>
              <w:jc w:val="left"/>
            </w:pPr>
            <w:r>
              <w:rPr/>
              <w:t>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采购包1：收取</w:t>
            </w:r>
          </w:p>
          <w:p>
            <w:pPr>
              <w:pStyle w:val="null3"/>
              <w:jc w:val="left"/>
            </w:pPr>
            <w:r>
              <w:rPr/>
              <w:t>本采购包履约保证金为合同金额的5%</w:t>
            </w:r>
          </w:p>
          <w:p>
            <w:pPr>
              <w:pStyle w:val="null3"/>
              <w:jc w:val="left"/>
            </w:pPr>
            <w:r>
              <w:rPr/>
              <w:t>交款方式：银行转账，支票/汇票/本票，保函/保险</w:t>
            </w:r>
          </w:p>
          <w:p>
            <w:pPr>
              <w:pStyle w:val="null3"/>
              <w:jc w:val="left"/>
            </w:pPr>
            <w:r>
              <w:rPr/>
              <w:t>交款时间：中标通知书发放后，政府采购合同签订前。</w:t>
              <w:br/>
              <w:t>履约保证金退还方式：原账号返回。</w:t>
              <w:br/>
              <w:t xml:space="preserve">履约保证金退还时间：项目履约验收完成后。 </w:t>
              <w:br/>
              <w:t>履约保证金不予退还情形：中标人不履行与采购人订立的合同的，履约保证金不予退还。 履约保证金不予退还的，将按照有关规定上缴国库。</w:t>
            </w:r>
          </w:p>
          <w:p>
            <w:pPr>
              <w:pStyle w:val="null3"/>
              <w:jc w:val="left"/>
            </w:pPr>
            <w:r>
              <w:rPr/>
              <w:t>采购包2：收取</w:t>
            </w:r>
          </w:p>
          <w:p>
            <w:pPr>
              <w:pStyle w:val="null3"/>
              <w:jc w:val="left"/>
            </w:pPr>
            <w:r>
              <w:rPr/>
              <w:t>本采购包履约保证金为合同金额的5%</w:t>
            </w:r>
          </w:p>
          <w:p>
            <w:pPr>
              <w:pStyle w:val="null3"/>
              <w:jc w:val="left"/>
            </w:pPr>
            <w:r>
              <w:rPr/>
              <w:t>交款方式：银行转账，支票/汇票/本票，保函/保险</w:t>
            </w:r>
          </w:p>
          <w:p>
            <w:pPr>
              <w:pStyle w:val="null3"/>
              <w:jc w:val="left"/>
            </w:pPr>
            <w:r>
              <w:rPr/>
              <w:t>交款时间：中标通知书发放后，政府采购合同签订前。</w:t>
              <w:br/>
              <w:t>履约保证金退还方式：原账号返回。</w:t>
              <w:br/>
              <w:t xml:space="preserve">履约保证金退还时间：项目履约验收完成后。 </w:t>
              <w:br/>
              <w:t>履约保证金不予退还情形：中标人不履行与采购人订立的合同的，履约保证金不予退还。 履约保证金不予退还的，将按照有关规定上缴国库。</w:t>
            </w:r>
          </w:p>
          <w:p>
            <w:pPr>
              <w:pStyle w:val="null3"/>
              <w:jc w:val="left"/>
            </w:pPr>
            <w:r>
              <w:rPr/>
              <w:t>采购包3：收取</w:t>
            </w:r>
          </w:p>
          <w:p>
            <w:pPr>
              <w:pStyle w:val="null3"/>
              <w:jc w:val="left"/>
            </w:pPr>
            <w:r>
              <w:rPr/>
              <w:t>本采购包履约保证金为合同金额的5%</w:t>
            </w:r>
          </w:p>
          <w:p>
            <w:pPr>
              <w:pStyle w:val="null3"/>
              <w:jc w:val="left"/>
            </w:pPr>
            <w:r>
              <w:rPr/>
              <w:t>交款方式：银行转账，支票/汇票/本票，保函/保险</w:t>
            </w:r>
          </w:p>
          <w:p>
            <w:pPr>
              <w:pStyle w:val="null3"/>
              <w:jc w:val="left"/>
            </w:pPr>
            <w:r>
              <w:rPr/>
              <w:t>交款时间：中标通知书发放后，政府采购合同签订前。</w:t>
              <w:br/>
              <w:t>履约保证金退还方式：原账号返回。</w:t>
              <w:br/>
              <w:t xml:space="preserve">履约保证金退还时间：项目履约验收完成后。 </w:t>
              <w:br/>
              <w:t>履约保证金不予退还情形：中标人不履行与采购人订立的合同的，履约保证金不予退还。 履约保证金不予退还的，将按照有关规定上缴国库。</w:t>
            </w:r>
          </w:p>
          <w:p>
            <w:pPr>
              <w:pStyle w:val="null3"/>
              <w:jc w:val="left"/>
            </w:pPr>
            <w:r>
              <w:rPr/>
              <w:t>采购包4：收取</w:t>
            </w:r>
          </w:p>
          <w:p>
            <w:pPr>
              <w:pStyle w:val="null3"/>
              <w:jc w:val="left"/>
            </w:pPr>
            <w:r>
              <w:rPr/>
              <w:t>本采购包履约保证金为合同金额的5.0%</w:t>
            </w:r>
          </w:p>
          <w:p>
            <w:pPr>
              <w:pStyle w:val="null3"/>
              <w:jc w:val="left"/>
            </w:pPr>
            <w:r>
              <w:rPr/>
              <w:t>交款方式：银行转账，支票/汇票/本票，保函/保险</w:t>
            </w:r>
          </w:p>
          <w:p>
            <w:pPr>
              <w:pStyle w:val="null3"/>
              <w:jc w:val="left"/>
            </w:pPr>
            <w:r>
              <w:rPr/>
              <w:t>交款时间：中标通知书发放后，政府采购合同签订前。</w:t>
              <w:br/>
              <w:t>履约保证金退还方式：原账号返回。</w:t>
              <w:br/>
              <w:t xml:space="preserve">履约保证金退还时间：项目履约验收完成后。 </w:t>
              <w:br/>
              <w:t>履约保证金不予退还情形：中标人不履行与采购人订立的合同的，履约保证金不予退还。 履约保证金不予退还的，将按照有关规定上缴国库。</w:t>
            </w:r>
          </w:p>
        </w:tc>
      </w:tr>
      <w:tr>
        <w:tc>
          <w:tcPr>
            <w:tcW w:type="dxa" w:w="1051"/>
          </w:tcPr>
          <w:p>
            <w:pPr>
              <w:pStyle w:val="null3"/>
              <w:jc w:val="left"/>
            </w:pPr>
            <w:r>
              <w:rPr/>
              <w:t>6</w:t>
            </w:r>
          </w:p>
        </w:tc>
        <w:tc>
          <w:tcPr>
            <w:tcW w:type="dxa" w:w="2252"/>
          </w:tcPr>
          <w:p>
            <w:pPr>
              <w:pStyle w:val="null3"/>
              <w:jc w:val="left"/>
            </w:pPr>
            <w:r>
              <w:rPr/>
              <w:t>投标有效期★</w:t>
            </w:r>
          </w:p>
        </w:tc>
        <w:tc>
          <w:tcPr>
            <w:tcW w:type="dxa" w:w="5004"/>
          </w:tcPr>
          <w:p>
            <w:pPr>
              <w:pStyle w:val="null3"/>
              <w:jc w:val="left"/>
            </w:pPr>
            <w:r>
              <w:rPr/>
              <w:t xml:space="preserve">提交投标文件的截止之日起不少于 </w:t>
            </w:r>
            <w:r>
              <w:rPr/>
              <w:t>90</w:t>
            </w:r>
            <w:r>
              <w:rPr/>
              <w:t xml:space="preserve"> 天。投标文件未明确投标有效期或者少于前述规定天数的，其投标文件按无效处理。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本项目收取代理服务费</w:t>
            </w:r>
          </w:p>
          <w:p>
            <w:pPr>
              <w:pStyle w:val="null3"/>
              <w:jc w:val="left"/>
            </w:pPr>
            <w:r>
              <w:rPr/>
              <w:t>代理服务费用收取对象：中标人</w:t>
            </w:r>
          </w:p>
          <w:p>
            <w:pPr>
              <w:pStyle w:val="null3"/>
              <w:jc w:val="left"/>
            </w:pPr>
            <w:r>
              <w:rPr/>
              <w:t>代理服务费收费标准：定额收取。采购包1:30000元；采购包2:18800元；采购包3:20000元；采购包4:18800元。</w:t>
            </w:r>
          </w:p>
        </w:tc>
      </w:tr>
      <w:tr>
        <w:tc>
          <w:tcPr>
            <w:tcW w:type="dxa" w:w="1051"/>
          </w:tcPr>
          <w:p>
            <w:pPr>
              <w:pStyle w:val="null3"/>
              <w:jc w:val="left"/>
            </w:pPr>
            <w:r>
              <w:rPr/>
              <w:t>8</w:t>
            </w:r>
          </w:p>
        </w:tc>
        <w:tc>
          <w:tcPr>
            <w:tcW w:type="dxa" w:w="2252"/>
          </w:tcPr>
          <w:p>
            <w:pPr>
              <w:pStyle w:val="null3"/>
              <w:jc w:val="left"/>
            </w:pPr>
            <w:r>
              <w:rPr/>
              <w:t>中标结果公告</w:t>
            </w:r>
          </w:p>
        </w:tc>
        <w:tc>
          <w:tcPr>
            <w:tcW w:type="dxa" w:w="5004"/>
          </w:tcPr>
          <w:p>
            <w:pPr>
              <w:pStyle w:val="null3"/>
              <w:jc w:val="left"/>
            </w:pPr>
            <w:r>
              <w:rPr/>
              <w:t>中标结果将在四川政府采购网予以公告。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是否组织潜在投标人现场考察</w:t>
            </w:r>
          </w:p>
        </w:tc>
        <w:tc>
          <w:tcPr>
            <w:tcW w:type="dxa" w:w="5004"/>
          </w:tcPr>
          <w:p>
            <w:pPr>
              <w:pStyle w:val="null3"/>
              <w:jc w:val="left"/>
            </w:pPr>
            <w:r>
              <w:rPr/>
              <w:t>采购包1：否</w:t>
            </w:r>
          </w:p>
          <w:p>
            <w:pPr>
              <w:pStyle w:val="null3"/>
              <w:jc w:val="left"/>
            </w:pPr>
            <w:r>
              <w:rPr/>
              <w:t>采购包2：否</w:t>
            </w:r>
          </w:p>
          <w:p>
            <w:pPr>
              <w:pStyle w:val="null3"/>
              <w:jc w:val="left"/>
            </w:pPr>
            <w:r>
              <w:rPr/>
              <w:t>采购包3：否</w:t>
            </w:r>
          </w:p>
          <w:p>
            <w:pPr>
              <w:pStyle w:val="null3"/>
              <w:jc w:val="left"/>
            </w:pPr>
            <w:r>
              <w:rPr/>
              <w:t>采购包4：否</w:t>
            </w:r>
          </w:p>
        </w:tc>
      </w:tr>
      <w:tr>
        <w:tc>
          <w:tcPr>
            <w:tcW w:type="dxa" w:w="1051"/>
          </w:tcPr>
          <w:p>
            <w:pPr>
              <w:pStyle w:val="null3"/>
              <w:jc w:val="left"/>
            </w:pPr>
            <w:r>
              <w:rPr/>
              <w:t>10</w:t>
            </w:r>
          </w:p>
        </w:tc>
        <w:tc>
          <w:tcPr>
            <w:tcW w:type="dxa" w:w="2252"/>
          </w:tcPr>
          <w:p>
            <w:pPr>
              <w:pStyle w:val="null3"/>
              <w:jc w:val="left"/>
            </w:pPr>
            <w:r>
              <w:rPr/>
              <w:t>是否召开开标前答疑会</w:t>
            </w:r>
          </w:p>
        </w:tc>
        <w:tc>
          <w:tcPr>
            <w:tcW w:type="dxa" w:w="5004"/>
          </w:tcPr>
          <w:p>
            <w:pPr>
              <w:pStyle w:val="null3"/>
              <w:jc w:val="left"/>
            </w:pPr>
            <w:r>
              <w:rPr/>
              <w:t>否</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一、交易系统发生故障（包括感染病毒、应用或数据库出错）而无法正常使用的；</w:t>
            </w:r>
          </w:p>
          <w:p>
            <w:pPr>
              <w:pStyle w:val="null3"/>
              <w:jc w:val="left"/>
            </w:pPr>
            <w:r>
              <w:rPr/>
              <w:t>二、因组织场所停电、断网等原因，导致采购活动无法继续通过交易系统实施的；</w:t>
            </w:r>
          </w:p>
          <w:p>
            <w:pPr>
              <w:pStyle w:val="null3"/>
              <w:jc w:val="left"/>
            </w:pPr>
            <w:r>
              <w:rPr/>
              <w:t>三、其他无法保证电子化交易的公平、公正和安全的情况。</w:t>
            </w:r>
          </w:p>
          <w:p>
            <w:pPr>
              <w:pStyle w:val="null3"/>
              <w:jc w:val="left"/>
            </w:pPr>
            <w:r>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注：</w:t>
            </w:r>
          </w:p>
          <w:p>
            <w:pPr>
              <w:pStyle w:val="null3"/>
              <w:jc w:val="left"/>
            </w:pPr>
            <w:r>
              <w:rPr/>
              <w:t>1.平台系统故障认定以四川政府采购网发布的系统运维通知内容为准；</w:t>
            </w:r>
          </w:p>
          <w:p>
            <w:pPr>
              <w:pStyle w:val="null3"/>
              <w:jc w:val="left"/>
            </w:pPr>
            <w:r>
              <w:rPr/>
              <w:t>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本招标文件所称的“以上”、“以下”、“内”、“以内”、“不少于”包括本数；所称的“不足”、“低于”、“超过”不包括本数。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一、本招标文件仅适用于本次公开招标采购项目。</w:t>
      </w:r>
    </w:p>
    <w:p>
      <w:pPr>
        <w:pStyle w:val="null3"/>
        <w:ind w:firstLine="480"/>
        <w:jc w:val="left"/>
      </w:pPr>
      <w:r>
        <w:rPr/>
        <w:t xml:space="preserve">二、本招标文件由 </w:t>
      </w:r>
      <w:r>
        <w:rPr/>
        <w:t>南充市住房和城乡建设局</w:t>
      </w:r>
      <w:r>
        <w:rPr/>
        <w:t xml:space="preserve"> 和 </w:t>
      </w:r>
      <w:r>
        <w:rPr/>
        <w:t>四川迈进工程管理咨询有限公司</w:t>
      </w:r>
      <w:r>
        <w:rPr/>
        <w:t xml:space="preserve"> 负责解释。</w:t>
      </w:r>
    </w:p>
    <w:p>
      <w:pPr>
        <w:pStyle w:val="null3"/>
        <w:jc w:val="left"/>
        <w:outlineLvl w:val="3"/>
      </w:pPr>
      <w:r>
        <w:rPr>
          <w:b/>
          <w:sz w:val="24"/>
        </w:rPr>
        <w:t>2.2.2.有关定义</w:t>
      </w:r>
    </w:p>
    <w:p>
      <w:pPr>
        <w:pStyle w:val="null3"/>
        <w:ind w:firstLine="480"/>
        <w:jc w:val="left"/>
      </w:pPr>
      <w:r>
        <w:rPr/>
        <w:t xml:space="preserve">一、“采购人”是指依法进行政府采购的国家机关、事业单位、团体组织。本次招标的采购人是 </w:t>
      </w:r>
      <w:r>
        <w:rPr/>
        <w:t>南充市住房和城乡建设局</w:t>
      </w:r>
      <w:r>
        <w:rPr/>
        <w:t xml:space="preserve"> 。</w:t>
      </w:r>
    </w:p>
    <w:p>
      <w:pPr>
        <w:pStyle w:val="null3"/>
        <w:ind w:firstLine="480"/>
        <w:jc w:val="left"/>
      </w:pPr>
      <w:r>
        <w:rPr/>
        <w:t>二、“投标人”是指按照采购公告规定获取招标文件，参加投标竞争的法人、其他组织或者自然人。</w:t>
      </w:r>
    </w:p>
    <w:p>
      <w:pPr>
        <w:pStyle w:val="null3"/>
        <w:ind w:firstLine="480"/>
        <w:jc w:val="left"/>
      </w:pPr>
      <w:r>
        <w:rPr/>
        <w:t xml:space="preserve">三、“代理机构”是指集中采购机构和从事采购代理业务的社会中介机构。本项目的代理机构是 </w:t>
      </w:r>
      <w:r>
        <w:rPr/>
        <w:t>四川迈进工程管理咨询有限公司</w:t>
      </w:r>
      <w:r>
        <w:rPr/>
        <w:t xml:space="preserve"> 。</w:t>
      </w:r>
    </w:p>
    <w:p>
      <w:pPr>
        <w:pStyle w:val="null3"/>
        <w:ind w:firstLine="480"/>
        <w:jc w:val="left"/>
      </w:pPr>
      <w:r>
        <w:rPr/>
        <w:t>四、“网上开标”是指代理机构通过交易系统在线组织投标文件解密，投标人通过交易系统在线解密投标文件等活动。</w:t>
      </w:r>
    </w:p>
    <w:p>
      <w:pPr>
        <w:pStyle w:val="null3"/>
        <w:ind w:firstLine="480"/>
        <w:jc w:val="left"/>
      </w:pPr>
      <w:r>
        <w:rPr/>
        <w:t>五、“电子评标”是指采购人或者代理机构开展资格审查，评标委员会开展符合性审查、比较与评价、推荐中标候选人、出具评标报告等活动。</w:t>
      </w:r>
    </w:p>
    <w:p>
      <w:pPr>
        <w:pStyle w:val="null3"/>
        <w:jc w:val="left"/>
        <w:outlineLvl w:val="2"/>
      </w:pPr>
      <w:r>
        <w:rPr>
          <w:b/>
          <w:sz w:val="28"/>
        </w:rPr>
        <w:t>2.3.招标文件</w:t>
      </w:r>
    </w:p>
    <w:p>
      <w:pPr>
        <w:pStyle w:val="null3"/>
        <w:jc w:val="left"/>
        <w:outlineLvl w:val="3"/>
      </w:pPr>
      <w:r>
        <w:rPr>
          <w:b/>
          <w:sz w:val="24"/>
        </w:rPr>
        <w:t>2.3.1.招标文件的构成</w:t>
      </w:r>
    </w:p>
    <w:p>
      <w:pPr>
        <w:pStyle w:val="null3"/>
        <w:ind w:firstLine="480"/>
        <w:jc w:val="left"/>
      </w:pPr>
      <w:r>
        <w:rPr/>
        <w:t>招标文件由采购人、代理机构编制，是项目采购活动开展的基本依据，主要包括以下内容：</w:t>
      </w:r>
    </w:p>
    <w:p>
      <w:pPr>
        <w:pStyle w:val="null3"/>
        <w:ind w:firstLine="480"/>
        <w:jc w:val="left"/>
      </w:pPr>
      <w:r>
        <w:rPr/>
        <w:t>一、投标邀请；</w:t>
      </w:r>
    </w:p>
    <w:p>
      <w:pPr>
        <w:pStyle w:val="null3"/>
        <w:ind w:firstLine="480"/>
        <w:jc w:val="left"/>
      </w:pPr>
      <w:r>
        <w:rPr/>
        <w:t>二、投标人须知；</w:t>
      </w:r>
    </w:p>
    <w:p>
      <w:pPr>
        <w:pStyle w:val="null3"/>
        <w:ind w:firstLine="480"/>
        <w:jc w:val="left"/>
      </w:pPr>
      <w:r>
        <w:rPr/>
        <w:t>三、技术、服务及其他要求；</w:t>
      </w:r>
    </w:p>
    <w:p>
      <w:pPr>
        <w:pStyle w:val="null3"/>
        <w:ind w:firstLine="480"/>
        <w:jc w:val="left"/>
      </w:pPr>
      <w:r>
        <w:rPr/>
        <w:t>四、资格审查；</w:t>
      </w:r>
    </w:p>
    <w:p>
      <w:pPr>
        <w:pStyle w:val="null3"/>
        <w:ind w:firstLine="480"/>
        <w:jc w:val="left"/>
      </w:pPr>
      <w:r>
        <w:rPr/>
        <w:t>五、评标办法；</w:t>
      </w:r>
    </w:p>
    <w:p>
      <w:pPr>
        <w:pStyle w:val="null3"/>
        <w:ind w:firstLine="480"/>
        <w:jc w:val="left"/>
      </w:pPr>
      <w:r>
        <w:rPr/>
        <w:t>六、投标文件格式；</w:t>
      </w:r>
    </w:p>
    <w:p>
      <w:pPr>
        <w:pStyle w:val="null3"/>
        <w:ind w:firstLine="480"/>
        <w:jc w:val="left"/>
      </w:pPr>
      <w:r>
        <w:rPr/>
        <w:t>七、拟签订采购合同文本。</w:t>
      </w:r>
    </w:p>
    <w:p>
      <w:pPr>
        <w:pStyle w:val="null3"/>
        <w:jc w:val="left"/>
        <w:outlineLvl w:val="3"/>
      </w:pPr>
      <w:r>
        <w:rPr>
          <w:b/>
          <w:sz w:val="24"/>
        </w:rPr>
        <w:t>2.3.2.招标文件的澄清和修改</w:t>
      </w:r>
    </w:p>
    <w:p>
      <w:pPr>
        <w:pStyle w:val="null3"/>
        <w:ind w:firstLine="480"/>
        <w:jc w:val="left"/>
      </w:pPr>
      <w:r>
        <w:rPr/>
        <w:t>一、投标截止时间前，采购人或者代理机构可以对已发出的招标文件进行必要的澄清或者修改，但不得改变采购标的和资格条件。</w:t>
      </w:r>
    </w:p>
    <w:p>
      <w:pPr>
        <w:pStyle w:val="null3"/>
        <w:ind w:firstLine="480"/>
        <w:jc w:val="left"/>
      </w:pPr>
      <w:r>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t>三、投标人根据更正公告、更正信息要求，下载更正后的招标文件，进行投标文件编制。</w:t>
      </w:r>
    </w:p>
    <w:p>
      <w:pPr>
        <w:pStyle w:val="null3"/>
        <w:jc w:val="left"/>
        <w:outlineLvl w:val="2"/>
      </w:pPr>
      <w:r>
        <w:rPr>
          <w:b/>
          <w:sz w:val="28"/>
        </w:rPr>
        <w:t>2.4.投标文件</w:t>
      </w:r>
    </w:p>
    <w:p>
      <w:pPr>
        <w:pStyle w:val="null3"/>
        <w:jc w:val="left"/>
        <w:outlineLvl w:val="3"/>
      </w:pPr>
      <w:r>
        <w:rPr>
          <w:b/>
          <w:sz w:val="24"/>
        </w:rPr>
        <w:t>2.4.1.投标文件的语言</w:t>
      </w:r>
    </w:p>
    <w:p>
      <w:pPr>
        <w:pStyle w:val="null3"/>
        <w:ind w:firstLine="480"/>
        <w:jc w:val="left"/>
      </w:pPr>
      <w:r>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t>（一）投标人的法定代表人为外籍人士的，法定代表人的签字和护照。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三、如因未翻译而造成对投标人的不利后果，由投标人承担。</w:t>
      </w:r>
    </w:p>
    <w:p>
      <w:pPr>
        <w:pStyle w:val="null3"/>
        <w:jc w:val="left"/>
        <w:outlineLvl w:val="3"/>
      </w:pPr>
      <w:r>
        <w:rPr>
          <w:b/>
          <w:sz w:val="24"/>
        </w:rPr>
        <w:t>2.4.2.计量单位★</w:t>
      </w:r>
    </w:p>
    <w:p>
      <w:pPr>
        <w:pStyle w:val="null3"/>
        <w:ind w:firstLine="480"/>
        <w:jc w:val="left"/>
      </w:pPr>
      <w:r>
        <w:rPr/>
        <w:t>除招标文件中另有规定外，本项目均采用国家法定的计量单位。</w:t>
      </w:r>
    </w:p>
    <w:p>
      <w:pPr>
        <w:pStyle w:val="null3"/>
        <w:jc w:val="left"/>
        <w:outlineLvl w:val="3"/>
      </w:pPr>
      <w:r>
        <w:rPr>
          <w:b/>
          <w:sz w:val="24"/>
        </w:rPr>
        <w:t>2.4.3.投标货币★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t>三、如使用投标人所不拥有的知识产权，则在投标报价中必须包括合法使用该知识产权的相关费用。</w:t>
      </w:r>
    </w:p>
    <w:p>
      <w:pPr>
        <w:pStyle w:val="null3"/>
        <w:jc w:val="left"/>
        <w:outlineLvl w:val="3"/>
      </w:pPr>
      <w:r>
        <w:rPr>
          <w:b/>
          <w:sz w:val="24"/>
        </w:rPr>
        <w:t>2.4.5.投标报价★</w:t>
      </w:r>
    </w:p>
    <w:p>
      <w:pPr>
        <w:pStyle w:val="null3"/>
        <w:ind w:firstLine="480"/>
        <w:jc w:val="left"/>
      </w:pPr>
      <w:r>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b/>
          <w:sz w:val="24"/>
        </w:rPr>
        <w:t>2.4.6.投标文件的编制、签章和加密★</w:t>
      </w:r>
    </w:p>
    <w:p>
      <w:pPr>
        <w:pStyle w:val="null3"/>
        <w:ind w:firstLine="480"/>
        <w:jc w:val="left"/>
      </w:pPr>
      <w:r>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t>二、投标人通过四川政府采购网-下载专区下载投标（响应）客户端，使用投标（响应）客户端编制投标文件，完成投标文件编制、加盖电子印章和加密。</w:t>
      </w:r>
    </w:p>
    <w:p>
      <w:pPr>
        <w:pStyle w:val="null3"/>
        <w:jc w:val="left"/>
        <w:outlineLvl w:val="3"/>
      </w:pPr>
      <w:r>
        <w:rPr>
          <w:b/>
          <w:sz w:val="24"/>
        </w:rPr>
        <w:t>2.4.7.投标文件的提交★</w:t>
      </w:r>
    </w:p>
    <w:p>
      <w:pPr>
        <w:pStyle w:val="null3"/>
        <w:ind w:firstLine="480"/>
        <w:jc w:val="left"/>
      </w:pPr>
      <w:r>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t>未按招标文件和采购平台操作规范编制、确认、加密、盖章和提交的投标文件，将被拒绝接收。</w:t>
      </w:r>
    </w:p>
    <w:p>
      <w:pPr>
        <w:pStyle w:val="null3"/>
        <w:ind w:firstLine="480"/>
        <w:jc w:val="left"/>
      </w:pPr>
      <w:r>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t>三、除投标人外，其他任何单位和个人不得解密投标文件或者调整修改已提交投标文件的内容及提交状态。</w:t>
      </w:r>
    </w:p>
    <w:p>
      <w:pPr>
        <w:pStyle w:val="null3"/>
        <w:jc w:val="left"/>
        <w:outlineLvl w:val="3"/>
      </w:pPr>
      <w:r>
        <w:rPr>
          <w:b/>
          <w:sz w:val="24"/>
        </w:rPr>
        <w:t>2.4.8.投标文件的补充、修改、撤回★</w:t>
      </w:r>
    </w:p>
    <w:p>
      <w:pPr>
        <w:pStyle w:val="null3"/>
        <w:ind w:firstLine="480"/>
        <w:jc w:val="left"/>
      </w:pPr>
      <w:r>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t>投标人投标文件撤回后，视为未提交过投标文件。</w:t>
      </w:r>
    </w:p>
    <w:p>
      <w:pPr>
        <w:pStyle w:val="null3"/>
        <w:jc w:val="left"/>
        <w:outlineLvl w:val="2"/>
      </w:pPr>
      <w:r>
        <w:rPr>
          <w:b/>
          <w:sz w:val="28"/>
        </w:rPr>
        <w:t>2.5.开标、资格审查、评标和中标</w:t>
      </w:r>
    </w:p>
    <w:p>
      <w:pPr>
        <w:pStyle w:val="null3"/>
        <w:jc w:val="left"/>
        <w:outlineLvl w:val="3"/>
      </w:pPr>
      <w:r>
        <w:rPr>
          <w:b/>
          <w:sz w:val="24"/>
        </w:rPr>
        <w:t>2.5.1.开标</w:t>
      </w:r>
    </w:p>
    <w:p>
      <w:pPr>
        <w:pStyle w:val="null3"/>
        <w:jc w:val="left"/>
        <w:outlineLvl w:val="3"/>
      </w:pPr>
      <w:r>
        <w:rPr>
          <w:b/>
          <w:sz w:val="24"/>
        </w:rPr>
        <w:t>2.5.1.1.开标程序</w:t>
      </w:r>
    </w:p>
    <w:p>
      <w:pPr>
        <w:pStyle w:val="null3"/>
        <w:ind w:firstLine="480"/>
        <w:jc w:val="left"/>
      </w:pPr>
      <w:r>
        <w:rPr/>
        <w:t>投标截止时间后，通过交易系统“开标/开启大厅”网上开标，在线解密投标文件。</w:t>
      </w:r>
    </w:p>
    <w:p>
      <w:pPr>
        <w:pStyle w:val="null3"/>
        <w:jc w:val="left"/>
        <w:outlineLvl w:val="3"/>
      </w:pPr>
      <w:r>
        <w:rPr>
          <w:b/>
          <w:sz w:val="24"/>
        </w:rPr>
        <w:t>2.5.1.2.解密投标文件★</w:t>
      </w:r>
    </w:p>
    <w:p>
      <w:pPr>
        <w:pStyle w:val="null3"/>
        <w:ind w:firstLine="480"/>
        <w:jc w:val="left"/>
      </w:pPr>
      <w:r>
        <w:rPr/>
        <w:t xml:space="preserve">投标截止时间后，成功提交投标文件的投标人符合招标文件规定数量的，代理机构将启动投标文件解密程序，解密时间为 </w:t>
      </w:r>
      <w:r>
        <w:rPr/>
        <w:t>30</w:t>
      </w:r>
      <w:r>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b/>
          <w:sz w:val="24"/>
        </w:rPr>
        <w:t>2.5.1.3.有关要求</w:t>
      </w:r>
    </w:p>
    <w:p>
      <w:pPr>
        <w:pStyle w:val="null3"/>
        <w:ind w:firstLine="480"/>
        <w:jc w:val="left"/>
      </w:pPr>
      <w:r>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t>开标过程中，投标人对开标过程有疑义，可向代理机构提出询问，代理机构应当及时予以答复。</w:t>
      </w:r>
    </w:p>
    <w:p>
      <w:pPr>
        <w:pStyle w:val="null3"/>
        <w:ind w:firstLine="480"/>
        <w:jc w:val="left"/>
      </w:pPr>
      <w:r>
        <w:rPr/>
        <w:t>投标人完成投标文件解密后，自主决定是否参加在线开标，未参加的，视同认可开标结果。</w:t>
      </w:r>
    </w:p>
    <w:p>
      <w:pPr>
        <w:pStyle w:val="null3"/>
        <w:ind w:firstLine="480"/>
        <w:jc w:val="left"/>
      </w:pPr>
      <w:r>
        <w:rPr/>
        <w:t>成功提交或者成功解密电子投标文件的投标人不足3家的，采购人或者代理机构将作废标处理。</w:t>
      </w:r>
    </w:p>
    <w:p>
      <w:pPr>
        <w:pStyle w:val="null3"/>
        <w:jc w:val="left"/>
        <w:outlineLvl w:val="3"/>
      </w:pPr>
      <w:r>
        <w:rPr>
          <w:b/>
          <w:sz w:val="24"/>
        </w:rPr>
        <w:t>2.5.2.查询及使用信用记录</w:t>
      </w:r>
    </w:p>
    <w:p>
      <w:pPr>
        <w:pStyle w:val="null3"/>
        <w:ind w:firstLine="480"/>
        <w:jc w:val="left"/>
      </w:pPr>
      <w:r>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2.5.3.资格审查</w:t>
      </w:r>
    </w:p>
    <w:p>
      <w:pPr>
        <w:pStyle w:val="null3"/>
        <w:ind w:firstLine="480"/>
        <w:jc w:val="left"/>
      </w:pPr>
      <w:r>
        <w:rPr/>
        <w:t>详见招标文件第四章。</w:t>
      </w:r>
    </w:p>
    <w:p>
      <w:pPr>
        <w:pStyle w:val="null3"/>
        <w:jc w:val="left"/>
        <w:outlineLvl w:val="3"/>
      </w:pPr>
      <w:r>
        <w:rPr>
          <w:b/>
          <w:sz w:val="24"/>
        </w:rPr>
        <w:t>2.5.4.评标</w:t>
      </w:r>
    </w:p>
    <w:p>
      <w:pPr>
        <w:pStyle w:val="null3"/>
        <w:ind w:firstLine="480"/>
        <w:jc w:val="left"/>
      </w:pPr>
      <w:r>
        <w:rPr/>
        <w:t>详见招标文件第五章。</w:t>
      </w:r>
    </w:p>
    <w:p>
      <w:pPr>
        <w:pStyle w:val="null3"/>
        <w:jc w:val="left"/>
        <w:outlineLvl w:val="3"/>
      </w:pPr>
      <w:r>
        <w:rPr>
          <w:b/>
          <w:sz w:val="24"/>
        </w:rPr>
        <w:t>2.5.5.中标通知书</w:t>
      </w:r>
    </w:p>
    <w:p>
      <w:pPr>
        <w:pStyle w:val="null3"/>
        <w:ind w:firstLine="480"/>
        <w:jc w:val="left"/>
      </w:pPr>
      <w:r>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t>三、政府采购合同自采购人和中标人在书面合同上签章之日起生效。</w:t>
      </w:r>
    </w:p>
    <w:p>
      <w:pPr>
        <w:pStyle w:val="null3"/>
        <w:ind w:firstLine="480"/>
        <w:jc w:val="left"/>
      </w:pPr>
      <w:r>
        <w:rPr/>
        <w:t>四、中标人完全遵守《中华人民共和国劳动合同法》有关规定和《中华人民共和国妇女权益保障法》中关于“劳动和社会保障权益”的有关要求。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3"/>
      </w:pPr>
      <w:r>
        <w:rPr>
          <w:b/>
          <w:sz w:val="24"/>
        </w:rPr>
        <w:t>2.6.3.1.合同分包</w:t>
      </w:r>
    </w:p>
    <w:p>
      <w:pPr>
        <w:pStyle w:val="null3"/>
        <w:jc w:val="left"/>
      </w:pPr>
      <w:r>
        <w:rPr/>
        <w:t>本项目不允许合同分包。</w:t>
      </w:r>
    </w:p>
    <w:p>
      <w:pPr>
        <w:pStyle w:val="null3"/>
        <w:jc w:val="left"/>
        <w:outlineLvl w:val="3"/>
      </w:pPr>
      <w:r>
        <w:rPr>
          <w:b/>
          <w:sz w:val="24"/>
        </w:rPr>
        <w:t>2.6.3.2.合同转包</w:t>
      </w:r>
    </w:p>
    <w:p>
      <w:pPr>
        <w:pStyle w:val="null3"/>
        <w:ind w:firstLine="480"/>
        <w:jc w:val="left"/>
      </w:pPr>
      <w:r>
        <w:rPr/>
        <w:t>一、严禁中标人将本项目合同转包。</w:t>
      </w:r>
    </w:p>
    <w:p>
      <w:pPr>
        <w:pStyle w:val="null3"/>
        <w:ind w:firstLine="480"/>
        <w:jc w:val="left"/>
      </w:pPr>
      <w:r>
        <w:rPr/>
        <w:t>二、中标人将合同转包的，将依法追究法律责任。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一、采购人与中标人应当根据合同的约定依法履行合同义务。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jc w:val="left"/>
      </w:pPr>
      <w:r>
        <w:rPr/>
        <w:t>采购包2：</w:t>
      </w:r>
      <w:r>
        <w:rPr/>
        <w:t>自行验收</w:t>
      </w:r>
    </w:p>
    <w:p>
      <w:pPr>
        <w:pStyle w:val="null3"/>
        <w:jc w:val="left"/>
      </w:pPr>
      <w:r>
        <w:rPr/>
        <w:t>采购包3：</w:t>
      </w:r>
      <w:r>
        <w:rPr/>
        <w:t>自行验收</w:t>
      </w:r>
    </w:p>
    <w:p>
      <w:pPr>
        <w:pStyle w:val="null3"/>
        <w:jc w:val="left"/>
      </w:pPr>
      <w:r>
        <w:rPr/>
        <w:t>采购包4：</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jc w:val="left"/>
      </w:pPr>
      <w:r>
        <w:rPr/>
        <w:t>采购包2：</w:t>
      </w:r>
      <w:r>
        <w:rPr/>
        <w:t>否</w:t>
      </w:r>
    </w:p>
    <w:p>
      <w:pPr>
        <w:pStyle w:val="null3"/>
        <w:jc w:val="left"/>
      </w:pPr>
      <w:r>
        <w:rPr/>
        <w:t>采购包3：</w:t>
      </w:r>
      <w:r>
        <w:rPr/>
        <w:t>否</w:t>
      </w:r>
    </w:p>
    <w:p>
      <w:pPr>
        <w:pStyle w:val="null3"/>
        <w:jc w:val="left"/>
      </w:pPr>
      <w:r>
        <w:rPr/>
        <w:t>采购包4：</w:t>
      </w:r>
      <w:r>
        <w:rPr/>
        <w:t>否</w:t>
      </w:r>
    </w:p>
    <w:p>
      <w:pPr>
        <w:pStyle w:val="null3"/>
        <w:ind w:firstLine="480"/>
        <w:jc w:val="left"/>
      </w:pPr>
      <w:r>
        <w:rPr/>
        <w:t>三、是否邀请专家：</w:t>
      </w:r>
    </w:p>
    <w:p>
      <w:pPr>
        <w:pStyle w:val="null3"/>
        <w:ind w:firstLine="480"/>
        <w:jc w:val="left"/>
      </w:pPr>
      <w:r>
        <w:rPr/>
        <w:t>采购包1：</w:t>
      </w:r>
      <w:r>
        <w:rPr/>
        <w:t>是</w:t>
      </w:r>
    </w:p>
    <w:p>
      <w:pPr>
        <w:pStyle w:val="null3"/>
        <w:jc w:val="left"/>
      </w:pPr>
      <w:r>
        <w:rPr/>
        <w:t>采购包2：</w:t>
      </w:r>
      <w:r>
        <w:rPr/>
        <w:t>是</w:t>
      </w:r>
    </w:p>
    <w:p>
      <w:pPr>
        <w:pStyle w:val="null3"/>
        <w:jc w:val="left"/>
      </w:pPr>
      <w:r>
        <w:rPr/>
        <w:t>采购包3：</w:t>
      </w:r>
      <w:r>
        <w:rPr/>
        <w:t>是</w:t>
      </w:r>
    </w:p>
    <w:p>
      <w:pPr>
        <w:pStyle w:val="null3"/>
        <w:jc w:val="left"/>
      </w:pPr>
      <w:r>
        <w:rPr/>
        <w:t>采购包4：</w:t>
      </w:r>
      <w:r>
        <w:rPr/>
        <w:t>是</w:t>
      </w:r>
    </w:p>
    <w:p>
      <w:pPr>
        <w:pStyle w:val="null3"/>
        <w:ind w:firstLine="480"/>
        <w:jc w:val="left"/>
      </w:pPr>
      <w:r>
        <w:rPr/>
        <w:t>四、是否邀请服务对象：</w:t>
      </w:r>
    </w:p>
    <w:p>
      <w:pPr>
        <w:pStyle w:val="null3"/>
        <w:ind w:firstLine="480"/>
        <w:jc w:val="left"/>
      </w:pPr>
      <w:r>
        <w:rPr/>
        <w:t>采购包1：</w:t>
      </w:r>
      <w:r>
        <w:rPr/>
        <w:t>否</w:t>
      </w:r>
    </w:p>
    <w:p>
      <w:pPr>
        <w:pStyle w:val="null3"/>
        <w:jc w:val="left"/>
      </w:pPr>
      <w:r>
        <w:rPr/>
        <w:t>采购包2：</w:t>
      </w:r>
      <w:r>
        <w:rPr/>
        <w:t>否</w:t>
      </w:r>
    </w:p>
    <w:p>
      <w:pPr>
        <w:pStyle w:val="null3"/>
        <w:jc w:val="left"/>
      </w:pPr>
      <w:r>
        <w:rPr/>
        <w:t>采购包3：</w:t>
      </w:r>
      <w:r>
        <w:rPr/>
        <w:t>否</w:t>
      </w:r>
    </w:p>
    <w:p>
      <w:pPr>
        <w:pStyle w:val="null3"/>
        <w:jc w:val="left"/>
      </w:pPr>
      <w:r>
        <w:rPr/>
        <w:t>采购包4：</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jc w:val="left"/>
      </w:pPr>
      <w:r>
        <w:rPr/>
        <w:t>采购包2：</w:t>
      </w:r>
      <w:r>
        <w:rPr/>
        <w:t>否</w:t>
      </w:r>
    </w:p>
    <w:p>
      <w:pPr>
        <w:pStyle w:val="null3"/>
        <w:jc w:val="left"/>
      </w:pPr>
      <w:r>
        <w:rPr/>
        <w:t>采购包3：</w:t>
      </w:r>
      <w:r>
        <w:rPr/>
        <w:t>否</w:t>
      </w:r>
    </w:p>
    <w:p>
      <w:pPr>
        <w:pStyle w:val="null3"/>
        <w:jc w:val="left"/>
      </w:pPr>
      <w:r>
        <w:rPr/>
        <w:t>采购包4：</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jc w:val="left"/>
      </w:pPr>
      <w:r>
        <w:rPr/>
        <w:t>采购包2：</w:t>
      </w:r>
      <w:r>
        <w:rPr/>
        <w:t>一次性验收</w:t>
      </w:r>
    </w:p>
    <w:p>
      <w:pPr>
        <w:pStyle w:val="null3"/>
        <w:jc w:val="left"/>
      </w:pPr>
      <w:r>
        <w:rPr/>
        <w:t>采购包3：</w:t>
      </w:r>
      <w:r>
        <w:rPr/>
        <w:t>一次性验收</w:t>
      </w:r>
    </w:p>
    <w:p>
      <w:pPr>
        <w:pStyle w:val="null3"/>
        <w:jc w:val="left"/>
      </w:pPr>
      <w:r>
        <w:rPr/>
        <w:t>采购包4：</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 xml:space="preserve">供应商提出验收申请之日起 </w:t>
      </w:r>
      <w:r>
        <w:rPr/>
        <w:t xml:space="preserve"> ，达到验收条件起 </w:t>
      </w:r>
      <w:r>
        <w:rPr/>
        <w:t>30</w:t>
      </w:r>
      <w:r>
        <w:rPr/>
        <w:t xml:space="preserve"> 日内，验收合同总金额的 </w:t>
      </w:r>
      <w:r>
        <w:rPr/>
        <w:t>100.00</w:t>
      </w:r>
      <w:r>
        <w:rPr/>
        <w:t>%；</w:t>
      </w:r>
    </w:p>
    <w:p>
      <w:pPr>
        <w:pStyle w:val="null3"/>
        <w:jc w:val="left"/>
      </w:pPr>
      <w:r>
        <w:rPr/>
        <w:t>采购包2：</w:t>
      </w:r>
    </w:p>
    <w:p>
      <w:pPr>
        <w:pStyle w:val="null3"/>
        <w:ind w:firstLine="1200"/>
        <w:jc w:val="left"/>
      </w:pPr>
      <w:r>
        <w:rPr/>
        <w:t>1、</w:t>
      </w:r>
      <w:r>
        <w:rPr/>
        <w:t xml:space="preserve"> 验收条件说明： </w:t>
      </w:r>
      <w:r>
        <w:rPr/>
        <w:t>供应商提出验收申请之日起</w:t>
      </w:r>
      <w:r>
        <w:rPr/>
        <w:t xml:space="preserve"> ，达到验收条件起 </w:t>
      </w:r>
      <w:r>
        <w:rPr/>
        <w:t>30</w:t>
      </w:r>
      <w:r>
        <w:rPr/>
        <w:t xml:space="preserve"> 日内，验收合同总金额的 </w:t>
      </w:r>
      <w:r>
        <w:rPr/>
        <w:t>100.00</w:t>
      </w:r>
      <w:r>
        <w:rPr/>
        <w:t>%；</w:t>
      </w:r>
    </w:p>
    <w:p>
      <w:pPr>
        <w:pStyle w:val="null3"/>
        <w:jc w:val="left"/>
      </w:pPr>
      <w:r>
        <w:rPr/>
        <w:t>采购包3：</w:t>
      </w:r>
    </w:p>
    <w:p>
      <w:pPr>
        <w:pStyle w:val="null3"/>
        <w:ind w:firstLine="1200"/>
        <w:jc w:val="left"/>
      </w:pPr>
      <w:r>
        <w:rPr/>
        <w:t>1、</w:t>
      </w:r>
      <w:r>
        <w:rPr/>
        <w:t xml:space="preserve"> 验收条件说明： </w:t>
      </w:r>
      <w:r>
        <w:rPr/>
        <w:t>供应商提出验收申请之日起</w:t>
      </w:r>
      <w:r>
        <w:rPr/>
        <w:t xml:space="preserve"> ，达到验收条件起 </w:t>
      </w:r>
      <w:r>
        <w:rPr/>
        <w:t>30</w:t>
      </w:r>
      <w:r>
        <w:rPr/>
        <w:t xml:space="preserve"> 日内，验收合同总金额的 </w:t>
      </w:r>
      <w:r>
        <w:rPr/>
        <w:t>100.00</w:t>
      </w:r>
      <w:r>
        <w:rPr/>
        <w:t>%；</w:t>
      </w:r>
    </w:p>
    <w:p>
      <w:pPr>
        <w:pStyle w:val="null3"/>
        <w:jc w:val="left"/>
      </w:pPr>
      <w:r>
        <w:rPr/>
        <w:t>采购包4：</w:t>
      </w:r>
    </w:p>
    <w:p>
      <w:pPr>
        <w:pStyle w:val="null3"/>
        <w:ind w:firstLine="1200"/>
        <w:jc w:val="left"/>
      </w:pPr>
      <w:r>
        <w:rPr/>
        <w:t>1、</w:t>
      </w:r>
      <w:r>
        <w:rPr/>
        <w:t xml:space="preserve"> 验收条件说明： </w:t>
      </w:r>
      <w:r>
        <w:rPr/>
        <w:t>供应商提出验收申请之日起</w:t>
      </w:r>
      <w:r>
        <w:rPr/>
        <w:t xml:space="preserve"> ，达到验收条件起 </w:t>
      </w:r>
      <w:r>
        <w:rPr/>
        <w:t>30</w:t>
      </w:r>
      <w:r>
        <w:rPr/>
        <w:t xml:space="preserve"> 日内，验收合同总金额的 </w:t>
      </w:r>
      <w:r>
        <w:rPr/>
        <w:t>100.00</w:t>
      </w:r>
      <w:r>
        <w:rPr/>
        <w:t>%；</w:t>
      </w:r>
    </w:p>
    <w:p>
      <w:pPr>
        <w:pStyle w:val="null3"/>
        <w:ind w:firstLine="480"/>
        <w:jc w:val="left"/>
      </w:pPr>
      <w:r>
        <w:rPr/>
        <w:t>八、验收组织的其他事项：</w:t>
      </w:r>
    </w:p>
    <w:p>
      <w:pPr>
        <w:pStyle w:val="null3"/>
        <w:ind w:firstLine="480"/>
        <w:jc w:val="left"/>
      </w:pPr>
      <w:r>
        <w:rPr/>
        <w:t>采购包1：</w:t>
      </w:r>
      <w:r>
        <w:rPr/>
        <w:t>（1）中标供应商应保证货物到达采购人所在地完好无损（货物必须是表面无划伤、全新、外观清洁），如有缺漏、损坏，由中标供应商负责调换、补齐并赔偿。 （2）中标供应商提供的货物未达到招标文件规定要求，且对采购人造成损失的，由中标供应商承担一切责任，并赔偿所造成的损失。</w:t>
      </w:r>
    </w:p>
    <w:p>
      <w:pPr>
        <w:pStyle w:val="null3"/>
        <w:jc w:val="left"/>
      </w:pPr>
      <w:r>
        <w:rPr/>
        <w:t>采购包2：</w:t>
      </w:r>
      <w:r>
        <w:rPr/>
        <w:t>（1）供应商应保证货物到达采购人所在地完好无损（货物必须是表面无划伤、全新、外观清洁），如有缺漏、损坏，由供应商负责调换、补齐并赔偿。 （2）供应商提供的货物未达到招标文件规定要求，且对采购人造成损失的，由供应商承担一切责任，并赔偿所造成的损失。</w:t>
      </w:r>
    </w:p>
    <w:p>
      <w:pPr>
        <w:pStyle w:val="null3"/>
        <w:jc w:val="left"/>
      </w:pPr>
      <w:r>
        <w:rPr/>
        <w:t>采购包3：</w:t>
      </w:r>
      <w:r>
        <w:rPr/>
        <w:t>（1）供应商应保证货物到达采购人所在地完好无损（货物必须是表面无划伤、全新、外观清洁），如有缺漏、损坏，由供应商负责调换、补齐并赔偿。 （2）供应商提供的货物未达到招标文件规定要求，且对采购人造成损失的，由供应商承担一切责任，并赔偿所造成的损失。</w:t>
      </w:r>
    </w:p>
    <w:p>
      <w:pPr>
        <w:pStyle w:val="null3"/>
        <w:jc w:val="left"/>
      </w:pPr>
      <w:r>
        <w:rPr/>
        <w:t>采购包4：</w:t>
      </w:r>
      <w:r>
        <w:rPr/>
        <w:t>（1）供应商应保证货物到达采购人所在地完好无损（货物必须是表面无划伤、全新、外观清洁），如有缺漏、损坏，由供应商负责调换、补齐并赔偿。 （2）供应商提供的货物未达到招标文件规定要求，且对采购人造成损失的，由供应商承担一切责任，并赔偿所造成的损失。</w:t>
      </w:r>
    </w:p>
    <w:p>
      <w:pPr>
        <w:pStyle w:val="null3"/>
        <w:ind w:firstLine="480"/>
        <w:jc w:val="left"/>
      </w:pPr>
      <w:r>
        <w:rPr/>
        <w:t>九、技术履约验收内容：</w:t>
      </w:r>
    </w:p>
    <w:p>
      <w:pPr>
        <w:pStyle w:val="null3"/>
        <w:ind w:firstLine="480"/>
        <w:jc w:val="left"/>
      </w:pPr>
      <w:r>
        <w:rPr/>
        <w:t>采购包1：</w:t>
      </w:r>
      <w:r>
        <w:rPr/>
        <w:t>严格按照招标文件技术参数要求和中标供应商投标响应文件内容进行验收。</w:t>
      </w:r>
    </w:p>
    <w:p>
      <w:pPr>
        <w:pStyle w:val="null3"/>
        <w:jc w:val="left"/>
      </w:pPr>
      <w:r>
        <w:rPr/>
        <w:t>采购包2：</w:t>
      </w:r>
      <w:r>
        <w:rPr/>
        <w:t>严格按照招标文件技术参数要求和供应商投标响应文件内容进行验收。</w:t>
      </w:r>
    </w:p>
    <w:p>
      <w:pPr>
        <w:pStyle w:val="null3"/>
        <w:jc w:val="left"/>
      </w:pPr>
      <w:r>
        <w:rPr/>
        <w:t>采购包3：</w:t>
      </w:r>
      <w:r>
        <w:rPr/>
        <w:t>严格按照招标文件技术参数要求和供应商投标响应文件内容进行验收。</w:t>
      </w:r>
    </w:p>
    <w:p>
      <w:pPr>
        <w:pStyle w:val="null3"/>
        <w:jc w:val="left"/>
      </w:pPr>
      <w:r>
        <w:rPr/>
        <w:t>采购包4：</w:t>
      </w:r>
      <w:r>
        <w:rPr/>
        <w:t>严格按照招标文件技术参数要求和供应商投标响应文件内容进行验收。</w:t>
      </w:r>
    </w:p>
    <w:p>
      <w:pPr>
        <w:pStyle w:val="null3"/>
        <w:ind w:firstLine="480"/>
        <w:jc w:val="left"/>
      </w:pPr>
      <w:r>
        <w:rPr/>
        <w:t>十、商务履约验收内容：</w:t>
      </w:r>
    </w:p>
    <w:p>
      <w:pPr>
        <w:pStyle w:val="null3"/>
        <w:ind w:firstLine="480"/>
        <w:jc w:val="left"/>
      </w:pPr>
      <w:r>
        <w:rPr/>
        <w:t>采购包1：</w:t>
      </w:r>
      <w:r>
        <w:rPr/>
        <w:t>严格按照招标文件商务要求和中标供应商投标响应文件内容进行验收</w:t>
      </w:r>
    </w:p>
    <w:p>
      <w:pPr>
        <w:pStyle w:val="null3"/>
        <w:jc w:val="left"/>
      </w:pPr>
      <w:r>
        <w:rPr/>
        <w:t>采购包2：</w:t>
      </w:r>
      <w:r>
        <w:rPr/>
        <w:t>严格按照招标文件商务要求和供应商投标响应文件内容进行验收。</w:t>
      </w:r>
    </w:p>
    <w:p>
      <w:pPr>
        <w:pStyle w:val="null3"/>
        <w:jc w:val="left"/>
      </w:pPr>
      <w:r>
        <w:rPr/>
        <w:t>采购包3：</w:t>
      </w:r>
      <w:r>
        <w:rPr/>
        <w:t>严格按照招标文件商务要求和供应商投标响应文件内容进行验收。</w:t>
      </w:r>
    </w:p>
    <w:p>
      <w:pPr>
        <w:pStyle w:val="null3"/>
        <w:jc w:val="left"/>
      </w:pPr>
      <w:r>
        <w:rPr/>
        <w:t>采购包4：</w:t>
      </w:r>
      <w:r>
        <w:rPr/>
        <w:t>严格按照招标文件商务要求和供应商投标响应文件内容进行验收。</w:t>
      </w:r>
    </w:p>
    <w:p>
      <w:pPr>
        <w:pStyle w:val="null3"/>
        <w:ind w:firstLine="480"/>
        <w:jc w:val="left"/>
      </w:pPr>
      <w:r>
        <w:rPr/>
        <w:t>十一、履约验收标准：</w:t>
      </w:r>
    </w:p>
    <w:p>
      <w:pPr>
        <w:pStyle w:val="null3"/>
        <w:ind w:firstLine="480"/>
        <w:jc w:val="left"/>
      </w:pPr>
      <w:r>
        <w:rPr/>
        <w:t>采购包1：</w:t>
      </w:r>
      <w:r>
        <w:rPr/>
        <w:t>其他未尽事宜应严格按照《财政部关于进一步加强政府采购需求和履约验收管理的指导意见》（财库〔2016〕205号）等政府采购相关法律法规的要求进行。</w:t>
      </w:r>
    </w:p>
    <w:p>
      <w:pPr>
        <w:pStyle w:val="null3"/>
        <w:jc w:val="left"/>
      </w:pPr>
      <w:r>
        <w:rPr/>
        <w:t>采购包2：</w:t>
      </w:r>
      <w:r>
        <w:rPr/>
        <w:t>其他未尽事宜应严格按照《财政部关于进一步加强政府采购需求和履约验收管理的指导意见》（财库〔2016〕205号）等政府采购相关法律法规的要求进行。</w:t>
      </w:r>
    </w:p>
    <w:p>
      <w:pPr>
        <w:pStyle w:val="null3"/>
        <w:jc w:val="left"/>
      </w:pPr>
      <w:r>
        <w:rPr/>
        <w:t>采购包3：</w:t>
      </w:r>
      <w:r>
        <w:rPr/>
        <w:t>其他未尽事宜应严格按照《财政部关于进一步加强政府采购需求和履约验收管理的指导意见》（财库〔2016〕205号）等政府采购相关法律法规的要求进行。</w:t>
      </w:r>
    </w:p>
    <w:p>
      <w:pPr>
        <w:pStyle w:val="null3"/>
        <w:jc w:val="left"/>
      </w:pPr>
      <w:r>
        <w:rPr/>
        <w:t>采购包4：</w:t>
      </w:r>
      <w:r>
        <w:rPr/>
        <w:t>其他未尽事宜应严格按照《财政部关于进一步加强政府采购需求和履约验收管理的指导意见》（财库〔2016〕205号）等政府采购相关法律法规的要求进行。</w:t>
      </w:r>
    </w:p>
    <w:p>
      <w:pPr>
        <w:pStyle w:val="null3"/>
        <w:ind w:firstLine="480"/>
        <w:jc w:val="left"/>
      </w:pPr>
      <w:r>
        <w:rPr/>
        <w:t>十二、履约验收其他事项：</w:t>
      </w:r>
    </w:p>
    <w:p>
      <w:pPr>
        <w:pStyle w:val="null3"/>
        <w:ind w:firstLine="480"/>
        <w:jc w:val="left"/>
      </w:pPr>
      <w:r>
        <w:rPr/>
        <w:t>采购包1：</w:t>
      </w:r>
      <w:r>
        <w:rPr/>
        <w:t>无</w:t>
      </w:r>
    </w:p>
    <w:p>
      <w:pPr>
        <w:pStyle w:val="null3"/>
        <w:jc w:val="left"/>
      </w:pPr>
      <w:r>
        <w:rPr/>
        <w:t>采购包2：</w:t>
      </w:r>
      <w:r>
        <w:rPr/>
        <w:t>无</w:t>
      </w:r>
    </w:p>
    <w:p>
      <w:pPr>
        <w:pStyle w:val="null3"/>
        <w:jc w:val="left"/>
      </w:pPr>
      <w:r>
        <w:rPr/>
        <w:t>采购包3：</w:t>
      </w:r>
      <w:r>
        <w:rPr/>
        <w:t>无</w:t>
      </w:r>
    </w:p>
    <w:p>
      <w:pPr>
        <w:pStyle w:val="null3"/>
        <w:jc w:val="left"/>
      </w:pPr>
      <w:r>
        <w:rPr/>
        <w:t>采购包4：</w:t>
      </w:r>
      <w:r>
        <w:rPr/>
        <w:t>无</w:t>
      </w:r>
    </w:p>
    <w:p>
      <w:pPr>
        <w:pStyle w:val="null3"/>
        <w:jc w:val="left"/>
        <w:outlineLvl w:val="3"/>
      </w:pPr>
      <w:r>
        <w:rPr>
          <w:b/>
          <w:sz w:val="24"/>
        </w:rPr>
        <w:t>2.6.7.资金支付</w:t>
      </w:r>
    </w:p>
    <w:p>
      <w:pPr>
        <w:pStyle w:val="null3"/>
        <w:ind w:firstLine="480"/>
        <w:jc w:val="left"/>
      </w:pPr>
      <w:r>
        <w:rPr/>
        <w:t>采购人将按照政府采购合同规定，及时向中标人支付采购资金。具体支付约定详见第三章。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t>有关人员对评标情况以及在评标过程中获悉的国家秘密、商业秘密负有保密责任。</w:t>
      </w:r>
    </w:p>
    <w:p>
      <w:pPr>
        <w:pStyle w:val="null3"/>
        <w:jc w:val="left"/>
        <w:outlineLvl w:val="3"/>
      </w:pPr>
      <w:r>
        <w:rPr>
          <w:b/>
          <w:sz w:val="24"/>
        </w:rPr>
        <w:t>2.7.2.投标人不得具有的情形</w:t>
      </w:r>
    </w:p>
    <w:p>
      <w:pPr>
        <w:pStyle w:val="null3"/>
        <w:ind w:firstLine="480"/>
        <w:jc w:val="left"/>
      </w:pPr>
      <w:r>
        <w:rPr/>
        <w:t>投标人参加投标不得有下列情形：</w:t>
      </w:r>
    </w:p>
    <w:p>
      <w:pPr>
        <w:pStyle w:val="null3"/>
        <w:ind w:firstLine="480"/>
        <w:jc w:val="left"/>
      </w:pPr>
      <w:r>
        <w:rPr/>
        <w:t>一、有下列情形之一的，视为投标人串通投标：</w:t>
      </w:r>
    </w:p>
    <w:p>
      <w:pPr>
        <w:pStyle w:val="null3"/>
        <w:ind w:firstLine="480"/>
        <w:jc w:val="left"/>
      </w:pPr>
      <w:r>
        <w:rPr/>
        <w:t>（一）不同投标人的投标文件由同一单位或者个人编制；</w:t>
      </w:r>
    </w:p>
    <w:p>
      <w:pPr>
        <w:pStyle w:val="null3"/>
        <w:ind w:firstLine="480"/>
        <w:jc w:val="left"/>
      </w:pPr>
      <w:r>
        <w:rPr/>
        <w:t>（二）不同投标人委托同一单位或者个人办理投标事宜；</w:t>
      </w:r>
    </w:p>
    <w:p>
      <w:pPr>
        <w:pStyle w:val="null3"/>
        <w:ind w:firstLine="480"/>
        <w:jc w:val="left"/>
      </w:pPr>
      <w:r>
        <w:rPr/>
        <w:t>（三）不同投标人的投标文件载明的项目管理成员或者联系人员为同一人；</w:t>
      </w:r>
    </w:p>
    <w:p>
      <w:pPr>
        <w:pStyle w:val="null3"/>
        <w:ind w:firstLine="480"/>
        <w:jc w:val="left"/>
      </w:pPr>
      <w:r>
        <w:rPr/>
        <w:t>（四）不同投标人的投标文件异常一致或者投标报价呈规律性差异；</w:t>
      </w:r>
    </w:p>
    <w:p>
      <w:pPr>
        <w:pStyle w:val="null3"/>
        <w:ind w:firstLine="480"/>
        <w:jc w:val="left"/>
      </w:pPr>
      <w:r>
        <w:rPr/>
        <w:t>（五）不同投标人的投标文件相互混装；</w:t>
      </w:r>
    </w:p>
    <w:p>
      <w:pPr>
        <w:pStyle w:val="null3"/>
        <w:ind w:firstLine="480"/>
        <w:jc w:val="left"/>
      </w:pPr>
      <w:r>
        <w:rPr/>
        <w:t>（六）不同投标人的投标保证金从同一单位和账户转出。</w:t>
      </w:r>
    </w:p>
    <w:p>
      <w:pPr>
        <w:pStyle w:val="null3"/>
        <w:ind w:firstLine="480"/>
        <w:jc w:val="left"/>
      </w:pPr>
      <w:r>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t>（一）投标人直接或者间接从采购人或者代理机构处获得其他投标人的相关情况并修改其投标文件；</w:t>
      </w:r>
    </w:p>
    <w:p>
      <w:pPr>
        <w:pStyle w:val="null3"/>
        <w:ind w:firstLine="480"/>
        <w:jc w:val="left"/>
      </w:pPr>
      <w:r>
        <w:rPr/>
        <w:t>（二）投标人按照采购人或者代理机构的授意撤换、修改投标文件；</w:t>
      </w:r>
    </w:p>
    <w:p>
      <w:pPr>
        <w:pStyle w:val="null3"/>
        <w:ind w:firstLine="480"/>
        <w:jc w:val="left"/>
      </w:pPr>
      <w:r>
        <w:rPr/>
        <w:t>（三）投标人之间协商报价、技术方案等投标文件的实质性内容；</w:t>
      </w:r>
    </w:p>
    <w:p>
      <w:pPr>
        <w:pStyle w:val="null3"/>
        <w:ind w:firstLine="480"/>
        <w:jc w:val="left"/>
      </w:pPr>
      <w:r>
        <w:rPr/>
        <w:t>（四）属于同一集团、协会、商会等组织成员的投标人按照该组织要求协同参加政府采购活动；</w:t>
      </w:r>
    </w:p>
    <w:p>
      <w:pPr>
        <w:pStyle w:val="null3"/>
        <w:ind w:firstLine="480"/>
        <w:jc w:val="left"/>
      </w:pPr>
      <w:r>
        <w:rPr/>
        <w:t>（五）投标人之间事先约定由某一特定投标人中标；</w:t>
      </w:r>
    </w:p>
    <w:p>
      <w:pPr>
        <w:pStyle w:val="null3"/>
        <w:ind w:firstLine="480"/>
        <w:jc w:val="left"/>
      </w:pPr>
      <w:r>
        <w:rPr/>
        <w:t>（六）投标人之间商定部分投标人放弃参加政府采购活动或者放弃中标；</w:t>
      </w:r>
    </w:p>
    <w:p>
      <w:pPr>
        <w:pStyle w:val="null3"/>
        <w:ind w:firstLine="480"/>
        <w:jc w:val="left"/>
      </w:pPr>
      <w:r>
        <w:rPr/>
        <w:t>（七）投标人与采购人或者代理机构之间、投标人相互之间，为谋求特定投标人成交或者排斥其他投标人的其他串通行为。</w:t>
      </w:r>
    </w:p>
    <w:p>
      <w:pPr>
        <w:pStyle w:val="null3"/>
        <w:ind w:firstLine="480"/>
        <w:jc w:val="left"/>
      </w:pPr>
      <w:r>
        <w:rPr/>
        <w:t>三、提供虚假材料谋取中标；</w:t>
      </w:r>
    </w:p>
    <w:p>
      <w:pPr>
        <w:pStyle w:val="null3"/>
        <w:ind w:firstLine="480"/>
        <w:jc w:val="left"/>
      </w:pPr>
      <w:r>
        <w:rPr/>
        <w:t>四、采取不正当手段诋毁、排挤其他投标人；</w:t>
      </w:r>
    </w:p>
    <w:p>
      <w:pPr>
        <w:pStyle w:val="null3"/>
        <w:ind w:firstLine="480"/>
        <w:jc w:val="left"/>
      </w:pPr>
      <w:r>
        <w:rPr/>
        <w:t>五、与采购人或者代理机构、其他投标人恶意串通；</w:t>
      </w:r>
    </w:p>
    <w:p>
      <w:pPr>
        <w:pStyle w:val="null3"/>
        <w:ind w:firstLine="480"/>
        <w:jc w:val="left"/>
      </w:pPr>
      <w:r>
        <w:rPr/>
        <w:t>六、向采购人或者代理机构、评标委员会成员行贿或者提供其他不正当利益；</w:t>
      </w:r>
    </w:p>
    <w:p>
      <w:pPr>
        <w:pStyle w:val="null3"/>
        <w:ind w:firstLine="480"/>
        <w:jc w:val="left"/>
      </w:pPr>
      <w:r>
        <w:rPr/>
        <w:t>七、在招标过程中与采购人或者代理机构进行协商谈判；</w:t>
      </w:r>
    </w:p>
    <w:p>
      <w:pPr>
        <w:pStyle w:val="null3"/>
        <w:ind w:firstLine="480"/>
        <w:jc w:val="left"/>
      </w:pPr>
      <w:r>
        <w:rPr/>
        <w:t>八、中标后无正当理由拒不与采购人签订政府采购合同；</w:t>
      </w:r>
    </w:p>
    <w:p>
      <w:pPr>
        <w:pStyle w:val="null3"/>
        <w:ind w:firstLine="480"/>
        <w:jc w:val="left"/>
      </w:pPr>
      <w:r>
        <w:rPr/>
        <w:t>九、未按照招标文件确定的事项签订政府采购合同；</w:t>
      </w:r>
    </w:p>
    <w:p>
      <w:pPr>
        <w:pStyle w:val="null3"/>
        <w:ind w:firstLine="480"/>
        <w:jc w:val="left"/>
      </w:pPr>
      <w:r>
        <w:rPr/>
        <w:t>十、将政府采购合同转包或者违规分包；</w:t>
      </w:r>
    </w:p>
    <w:p>
      <w:pPr>
        <w:pStyle w:val="null3"/>
        <w:ind w:firstLine="480"/>
        <w:jc w:val="left"/>
      </w:pPr>
      <w:r>
        <w:rPr/>
        <w:t>十一、提供假冒伪劣产品；</w:t>
      </w:r>
    </w:p>
    <w:p>
      <w:pPr>
        <w:pStyle w:val="null3"/>
        <w:ind w:firstLine="480"/>
        <w:jc w:val="left"/>
      </w:pPr>
      <w:r>
        <w:rPr/>
        <w:t>十二、擅自变更、中止或者终止政府采购合同；</w:t>
      </w:r>
    </w:p>
    <w:p>
      <w:pPr>
        <w:pStyle w:val="null3"/>
        <w:ind w:firstLine="480"/>
        <w:jc w:val="left"/>
      </w:pPr>
      <w:r>
        <w:rPr/>
        <w:t>十三、拒绝有关部门的监督检查或者向监督检查部门提供虚假情况；</w:t>
      </w:r>
    </w:p>
    <w:p>
      <w:pPr>
        <w:pStyle w:val="null3"/>
        <w:ind w:firstLine="480"/>
        <w:jc w:val="left"/>
      </w:pPr>
      <w:r>
        <w:rPr/>
        <w:t>十四、法律法规规定的其他禁止情形。</w:t>
      </w:r>
    </w:p>
    <w:p>
      <w:pPr>
        <w:pStyle w:val="null3"/>
        <w:ind w:firstLine="480"/>
        <w:jc w:val="left"/>
      </w:pPr>
      <w:r>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b/>
          <w:sz w:val="24"/>
        </w:rPr>
        <w:t>2.7.3.采购人员及相关人员回避要求</w:t>
      </w:r>
    </w:p>
    <w:p>
      <w:pPr>
        <w:pStyle w:val="null3"/>
        <w:ind w:firstLine="480"/>
        <w:jc w:val="left"/>
      </w:pPr>
      <w:r>
        <w:rPr/>
        <w:t>政府采购活动中，采购人员及相关人员与投标人有下列利害关系之一的，应当回避：</w:t>
      </w:r>
    </w:p>
    <w:p>
      <w:pPr>
        <w:pStyle w:val="null3"/>
        <w:ind w:firstLine="480"/>
        <w:jc w:val="left"/>
      </w:pPr>
      <w:r>
        <w:rPr/>
        <w:t>一、参加采购活动前3年内与投标人存在劳动关系；</w:t>
      </w:r>
    </w:p>
    <w:p>
      <w:pPr>
        <w:pStyle w:val="null3"/>
        <w:ind w:firstLine="480"/>
        <w:jc w:val="left"/>
      </w:pPr>
      <w:r>
        <w:rPr/>
        <w:t>二、参加采购活动前3年内担任投标人的董事、监事；</w:t>
      </w:r>
    </w:p>
    <w:p>
      <w:pPr>
        <w:pStyle w:val="null3"/>
        <w:ind w:firstLine="480"/>
        <w:jc w:val="left"/>
      </w:pPr>
      <w:r>
        <w:rPr/>
        <w:t>三、参加采购活动前3年内是投标人的控股股东或者实际控制人；</w:t>
      </w:r>
    </w:p>
    <w:p>
      <w:pPr>
        <w:pStyle w:val="null3"/>
        <w:ind w:firstLine="480"/>
        <w:jc w:val="left"/>
      </w:pPr>
      <w:r>
        <w:rPr/>
        <w:t>四、与投标人的法定代表人或者负责人有夫妻、直系血亲、三代以内旁系血亲或者近姻亲关系；</w:t>
      </w:r>
    </w:p>
    <w:p>
      <w:pPr>
        <w:pStyle w:val="null3"/>
        <w:ind w:firstLine="480"/>
        <w:jc w:val="left"/>
      </w:pPr>
      <w:r>
        <w:rPr/>
        <w:t>五、与投标人有其他可能影响政府采购活动公平、公正进行的关系。</w:t>
      </w:r>
    </w:p>
    <w:p>
      <w:pPr>
        <w:pStyle w:val="null3"/>
        <w:ind w:firstLine="480"/>
        <w:jc w:val="left"/>
      </w:pPr>
      <w:r>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二、投标人询问、质疑的答复主体：</w:t>
      </w:r>
    </w:p>
    <w:p>
      <w:pPr>
        <w:pStyle w:val="null3"/>
        <w:ind w:firstLine="480"/>
        <w:jc w:val="left"/>
      </w:pPr>
      <w:r>
        <w:rPr/>
        <w:t xml:space="preserve">根据委托代理协议约定，投标人对招标文件中采购需求的询问、质疑由 </w:t>
      </w:r>
      <w:r>
        <w:rPr/>
        <w:t>南充市住房和城乡建设局</w:t>
      </w:r>
      <w:r>
        <w:rPr/>
        <w:t xml:space="preserve"> 负责答复；投标人对除采购需求外的招标文件的询问、质疑由 </w:t>
      </w:r>
      <w:r>
        <w:rPr/>
        <w:t>四川迈进工程管理咨询有限公司</w:t>
      </w:r>
      <w:r>
        <w:rPr/>
        <w:t xml:space="preserve"> 负责答复；投标人对采购过程、采购结果的询问、质疑由 </w:t>
      </w:r>
      <w:r>
        <w:rPr/>
        <w:t>四川迈进工程管理咨询有限公司</w:t>
      </w:r>
      <w:r>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t>答复主体：采购人</w:t>
      </w:r>
    </w:p>
    <w:p>
      <w:pPr>
        <w:pStyle w:val="null3"/>
        <w:jc w:val="left"/>
      </w:pPr>
      <w:r>
        <w:rPr/>
        <w:t>联系人：李先生</w:t>
      </w:r>
    </w:p>
    <w:p>
      <w:pPr>
        <w:pStyle w:val="null3"/>
        <w:jc w:val="left"/>
      </w:pPr>
      <w:r>
        <w:rPr/>
        <w:t>联系电话：0817-2712251</w:t>
      </w:r>
    </w:p>
    <w:p>
      <w:pPr>
        <w:pStyle w:val="null3"/>
        <w:jc w:val="left"/>
      </w:pPr>
      <w:r>
        <w:rPr/>
        <w:t>地址：南充市顺庆区万年东路1号</w:t>
      </w:r>
    </w:p>
    <w:p>
      <w:pPr>
        <w:pStyle w:val="null3"/>
        <w:jc w:val="left"/>
      </w:pPr>
      <w:r>
        <w:rPr/>
        <w:t>邮编：637000</w:t>
      </w:r>
    </w:p>
    <w:p>
      <w:pPr>
        <w:pStyle w:val="null3"/>
        <w:jc w:val="left"/>
      </w:pPr>
      <w:r>
        <w:rPr/>
        <w:t>答复主体：代理机构</w:t>
      </w:r>
    </w:p>
    <w:p>
      <w:pPr>
        <w:pStyle w:val="null3"/>
        <w:jc w:val="left"/>
      </w:pPr>
      <w:r>
        <w:rPr/>
        <w:t>联系人：李先生</w:t>
      </w:r>
    </w:p>
    <w:p>
      <w:pPr>
        <w:pStyle w:val="null3"/>
        <w:jc w:val="left"/>
      </w:pPr>
      <w:r>
        <w:rPr/>
        <w:t>联系电话：0817-3763148</w:t>
      </w:r>
    </w:p>
    <w:p>
      <w:pPr>
        <w:pStyle w:val="null3"/>
        <w:jc w:val="left"/>
      </w:pPr>
      <w:r>
        <w:rPr/>
        <w:t>地址：四川省南充市嘉陵区滨江南路二段78号宏凌大厦7楼7号</w:t>
      </w:r>
    </w:p>
    <w:p>
      <w:pPr>
        <w:pStyle w:val="null3"/>
        <w:jc w:val="left"/>
      </w:pPr>
      <w:r>
        <w:rPr/>
        <w:t>邮编：637900</w:t>
      </w:r>
    </w:p>
    <w:p>
      <w:pPr>
        <w:pStyle w:val="null3"/>
        <w:ind w:firstLine="480"/>
        <w:jc w:val="left"/>
      </w:pPr>
      <w:r>
        <w:rPr/>
        <w:t>三、投标人提出的询问，应当明确询问事项，如以书面形式提出的，应由投标人签字并加盖公章。</w:t>
      </w:r>
    </w:p>
    <w:p>
      <w:pPr>
        <w:pStyle w:val="null3"/>
        <w:ind w:firstLine="480"/>
        <w:jc w:val="left"/>
      </w:pPr>
      <w:r>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t>（一）对可以质疑的招标文件提出质疑的，为收到招标文件之日或者招标文件公告期限届满之日；</w:t>
      </w:r>
    </w:p>
    <w:p>
      <w:pPr>
        <w:pStyle w:val="null3"/>
        <w:ind w:firstLine="480"/>
        <w:jc w:val="left"/>
      </w:pPr>
      <w:r>
        <w:rPr/>
        <w:t>（二）对采购过程提出质疑的，为各采购程序环节结束之日；</w:t>
      </w:r>
    </w:p>
    <w:p>
      <w:pPr>
        <w:pStyle w:val="null3"/>
        <w:ind w:firstLine="480"/>
        <w:jc w:val="left"/>
      </w:pPr>
      <w:r>
        <w:rPr/>
        <w:t>（三）对中标或者成交结果提出质疑的，为中标或者成交结果公告期限届满之日。</w:t>
      </w:r>
    </w:p>
    <w:p>
      <w:pPr>
        <w:pStyle w:val="null3"/>
        <w:ind w:firstLine="480"/>
        <w:jc w:val="left"/>
      </w:pPr>
      <w:r>
        <w:rPr/>
        <w:t>五、投标人通过书面形式线下向采购人或者代理机构提交质疑资料。</w:t>
      </w:r>
    </w:p>
    <w:p>
      <w:pPr>
        <w:pStyle w:val="null3"/>
        <w:ind w:firstLine="480"/>
        <w:jc w:val="left"/>
      </w:pPr>
      <w:r>
        <w:rPr/>
        <w:t>六、投标人提出质疑时应当准备的资料</w:t>
      </w:r>
    </w:p>
    <w:p>
      <w:pPr>
        <w:pStyle w:val="null3"/>
        <w:ind w:firstLine="480"/>
        <w:jc w:val="left"/>
      </w:pPr>
      <w:r>
        <w:rPr/>
        <w:t>（一）质疑函正本1份；（政府采购投标人质疑函范本可在四川政府采购网下载专区下载）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（五）针对质疑事项必要的证明材料（针对招标文件提出的质疑，需提交从交易系统获取的招标文件回执单）。</w:t>
      </w:r>
    </w:p>
    <w:p>
      <w:pPr>
        <w:pStyle w:val="null3"/>
        <w:ind w:firstLine="480"/>
        <w:jc w:val="left"/>
      </w:pPr>
      <w:r>
        <w:rPr/>
        <w:t>注：根据《中华人民共和国政府采购法》的规定，投标人质疑不得超出招标文件、采购过程、采购结果的范围。</w:t>
      </w:r>
    </w:p>
    <w:p>
      <w:pPr>
        <w:pStyle w:val="null3"/>
        <w:ind w:firstLine="480"/>
        <w:jc w:val="left"/>
      </w:pPr>
      <w:r>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t>财政部门联系方式详见四川政府采购网-下载专区-政府采购供应商投诉书范本-政府采购供应商投诉书范本及受理投诉联系方式。</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（三）以非法手段取得证明材料。证据来源的合法性存在明显疑问，投标人无法证明其取得方式合法的，视为以非法手段取得证明材料。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b/>
          <w:sz w:val="24"/>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采购包1：不需要样品评审</w:t>
      </w:r>
    </w:p>
    <w:p>
      <w:pPr>
        <w:pStyle w:val="null3"/>
        <w:jc w:val="left"/>
      </w:pPr>
      <w:r>
        <w:rPr/>
        <w:t>采购包2：不需要样品评审</w:t>
      </w:r>
    </w:p>
    <w:p>
      <w:pPr>
        <w:pStyle w:val="null3"/>
        <w:jc w:val="left"/>
      </w:pPr>
      <w:r>
        <w:rPr/>
        <w:t>采购包3：不需要样品评审</w:t>
      </w:r>
    </w:p>
    <w:p>
      <w:pPr>
        <w:pStyle w:val="null3"/>
        <w:jc w:val="left"/>
      </w:pPr>
      <w:r>
        <w:rPr/>
        <w:t>采购包4：不需要样品评审</w:t>
      </w:r>
    </w:p>
    <w:p>
      <w:pPr>
        <w:pStyle w:val="null3"/>
        <w:ind w:firstLine="480"/>
        <w:jc w:val="left"/>
      </w:pPr>
      <w:r>
        <w:rPr/>
        <w:t>要求提供样品评审的项目，样品评审环节采取线下方式进行。</w:t>
      </w:r>
    </w:p>
    <w:p>
      <w:pPr>
        <w:pStyle w:val="null3"/>
        <w:ind w:firstLine="480"/>
        <w:jc w:val="left"/>
      </w:pPr>
      <w:r>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（注：本章的技术、服务及其他要求中，带“★”的要求为实质性要求。采购人、代理机构应当根据项目实际要求合理设定，并在第五章符合性审查中明确响应要求。）</w:t>
      </w:r>
    </w:p>
    <w:p>
      <w:pPr>
        <w:pStyle w:val="null3"/>
        <w:jc w:val="left"/>
        <w:outlineLvl w:val="2"/>
      </w:pPr>
      <w:r>
        <w:rPr>
          <w:b/>
          <w:sz w:val="28"/>
        </w:rPr>
        <w:t>3.1.采购内容</w:t>
      </w:r>
    </w:p>
    <w:p>
      <w:pPr>
        <w:pStyle w:val="null3"/>
        <w:jc w:val="left"/>
      </w:pPr>
      <w:r>
        <w:rPr/>
        <w:t>采购包1：</w:t>
      </w:r>
    </w:p>
    <w:p>
      <w:pPr>
        <w:pStyle w:val="null3"/>
        <w:jc w:val="left"/>
      </w:pPr>
      <w:r>
        <w:rPr/>
        <w:t>采购包预算金额（元）: 77,400,000.00</w:t>
      </w:r>
    </w:p>
    <w:p>
      <w:pPr>
        <w:pStyle w:val="null3"/>
        <w:jc w:val="left"/>
      </w:pPr>
      <w:r>
        <w:rPr/>
        <w:t>采购包最高限价（元）: 70,018,300.00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其他专用车辆</w:t>
            </w:r>
          </w:p>
        </w:tc>
        <w:tc>
          <w:tcPr>
            <w:tcW w:type="dxa" w:w="821"/>
          </w:tcPr>
          <w:p>
            <w:pPr>
              <w:pStyle w:val="null3"/>
              <w:jc w:val="left"/>
            </w:pPr>
            <w:r>
              <w:rPr/>
              <w:t>5000m³/h子母式排水抢险车</w:t>
            </w:r>
          </w:p>
        </w:tc>
        <w:tc>
          <w:tcPr>
            <w:tcW w:type="dxa" w:w="821"/>
          </w:tcPr>
          <w:p>
            <w:pPr>
              <w:pStyle w:val="null3"/>
              <w:jc w:val="right"/>
            </w:pPr>
            <w:r>
              <w:rPr/>
              <w:t>9.00（辆）</w:t>
            </w:r>
          </w:p>
        </w:tc>
        <w:tc>
          <w:tcPr>
            <w:tcW w:type="dxa" w:w="821"/>
          </w:tcPr>
          <w:p>
            <w:pPr>
              <w:pStyle w:val="null3"/>
              <w:jc w:val="right"/>
            </w:pPr>
            <w:r>
              <w:rPr/>
              <w:t>28,495,800.00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w:t>
            </w:r>
          </w:p>
        </w:tc>
        <w:tc>
          <w:tcPr>
            <w:tcW w:type="dxa" w:w="821"/>
          </w:tcPr>
          <w:p>
            <w:pPr>
              <w:pStyle w:val="null3"/>
              <w:jc w:val="left"/>
            </w:pPr>
            <w:r>
              <w:rPr/>
              <w:t>其他专用车辆</w:t>
            </w:r>
          </w:p>
        </w:tc>
        <w:tc>
          <w:tcPr>
            <w:tcW w:type="dxa" w:w="821"/>
          </w:tcPr>
          <w:p>
            <w:pPr>
              <w:pStyle w:val="null3"/>
              <w:jc w:val="left"/>
            </w:pPr>
            <w:r>
              <w:rPr/>
              <w:t>3000m³/h子母式排水抢险车</w:t>
            </w:r>
          </w:p>
        </w:tc>
        <w:tc>
          <w:tcPr>
            <w:tcW w:type="dxa" w:w="821"/>
          </w:tcPr>
          <w:p>
            <w:pPr>
              <w:pStyle w:val="null3"/>
              <w:jc w:val="right"/>
            </w:pPr>
            <w:r>
              <w:rPr/>
              <w:t>17.00（辆）</w:t>
            </w:r>
          </w:p>
        </w:tc>
        <w:tc>
          <w:tcPr>
            <w:tcW w:type="dxa" w:w="821"/>
          </w:tcPr>
          <w:p>
            <w:pPr>
              <w:pStyle w:val="null3"/>
              <w:jc w:val="right"/>
            </w:pPr>
            <w:r>
              <w:rPr/>
              <w:t>41,522,500.00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jc w:val="left"/>
      </w:pPr>
      <w:r>
        <w:rPr/>
        <w:t>采购包2：</w:t>
      </w:r>
    </w:p>
    <w:p>
      <w:pPr>
        <w:pStyle w:val="null3"/>
        <w:jc w:val="left"/>
      </w:pPr>
      <w:r>
        <w:rPr/>
        <w:t>采购包预算金额（元）: 16,250,000.00</w:t>
      </w:r>
    </w:p>
    <w:p>
      <w:pPr>
        <w:pStyle w:val="null3"/>
        <w:jc w:val="left"/>
      </w:pPr>
      <w:r>
        <w:rPr/>
        <w:t>采购包最高限价（元）: 12,020,000.00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其他专用车辆</w:t>
            </w:r>
          </w:p>
        </w:tc>
        <w:tc>
          <w:tcPr>
            <w:tcW w:type="dxa" w:w="821"/>
          </w:tcPr>
          <w:p>
            <w:pPr>
              <w:pStyle w:val="null3"/>
              <w:jc w:val="left"/>
            </w:pPr>
            <w:r>
              <w:rPr/>
              <w:t>200m³/h潜水泵及配套柴油动力站</w:t>
            </w:r>
          </w:p>
        </w:tc>
        <w:tc>
          <w:tcPr>
            <w:tcW w:type="dxa" w:w="821"/>
          </w:tcPr>
          <w:p>
            <w:pPr>
              <w:pStyle w:val="null3"/>
              <w:jc w:val="right"/>
            </w:pPr>
            <w:r>
              <w:rPr/>
              <w:t>60.00（套）</w:t>
            </w:r>
          </w:p>
        </w:tc>
        <w:tc>
          <w:tcPr>
            <w:tcW w:type="dxa" w:w="821"/>
          </w:tcPr>
          <w:p>
            <w:pPr>
              <w:pStyle w:val="null3"/>
              <w:jc w:val="right"/>
            </w:pPr>
            <w:r>
              <w:rPr/>
              <w:t>8,880,000.00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w:t>
            </w:r>
          </w:p>
        </w:tc>
        <w:tc>
          <w:tcPr>
            <w:tcW w:type="dxa" w:w="821"/>
          </w:tcPr>
          <w:p>
            <w:pPr>
              <w:pStyle w:val="null3"/>
              <w:jc w:val="left"/>
            </w:pPr>
            <w:r>
              <w:rPr/>
              <w:t>其他专用车辆</w:t>
            </w:r>
          </w:p>
        </w:tc>
        <w:tc>
          <w:tcPr>
            <w:tcW w:type="dxa" w:w="821"/>
          </w:tcPr>
          <w:p>
            <w:pPr>
              <w:pStyle w:val="null3"/>
              <w:jc w:val="left"/>
            </w:pPr>
            <w:r>
              <w:rPr/>
              <w:t>400m³/h高扬程潜水泵</w:t>
            </w:r>
          </w:p>
        </w:tc>
        <w:tc>
          <w:tcPr>
            <w:tcW w:type="dxa" w:w="821"/>
          </w:tcPr>
          <w:p>
            <w:pPr>
              <w:pStyle w:val="null3"/>
              <w:jc w:val="right"/>
            </w:pPr>
            <w:r>
              <w:rPr/>
              <w:t>10.00（台）</w:t>
            </w:r>
          </w:p>
        </w:tc>
        <w:tc>
          <w:tcPr>
            <w:tcW w:type="dxa" w:w="821"/>
          </w:tcPr>
          <w:p>
            <w:pPr>
              <w:pStyle w:val="null3"/>
              <w:jc w:val="right"/>
            </w:pPr>
            <w:r>
              <w:rPr/>
              <w:t>1,470,000.00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w:t>
            </w:r>
          </w:p>
        </w:tc>
        <w:tc>
          <w:tcPr>
            <w:tcW w:type="dxa" w:w="821"/>
          </w:tcPr>
          <w:p>
            <w:pPr>
              <w:pStyle w:val="null3"/>
              <w:jc w:val="left"/>
            </w:pPr>
            <w:r>
              <w:rPr/>
              <w:t>其他专用车辆</w:t>
            </w:r>
          </w:p>
        </w:tc>
        <w:tc>
          <w:tcPr>
            <w:tcW w:type="dxa" w:w="821"/>
          </w:tcPr>
          <w:p>
            <w:pPr>
              <w:pStyle w:val="null3"/>
              <w:jc w:val="left"/>
            </w:pPr>
            <w:r>
              <w:rPr/>
              <w:t>600m³/h潜水泵</w:t>
            </w:r>
          </w:p>
        </w:tc>
        <w:tc>
          <w:tcPr>
            <w:tcW w:type="dxa" w:w="821"/>
          </w:tcPr>
          <w:p>
            <w:pPr>
              <w:pStyle w:val="null3"/>
              <w:jc w:val="right"/>
            </w:pPr>
            <w:r>
              <w:rPr/>
              <w:t>10.00（台）</w:t>
            </w:r>
          </w:p>
        </w:tc>
        <w:tc>
          <w:tcPr>
            <w:tcW w:type="dxa" w:w="821"/>
          </w:tcPr>
          <w:p>
            <w:pPr>
              <w:pStyle w:val="null3"/>
              <w:jc w:val="right"/>
            </w:pPr>
            <w:r>
              <w:rPr/>
              <w:t>448,000.00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w:t>
            </w:r>
          </w:p>
        </w:tc>
        <w:tc>
          <w:tcPr>
            <w:tcW w:type="dxa" w:w="821"/>
          </w:tcPr>
          <w:p>
            <w:pPr>
              <w:pStyle w:val="null3"/>
              <w:jc w:val="left"/>
            </w:pPr>
            <w:r>
              <w:rPr/>
              <w:t>其他专用车辆</w:t>
            </w:r>
          </w:p>
        </w:tc>
        <w:tc>
          <w:tcPr>
            <w:tcW w:type="dxa" w:w="821"/>
          </w:tcPr>
          <w:p>
            <w:pPr>
              <w:pStyle w:val="null3"/>
              <w:jc w:val="left"/>
            </w:pPr>
            <w:r>
              <w:rPr/>
              <w:t>150m³/h高扬程潜水泵</w:t>
            </w:r>
          </w:p>
        </w:tc>
        <w:tc>
          <w:tcPr>
            <w:tcW w:type="dxa" w:w="821"/>
          </w:tcPr>
          <w:p>
            <w:pPr>
              <w:pStyle w:val="null3"/>
              <w:jc w:val="right"/>
            </w:pPr>
            <w:r>
              <w:rPr/>
              <w:t>10.00（台）</w:t>
            </w:r>
          </w:p>
        </w:tc>
        <w:tc>
          <w:tcPr>
            <w:tcW w:type="dxa" w:w="821"/>
          </w:tcPr>
          <w:p>
            <w:pPr>
              <w:pStyle w:val="null3"/>
              <w:jc w:val="right"/>
            </w:pPr>
            <w:r>
              <w:rPr/>
              <w:t>889,000.00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5</w:t>
            </w:r>
          </w:p>
        </w:tc>
        <w:tc>
          <w:tcPr>
            <w:tcW w:type="dxa" w:w="821"/>
          </w:tcPr>
          <w:p>
            <w:pPr>
              <w:pStyle w:val="null3"/>
              <w:jc w:val="left"/>
            </w:pPr>
            <w:r>
              <w:rPr/>
              <w:t>其他专用车辆</w:t>
            </w:r>
          </w:p>
        </w:tc>
        <w:tc>
          <w:tcPr>
            <w:tcW w:type="dxa" w:w="821"/>
          </w:tcPr>
          <w:p>
            <w:pPr>
              <w:pStyle w:val="null3"/>
              <w:jc w:val="left"/>
            </w:pPr>
            <w:r>
              <w:rPr/>
              <w:t>1000m³/h潜水泵</w:t>
            </w:r>
          </w:p>
        </w:tc>
        <w:tc>
          <w:tcPr>
            <w:tcW w:type="dxa" w:w="821"/>
          </w:tcPr>
          <w:p>
            <w:pPr>
              <w:pStyle w:val="null3"/>
              <w:jc w:val="right"/>
            </w:pPr>
            <w:r>
              <w:rPr/>
              <w:t>5.00（台）</w:t>
            </w:r>
          </w:p>
        </w:tc>
        <w:tc>
          <w:tcPr>
            <w:tcW w:type="dxa" w:w="821"/>
          </w:tcPr>
          <w:p>
            <w:pPr>
              <w:pStyle w:val="null3"/>
              <w:jc w:val="right"/>
            </w:pPr>
            <w:r>
              <w:rPr/>
              <w:t>333,000.00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jc w:val="left"/>
      </w:pPr>
      <w:r>
        <w:rPr/>
        <w:t>采购包3：</w:t>
      </w:r>
    </w:p>
    <w:p>
      <w:pPr>
        <w:pStyle w:val="null3"/>
        <w:jc w:val="left"/>
      </w:pPr>
      <w:r>
        <w:rPr/>
        <w:t>采购包预算金额（元）: 51,200,000.00</w:t>
      </w:r>
    </w:p>
    <w:p>
      <w:pPr>
        <w:pStyle w:val="null3"/>
        <w:jc w:val="left"/>
      </w:pPr>
      <w:r>
        <w:rPr/>
        <w:t>采购包最高限价（元）: 44,005,900.00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其他专用车辆</w:t>
            </w:r>
          </w:p>
        </w:tc>
        <w:tc>
          <w:tcPr>
            <w:tcW w:type="dxa" w:w="821"/>
          </w:tcPr>
          <w:p>
            <w:pPr>
              <w:pStyle w:val="null3"/>
              <w:jc w:val="left"/>
            </w:pPr>
            <w:r>
              <w:rPr/>
              <w:t>200KW电源车</w:t>
            </w:r>
          </w:p>
        </w:tc>
        <w:tc>
          <w:tcPr>
            <w:tcW w:type="dxa" w:w="821"/>
          </w:tcPr>
          <w:p>
            <w:pPr>
              <w:pStyle w:val="null3"/>
              <w:jc w:val="right"/>
            </w:pPr>
            <w:r>
              <w:rPr/>
              <w:t>12.00（辆）</w:t>
            </w:r>
          </w:p>
        </w:tc>
        <w:tc>
          <w:tcPr>
            <w:tcW w:type="dxa" w:w="821"/>
          </w:tcPr>
          <w:p>
            <w:pPr>
              <w:pStyle w:val="null3"/>
              <w:jc w:val="right"/>
            </w:pPr>
            <w:r>
              <w:rPr/>
              <w:t>10,320,000.00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w:t>
            </w:r>
          </w:p>
        </w:tc>
        <w:tc>
          <w:tcPr>
            <w:tcW w:type="dxa" w:w="821"/>
          </w:tcPr>
          <w:p>
            <w:pPr>
              <w:pStyle w:val="null3"/>
              <w:jc w:val="left"/>
            </w:pPr>
            <w:r>
              <w:rPr/>
              <w:t>其他专用车辆</w:t>
            </w:r>
          </w:p>
        </w:tc>
        <w:tc>
          <w:tcPr>
            <w:tcW w:type="dxa" w:w="821"/>
          </w:tcPr>
          <w:p>
            <w:pPr>
              <w:pStyle w:val="null3"/>
              <w:jc w:val="left"/>
            </w:pPr>
            <w:r>
              <w:rPr/>
              <w:t>500KW电源车</w:t>
            </w:r>
          </w:p>
        </w:tc>
        <w:tc>
          <w:tcPr>
            <w:tcW w:type="dxa" w:w="821"/>
          </w:tcPr>
          <w:p>
            <w:pPr>
              <w:pStyle w:val="null3"/>
              <w:jc w:val="right"/>
            </w:pPr>
            <w:r>
              <w:rPr/>
              <w:t>8.00（辆）</w:t>
            </w:r>
          </w:p>
        </w:tc>
        <w:tc>
          <w:tcPr>
            <w:tcW w:type="dxa" w:w="821"/>
          </w:tcPr>
          <w:p>
            <w:pPr>
              <w:pStyle w:val="null3"/>
              <w:jc w:val="right"/>
            </w:pPr>
            <w:r>
              <w:rPr/>
              <w:t>8,944,000.00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w:t>
            </w:r>
          </w:p>
        </w:tc>
        <w:tc>
          <w:tcPr>
            <w:tcW w:type="dxa" w:w="821"/>
          </w:tcPr>
          <w:p>
            <w:pPr>
              <w:pStyle w:val="null3"/>
              <w:jc w:val="left"/>
            </w:pPr>
            <w:r>
              <w:rPr/>
              <w:t>其他专用车辆</w:t>
            </w:r>
          </w:p>
        </w:tc>
        <w:tc>
          <w:tcPr>
            <w:tcW w:type="dxa" w:w="821"/>
          </w:tcPr>
          <w:p>
            <w:pPr>
              <w:pStyle w:val="null3"/>
              <w:jc w:val="left"/>
            </w:pPr>
            <w:r>
              <w:rPr/>
              <w:t>800KW电源车</w:t>
            </w:r>
          </w:p>
        </w:tc>
        <w:tc>
          <w:tcPr>
            <w:tcW w:type="dxa" w:w="821"/>
          </w:tcPr>
          <w:p>
            <w:pPr>
              <w:pStyle w:val="null3"/>
              <w:jc w:val="right"/>
            </w:pPr>
            <w:r>
              <w:rPr/>
              <w:t>5.00（辆）</w:t>
            </w:r>
          </w:p>
        </w:tc>
        <w:tc>
          <w:tcPr>
            <w:tcW w:type="dxa" w:w="821"/>
          </w:tcPr>
          <w:p>
            <w:pPr>
              <w:pStyle w:val="null3"/>
              <w:jc w:val="right"/>
            </w:pPr>
            <w:r>
              <w:rPr/>
              <w:t>9,433,900.00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w:t>
            </w:r>
          </w:p>
        </w:tc>
        <w:tc>
          <w:tcPr>
            <w:tcW w:type="dxa" w:w="821"/>
          </w:tcPr>
          <w:p>
            <w:pPr>
              <w:pStyle w:val="null3"/>
              <w:jc w:val="left"/>
            </w:pPr>
            <w:r>
              <w:rPr/>
              <w:t>其他专用车辆</w:t>
            </w:r>
          </w:p>
        </w:tc>
        <w:tc>
          <w:tcPr>
            <w:tcW w:type="dxa" w:w="821"/>
          </w:tcPr>
          <w:p>
            <w:pPr>
              <w:pStyle w:val="null3"/>
              <w:jc w:val="left"/>
            </w:pPr>
            <w:r>
              <w:rPr/>
              <w:t>载货汽车</w:t>
            </w:r>
          </w:p>
        </w:tc>
        <w:tc>
          <w:tcPr>
            <w:tcW w:type="dxa" w:w="821"/>
          </w:tcPr>
          <w:p>
            <w:pPr>
              <w:pStyle w:val="null3"/>
              <w:jc w:val="right"/>
            </w:pPr>
            <w:r>
              <w:rPr/>
              <w:t>24.00（辆）</w:t>
            </w:r>
          </w:p>
        </w:tc>
        <w:tc>
          <w:tcPr>
            <w:tcW w:type="dxa" w:w="821"/>
          </w:tcPr>
          <w:p>
            <w:pPr>
              <w:pStyle w:val="null3"/>
              <w:jc w:val="right"/>
            </w:pPr>
            <w:r>
              <w:rPr/>
              <w:t>9,288,000.00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5</w:t>
            </w:r>
          </w:p>
        </w:tc>
        <w:tc>
          <w:tcPr>
            <w:tcW w:type="dxa" w:w="821"/>
          </w:tcPr>
          <w:p>
            <w:pPr>
              <w:pStyle w:val="null3"/>
              <w:jc w:val="left"/>
            </w:pPr>
            <w:r>
              <w:rPr/>
              <w:t>其他专用车辆</w:t>
            </w:r>
          </w:p>
        </w:tc>
        <w:tc>
          <w:tcPr>
            <w:tcW w:type="dxa" w:w="821"/>
          </w:tcPr>
          <w:p>
            <w:pPr>
              <w:pStyle w:val="null3"/>
              <w:jc w:val="left"/>
            </w:pPr>
            <w:r>
              <w:rPr/>
              <w:t>随车起重运输车</w:t>
            </w:r>
          </w:p>
        </w:tc>
        <w:tc>
          <w:tcPr>
            <w:tcW w:type="dxa" w:w="821"/>
          </w:tcPr>
          <w:p>
            <w:pPr>
              <w:pStyle w:val="null3"/>
              <w:jc w:val="right"/>
            </w:pPr>
            <w:r>
              <w:rPr/>
              <w:t>10.00（辆）</w:t>
            </w:r>
          </w:p>
        </w:tc>
        <w:tc>
          <w:tcPr>
            <w:tcW w:type="dxa" w:w="821"/>
          </w:tcPr>
          <w:p>
            <w:pPr>
              <w:pStyle w:val="null3"/>
              <w:jc w:val="right"/>
            </w:pPr>
            <w:r>
              <w:rPr/>
              <w:t>6,020,000.00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jc w:val="left"/>
      </w:pPr>
      <w:r>
        <w:rPr/>
        <w:t>采购包4：</w:t>
      </w:r>
    </w:p>
    <w:p>
      <w:pPr>
        <w:pStyle w:val="null3"/>
        <w:jc w:val="left"/>
      </w:pPr>
      <w:r>
        <w:rPr/>
        <w:t>采购包预算金额（元）: 28,310,000.00</w:t>
      </w:r>
    </w:p>
    <w:p>
      <w:pPr>
        <w:pStyle w:val="null3"/>
        <w:jc w:val="left"/>
      </w:pPr>
      <w:r>
        <w:rPr/>
        <w:t>采购包最高限价（元）: 20,448,800.00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其他专用车辆</w:t>
            </w:r>
          </w:p>
        </w:tc>
        <w:tc>
          <w:tcPr>
            <w:tcW w:type="dxa" w:w="821"/>
          </w:tcPr>
          <w:p>
            <w:pPr>
              <w:pStyle w:val="null3"/>
              <w:jc w:val="left"/>
            </w:pPr>
            <w:r>
              <w:rPr/>
              <w:t>通信指挥车</w:t>
            </w:r>
          </w:p>
        </w:tc>
        <w:tc>
          <w:tcPr>
            <w:tcW w:type="dxa" w:w="821"/>
          </w:tcPr>
          <w:p>
            <w:pPr>
              <w:pStyle w:val="null3"/>
              <w:jc w:val="right"/>
            </w:pPr>
            <w:r>
              <w:rPr/>
              <w:t>2.00（辆）</w:t>
            </w:r>
          </w:p>
        </w:tc>
        <w:tc>
          <w:tcPr>
            <w:tcW w:type="dxa" w:w="821"/>
          </w:tcPr>
          <w:p>
            <w:pPr>
              <w:pStyle w:val="null3"/>
              <w:jc w:val="right"/>
            </w:pPr>
            <w:r>
              <w:rPr/>
              <w:t>3,756,480.00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w:t>
            </w:r>
          </w:p>
        </w:tc>
        <w:tc>
          <w:tcPr>
            <w:tcW w:type="dxa" w:w="821"/>
          </w:tcPr>
          <w:p>
            <w:pPr>
              <w:pStyle w:val="null3"/>
              <w:jc w:val="left"/>
            </w:pPr>
            <w:r>
              <w:rPr/>
              <w:t>其他专用车辆</w:t>
            </w:r>
          </w:p>
        </w:tc>
        <w:tc>
          <w:tcPr>
            <w:tcW w:type="dxa" w:w="821"/>
          </w:tcPr>
          <w:p>
            <w:pPr>
              <w:pStyle w:val="null3"/>
              <w:jc w:val="left"/>
            </w:pPr>
            <w:r>
              <w:rPr/>
              <w:t>挡水板</w:t>
            </w:r>
          </w:p>
        </w:tc>
        <w:tc>
          <w:tcPr>
            <w:tcW w:type="dxa" w:w="821"/>
          </w:tcPr>
          <w:p>
            <w:pPr>
              <w:pStyle w:val="null3"/>
              <w:jc w:val="right"/>
            </w:pPr>
            <w:r>
              <w:rPr/>
              <w:t>2,000.00（块）</w:t>
            </w:r>
          </w:p>
        </w:tc>
        <w:tc>
          <w:tcPr>
            <w:tcW w:type="dxa" w:w="821"/>
          </w:tcPr>
          <w:p>
            <w:pPr>
              <w:pStyle w:val="null3"/>
              <w:jc w:val="right"/>
            </w:pPr>
            <w:r>
              <w:rPr/>
              <w:t>2,889,600.00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3</w:t>
            </w:r>
          </w:p>
        </w:tc>
        <w:tc>
          <w:tcPr>
            <w:tcW w:type="dxa" w:w="821"/>
          </w:tcPr>
          <w:p>
            <w:pPr>
              <w:pStyle w:val="null3"/>
              <w:jc w:val="left"/>
            </w:pPr>
            <w:r>
              <w:rPr/>
              <w:t>其他专用车辆</w:t>
            </w:r>
          </w:p>
        </w:tc>
        <w:tc>
          <w:tcPr>
            <w:tcW w:type="dxa" w:w="821"/>
          </w:tcPr>
          <w:p>
            <w:pPr>
              <w:pStyle w:val="null3"/>
              <w:jc w:val="left"/>
            </w:pPr>
            <w:r>
              <w:rPr/>
              <w:t>便携式轻便工作灯</w:t>
            </w:r>
          </w:p>
        </w:tc>
        <w:tc>
          <w:tcPr>
            <w:tcW w:type="dxa" w:w="821"/>
          </w:tcPr>
          <w:p>
            <w:pPr>
              <w:pStyle w:val="null3"/>
              <w:jc w:val="right"/>
            </w:pPr>
            <w:r>
              <w:rPr/>
              <w:t>100.00（台）</w:t>
            </w:r>
          </w:p>
        </w:tc>
        <w:tc>
          <w:tcPr>
            <w:tcW w:type="dxa" w:w="821"/>
          </w:tcPr>
          <w:p>
            <w:pPr>
              <w:pStyle w:val="null3"/>
              <w:jc w:val="right"/>
            </w:pPr>
            <w:r>
              <w:rPr/>
              <w:t>433,440.00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4</w:t>
            </w:r>
          </w:p>
        </w:tc>
        <w:tc>
          <w:tcPr>
            <w:tcW w:type="dxa" w:w="821"/>
          </w:tcPr>
          <w:p>
            <w:pPr>
              <w:pStyle w:val="null3"/>
              <w:jc w:val="left"/>
            </w:pPr>
            <w:r>
              <w:rPr/>
              <w:t>其他专用车辆</w:t>
            </w:r>
          </w:p>
        </w:tc>
        <w:tc>
          <w:tcPr>
            <w:tcW w:type="dxa" w:w="821"/>
          </w:tcPr>
          <w:p>
            <w:pPr>
              <w:pStyle w:val="null3"/>
              <w:jc w:val="left"/>
            </w:pPr>
            <w:r>
              <w:rPr/>
              <w:t>冲锋舟</w:t>
            </w:r>
          </w:p>
        </w:tc>
        <w:tc>
          <w:tcPr>
            <w:tcW w:type="dxa" w:w="821"/>
          </w:tcPr>
          <w:p>
            <w:pPr>
              <w:pStyle w:val="null3"/>
              <w:jc w:val="right"/>
            </w:pPr>
            <w:r>
              <w:rPr/>
              <w:t>20.00（台）</w:t>
            </w:r>
          </w:p>
        </w:tc>
        <w:tc>
          <w:tcPr>
            <w:tcW w:type="dxa" w:w="821"/>
          </w:tcPr>
          <w:p>
            <w:pPr>
              <w:pStyle w:val="null3"/>
              <w:jc w:val="right"/>
            </w:pPr>
            <w:r>
              <w:rPr/>
              <w:t>361,200.00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5</w:t>
            </w:r>
          </w:p>
        </w:tc>
        <w:tc>
          <w:tcPr>
            <w:tcW w:type="dxa" w:w="821"/>
          </w:tcPr>
          <w:p>
            <w:pPr>
              <w:pStyle w:val="null3"/>
              <w:jc w:val="left"/>
            </w:pPr>
            <w:r>
              <w:rPr/>
              <w:t>其他专用车辆</w:t>
            </w:r>
          </w:p>
        </w:tc>
        <w:tc>
          <w:tcPr>
            <w:tcW w:type="dxa" w:w="821"/>
          </w:tcPr>
          <w:p>
            <w:pPr>
              <w:pStyle w:val="null3"/>
              <w:jc w:val="left"/>
            </w:pPr>
            <w:r>
              <w:rPr/>
              <w:t>40匹船外机</w:t>
            </w:r>
          </w:p>
        </w:tc>
        <w:tc>
          <w:tcPr>
            <w:tcW w:type="dxa" w:w="821"/>
          </w:tcPr>
          <w:p>
            <w:pPr>
              <w:pStyle w:val="null3"/>
              <w:jc w:val="right"/>
            </w:pPr>
            <w:r>
              <w:rPr/>
              <w:t>10.00（台）</w:t>
            </w:r>
          </w:p>
        </w:tc>
        <w:tc>
          <w:tcPr>
            <w:tcW w:type="dxa" w:w="821"/>
          </w:tcPr>
          <w:p>
            <w:pPr>
              <w:pStyle w:val="null3"/>
              <w:jc w:val="right"/>
            </w:pPr>
            <w:r>
              <w:rPr/>
              <w:t>144,200.00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6</w:t>
            </w:r>
          </w:p>
        </w:tc>
        <w:tc>
          <w:tcPr>
            <w:tcW w:type="dxa" w:w="821"/>
          </w:tcPr>
          <w:p>
            <w:pPr>
              <w:pStyle w:val="null3"/>
              <w:jc w:val="left"/>
            </w:pPr>
            <w:r>
              <w:rPr/>
              <w:t>其他专用车辆</w:t>
            </w:r>
          </w:p>
        </w:tc>
        <w:tc>
          <w:tcPr>
            <w:tcW w:type="dxa" w:w="821"/>
          </w:tcPr>
          <w:p>
            <w:pPr>
              <w:pStyle w:val="null3"/>
              <w:jc w:val="left"/>
            </w:pPr>
            <w:r>
              <w:rPr/>
              <w:t>60匹船外机</w:t>
            </w:r>
          </w:p>
        </w:tc>
        <w:tc>
          <w:tcPr>
            <w:tcW w:type="dxa" w:w="821"/>
          </w:tcPr>
          <w:p>
            <w:pPr>
              <w:pStyle w:val="null3"/>
              <w:jc w:val="right"/>
            </w:pPr>
            <w:r>
              <w:rPr/>
              <w:t>10.00（台）</w:t>
            </w:r>
          </w:p>
        </w:tc>
        <w:tc>
          <w:tcPr>
            <w:tcW w:type="dxa" w:w="821"/>
          </w:tcPr>
          <w:p>
            <w:pPr>
              <w:pStyle w:val="null3"/>
              <w:jc w:val="right"/>
            </w:pPr>
            <w:r>
              <w:rPr/>
              <w:t>216,720.00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7</w:t>
            </w:r>
          </w:p>
        </w:tc>
        <w:tc>
          <w:tcPr>
            <w:tcW w:type="dxa" w:w="821"/>
          </w:tcPr>
          <w:p>
            <w:pPr>
              <w:pStyle w:val="null3"/>
              <w:jc w:val="left"/>
            </w:pPr>
            <w:r>
              <w:rPr/>
              <w:t>其他专用车辆</w:t>
            </w:r>
          </w:p>
        </w:tc>
        <w:tc>
          <w:tcPr>
            <w:tcW w:type="dxa" w:w="821"/>
          </w:tcPr>
          <w:p>
            <w:pPr>
              <w:pStyle w:val="null3"/>
              <w:jc w:val="left"/>
            </w:pPr>
            <w:r>
              <w:rPr/>
              <w:t>冲锋舟专用拖车</w:t>
            </w:r>
          </w:p>
        </w:tc>
        <w:tc>
          <w:tcPr>
            <w:tcW w:type="dxa" w:w="821"/>
          </w:tcPr>
          <w:p>
            <w:pPr>
              <w:pStyle w:val="null3"/>
              <w:jc w:val="right"/>
            </w:pPr>
            <w:r>
              <w:rPr/>
              <w:t>5.00（辆）</w:t>
            </w:r>
          </w:p>
        </w:tc>
        <w:tc>
          <w:tcPr>
            <w:tcW w:type="dxa" w:w="821"/>
          </w:tcPr>
          <w:p>
            <w:pPr>
              <w:pStyle w:val="null3"/>
              <w:jc w:val="right"/>
            </w:pPr>
            <w:r>
              <w:rPr/>
              <w:t>36,000.00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8</w:t>
            </w:r>
          </w:p>
        </w:tc>
        <w:tc>
          <w:tcPr>
            <w:tcW w:type="dxa" w:w="821"/>
          </w:tcPr>
          <w:p>
            <w:pPr>
              <w:pStyle w:val="null3"/>
              <w:jc w:val="left"/>
            </w:pPr>
            <w:r>
              <w:rPr/>
              <w:t>其他专用车辆</w:t>
            </w:r>
          </w:p>
        </w:tc>
        <w:tc>
          <w:tcPr>
            <w:tcW w:type="dxa" w:w="821"/>
          </w:tcPr>
          <w:p>
            <w:pPr>
              <w:pStyle w:val="null3"/>
              <w:jc w:val="left"/>
            </w:pPr>
            <w:r>
              <w:rPr/>
              <w:t>对讲机</w:t>
            </w:r>
          </w:p>
        </w:tc>
        <w:tc>
          <w:tcPr>
            <w:tcW w:type="dxa" w:w="821"/>
          </w:tcPr>
          <w:p>
            <w:pPr>
              <w:pStyle w:val="null3"/>
              <w:jc w:val="right"/>
            </w:pPr>
            <w:r>
              <w:rPr/>
              <w:t>500.00（台）</w:t>
            </w:r>
          </w:p>
        </w:tc>
        <w:tc>
          <w:tcPr>
            <w:tcW w:type="dxa" w:w="821"/>
          </w:tcPr>
          <w:p>
            <w:pPr>
              <w:pStyle w:val="null3"/>
              <w:jc w:val="right"/>
            </w:pPr>
            <w:r>
              <w:rPr/>
              <w:t>722,400.00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9</w:t>
            </w:r>
          </w:p>
        </w:tc>
        <w:tc>
          <w:tcPr>
            <w:tcW w:type="dxa" w:w="821"/>
          </w:tcPr>
          <w:p>
            <w:pPr>
              <w:pStyle w:val="null3"/>
              <w:jc w:val="left"/>
            </w:pPr>
            <w:r>
              <w:rPr/>
              <w:t>其他专用车辆</w:t>
            </w:r>
          </w:p>
        </w:tc>
        <w:tc>
          <w:tcPr>
            <w:tcW w:type="dxa" w:w="821"/>
          </w:tcPr>
          <w:p>
            <w:pPr>
              <w:pStyle w:val="null3"/>
              <w:jc w:val="left"/>
            </w:pPr>
            <w:r>
              <w:rPr/>
              <w:t>配电柜</w:t>
            </w:r>
          </w:p>
        </w:tc>
        <w:tc>
          <w:tcPr>
            <w:tcW w:type="dxa" w:w="821"/>
          </w:tcPr>
          <w:p>
            <w:pPr>
              <w:pStyle w:val="null3"/>
              <w:jc w:val="right"/>
            </w:pPr>
            <w:r>
              <w:rPr/>
              <w:t>30.00（套）</w:t>
            </w:r>
          </w:p>
        </w:tc>
        <w:tc>
          <w:tcPr>
            <w:tcW w:type="dxa" w:w="821"/>
          </w:tcPr>
          <w:p>
            <w:pPr>
              <w:pStyle w:val="null3"/>
              <w:jc w:val="right"/>
            </w:pPr>
            <w:r>
              <w:rPr/>
              <w:t>1,125,000.00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10</w:t>
            </w:r>
          </w:p>
        </w:tc>
        <w:tc>
          <w:tcPr>
            <w:tcW w:type="dxa" w:w="821"/>
          </w:tcPr>
          <w:p>
            <w:pPr>
              <w:pStyle w:val="null3"/>
              <w:jc w:val="left"/>
            </w:pPr>
            <w:r>
              <w:rPr/>
              <w:t>其他专用车辆</w:t>
            </w:r>
          </w:p>
        </w:tc>
        <w:tc>
          <w:tcPr>
            <w:tcW w:type="dxa" w:w="821"/>
          </w:tcPr>
          <w:p>
            <w:pPr>
              <w:pStyle w:val="null3"/>
              <w:jc w:val="left"/>
            </w:pPr>
            <w:r>
              <w:rPr/>
              <w:t>无人机及配件</w:t>
            </w:r>
          </w:p>
        </w:tc>
        <w:tc>
          <w:tcPr>
            <w:tcW w:type="dxa" w:w="821"/>
          </w:tcPr>
          <w:p>
            <w:pPr>
              <w:pStyle w:val="null3"/>
              <w:jc w:val="right"/>
            </w:pPr>
            <w:r>
              <w:rPr/>
              <w:t>20.00（套）</w:t>
            </w:r>
          </w:p>
        </w:tc>
        <w:tc>
          <w:tcPr>
            <w:tcW w:type="dxa" w:w="821"/>
          </w:tcPr>
          <w:p>
            <w:pPr>
              <w:pStyle w:val="null3"/>
              <w:jc w:val="right"/>
            </w:pPr>
            <w:r>
              <w:rPr/>
              <w:t>3,756,480.00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11</w:t>
            </w:r>
          </w:p>
        </w:tc>
        <w:tc>
          <w:tcPr>
            <w:tcW w:type="dxa" w:w="821"/>
          </w:tcPr>
          <w:p>
            <w:pPr>
              <w:pStyle w:val="null3"/>
              <w:jc w:val="left"/>
            </w:pPr>
            <w:r>
              <w:rPr/>
              <w:t>其他专用车辆</w:t>
            </w:r>
          </w:p>
        </w:tc>
        <w:tc>
          <w:tcPr>
            <w:tcW w:type="dxa" w:w="821"/>
          </w:tcPr>
          <w:p>
            <w:pPr>
              <w:pStyle w:val="null3"/>
              <w:jc w:val="left"/>
            </w:pPr>
            <w:r>
              <w:rPr/>
              <w:t>管道潜望镜</w:t>
            </w:r>
          </w:p>
        </w:tc>
        <w:tc>
          <w:tcPr>
            <w:tcW w:type="dxa" w:w="821"/>
          </w:tcPr>
          <w:p>
            <w:pPr>
              <w:pStyle w:val="null3"/>
              <w:jc w:val="right"/>
            </w:pPr>
            <w:r>
              <w:rPr/>
              <w:t>20.00（台）</w:t>
            </w:r>
          </w:p>
        </w:tc>
        <w:tc>
          <w:tcPr>
            <w:tcW w:type="dxa" w:w="821"/>
          </w:tcPr>
          <w:p>
            <w:pPr>
              <w:pStyle w:val="null3"/>
              <w:jc w:val="right"/>
            </w:pPr>
            <w:r>
              <w:rPr/>
              <w:t>1,155,840.00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12</w:t>
            </w:r>
          </w:p>
        </w:tc>
        <w:tc>
          <w:tcPr>
            <w:tcW w:type="dxa" w:w="821"/>
          </w:tcPr>
          <w:p>
            <w:pPr>
              <w:pStyle w:val="null3"/>
              <w:jc w:val="left"/>
            </w:pPr>
            <w:r>
              <w:rPr/>
              <w:t>其他专用车辆</w:t>
            </w:r>
          </w:p>
        </w:tc>
        <w:tc>
          <w:tcPr>
            <w:tcW w:type="dxa" w:w="821"/>
          </w:tcPr>
          <w:p>
            <w:pPr>
              <w:pStyle w:val="null3"/>
              <w:jc w:val="left"/>
            </w:pPr>
            <w:r>
              <w:rPr/>
              <w:t>管道爬行机器人（CCTV）</w:t>
            </w:r>
          </w:p>
        </w:tc>
        <w:tc>
          <w:tcPr>
            <w:tcW w:type="dxa" w:w="821"/>
          </w:tcPr>
          <w:p>
            <w:pPr>
              <w:pStyle w:val="null3"/>
              <w:jc w:val="right"/>
            </w:pPr>
            <w:r>
              <w:rPr/>
              <w:t>20.00（台）</w:t>
            </w:r>
          </w:p>
        </w:tc>
        <w:tc>
          <w:tcPr>
            <w:tcW w:type="dxa" w:w="821"/>
          </w:tcPr>
          <w:p>
            <w:pPr>
              <w:pStyle w:val="null3"/>
              <w:jc w:val="right"/>
            </w:pPr>
            <w:r>
              <w:rPr/>
              <w:t>2,239,440.00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13</w:t>
            </w:r>
          </w:p>
        </w:tc>
        <w:tc>
          <w:tcPr>
            <w:tcW w:type="dxa" w:w="821"/>
          </w:tcPr>
          <w:p>
            <w:pPr>
              <w:pStyle w:val="null3"/>
              <w:jc w:val="left"/>
            </w:pPr>
            <w:r>
              <w:rPr/>
              <w:t>其他专用车辆</w:t>
            </w:r>
          </w:p>
        </w:tc>
        <w:tc>
          <w:tcPr>
            <w:tcW w:type="dxa" w:w="821"/>
          </w:tcPr>
          <w:p>
            <w:pPr>
              <w:pStyle w:val="null3"/>
              <w:jc w:val="left"/>
            </w:pPr>
            <w:r>
              <w:rPr/>
              <w:t>全地形管道检测机器人</w:t>
            </w:r>
          </w:p>
        </w:tc>
        <w:tc>
          <w:tcPr>
            <w:tcW w:type="dxa" w:w="821"/>
          </w:tcPr>
          <w:p>
            <w:pPr>
              <w:pStyle w:val="null3"/>
              <w:jc w:val="right"/>
            </w:pPr>
            <w:r>
              <w:rPr/>
              <w:t>20.00（台）</w:t>
            </w:r>
          </w:p>
        </w:tc>
        <w:tc>
          <w:tcPr>
            <w:tcW w:type="dxa" w:w="821"/>
          </w:tcPr>
          <w:p>
            <w:pPr>
              <w:pStyle w:val="null3"/>
              <w:jc w:val="right"/>
            </w:pPr>
            <w:r>
              <w:rPr/>
              <w:t>3,612,000.00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jc w:val="left"/>
        <w:outlineLvl w:val="3"/>
      </w:pPr>
      <w:r>
        <w:rPr>
          <w:b/>
          <w:sz w:val="24"/>
        </w:rPr>
        <w:t>报价要求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5000m³/h子母式排水抢险车</w:t>
            </w:r>
          </w:p>
        </w:tc>
        <w:tc>
          <w:tcPr>
            <w:tcW w:type="dxa" w:w="977"/>
          </w:tcPr>
          <w:p>
            <w:pPr>
              <w:pStyle w:val="null3"/>
              <w:jc w:val="right"/>
            </w:pPr>
            <w:r>
              <w:rPr/>
              <w:t>9.00（辆）</w:t>
            </w:r>
          </w:p>
        </w:tc>
        <w:tc>
          <w:tcPr>
            <w:tcW w:type="dxa" w:w="1173"/>
          </w:tcPr>
          <w:p>
            <w:pPr>
              <w:pStyle w:val="null3"/>
              <w:jc w:val="right"/>
            </w:pPr>
            <w:r>
              <w:rPr/>
              <w:t>3,166,200（元）</w:t>
            </w:r>
          </w:p>
        </w:tc>
        <w:tc>
          <w:tcPr>
            <w:tcW w:type="dxa" w:w="1173"/>
          </w:tcPr>
          <w:p>
            <w:pPr>
              <w:pStyle w:val="null3"/>
              <w:jc w:val="right"/>
            </w:pPr>
            <w:r>
              <w:rPr/>
              <w:t>28,495,800.00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w:t>
            </w:r>
          </w:p>
        </w:tc>
        <w:tc>
          <w:tcPr>
            <w:tcW w:type="dxa" w:w="1466"/>
          </w:tcPr>
          <w:p>
            <w:pPr>
              <w:pStyle w:val="null3"/>
              <w:jc w:val="left"/>
            </w:pPr>
            <w:r>
              <w:rPr/>
              <w:t>3000m³/h子母式排水抢险车</w:t>
            </w:r>
          </w:p>
        </w:tc>
        <w:tc>
          <w:tcPr>
            <w:tcW w:type="dxa" w:w="977"/>
          </w:tcPr>
          <w:p>
            <w:pPr>
              <w:pStyle w:val="null3"/>
              <w:jc w:val="right"/>
            </w:pPr>
            <w:r>
              <w:rPr/>
              <w:t>17.00（辆）</w:t>
            </w:r>
          </w:p>
        </w:tc>
        <w:tc>
          <w:tcPr>
            <w:tcW w:type="dxa" w:w="1173"/>
          </w:tcPr>
          <w:p>
            <w:pPr>
              <w:pStyle w:val="null3"/>
              <w:jc w:val="right"/>
            </w:pPr>
            <w:r>
              <w:rPr/>
              <w:t>2,442,500（元）</w:t>
            </w:r>
          </w:p>
        </w:tc>
        <w:tc>
          <w:tcPr>
            <w:tcW w:type="dxa" w:w="1173"/>
          </w:tcPr>
          <w:p>
            <w:pPr>
              <w:pStyle w:val="null3"/>
              <w:jc w:val="right"/>
            </w:pPr>
            <w:r>
              <w:rPr/>
              <w:t>41,522,500.00</w:t>
            </w:r>
          </w:p>
        </w:tc>
        <w:tc>
          <w:tcPr>
            <w:tcW w:type="dxa" w:w="977"/>
          </w:tcPr>
          <w:p>
            <w:pPr>
              <w:pStyle w:val="null3"/>
              <w:jc w:val="left"/>
            </w:pPr>
            <w:r>
              <w:rPr/>
              <w:t>总价</w:t>
            </w:r>
          </w:p>
        </w:tc>
        <w:tc>
          <w:tcPr>
            <w:tcW w:type="dxa" w:w="1661"/>
          </w:tcPr>
          <w:p>
            <w:pPr>
              <w:pStyle w:val="null3"/>
              <w:jc w:val="left"/>
            </w:pPr>
            <w:r>
              <w:rPr/>
              <w:t>无</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200m³/h潜水泵及配套柴油动力站</w:t>
            </w:r>
          </w:p>
        </w:tc>
        <w:tc>
          <w:tcPr>
            <w:tcW w:type="dxa" w:w="977"/>
          </w:tcPr>
          <w:p>
            <w:pPr>
              <w:pStyle w:val="null3"/>
              <w:jc w:val="right"/>
            </w:pPr>
            <w:r>
              <w:rPr/>
              <w:t>60.00（套）</w:t>
            </w:r>
          </w:p>
        </w:tc>
        <w:tc>
          <w:tcPr>
            <w:tcW w:type="dxa" w:w="1173"/>
          </w:tcPr>
          <w:p>
            <w:pPr>
              <w:pStyle w:val="null3"/>
              <w:jc w:val="right"/>
            </w:pPr>
            <w:r>
              <w:rPr/>
              <w:t>148,000（元）</w:t>
            </w:r>
          </w:p>
        </w:tc>
        <w:tc>
          <w:tcPr>
            <w:tcW w:type="dxa" w:w="1173"/>
          </w:tcPr>
          <w:p>
            <w:pPr>
              <w:pStyle w:val="null3"/>
              <w:jc w:val="right"/>
            </w:pPr>
            <w:r>
              <w:rPr/>
              <w:t>8,880,000.00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w:t>
            </w:r>
          </w:p>
        </w:tc>
        <w:tc>
          <w:tcPr>
            <w:tcW w:type="dxa" w:w="1466"/>
          </w:tcPr>
          <w:p>
            <w:pPr>
              <w:pStyle w:val="null3"/>
              <w:jc w:val="left"/>
            </w:pPr>
            <w:r>
              <w:rPr/>
              <w:t>400m³/h高扬程潜水泵</w:t>
            </w:r>
          </w:p>
        </w:tc>
        <w:tc>
          <w:tcPr>
            <w:tcW w:type="dxa" w:w="977"/>
          </w:tcPr>
          <w:p>
            <w:pPr>
              <w:pStyle w:val="null3"/>
              <w:jc w:val="right"/>
            </w:pPr>
            <w:r>
              <w:rPr/>
              <w:t>10.00（台）</w:t>
            </w:r>
          </w:p>
        </w:tc>
        <w:tc>
          <w:tcPr>
            <w:tcW w:type="dxa" w:w="1173"/>
          </w:tcPr>
          <w:p>
            <w:pPr>
              <w:pStyle w:val="null3"/>
              <w:jc w:val="right"/>
            </w:pPr>
            <w:r>
              <w:rPr/>
              <w:t>147,000（元）</w:t>
            </w:r>
          </w:p>
        </w:tc>
        <w:tc>
          <w:tcPr>
            <w:tcW w:type="dxa" w:w="1173"/>
          </w:tcPr>
          <w:p>
            <w:pPr>
              <w:pStyle w:val="null3"/>
              <w:jc w:val="right"/>
            </w:pPr>
            <w:r>
              <w:rPr/>
              <w:t>1,470,000.00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w:t>
            </w:r>
          </w:p>
        </w:tc>
        <w:tc>
          <w:tcPr>
            <w:tcW w:type="dxa" w:w="1466"/>
          </w:tcPr>
          <w:p>
            <w:pPr>
              <w:pStyle w:val="null3"/>
              <w:jc w:val="left"/>
            </w:pPr>
            <w:r>
              <w:rPr/>
              <w:t>600m³/h潜水泵</w:t>
            </w:r>
          </w:p>
        </w:tc>
        <w:tc>
          <w:tcPr>
            <w:tcW w:type="dxa" w:w="977"/>
          </w:tcPr>
          <w:p>
            <w:pPr>
              <w:pStyle w:val="null3"/>
              <w:jc w:val="right"/>
            </w:pPr>
            <w:r>
              <w:rPr/>
              <w:t>10.00（台）</w:t>
            </w:r>
          </w:p>
        </w:tc>
        <w:tc>
          <w:tcPr>
            <w:tcW w:type="dxa" w:w="1173"/>
          </w:tcPr>
          <w:p>
            <w:pPr>
              <w:pStyle w:val="null3"/>
              <w:jc w:val="right"/>
            </w:pPr>
            <w:r>
              <w:rPr/>
              <w:t>44,800（元）</w:t>
            </w:r>
          </w:p>
        </w:tc>
        <w:tc>
          <w:tcPr>
            <w:tcW w:type="dxa" w:w="1173"/>
          </w:tcPr>
          <w:p>
            <w:pPr>
              <w:pStyle w:val="null3"/>
              <w:jc w:val="right"/>
            </w:pPr>
            <w:r>
              <w:rPr/>
              <w:t>448,000.00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w:t>
            </w:r>
          </w:p>
        </w:tc>
        <w:tc>
          <w:tcPr>
            <w:tcW w:type="dxa" w:w="1466"/>
          </w:tcPr>
          <w:p>
            <w:pPr>
              <w:pStyle w:val="null3"/>
              <w:jc w:val="left"/>
            </w:pPr>
            <w:r>
              <w:rPr/>
              <w:t>150m³/h高扬程潜水泵</w:t>
            </w:r>
          </w:p>
        </w:tc>
        <w:tc>
          <w:tcPr>
            <w:tcW w:type="dxa" w:w="977"/>
          </w:tcPr>
          <w:p>
            <w:pPr>
              <w:pStyle w:val="null3"/>
              <w:jc w:val="right"/>
            </w:pPr>
            <w:r>
              <w:rPr/>
              <w:t>10.00（台）</w:t>
            </w:r>
          </w:p>
        </w:tc>
        <w:tc>
          <w:tcPr>
            <w:tcW w:type="dxa" w:w="1173"/>
          </w:tcPr>
          <w:p>
            <w:pPr>
              <w:pStyle w:val="null3"/>
              <w:jc w:val="right"/>
            </w:pPr>
            <w:r>
              <w:rPr/>
              <w:t>88,900（元）</w:t>
            </w:r>
          </w:p>
        </w:tc>
        <w:tc>
          <w:tcPr>
            <w:tcW w:type="dxa" w:w="1173"/>
          </w:tcPr>
          <w:p>
            <w:pPr>
              <w:pStyle w:val="null3"/>
              <w:jc w:val="right"/>
            </w:pPr>
            <w:r>
              <w:rPr/>
              <w:t>889,000.00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5</w:t>
            </w:r>
          </w:p>
        </w:tc>
        <w:tc>
          <w:tcPr>
            <w:tcW w:type="dxa" w:w="1466"/>
          </w:tcPr>
          <w:p>
            <w:pPr>
              <w:pStyle w:val="null3"/>
              <w:jc w:val="left"/>
            </w:pPr>
            <w:r>
              <w:rPr/>
              <w:t>1000m³/h潜水泵</w:t>
            </w:r>
          </w:p>
        </w:tc>
        <w:tc>
          <w:tcPr>
            <w:tcW w:type="dxa" w:w="977"/>
          </w:tcPr>
          <w:p>
            <w:pPr>
              <w:pStyle w:val="null3"/>
              <w:jc w:val="right"/>
            </w:pPr>
            <w:r>
              <w:rPr/>
              <w:t>5.00（台）</w:t>
            </w:r>
          </w:p>
        </w:tc>
        <w:tc>
          <w:tcPr>
            <w:tcW w:type="dxa" w:w="1173"/>
          </w:tcPr>
          <w:p>
            <w:pPr>
              <w:pStyle w:val="null3"/>
              <w:jc w:val="right"/>
            </w:pPr>
            <w:r>
              <w:rPr/>
              <w:t>66,600（元）</w:t>
            </w:r>
          </w:p>
        </w:tc>
        <w:tc>
          <w:tcPr>
            <w:tcW w:type="dxa" w:w="1173"/>
          </w:tcPr>
          <w:p>
            <w:pPr>
              <w:pStyle w:val="null3"/>
              <w:jc w:val="right"/>
            </w:pPr>
            <w:r>
              <w:rPr/>
              <w:t>333,000.00</w:t>
            </w:r>
          </w:p>
        </w:tc>
        <w:tc>
          <w:tcPr>
            <w:tcW w:type="dxa" w:w="977"/>
          </w:tcPr>
          <w:p>
            <w:pPr>
              <w:pStyle w:val="null3"/>
              <w:jc w:val="left"/>
            </w:pPr>
            <w:r>
              <w:rPr/>
              <w:t>总价</w:t>
            </w:r>
          </w:p>
        </w:tc>
        <w:tc>
          <w:tcPr>
            <w:tcW w:type="dxa" w:w="1661"/>
          </w:tcPr>
          <w:p>
            <w:pPr>
              <w:pStyle w:val="null3"/>
              <w:jc w:val="left"/>
            </w:pPr>
            <w:r>
              <w:rPr/>
              <w:t>无</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200KW电源车</w:t>
            </w:r>
          </w:p>
        </w:tc>
        <w:tc>
          <w:tcPr>
            <w:tcW w:type="dxa" w:w="977"/>
          </w:tcPr>
          <w:p>
            <w:pPr>
              <w:pStyle w:val="null3"/>
              <w:jc w:val="right"/>
            </w:pPr>
            <w:r>
              <w:rPr/>
              <w:t>12.00（辆）</w:t>
            </w:r>
          </w:p>
        </w:tc>
        <w:tc>
          <w:tcPr>
            <w:tcW w:type="dxa" w:w="1173"/>
          </w:tcPr>
          <w:p>
            <w:pPr>
              <w:pStyle w:val="null3"/>
              <w:jc w:val="right"/>
            </w:pPr>
            <w:r>
              <w:rPr/>
              <w:t>860,000（元）</w:t>
            </w:r>
          </w:p>
        </w:tc>
        <w:tc>
          <w:tcPr>
            <w:tcW w:type="dxa" w:w="1173"/>
          </w:tcPr>
          <w:p>
            <w:pPr>
              <w:pStyle w:val="null3"/>
              <w:jc w:val="right"/>
            </w:pPr>
            <w:r>
              <w:rPr/>
              <w:t>10,320,000.00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w:t>
            </w:r>
          </w:p>
        </w:tc>
        <w:tc>
          <w:tcPr>
            <w:tcW w:type="dxa" w:w="1466"/>
          </w:tcPr>
          <w:p>
            <w:pPr>
              <w:pStyle w:val="null3"/>
              <w:jc w:val="left"/>
            </w:pPr>
            <w:r>
              <w:rPr/>
              <w:t>500KW电源车</w:t>
            </w:r>
          </w:p>
        </w:tc>
        <w:tc>
          <w:tcPr>
            <w:tcW w:type="dxa" w:w="977"/>
          </w:tcPr>
          <w:p>
            <w:pPr>
              <w:pStyle w:val="null3"/>
              <w:jc w:val="right"/>
            </w:pPr>
            <w:r>
              <w:rPr/>
              <w:t>8.00（辆）</w:t>
            </w:r>
          </w:p>
        </w:tc>
        <w:tc>
          <w:tcPr>
            <w:tcW w:type="dxa" w:w="1173"/>
          </w:tcPr>
          <w:p>
            <w:pPr>
              <w:pStyle w:val="null3"/>
              <w:jc w:val="right"/>
            </w:pPr>
            <w:r>
              <w:rPr/>
              <w:t>1,118,000（元）</w:t>
            </w:r>
          </w:p>
        </w:tc>
        <w:tc>
          <w:tcPr>
            <w:tcW w:type="dxa" w:w="1173"/>
          </w:tcPr>
          <w:p>
            <w:pPr>
              <w:pStyle w:val="null3"/>
              <w:jc w:val="right"/>
            </w:pPr>
            <w:r>
              <w:rPr/>
              <w:t>8,944,000.00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w:t>
            </w:r>
          </w:p>
        </w:tc>
        <w:tc>
          <w:tcPr>
            <w:tcW w:type="dxa" w:w="1466"/>
          </w:tcPr>
          <w:p>
            <w:pPr>
              <w:pStyle w:val="null3"/>
              <w:jc w:val="left"/>
            </w:pPr>
            <w:r>
              <w:rPr/>
              <w:t>800KW电源车</w:t>
            </w:r>
          </w:p>
        </w:tc>
        <w:tc>
          <w:tcPr>
            <w:tcW w:type="dxa" w:w="977"/>
          </w:tcPr>
          <w:p>
            <w:pPr>
              <w:pStyle w:val="null3"/>
              <w:jc w:val="right"/>
            </w:pPr>
            <w:r>
              <w:rPr/>
              <w:t>5.00（辆）</w:t>
            </w:r>
          </w:p>
        </w:tc>
        <w:tc>
          <w:tcPr>
            <w:tcW w:type="dxa" w:w="1173"/>
          </w:tcPr>
          <w:p>
            <w:pPr>
              <w:pStyle w:val="null3"/>
              <w:jc w:val="right"/>
            </w:pPr>
            <w:r>
              <w:rPr/>
              <w:t>1,886,780（元）</w:t>
            </w:r>
          </w:p>
        </w:tc>
        <w:tc>
          <w:tcPr>
            <w:tcW w:type="dxa" w:w="1173"/>
          </w:tcPr>
          <w:p>
            <w:pPr>
              <w:pStyle w:val="null3"/>
              <w:jc w:val="right"/>
            </w:pPr>
            <w:r>
              <w:rPr/>
              <w:t>9,433,900.00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w:t>
            </w:r>
          </w:p>
        </w:tc>
        <w:tc>
          <w:tcPr>
            <w:tcW w:type="dxa" w:w="1466"/>
          </w:tcPr>
          <w:p>
            <w:pPr>
              <w:pStyle w:val="null3"/>
              <w:jc w:val="left"/>
            </w:pPr>
            <w:r>
              <w:rPr/>
              <w:t>载货汽车</w:t>
            </w:r>
          </w:p>
        </w:tc>
        <w:tc>
          <w:tcPr>
            <w:tcW w:type="dxa" w:w="977"/>
          </w:tcPr>
          <w:p>
            <w:pPr>
              <w:pStyle w:val="null3"/>
              <w:jc w:val="right"/>
            </w:pPr>
            <w:r>
              <w:rPr/>
              <w:t>24.00（辆）</w:t>
            </w:r>
          </w:p>
        </w:tc>
        <w:tc>
          <w:tcPr>
            <w:tcW w:type="dxa" w:w="1173"/>
          </w:tcPr>
          <w:p>
            <w:pPr>
              <w:pStyle w:val="null3"/>
              <w:jc w:val="right"/>
            </w:pPr>
            <w:r>
              <w:rPr/>
              <w:t>387,000（元）</w:t>
            </w:r>
          </w:p>
        </w:tc>
        <w:tc>
          <w:tcPr>
            <w:tcW w:type="dxa" w:w="1173"/>
          </w:tcPr>
          <w:p>
            <w:pPr>
              <w:pStyle w:val="null3"/>
              <w:jc w:val="right"/>
            </w:pPr>
            <w:r>
              <w:rPr/>
              <w:t>9,288,000.00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5</w:t>
            </w:r>
          </w:p>
        </w:tc>
        <w:tc>
          <w:tcPr>
            <w:tcW w:type="dxa" w:w="1466"/>
          </w:tcPr>
          <w:p>
            <w:pPr>
              <w:pStyle w:val="null3"/>
              <w:jc w:val="left"/>
            </w:pPr>
            <w:r>
              <w:rPr/>
              <w:t>随车起重运输车</w:t>
            </w:r>
          </w:p>
        </w:tc>
        <w:tc>
          <w:tcPr>
            <w:tcW w:type="dxa" w:w="977"/>
          </w:tcPr>
          <w:p>
            <w:pPr>
              <w:pStyle w:val="null3"/>
              <w:jc w:val="right"/>
            </w:pPr>
            <w:r>
              <w:rPr/>
              <w:t>10.00（辆）</w:t>
            </w:r>
          </w:p>
        </w:tc>
        <w:tc>
          <w:tcPr>
            <w:tcW w:type="dxa" w:w="1173"/>
          </w:tcPr>
          <w:p>
            <w:pPr>
              <w:pStyle w:val="null3"/>
              <w:jc w:val="right"/>
            </w:pPr>
            <w:r>
              <w:rPr/>
              <w:t>602,000（元）</w:t>
            </w:r>
          </w:p>
        </w:tc>
        <w:tc>
          <w:tcPr>
            <w:tcW w:type="dxa" w:w="1173"/>
          </w:tcPr>
          <w:p>
            <w:pPr>
              <w:pStyle w:val="null3"/>
              <w:jc w:val="right"/>
            </w:pPr>
            <w:r>
              <w:rPr/>
              <w:t>6,020,000.00</w:t>
            </w:r>
          </w:p>
        </w:tc>
        <w:tc>
          <w:tcPr>
            <w:tcW w:type="dxa" w:w="977"/>
          </w:tcPr>
          <w:p>
            <w:pPr>
              <w:pStyle w:val="null3"/>
              <w:jc w:val="left"/>
            </w:pPr>
            <w:r>
              <w:rPr/>
              <w:t>总价</w:t>
            </w:r>
          </w:p>
        </w:tc>
        <w:tc>
          <w:tcPr>
            <w:tcW w:type="dxa" w:w="1661"/>
          </w:tcPr>
          <w:p>
            <w:pPr>
              <w:pStyle w:val="null3"/>
              <w:jc w:val="left"/>
            </w:pPr>
            <w:r>
              <w:rPr/>
              <w:t>无</w:t>
            </w:r>
          </w:p>
        </w:tc>
      </w:tr>
    </w:tbl>
    <w:p>
      <w:pPr>
        <w:pStyle w:val="null3"/>
        <w:jc w:val="left"/>
      </w:pPr>
      <w:r>
        <w:rPr/>
        <w:t>采购包4：</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通信指挥车</w:t>
            </w:r>
          </w:p>
        </w:tc>
        <w:tc>
          <w:tcPr>
            <w:tcW w:type="dxa" w:w="977"/>
          </w:tcPr>
          <w:p>
            <w:pPr>
              <w:pStyle w:val="null3"/>
              <w:jc w:val="right"/>
            </w:pPr>
            <w:r>
              <w:rPr/>
              <w:t>2.00（辆）</w:t>
            </w:r>
          </w:p>
        </w:tc>
        <w:tc>
          <w:tcPr>
            <w:tcW w:type="dxa" w:w="1173"/>
          </w:tcPr>
          <w:p>
            <w:pPr>
              <w:pStyle w:val="null3"/>
              <w:jc w:val="right"/>
            </w:pPr>
            <w:r>
              <w:rPr/>
              <w:t>1,878,240（元）</w:t>
            </w:r>
          </w:p>
        </w:tc>
        <w:tc>
          <w:tcPr>
            <w:tcW w:type="dxa" w:w="1173"/>
          </w:tcPr>
          <w:p>
            <w:pPr>
              <w:pStyle w:val="null3"/>
              <w:jc w:val="right"/>
            </w:pPr>
            <w:r>
              <w:rPr/>
              <w:t>3,756,480.00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w:t>
            </w:r>
          </w:p>
        </w:tc>
        <w:tc>
          <w:tcPr>
            <w:tcW w:type="dxa" w:w="1466"/>
          </w:tcPr>
          <w:p>
            <w:pPr>
              <w:pStyle w:val="null3"/>
              <w:jc w:val="left"/>
            </w:pPr>
            <w:r>
              <w:rPr/>
              <w:t>挡水板</w:t>
            </w:r>
          </w:p>
        </w:tc>
        <w:tc>
          <w:tcPr>
            <w:tcW w:type="dxa" w:w="977"/>
          </w:tcPr>
          <w:p>
            <w:pPr>
              <w:pStyle w:val="null3"/>
              <w:jc w:val="right"/>
            </w:pPr>
            <w:r>
              <w:rPr/>
              <w:t>2,000.00（块）</w:t>
            </w:r>
          </w:p>
        </w:tc>
        <w:tc>
          <w:tcPr>
            <w:tcW w:type="dxa" w:w="1173"/>
          </w:tcPr>
          <w:p>
            <w:pPr>
              <w:pStyle w:val="null3"/>
              <w:jc w:val="right"/>
            </w:pPr>
            <w:r>
              <w:rPr/>
              <w:t>1,444.8（元）</w:t>
            </w:r>
          </w:p>
        </w:tc>
        <w:tc>
          <w:tcPr>
            <w:tcW w:type="dxa" w:w="1173"/>
          </w:tcPr>
          <w:p>
            <w:pPr>
              <w:pStyle w:val="null3"/>
              <w:jc w:val="right"/>
            </w:pPr>
            <w:r>
              <w:rPr/>
              <w:t>2,889,600.00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3</w:t>
            </w:r>
          </w:p>
        </w:tc>
        <w:tc>
          <w:tcPr>
            <w:tcW w:type="dxa" w:w="1466"/>
          </w:tcPr>
          <w:p>
            <w:pPr>
              <w:pStyle w:val="null3"/>
              <w:jc w:val="left"/>
            </w:pPr>
            <w:r>
              <w:rPr/>
              <w:t>便携式轻便工作灯</w:t>
            </w:r>
          </w:p>
        </w:tc>
        <w:tc>
          <w:tcPr>
            <w:tcW w:type="dxa" w:w="977"/>
          </w:tcPr>
          <w:p>
            <w:pPr>
              <w:pStyle w:val="null3"/>
              <w:jc w:val="right"/>
            </w:pPr>
            <w:r>
              <w:rPr/>
              <w:t>100.00（台）</w:t>
            </w:r>
          </w:p>
        </w:tc>
        <w:tc>
          <w:tcPr>
            <w:tcW w:type="dxa" w:w="1173"/>
          </w:tcPr>
          <w:p>
            <w:pPr>
              <w:pStyle w:val="null3"/>
              <w:jc w:val="right"/>
            </w:pPr>
            <w:r>
              <w:rPr/>
              <w:t>4,334.4（元）</w:t>
            </w:r>
          </w:p>
        </w:tc>
        <w:tc>
          <w:tcPr>
            <w:tcW w:type="dxa" w:w="1173"/>
          </w:tcPr>
          <w:p>
            <w:pPr>
              <w:pStyle w:val="null3"/>
              <w:jc w:val="right"/>
            </w:pPr>
            <w:r>
              <w:rPr/>
              <w:t>433,440.00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4</w:t>
            </w:r>
          </w:p>
        </w:tc>
        <w:tc>
          <w:tcPr>
            <w:tcW w:type="dxa" w:w="1466"/>
          </w:tcPr>
          <w:p>
            <w:pPr>
              <w:pStyle w:val="null3"/>
              <w:jc w:val="left"/>
            </w:pPr>
            <w:r>
              <w:rPr/>
              <w:t>冲锋舟</w:t>
            </w:r>
          </w:p>
        </w:tc>
        <w:tc>
          <w:tcPr>
            <w:tcW w:type="dxa" w:w="977"/>
          </w:tcPr>
          <w:p>
            <w:pPr>
              <w:pStyle w:val="null3"/>
              <w:jc w:val="right"/>
            </w:pPr>
            <w:r>
              <w:rPr/>
              <w:t>20.00（台）</w:t>
            </w:r>
          </w:p>
        </w:tc>
        <w:tc>
          <w:tcPr>
            <w:tcW w:type="dxa" w:w="1173"/>
          </w:tcPr>
          <w:p>
            <w:pPr>
              <w:pStyle w:val="null3"/>
              <w:jc w:val="right"/>
            </w:pPr>
            <w:r>
              <w:rPr/>
              <w:t>18,060（元）</w:t>
            </w:r>
          </w:p>
        </w:tc>
        <w:tc>
          <w:tcPr>
            <w:tcW w:type="dxa" w:w="1173"/>
          </w:tcPr>
          <w:p>
            <w:pPr>
              <w:pStyle w:val="null3"/>
              <w:jc w:val="right"/>
            </w:pPr>
            <w:r>
              <w:rPr/>
              <w:t>361,200.00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5</w:t>
            </w:r>
          </w:p>
        </w:tc>
        <w:tc>
          <w:tcPr>
            <w:tcW w:type="dxa" w:w="1466"/>
          </w:tcPr>
          <w:p>
            <w:pPr>
              <w:pStyle w:val="null3"/>
              <w:jc w:val="left"/>
            </w:pPr>
            <w:r>
              <w:rPr/>
              <w:t>40匹船外机</w:t>
            </w:r>
          </w:p>
        </w:tc>
        <w:tc>
          <w:tcPr>
            <w:tcW w:type="dxa" w:w="977"/>
          </w:tcPr>
          <w:p>
            <w:pPr>
              <w:pStyle w:val="null3"/>
              <w:jc w:val="right"/>
            </w:pPr>
            <w:r>
              <w:rPr/>
              <w:t>10.00（台）</w:t>
            </w:r>
          </w:p>
        </w:tc>
        <w:tc>
          <w:tcPr>
            <w:tcW w:type="dxa" w:w="1173"/>
          </w:tcPr>
          <w:p>
            <w:pPr>
              <w:pStyle w:val="null3"/>
              <w:jc w:val="right"/>
            </w:pPr>
            <w:r>
              <w:rPr/>
              <w:t>14,420（元）</w:t>
            </w:r>
          </w:p>
        </w:tc>
        <w:tc>
          <w:tcPr>
            <w:tcW w:type="dxa" w:w="1173"/>
          </w:tcPr>
          <w:p>
            <w:pPr>
              <w:pStyle w:val="null3"/>
              <w:jc w:val="right"/>
            </w:pPr>
            <w:r>
              <w:rPr/>
              <w:t>144,200.00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6</w:t>
            </w:r>
          </w:p>
        </w:tc>
        <w:tc>
          <w:tcPr>
            <w:tcW w:type="dxa" w:w="1466"/>
          </w:tcPr>
          <w:p>
            <w:pPr>
              <w:pStyle w:val="null3"/>
              <w:jc w:val="left"/>
            </w:pPr>
            <w:r>
              <w:rPr/>
              <w:t>60匹船外机</w:t>
            </w:r>
          </w:p>
        </w:tc>
        <w:tc>
          <w:tcPr>
            <w:tcW w:type="dxa" w:w="977"/>
          </w:tcPr>
          <w:p>
            <w:pPr>
              <w:pStyle w:val="null3"/>
              <w:jc w:val="right"/>
            </w:pPr>
            <w:r>
              <w:rPr/>
              <w:t>10.00（台）</w:t>
            </w:r>
          </w:p>
        </w:tc>
        <w:tc>
          <w:tcPr>
            <w:tcW w:type="dxa" w:w="1173"/>
          </w:tcPr>
          <w:p>
            <w:pPr>
              <w:pStyle w:val="null3"/>
              <w:jc w:val="right"/>
            </w:pPr>
            <w:r>
              <w:rPr/>
              <w:t>21,672（元）</w:t>
            </w:r>
          </w:p>
        </w:tc>
        <w:tc>
          <w:tcPr>
            <w:tcW w:type="dxa" w:w="1173"/>
          </w:tcPr>
          <w:p>
            <w:pPr>
              <w:pStyle w:val="null3"/>
              <w:jc w:val="right"/>
            </w:pPr>
            <w:r>
              <w:rPr/>
              <w:t>216,720.00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7</w:t>
            </w:r>
          </w:p>
        </w:tc>
        <w:tc>
          <w:tcPr>
            <w:tcW w:type="dxa" w:w="1466"/>
          </w:tcPr>
          <w:p>
            <w:pPr>
              <w:pStyle w:val="null3"/>
              <w:jc w:val="left"/>
            </w:pPr>
            <w:r>
              <w:rPr/>
              <w:t>冲锋舟专用拖车</w:t>
            </w:r>
          </w:p>
        </w:tc>
        <w:tc>
          <w:tcPr>
            <w:tcW w:type="dxa" w:w="977"/>
          </w:tcPr>
          <w:p>
            <w:pPr>
              <w:pStyle w:val="null3"/>
              <w:jc w:val="right"/>
            </w:pPr>
            <w:r>
              <w:rPr/>
              <w:t>5.00（辆）</w:t>
            </w:r>
          </w:p>
        </w:tc>
        <w:tc>
          <w:tcPr>
            <w:tcW w:type="dxa" w:w="1173"/>
          </w:tcPr>
          <w:p>
            <w:pPr>
              <w:pStyle w:val="null3"/>
              <w:jc w:val="right"/>
            </w:pPr>
            <w:r>
              <w:rPr/>
              <w:t>7,200（元）</w:t>
            </w:r>
          </w:p>
        </w:tc>
        <w:tc>
          <w:tcPr>
            <w:tcW w:type="dxa" w:w="1173"/>
          </w:tcPr>
          <w:p>
            <w:pPr>
              <w:pStyle w:val="null3"/>
              <w:jc w:val="right"/>
            </w:pPr>
            <w:r>
              <w:rPr/>
              <w:t>36,000.00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8</w:t>
            </w:r>
          </w:p>
        </w:tc>
        <w:tc>
          <w:tcPr>
            <w:tcW w:type="dxa" w:w="1466"/>
          </w:tcPr>
          <w:p>
            <w:pPr>
              <w:pStyle w:val="null3"/>
              <w:jc w:val="left"/>
            </w:pPr>
            <w:r>
              <w:rPr/>
              <w:t>对讲机</w:t>
            </w:r>
          </w:p>
        </w:tc>
        <w:tc>
          <w:tcPr>
            <w:tcW w:type="dxa" w:w="977"/>
          </w:tcPr>
          <w:p>
            <w:pPr>
              <w:pStyle w:val="null3"/>
              <w:jc w:val="right"/>
            </w:pPr>
            <w:r>
              <w:rPr/>
              <w:t>500.00（台）</w:t>
            </w:r>
          </w:p>
        </w:tc>
        <w:tc>
          <w:tcPr>
            <w:tcW w:type="dxa" w:w="1173"/>
          </w:tcPr>
          <w:p>
            <w:pPr>
              <w:pStyle w:val="null3"/>
              <w:jc w:val="right"/>
            </w:pPr>
            <w:r>
              <w:rPr/>
              <w:t>1,444.8（元）</w:t>
            </w:r>
          </w:p>
        </w:tc>
        <w:tc>
          <w:tcPr>
            <w:tcW w:type="dxa" w:w="1173"/>
          </w:tcPr>
          <w:p>
            <w:pPr>
              <w:pStyle w:val="null3"/>
              <w:jc w:val="right"/>
            </w:pPr>
            <w:r>
              <w:rPr/>
              <w:t>722,400.00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9</w:t>
            </w:r>
          </w:p>
        </w:tc>
        <w:tc>
          <w:tcPr>
            <w:tcW w:type="dxa" w:w="1466"/>
          </w:tcPr>
          <w:p>
            <w:pPr>
              <w:pStyle w:val="null3"/>
              <w:jc w:val="left"/>
            </w:pPr>
            <w:r>
              <w:rPr/>
              <w:t>配电柜</w:t>
            </w:r>
          </w:p>
        </w:tc>
        <w:tc>
          <w:tcPr>
            <w:tcW w:type="dxa" w:w="977"/>
          </w:tcPr>
          <w:p>
            <w:pPr>
              <w:pStyle w:val="null3"/>
              <w:jc w:val="right"/>
            </w:pPr>
            <w:r>
              <w:rPr/>
              <w:t>30.00（套）</w:t>
            </w:r>
          </w:p>
        </w:tc>
        <w:tc>
          <w:tcPr>
            <w:tcW w:type="dxa" w:w="1173"/>
          </w:tcPr>
          <w:p>
            <w:pPr>
              <w:pStyle w:val="null3"/>
              <w:jc w:val="right"/>
            </w:pPr>
            <w:r>
              <w:rPr/>
              <w:t>37,500（元）</w:t>
            </w:r>
          </w:p>
        </w:tc>
        <w:tc>
          <w:tcPr>
            <w:tcW w:type="dxa" w:w="1173"/>
          </w:tcPr>
          <w:p>
            <w:pPr>
              <w:pStyle w:val="null3"/>
              <w:jc w:val="right"/>
            </w:pPr>
            <w:r>
              <w:rPr/>
              <w:t>1,125,000.00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10</w:t>
            </w:r>
          </w:p>
        </w:tc>
        <w:tc>
          <w:tcPr>
            <w:tcW w:type="dxa" w:w="1466"/>
          </w:tcPr>
          <w:p>
            <w:pPr>
              <w:pStyle w:val="null3"/>
              <w:jc w:val="left"/>
            </w:pPr>
            <w:r>
              <w:rPr/>
              <w:t>无人机及配件</w:t>
            </w:r>
          </w:p>
        </w:tc>
        <w:tc>
          <w:tcPr>
            <w:tcW w:type="dxa" w:w="977"/>
          </w:tcPr>
          <w:p>
            <w:pPr>
              <w:pStyle w:val="null3"/>
              <w:jc w:val="right"/>
            </w:pPr>
            <w:r>
              <w:rPr/>
              <w:t>20.00（套）</w:t>
            </w:r>
          </w:p>
        </w:tc>
        <w:tc>
          <w:tcPr>
            <w:tcW w:type="dxa" w:w="1173"/>
          </w:tcPr>
          <w:p>
            <w:pPr>
              <w:pStyle w:val="null3"/>
              <w:jc w:val="right"/>
            </w:pPr>
            <w:r>
              <w:rPr/>
              <w:t>187,824（元）</w:t>
            </w:r>
          </w:p>
        </w:tc>
        <w:tc>
          <w:tcPr>
            <w:tcW w:type="dxa" w:w="1173"/>
          </w:tcPr>
          <w:p>
            <w:pPr>
              <w:pStyle w:val="null3"/>
              <w:jc w:val="right"/>
            </w:pPr>
            <w:r>
              <w:rPr/>
              <w:t>3,756,480.00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11</w:t>
            </w:r>
          </w:p>
        </w:tc>
        <w:tc>
          <w:tcPr>
            <w:tcW w:type="dxa" w:w="1466"/>
          </w:tcPr>
          <w:p>
            <w:pPr>
              <w:pStyle w:val="null3"/>
              <w:jc w:val="left"/>
            </w:pPr>
            <w:r>
              <w:rPr/>
              <w:t>管道潜望镜</w:t>
            </w:r>
          </w:p>
        </w:tc>
        <w:tc>
          <w:tcPr>
            <w:tcW w:type="dxa" w:w="977"/>
          </w:tcPr>
          <w:p>
            <w:pPr>
              <w:pStyle w:val="null3"/>
              <w:jc w:val="right"/>
            </w:pPr>
            <w:r>
              <w:rPr/>
              <w:t>20.00（台）</w:t>
            </w:r>
          </w:p>
        </w:tc>
        <w:tc>
          <w:tcPr>
            <w:tcW w:type="dxa" w:w="1173"/>
          </w:tcPr>
          <w:p>
            <w:pPr>
              <w:pStyle w:val="null3"/>
              <w:jc w:val="right"/>
            </w:pPr>
            <w:r>
              <w:rPr/>
              <w:t>57,792（元）</w:t>
            </w:r>
          </w:p>
        </w:tc>
        <w:tc>
          <w:tcPr>
            <w:tcW w:type="dxa" w:w="1173"/>
          </w:tcPr>
          <w:p>
            <w:pPr>
              <w:pStyle w:val="null3"/>
              <w:jc w:val="right"/>
            </w:pPr>
            <w:r>
              <w:rPr/>
              <w:t>1,155,840.00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12</w:t>
            </w:r>
          </w:p>
        </w:tc>
        <w:tc>
          <w:tcPr>
            <w:tcW w:type="dxa" w:w="1466"/>
          </w:tcPr>
          <w:p>
            <w:pPr>
              <w:pStyle w:val="null3"/>
              <w:jc w:val="left"/>
            </w:pPr>
            <w:r>
              <w:rPr/>
              <w:t>管道爬行机器人（CCTV）</w:t>
            </w:r>
          </w:p>
        </w:tc>
        <w:tc>
          <w:tcPr>
            <w:tcW w:type="dxa" w:w="977"/>
          </w:tcPr>
          <w:p>
            <w:pPr>
              <w:pStyle w:val="null3"/>
              <w:jc w:val="right"/>
            </w:pPr>
            <w:r>
              <w:rPr/>
              <w:t>20.00（台）</w:t>
            </w:r>
          </w:p>
        </w:tc>
        <w:tc>
          <w:tcPr>
            <w:tcW w:type="dxa" w:w="1173"/>
          </w:tcPr>
          <w:p>
            <w:pPr>
              <w:pStyle w:val="null3"/>
              <w:jc w:val="right"/>
            </w:pPr>
            <w:r>
              <w:rPr/>
              <w:t>111,972（元）</w:t>
            </w:r>
          </w:p>
        </w:tc>
        <w:tc>
          <w:tcPr>
            <w:tcW w:type="dxa" w:w="1173"/>
          </w:tcPr>
          <w:p>
            <w:pPr>
              <w:pStyle w:val="null3"/>
              <w:jc w:val="right"/>
            </w:pPr>
            <w:r>
              <w:rPr/>
              <w:t>2,239,440.00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13</w:t>
            </w:r>
          </w:p>
        </w:tc>
        <w:tc>
          <w:tcPr>
            <w:tcW w:type="dxa" w:w="1466"/>
          </w:tcPr>
          <w:p>
            <w:pPr>
              <w:pStyle w:val="null3"/>
              <w:jc w:val="left"/>
            </w:pPr>
            <w:r>
              <w:rPr/>
              <w:t>全地形管道检测机器人</w:t>
            </w:r>
          </w:p>
        </w:tc>
        <w:tc>
          <w:tcPr>
            <w:tcW w:type="dxa" w:w="977"/>
          </w:tcPr>
          <w:p>
            <w:pPr>
              <w:pStyle w:val="null3"/>
              <w:jc w:val="right"/>
            </w:pPr>
            <w:r>
              <w:rPr/>
              <w:t>20.00（台）</w:t>
            </w:r>
          </w:p>
        </w:tc>
        <w:tc>
          <w:tcPr>
            <w:tcW w:type="dxa" w:w="1173"/>
          </w:tcPr>
          <w:p>
            <w:pPr>
              <w:pStyle w:val="null3"/>
              <w:jc w:val="right"/>
            </w:pPr>
            <w:r>
              <w:rPr/>
              <w:t>180,600（元）</w:t>
            </w:r>
          </w:p>
        </w:tc>
        <w:tc>
          <w:tcPr>
            <w:tcW w:type="dxa" w:w="1173"/>
          </w:tcPr>
          <w:p>
            <w:pPr>
              <w:pStyle w:val="null3"/>
              <w:jc w:val="right"/>
            </w:pPr>
            <w:r>
              <w:rPr/>
              <w:t>3,612,000.00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★注：投标人响应产品应当明确品牌和规格型号并指向唯一产品，不能指向唯一产品的，应通过报价表唯一产品说明栏补充说明。</w:t>
      </w:r>
    </w:p>
    <w:p>
      <w:pPr>
        <w:pStyle w:val="null3"/>
        <w:jc w:val="left"/>
        <w:outlineLvl w:val="3"/>
      </w:pPr>
      <w:r>
        <w:rPr>
          <w:b/>
          <w:sz w:val="24"/>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其他专用车辆</w:t>
            </w:r>
          </w:p>
        </w:tc>
        <w:tc>
          <w:tcPr>
            <w:tcW w:type="dxa" w:w="2492"/>
          </w:tcPr>
          <w:p>
            <w:pPr>
              <w:pStyle w:val="null3"/>
              <w:jc w:val="left"/>
            </w:pPr>
            <w:r>
              <w:rPr/>
              <w:t>3000m³/h子母式排水抢险车</w:t>
            </w:r>
          </w:p>
        </w:tc>
        <w:tc>
          <w:tcPr>
            <w:tcW w:type="dxa" w:w="2492"/>
          </w:tcPr>
          <w:p>
            <w:pPr>
              <w:pStyle w:val="null3"/>
              <w:jc w:val="left"/>
            </w:pPr>
            <w:r>
              <w:rPr/>
              <w:t>3000m³/h子母式排水抢险车</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其他专用车辆</w:t>
            </w:r>
          </w:p>
        </w:tc>
        <w:tc>
          <w:tcPr>
            <w:tcW w:type="dxa" w:w="2492"/>
          </w:tcPr>
          <w:p>
            <w:pPr>
              <w:pStyle w:val="null3"/>
              <w:jc w:val="left"/>
            </w:pPr>
            <w:r>
              <w:rPr/>
              <w:t>200m³/h潜水泵及配套柴油动力站</w:t>
            </w:r>
          </w:p>
        </w:tc>
        <w:tc>
          <w:tcPr>
            <w:tcW w:type="dxa" w:w="2492"/>
          </w:tcPr>
          <w:p>
            <w:pPr>
              <w:pStyle w:val="null3"/>
              <w:jc w:val="left"/>
            </w:pPr>
            <w:r>
              <w:rPr/>
              <w:t>200m³/h潜水泵及配套柴油动力站</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其他专用车辆</w:t>
            </w:r>
          </w:p>
        </w:tc>
        <w:tc>
          <w:tcPr>
            <w:tcW w:type="dxa" w:w="2492"/>
          </w:tcPr>
          <w:p>
            <w:pPr>
              <w:pStyle w:val="null3"/>
              <w:jc w:val="left"/>
            </w:pPr>
            <w:r>
              <w:rPr/>
              <w:t>载货汽车</w:t>
            </w:r>
          </w:p>
        </w:tc>
        <w:tc>
          <w:tcPr>
            <w:tcW w:type="dxa" w:w="2492"/>
          </w:tcPr>
          <w:p>
            <w:pPr>
              <w:pStyle w:val="null3"/>
              <w:jc w:val="left"/>
            </w:pPr>
            <w:r>
              <w:rPr/>
              <w:t>载货汽车</w:t>
            </w:r>
          </w:p>
        </w:tc>
      </w:tr>
    </w:tbl>
    <w:p>
      <w:pPr>
        <w:pStyle w:val="null3"/>
        <w:jc w:val="left"/>
      </w:pPr>
      <w:r>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其他专用车辆</w:t>
            </w:r>
          </w:p>
        </w:tc>
        <w:tc>
          <w:tcPr>
            <w:tcW w:type="dxa" w:w="2492"/>
          </w:tcPr>
          <w:p>
            <w:pPr>
              <w:pStyle w:val="null3"/>
              <w:jc w:val="left"/>
            </w:pPr>
            <w:r>
              <w:rPr/>
              <w:t>无人机及配件</w:t>
            </w:r>
          </w:p>
        </w:tc>
        <w:tc>
          <w:tcPr>
            <w:tcW w:type="dxa" w:w="2492"/>
          </w:tcPr>
          <w:p>
            <w:pPr>
              <w:pStyle w:val="null3"/>
              <w:jc w:val="left"/>
            </w:pPr>
            <w:r>
              <w:rPr/>
              <w:t>无人机及配件</w:t>
            </w:r>
          </w:p>
        </w:tc>
      </w:tr>
    </w:tbl>
    <w:p>
      <w:pPr>
        <w:pStyle w:val="null3"/>
        <w:ind w:firstLine="480"/>
        <w:jc w:val="left"/>
      </w:pPr>
      <w:r>
        <w:rPr/>
        <w:t>注：涉及核心产品的，具体评审规定见第五章。</w:t>
      </w:r>
    </w:p>
    <w:p>
      <w:pPr>
        <w:pStyle w:val="null3"/>
        <w:jc w:val="left"/>
        <w:outlineLvl w:val="3"/>
      </w:pPr>
      <w:r>
        <w:rPr>
          <w:b/>
          <w:sz w:val="24"/>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jc w:val="left"/>
      </w:pPr>
      <w:r>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★注：不涉及采购进口产品时，投标人不得提供进口产品进行响应；涉及采购进口产品时，如国产产品满足采购需求，也可提供国产产品进行响应。</w:t>
      </w:r>
    </w:p>
    <w:p>
      <w:pPr>
        <w:pStyle w:val="null3"/>
        <w:jc w:val="left"/>
        <w:outlineLvl w:val="3"/>
      </w:pPr>
      <w:r>
        <w:rPr>
          <w:b/>
          <w:sz w:val="24"/>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jc w:val="left"/>
      </w:pPr>
      <w:r>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jc w:val="left"/>
      </w:pPr>
      <w:r>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b/>
          <w:sz w:val="24"/>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jc w:val="left"/>
      </w:pPr>
      <w:r>
        <w:rPr/>
        <w:t>采购包4：</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b/>
          <w:sz w:val="28"/>
        </w:rPr>
        <w:t>3.2.技术要求</w:t>
      </w:r>
    </w:p>
    <w:p>
      <w:pPr>
        <w:pStyle w:val="null3"/>
        <w:jc w:val="left"/>
      </w:pPr>
      <w:r>
        <w:rPr/>
        <w:t>采购包1：</w:t>
      </w:r>
    </w:p>
    <w:p>
      <w:pPr>
        <w:pStyle w:val="null3"/>
        <w:jc w:val="left"/>
      </w:pPr>
      <w:r>
        <w:rPr/>
        <w:t>标的名称：5000m³/h子母式排水抢险车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04"/>
              <w:gridCol w:w="981"/>
              <w:gridCol w:w="1270"/>
              <w:gridCol w:w="1731"/>
              <w:gridCol w:w="1212"/>
            </w:tblGrid>
            <w:tr>
              <w:tc>
                <w:tcPr>
                  <w:tcW w:type="dxa" w:w="40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98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项目类型</w:t>
                  </w:r>
                </w:p>
              </w:tc>
              <w:tc>
                <w:tcPr>
                  <w:tcW w:type="dxa" w:w="127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173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参数值</w:t>
                  </w:r>
                </w:p>
              </w:tc>
              <w:tc>
                <w:tcPr>
                  <w:tcW w:type="dxa" w:w="121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w:t>
                  </w:r>
                </w:p>
              </w:tc>
              <w:tc>
                <w:tcPr>
                  <w:tcW w:type="dxa" w:w="98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公告</w:t>
                  </w:r>
                </w:p>
              </w:tc>
              <w:tc>
                <w:tcPr>
                  <w:tcW w:type="dxa" w:w="12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车型公告</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▲公告名称带有“大流量排水抢险车”、“供排水抢险车”或“救险车”</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投标人提供工信部公告参数页截图作为佐证材料</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w:t>
                  </w:r>
                </w:p>
              </w:tc>
              <w:tc>
                <w:tcPr>
                  <w:tcW w:type="dxa" w:w="981"/>
                  <w:vMerge/>
                  <w:tcBorders>
                    <w:top w:val="none" w:color="000000" w:sz="4"/>
                    <w:left w:val="none" w:color="000000" w:sz="4"/>
                    <w:bottom w:val="single" w:color="000000" w:sz="4"/>
                    <w:right w:val="single" w:color="000000" w:sz="4"/>
                  </w:tcBorders>
                </w:tcPr>
                <w:p/>
              </w:tc>
              <w:tc>
                <w:tcPr>
                  <w:tcW w:type="dxa" w:w="1270"/>
                  <w:vMerge/>
                  <w:tcBorders>
                    <w:top w:val="none" w:color="000000" w:sz="4"/>
                    <w:left w:val="none" w:color="000000" w:sz="4"/>
                    <w:bottom w:val="single" w:color="000000" w:sz="4"/>
                    <w:right w:val="single" w:color="000000" w:sz="4"/>
                  </w:tcBorders>
                </w:tcP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★交付时必须满足上牌要求</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投标人提供工信部公告参数页截图作为佐证材料。车辆在后期年审时不需要对车辆任意部件进行拆装，完全符合公告内容</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3</w:t>
                  </w:r>
                </w:p>
              </w:tc>
              <w:tc>
                <w:tcPr>
                  <w:tcW w:type="dxa" w:w="98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整车要求</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功能要求</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载可分离作业的移动排水泵站（子车）。移动排水泵站（子车）使用汽车底盘上发动机输出的车载液压动力驱动，无需额外动力源，通过液压输送软管向移动排水泵站（子车）进行动力输送，并通过合理的移动排水泵站（子车）机械结构进行作业。</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4</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外形尺寸（</w:t>
                  </w:r>
                  <w:r>
                    <w:rPr>
                      <w:rFonts w:ascii="仿宋" w:hAnsi="仿宋" w:cs="仿宋" w:eastAsia="仿宋"/>
                      <w:sz w:val="21"/>
                    </w:rPr>
                    <w:t>mm</w:t>
                  </w:r>
                  <w:r>
                    <w:rPr>
                      <w:rFonts w:ascii="仿宋" w:hAnsi="仿宋" w:cs="仿宋" w:eastAsia="仿宋"/>
                      <w:sz w:val="21"/>
                    </w:rPr>
                    <w:t>）</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长：≤</w:t>
                  </w:r>
                  <w:r>
                    <w:rPr>
                      <w:rFonts w:ascii="仿宋" w:hAnsi="仿宋" w:cs="仿宋" w:eastAsia="仿宋"/>
                      <w:sz w:val="21"/>
                    </w:rPr>
                    <w:t>12000</w:t>
                  </w:r>
                </w:p>
                <w:p>
                  <w:pPr>
                    <w:pStyle w:val="null3"/>
                    <w:jc w:val="left"/>
                  </w:pPr>
                  <w:r>
                    <w:rPr>
                      <w:rFonts w:ascii="仿宋" w:hAnsi="仿宋" w:cs="仿宋" w:eastAsia="仿宋"/>
                      <w:sz w:val="21"/>
                    </w:rPr>
                    <w:t>宽：≤</w:t>
                  </w:r>
                  <w:r>
                    <w:rPr>
                      <w:rFonts w:ascii="仿宋" w:hAnsi="仿宋" w:cs="仿宋" w:eastAsia="仿宋"/>
                      <w:sz w:val="21"/>
                    </w:rPr>
                    <w:t>2550</w:t>
                  </w:r>
                </w:p>
                <w:p>
                  <w:pPr>
                    <w:pStyle w:val="null3"/>
                    <w:jc w:val="left"/>
                  </w:pPr>
                  <w:r>
                    <w:rPr>
                      <w:rFonts w:ascii="仿宋" w:hAnsi="仿宋" w:cs="仿宋" w:eastAsia="仿宋"/>
                      <w:sz w:val="21"/>
                    </w:rPr>
                    <w:t>高：≤</w:t>
                  </w:r>
                  <w:r>
                    <w:rPr>
                      <w:rFonts w:ascii="仿宋" w:hAnsi="仿宋" w:cs="仿宋" w:eastAsia="仿宋"/>
                      <w:sz w:val="21"/>
                    </w:rPr>
                    <w:t>4000</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投标人提供工信部公告参数页截图作为佐证材料</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5</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总质量（</w:t>
                  </w:r>
                  <w:r>
                    <w:rPr>
                      <w:rFonts w:ascii="仿宋" w:hAnsi="仿宋" w:cs="仿宋" w:eastAsia="仿宋"/>
                      <w:sz w:val="21"/>
                    </w:rPr>
                    <w:t>kg</w:t>
                  </w:r>
                  <w:r>
                    <w:rPr>
                      <w:rFonts w:ascii="仿宋" w:hAnsi="仿宋" w:cs="仿宋" w:eastAsia="仿宋"/>
                      <w:sz w:val="21"/>
                    </w:rPr>
                    <w:t>）</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25000</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投标人提供工信部公告参数页截图作为佐证材料</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6</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▲发动机功率、排放标准</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功率≥</w:t>
                  </w:r>
                  <w:r>
                    <w:rPr>
                      <w:rFonts w:ascii="仿宋" w:hAnsi="仿宋" w:cs="仿宋" w:eastAsia="仿宋"/>
                      <w:sz w:val="21"/>
                    </w:rPr>
                    <w:t>290</w:t>
                  </w:r>
                  <w:r>
                    <w:rPr>
                      <w:rFonts w:ascii="仿宋" w:hAnsi="仿宋" w:cs="仿宋" w:eastAsia="仿宋"/>
                      <w:sz w:val="21"/>
                    </w:rPr>
                    <w:t>KW</w:t>
                  </w:r>
                  <w:r>
                    <w:rPr>
                      <w:rFonts w:ascii="仿宋" w:hAnsi="仿宋" w:cs="仿宋" w:eastAsia="仿宋"/>
                      <w:sz w:val="21"/>
                    </w:rPr>
                    <w:t>，排放标准：国</w:t>
                  </w:r>
                  <w:r>
                    <w:rPr>
                      <w:rFonts w:ascii="仿宋" w:hAnsi="仿宋" w:cs="仿宋" w:eastAsia="仿宋"/>
                      <w:sz w:val="21"/>
                    </w:rPr>
                    <w:t>VI</w:t>
                  </w:r>
                  <w:r>
                    <w:rPr>
                      <w:rFonts w:ascii="仿宋" w:hAnsi="仿宋" w:cs="仿宋" w:eastAsia="仿宋"/>
                      <w:sz w:val="21"/>
                    </w:rPr>
                    <w:t>或优于</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交货时须随货提供国家认可的第三方检验机构出具的检验报告</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7</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整备质量（</w:t>
                  </w:r>
                  <w:r>
                    <w:rPr>
                      <w:rFonts w:ascii="仿宋" w:hAnsi="仿宋" w:cs="仿宋" w:eastAsia="仿宋"/>
                      <w:sz w:val="21"/>
                    </w:rPr>
                    <w:t>kg</w:t>
                  </w:r>
                  <w:r>
                    <w:rPr>
                      <w:rFonts w:ascii="仿宋" w:hAnsi="仿宋" w:cs="仿宋" w:eastAsia="仿宋"/>
                      <w:sz w:val="21"/>
                    </w:rPr>
                    <w:t>）</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18000</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8</w:t>
                  </w:r>
                </w:p>
              </w:tc>
              <w:tc>
                <w:tcPr>
                  <w:tcW w:type="dxa" w:w="98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排水泵（子车）</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▲机械结构</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使用车载动力驱动的履带式水泵子车，子车可离开主车一定距离进行抽排水；子车回收时，采用自动绞盘对液压管路及电缆进行回收</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9</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▲排水泵数量</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个</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10</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▲驱动方式</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母车车载自带的动力，液压驱动</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11</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★单个水泵流量（</w:t>
                  </w:r>
                  <w:r>
                    <w:rPr>
                      <w:rFonts w:ascii="仿宋" w:hAnsi="仿宋" w:cs="仿宋" w:eastAsia="仿宋"/>
                      <w:sz w:val="21"/>
                    </w:rPr>
                    <w:t>m</w:t>
                  </w:r>
                  <w:r>
                    <w:rPr>
                      <w:rFonts w:ascii="calibri, sans-serif" w:hAnsi="calibri, sans-serif" w:cs="calibri, sans-serif" w:eastAsia="calibri, sans-serif"/>
                      <w:sz w:val="21"/>
                    </w:rPr>
                    <w:t>³</w:t>
                  </w:r>
                  <w:r>
                    <w:rPr>
                      <w:rFonts w:ascii="仿宋" w:hAnsi="仿宋" w:cs="仿宋" w:eastAsia="仿宋"/>
                      <w:sz w:val="21"/>
                    </w:rPr>
                    <w:t>/h</w:t>
                  </w:r>
                  <w:r>
                    <w:rPr>
                      <w:rFonts w:ascii="仿宋" w:hAnsi="仿宋" w:cs="仿宋" w:eastAsia="仿宋"/>
                      <w:sz w:val="21"/>
                    </w:rPr>
                    <w:t>）</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5000</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交货时须随货提供国家认可的第三方检验机构出具的检验报告</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12</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▲单个水泵扬程（</w:t>
                  </w:r>
                  <w:r>
                    <w:rPr>
                      <w:rFonts w:ascii="仿宋" w:hAnsi="仿宋" w:cs="仿宋" w:eastAsia="仿宋"/>
                      <w:sz w:val="21"/>
                    </w:rPr>
                    <w:t>m</w:t>
                  </w:r>
                  <w:r>
                    <w:rPr>
                      <w:rFonts w:ascii="仿宋" w:hAnsi="仿宋" w:cs="仿宋" w:eastAsia="仿宋"/>
                      <w:sz w:val="21"/>
                    </w:rPr>
                    <w:t>）</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8</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交货时须随货提供国家认可的第三方检验机构出具的检验报告</w:t>
                  </w: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13</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水泵吸水口离水面作业最小深度（</w:t>
                  </w:r>
                  <w:r>
                    <w:rPr>
                      <w:rFonts w:ascii="仿宋" w:hAnsi="仿宋" w:cs="仿宋" w:eastAsia="仿宋"/>
                      <w:sz w:val="21"/>
                    </w:rPr>
                    <w:t>m</w:t>
                  </w:r>
                  <w:r>
                    <w:rPr>
                      <w:rFonts w:ascii="仿宋" w:hAnsi="仿宋" w:cs="仿宋" w:eastAsia="仿宋"/>
                      <w:sz w:val="21"/>
                    </w:rPr>
                    <w:t>）</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0.5</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14</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外形尺寸：长</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2500mm</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15</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外形尺寸：宽</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2000mm</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16</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外形尺寸：高</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2000mm</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17</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移动排水泵站质量</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3000kg</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18</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▲子车上下方式</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子车能安全、快速上、下车，无需额外设备吊装</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19</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爬坡能力</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30</w:t>
                  </w:r>
                  <w:r>
                    <w:rPr>
                      <w:rFonts w:ascii="仿宋" w:hAnsi="仿宋" w:cs="仿宋" w:eastAsia="仿宋"/>
                      <w:sz w:val="21"/>
                    </w:rPr>
                    <w:t>°</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20</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行驶速度</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2km/h</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21</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▲底盘与子车最大液压传输距离（</w:t>
                  </w:r>
                  <w:r>
                    <w:rPr>
                      <w:rFonts w:ascii="仿宋" w:hAnsi="仿宋" w:cs="仿宋" w:eastAsia="仿宋"/>
                      <w:sz w:val="21"/>
                    </w:rPr>
                    <w:t>m</w:t>
                  </w:r>
                  <w:r>
                    <w:rPr>
                      <w:rFonts w:ascii="仿宋" w:hAnsi="仿宋" w:cs="仿宋" w:eastAsia="仿宋"/>
                      <w:sz w:val="21"/>
                    </w:rPr>
                    <w:t>）</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50</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22</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泵口拦污罩</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泵口配有拦污罩</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23</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▲满油单次全功率连续工作时长</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6</w:t>
                  </w:r>
                  <w:r>
                    <w:rPr>
                      <w:rFonts w:ascii="仿宋" w:hAnsi="仿宋" w:cs="仿宋" w:eastAsia="仿宋"/>
                      <w:sz w:val="21"/>
                    </w:rPr>
                    <w:t>小时</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24</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防护等级</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IP68</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25</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最大颗粒通过直径（</w:t>
                  </w:r>
                  <w:r>
                    <w:rPr>
                      <w:rFonts w:ascii="仿宋" w:hAnsi="仿宋" w:cs="仿宋" w:eastAsia="仿宋"/>
                      <w:sz w:val="21"/>
                    </w:rPr>
                    <w:t>mm</w:t>
                  </w:r>
                  <w:r>
                    <w:rPr>
                      <w:rFonts w:ascii="仿宋" w:hAnsi="仿宋" w:cs="仿宋" w:eastAsia="仿宋"/>
                      <w:sz w:val="21"/>
                    </w:rPr>
                    <w:t>）</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50</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26</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出水口径（</w:t>
                  </w:r>
                  <w:r>
                    <w:rPr>
                      <w:rFonts w:ascii="仿宋" w:hAnsi="仿宋" w:cs="仿宋" w:eastAsia="仿宋"/>
                      <w:sz w:val="21"/>
                    </w:rPr>
                    <w:t>mm</w:t>
                  </w:r>
                  <w:r>
                    <w:rPr>
                      <w:rFonts w:ascii="仿宋" w:hAnsi="仿宋" w:cs="仿宋" w:eastAsia="仿宋"/>
                      <w:sz w:val="21"/>
                    </w:rPr>
                    <w:t>）</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400</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27</w:t>
                  </w:r>
                </w:p>
              </w:tc>
              <w:tc>
                <w:tcPr>
                  <w:tcW w:type="dxa" w:w="98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液压及控制系统</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冷却系统</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满足系统</w:t>
                  </w:r>
                  <w:r>
                    <w:rPr>
                      <w:rFonts w:ascii="仿宋" w:hAnsi="仿宋" w:cs="仿宋" w:eastAsia="仿宋"/>
                      <w:sz w:val="21"/>
                    </w:rPr>
                    <w:t>6</w:t>
                  </w:r>
                  <w:r>
                    <w:rPr>
                      <w:rFonts w:ascii="仿宋" w:hAnsi="仿宋" w:cs="仿宋" w:eastAsia="仿宋"/>
                      <w:sz w:val="21"/>
                    </w:rPr>
                    <w:t>小时满负荷连续工作</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28</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控制方式</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可无线遥控操作，无线遥控半径≥</w:t>
                  </w:r>
                  <w:r>
                    <w:rPr>
                      <w:rFonts w:ascii="仿宋" w:hAnsi="仿宋" w:cs="仿宋" w:eastAsia="仿宋"/>
                      <w:sz w:val="21"/>
                    </w:rPr>
                    <w:t>50m</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29</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控制显示</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配备液晶显示屏，可监测车辆发动机转速、发动机水温；液压系统压力、油温、油位等参数</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30</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操作系统</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具备本地按键和遥控控制功能，可全方位控制车辆和移动排水泵站</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31</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作业照明遥控探照灯</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性能参数</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车辆配有应急照明灯，可控制其实现水平、垂直旋转，亮度须满足各时段安全作业照明需求</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32</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油箱</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容量</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满足泵站满负荷连续工作</w:t>
                  </w:r>
                  <w:r>
                    <w:rPr>
                      <w:rFonts w:ascii="仿宋" w:hAnsi="仿宋" w:cs="仿宋" w:eastAsia="仿宋"/>
                      <w:sz w:val="21"/>
                    </w:rPr>
                    <w:t>6</w:t>
                  </w:r>
                  <w:r>
                    <w:rPr>
                      <w:rFonts w:ascii="仿宋" w:hAnsi="仿宋" w:cs="仿宋" w:eastAsia="仿宋"/>
                      <w:sz w:val="21"/>
                    </w:rPr>
                    <w:t>小时及以上</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33</w:t>
                  </w:r>
                </w:p>
              </w:tc>
              <w:tc>
                <w:tcPr>
                  <w:tcW w:type="dxa" w:w="9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排水软管</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配套长度</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60</w:t>
                  </w:r>
                  <w:r>
                    <w:rPr>
                      <w:rFonts w:ascii="仿宋" w:hAnsi="仿宋" w:cs="仿宋" w:eastAsia="仿宋"/>
                      <w:sz w:val="21"/>
                    </w:rPr>
                    <w:t>米</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34</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工作压力</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0.3MPa</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35</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爆破压力</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1MPa</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36</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快速接头</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水带自锁接头</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配套相应数量快速接头和扣件</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37</w:t>
                  </w:r>
                </w:p>
              </w:tc>
              <w:tc>
                <w:tcPr>
                  <w:tcW w:type="dxa" w:w="98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收放排水软管绞盘</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数量</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车上配不少于</w:t>
                  </w:r>
                  <w:r>
                    <w:rPr>
                      <w:rFonts w:ascii="仿宋" w:hAnsi="仿宋" w:cs="仿宋" w:eastAsia="仿宋"/>
                      <w:sz w:val="21"/>
                    </w:rPr>
                    <w:t>2</w:t>
                  </w:r>
                  <w:r>
                    <w:rPr>
                      <w:rFonts w:ascii="仿宋" w:hAnsi="仿宋" w:cs="仿宋" w:eastAsia="仿宋"/>
                      <w:sz w:val="21"/>
                    </w:rPr>
                    <w:t>副软管绞盘</w:t>
                  </w:r>
                </w:p>
              </w:tc>
              <w:tc>
                <w:tcPr>
                  <w:tcW w:type="dxa" w:w="12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38</w:t>
                  </w:r>
                </w:p>
              </w:tc>
              <w:tc>
                <w:tcPr>
                  <w:tcW w:type="dxa" w:w="981"/>
                  <w:vMerge/>
                  <w:tcBorders>
                    <w:top w:val="none" w:color="000000" w:sz="4"/>
                    <w:left w:val="none" w:color="000000" w:sz="4"/>
                    <w:bottom w:val="single" w:color="000000" w:sz="4"/>
                    <w:right w:val="single" w:color="000000" w:sz="4"/>
                  </w:tcBorders>
                </w:tcP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驱动方式</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车载自带动力驱动</w:t>
                  </w:r>
                </w:p>
              </w:tc>
              <w:tc>
                <w:tcPr>
                  <w:tcW w:type="dxa" w:w="1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39</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360</w:t>
                  </w:r>
                  <w:r>
                    <w:rPr>
                      <w:rFonts w:ascii="仿宋" w:hAnsi="仿宋" w:cs="仿宋" w:eastAsia="仿宋"/>
                      <w:sz w:val="21"/>
                    </w:rPr>
                    <w:t>°全景影像系统</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360</w:t>
                  </w:r>
                  <w:r>
                    <w:rPr>
                      <w:rFonts w:ascii="仿宋" w:hAnsi="仿宋" w:cs="仿宋" w:eastAsia="仿宋"/>
                      <w:sz w:val="21"/>
                    </w:rPr>
                    <w:t>°全景影像系统</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配备</w:t>
                  </w:r>
                  <w:r>
                    <w:rPr>
                      <w:rFonts w:ascii="仿宋" w:hAnsi="仿宋" w:cs="仿宋" w:eastAsia="仿宋"/>
                      <w:sz w:val="21"/>
                    </w:rPr>
                    <w:t>360</w:t>
                  </w:r>
                  <w:r>
                    <w:rPr>
                      <w:rFonts w:ascii="仿宋" w:hAnsi="仿宋" w:cs="仿宋" w:eastAsia="仿宋"/>
                      <w:sz w:val="21"/>
                    </w:rPr>
                    <w:t>°影像、倒车雷达等功能</w:t>
                  </w:r>
                </w:p>
              </w:tc>
              <w:tc>
                <w:tcPr>
                  <w:tcW w:type="dxa" w:w="1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4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40</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安全性</w:t>
                  </w:r>
                </w:p>
              </w:tc>
              <w:tc>
                <w:tcPr>
                  <w:tcW w:type="dxa" w:w="12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配备紧急停止按钮</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w:t>
                  </w:r>
                </w:p>
              </w:tc>
              <w:tc>
                <w:tcPr>
                  <w:tcW w:type="dxa" w:w="121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标的名称：3000m³/h子母式排水抢险车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00"/>
              <w:gridCol w:w="1028"/>
              <w:gridCol w:w="1257"/>
              <w:gridCol w:w="1714"/>
              <w:gridCol w:w="1200"/>
            </w:tblGrid>
            <w:tr>
              <w:tc>
                <w:tcPr>
                  <w:tcW w:type="dxa" w:w="40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102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项目类型</w:t>
                  </w:r>
                </w:p>
              </w:tc>
              <w:tc>
                <w:tcPr>
                  <w:tcW w:type="dxa" w:w="125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171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参数值</w:t>
                  </w:r>
                </w:p>
              </w:tc>
              <w:tc>
                <w:tcPr>
                  <w:tcW w:type="dxa" w:w="120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w:t>
                  </w:r>
                </w:p>
              </w:tc>
              <w:tc>
                <w:tcPr>
                  <w:tcW w:type="dxa" w:w="102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公告</w:t>
                  </w:r>
                </w:p>
              </w:tc>
              <w:tc>
                <w:tcPr>
                  <w:tcW w:type="dxa" w:w="125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车型公告</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▲公告名称带有“大流量排水抢险车”、“供排水抢险车”或“救险车”</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投标人提供工信部公告参数页截图作为佐证材料</w:t>
                  </w: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w:t>
                  </w:r>
                </w:p>
              </w:tc>
              <w:tc>
                <w:tcPr>
                  <w:tcW w:type="dxa" w:w="1028"/>
                  <w:vMerge/>
                  <w:tcBorders>
                    <w:top w:val="none" w:color="000000" w:sz="4"/>
                    <w:left w:val="none" w:color="000000" w:sz="4"/>
                    <w:bottom w:val="single" w:color="000000" w:sz="4"/>
                    <w:right w:val="single" w:color="000000" w:sz="4"/>
                  </w:tcBorders>
                </w:tcPr>
                <w:p/>
              </w:tc>
              <w:tc>
                <w:tcPr>
                  <w:tcW w:type="dxa" w:w="1257"/>
                  <w:vMerge/>
                  <w:tcBorders>
                    <w:top w:val="none" w:color="000000" w:sz="4"/>
                    <w:left w:val="none" w:color="000000" w:sz="4"/>
                    <w:bottom w:val="single"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★交付时必须满足上牌要求</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投标人提供工信部公告参数页截图作为佐证材料。车辆在后期年审时不需要对车辆任意部件进行拆装，完全符合公告内容</w:t>
                  </w: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3</w:t>
                  </w:r>
                </w:p>
              </w:tc>
              <w:tc>
                <w:tcPr>
                  <w:tcW w:type="dxa" w:w="102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整车要求</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功能要求</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载可分离作业的移动排水泵站（子车）。移动排水泵站（子车）使用汽车底盘上发动机输出的车载液压动力驱动，无需额外动力源，通过液压输送软管向移动排水泵站（子车）进行动力输送，并通过合理的移动排水泵站（子车）机械结构进行作业。</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4</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外形尺寸（</w:t>
                  </w:r>
                  <w:r>
                    <w:rPr>
                      <w:rFonts w:ascii="仿宋" w:hAnsi="仿宋" w:cs="仿宋" w:eastAsia="仿宋"/>
                      <w:sz w:val="21"/>
                    </w:rPr>
                    <w:t>mm</w:t>
                  </w:r>
                  <w:r>
                    <w:rPr>
                      <w:rFonts w:ascii="仿宋" w:hAnsi="仿宋" w:cs="仿宋" w:eastAsia="仿宋"/>
                      <w:sz w:val="21"/>
                    </w:rPr>
                    <w:t>）</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长：≤</w:t>
                  </w:r>
                  <w:r>
                    <w:rPr>
                      <w:rFonts w:ascii="仿宋" w:hAnsi="仿宋" w:cs="仿宋" w:eastAsia="仿宋"/>
                      <w:sz w:val="21"/>
                    </w:rPr>
                    <w:t>12000</w:t>
                  </w:r>
                </w:p>
                <w:p>
                  <w:pPr>
                    <w:pStyle w:val="null3"/>
                    <w:jc w:val="left"/>
                  </w:pPr>
                  <w:r>
                    <w:rPr>
                      <w:rFonts w:ascii="仿宋" w:hAnsi="仿宋" w:cs="仿宋" w:eastAsia="仿宋"/>
                      <w:sz w:val="21"/>
                    </w:rPr>
                    <w:t>宽：≤</w:t>
                  </w:r>
                  <w:r>
                    <w:rPr>
                      <w:rFonts w:ascii="仿宋" w:hAnsi="仿宋" w:cs="仿宋" w:eastAsia="仿宋"/>
                      <w:sz w:val="21"/>
                    </w:rPr>
                    <w:t>2550</w:t>
                  </w:r>
                </w:p>
                <w:p>
                  <w:pPr>
                    <w:pStyle w:val="null3"/>
                    <w:jc w:val="left"/>
                  </w:pPr>
                  <w:r>
                    <w:rPr>
                      <w:rFonts w:ascii="仿宋" w:hAnsi="仿宋" w:cs="仿宋" w:eastAsia="仿宋"/>
                      <w:sz w:val="21"/>
                    </w:rPr>
                    <w:t>高：≤</w:t>
                  </w:r>
                  <w:r>
                    <w:rPr>
                      <w:rFonts w:ascii="仿宋" w:hAnsi="仿宋" w:cs="仿宋" w:eastAsia="仿宋"/>
                      <w:sz w:val="21"/>
                    </w:rPr>
                    <w:t>4000</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投标人提供工信部公告参数页截图作为佐证材料</w:t>
                  </w: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5</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总质量（</w:t>
                  </w:r>
                  <w:r>
                    <w:rPr>
                      <w:rFonts w:ascii="仿宋" w:hAnsi="仿宋" w:cs="仿宋" w:eastAsia="仿宋"/>
                      <w:sz w:val="21"/>
                    </w:rPr>
                    <w:t>kg</w:t>
                  </w:r>
                  <w:r>
                    <w:rPr>
                      <w:rFonts w:ascii="仿宋" w:hAnsi="仿宋" w:cs="仿宋" w:eastAsia="仿宋"/>
                      <w:sz w:val="21"/>
                    </w:rPr>
                    <w:t>）</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25000</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投标人提供工信部公告参数页截图作为佐证材料</w:t>
                  </w: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6</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▲发动机功率、排放标准</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功率≥</w:t>
                  </w:r>
                  <w:r>
                    <w:rPr>
                      <w:rFonts w:ascii="仿宋" w:hAnsi="仿宋" w:cs="仿宋" w:eastAsia="仿宋"/>
                      <w:sz w:val="21"/>
                    </w:rPr>
                    <w:t>275KW</w:t>
                  </w:r>
                  <w:r>
                    <w:rPr>
                      <w:rFonts w:ascii="仿宋" w:hAnsi="仿宋" w:cs="仿宋" w:eastAsia="仿宋"/>
                      <w:sz w:val="21"/>
                    </w:rPr>
                    <w:t>，排放标准：国</w:t>
                  </w:r>
                  <w:r>
                    <w:rPr>
                      <w:rFonts w:ascii="仿宋" w:hAnsi="仿宋" w:cs="仿宋" w:eastAsia="仿宋"/>
                      <w:sz w:val="21"/>
                    </w:rPr>
                    <w:t>VI</w:t>
                  </w:r>
                  <w:r>
                    <w:rPr>
                      <w:rFonts w:ascii="仿宋" w:hAnsi="仿宋" w:cs="仿宋" w:eastAsia="仿宋"/>
                      <w:sz w:val="21"/>
                    </w:rPr>
                    <w:t>或优于</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交货时须随货提供国家认可的第三方检验机构出具的检验报告</w:t>
                  </w: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7</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整备质量（</w:t>
                  </w:r>
                  <w:r>
                    <w:rPr>
                      <w:rFonts w:ascii="仿宋" w:hAnsi="仿宋" w:cs="仿宋" w:eastAsia="仿宋"/>
                      <w:sz w:val="21"/>
                    </w:rPr>
                    <w:t>kg</w:t>
                  </w:r>
                  <w:r>
                    <w:rPr>
                      <w:rFonts w:ascii="仿宋" w:hAnsi="仿宋" w:cs="仿宋" w:eastAsia="仿宋"/>
                      <w:sz w:val="21"/>
                    </w:rPr>
                    <w:t>）</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18000</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8</w:t>
                  </w:r>
                </w:p>
              </w:tc>
              <w:tc>
                <w:tcPr>
                  <w:tcW w:type="dxa" w:w="102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排水泵（子车）</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▲机械结构</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使用车载动力驱动的履带式水泵子车，子车可离开主车一定距离进行抽排水；子车回收时，采用自动绞盘对液压管路及电缆进行回收</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9</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▲排水泵数量</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个</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10</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▲驱动方式</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母车车载自带的动力，液压驱动</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11</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★单个水泵流量（</w:t>
                  </w:r>
                  <w:r>
                    <w:rPr>
                      <w:rFonts w:ascii="仿宋" w:hAnsi="仿宋" w:cs="仿宋" w:eastAsia="仿宋"/>
                      <w:sz w:val="21"/>
                    </w:rPr>
                    <w:t>m</w:t>
                  </w:r>
                  <w:r>
                    <w:rPr>
                      <w:rFonts w:ascii="calibri, sans-serif" w:hAnsi="calibri, sans-serif" w:cs="calibri, sans-serif" w:eastAsia="calibri, sans-serif"/>
                      <w:sz w:val="21"/>
                    </w:rPr>
                    <w:t>³</w:t>
                  </w:r>
                  <w:r>
                    <w:rPr>
                      <w:rFonts w:ascii="仿宋" w:hAnsi="仿宋" w:cs="仿宋" w:eastAsia="仿宋"/>
                      <w:sz w:val="21"/>
                    </w:rPr>
                    <w:t>/h</w:t>
                  </w:r>
                  <w:r>
                    <w:rPr>
                      <w:rFonts w:ascii="仿宋" w:hAnsi="仿宋" w:cs="仿宋" w:eastAsia="仿宋"/>
                      <w:sz w:val="21"/>
                    </w:rPr>
                    <w:t>）</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3000</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交货时须随货提供国家认可的第三方检验机构出具的检验报告</w:t>
                  </w: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12</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▲单个水泵扬程（</w:t>
                  </w:r>
                  <w:r>
                    <w:rPr>
                      <w:rFonts w:ascii="仿宋" w:hAnsi="仿宋" w:cs="仿宋" w:eastAsia="仿宋"/>
                      <w:sz w:val="21"/>
                    </w:rPr>
                    <w:t>m</w:t>
                  </w:r>
                  <w:r>
                    <w:rPr>
                      <w:rFonts w:ascii="仿宋" w:hAnsi="仿宋" w:cs="仿宋" w:eastAsia="仿宋"/>
                      <w:sz w:val="21"/>
                    </w:rPr>
                    <w:t>）</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15</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交货时须随货提供国家认可的第三方检验机构出具的检验报告</w:t>
                  </w: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13</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水泵吸水口离水面作业最小深度（</w:t>
                  </w:r>
                  <w:r>
                    <w:rPr>
                      <w:rFonts w:ascii="仿宋" w:hAnsi="仿宋" w:cs="仿宋" w:eastAsia="仿宋"/>
                      <w:sz w:val="21"/>
                    </w:rPr>
                    <w:t>m</w:t>
                  </w:r>
                  <w:r>
                    <w:rPr>
                      <w:rFonts w:ascii="仿宋" w:hAnsi="仿宋" w:cs="仿宋" w:eastAsia="仿宋"/>
                      <w:sz w:val="21"/>
                    </w:rPr>
                    <w:t>）</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0.3</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14</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外形尺寸：长</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2500mm</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15</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外形尺寸：宽</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1900mm</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16</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外形尺寸：高</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1800mm</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17</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移动排水泵站质量</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2500kg</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18</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▲子车上下方式</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子车能安全、快速上、下车，无需额外设备吊装</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19</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爬坡能力</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30</w:t>
                  </w:r>
                  <w:r>
                    <w:rPr>
                      <w:rFonts w:ascii="仿宋" w:hAnsi="仿宋" w:cs="仿宋" w:eastAsia="仿宋"/>
                      <w:sz w:val="21"/>
                    </w:rPr>
                    <w:t>°</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20</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行驶速度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2km/h</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21</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▲底盘与子车最大液压传输距离（</w:t>
                  </w:r>
                  <w:r>
                    <w:rPr>
                      <w:rFonts w:ascii="仿宋" w:hAnsi="仿宋" w:cs="仿宋" w:eastAsia="仿宋"/>
                      <w:sz w:val="21"/>
                    </w:rPr>
                    <w:t>m</w:t>
                  </w:r>
                  <w:r>
                    <w:rPr>
                      <w:rFonts w:ascii="仿宋" w:hAnsi="仿宋" w:cs="仿宋" w:eastAsia="仿宋"/>
                      <w:sz w:val="21"/>
                    </w:rPr>
                    <w:t>）</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50</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22</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泵口拦污罩</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泵口配有拦污罩</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23</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▲满油单次全功率连续工作时长</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6</w:t>
                  </w:r>
                  <w:r>
                    <w:rPr>
                      <w:rFonts w:ascii="仿宋" w:hAnsi="仿宋" w:cs="仿宋" w:eastAsia="仿宋"/>
                      <w:sz w:val="21"/>
                    </w:rPr>
                    <w:t>小时</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24</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防护等级</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IP68</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25</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最大颗粒通过直径（</w:t>
                  </w:r>
                  <w:r>
                    <w:rPr>
                      <w:rFonts w:ascii="仿宋" w:hAnsi="仿宋" w:cs="仿宋" w:eastAsia="仿宋"/>
                      <w:sz w:val="21"/>
                    </w:rPr>
                    <w:t>mm</w:t>
                  </w:r>
                  <w:r>
                    <w:rPr>
                      <w:rFonts w:ascii="仿宋" w:hAnsi="仿宋" w:cs="仿宋" w:eastAsia="仿宋"/>
                      <w:sz w:val="21"/>
                    </w:rPr>
                    <w:t>）</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50</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26</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出水口径（</w:t>
                  </w:r>
                  <w:r>
                    <w:rPr>
                      <w:rFonts w:ascii="仿宋" w:hAnsi="仿宋" w:cs="仿宋" w:eastAsia="仿宋"/>
                      <w:sz w:val="21"/>
                    </w:rPr>
                    <w:t>mm</w:t>
                  </w:r>
                  <w:r>
                    <w:rPr>
                      <w:rFonts w:ascii="仿宋" w:hAnsi="仿宋" w:cs="仿宋" w:eastAsia="仿宋"/>
                      <w:sz w:val="21"/>
                    </w:rPr>
                    <w:t>）</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300</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27</w:t>
                  </w:r>
                </w:p>
              </w:tc>
              <w:tc>
                <w:tcPr>
                  <w:tcW w:type="dxa" w:w="1028"/>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液压及控制系统</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冷却系统</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满足系统</w:t>
                  </w:r>
                  <w:r>
                    <w:rPr>
                      <w:rFonts w:ascii="仿宋" w:hAnsi="仿宋" w:cs="仿宋" w:eastAsia="仿宋"/>
                      <w:sz w:val="21"/>
                    </w:rPr>
                    <w:t>6</w:t>
                  </w:r>
                  <w:r>
                    <w:rPr>
                      <w:rFonts w:ascii="仿宋" w:hAnsi="仿宋" w:cs="仿宋" w:eastAsia="仿宋"/>
                      <w:sz w:val="21"/>
                    </w:rPr>
                    <w:t>小时满负荷连续工作</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28</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控制方式</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可无线遥控操作，无线遥控半径≥</w:t>
                  </w:r>
                  <w:r>
                    <w:rPr>
                      <w:rFonts w:ascii="仿宋" w:hAnsi="仿宋" w:cs="仿宋" w:eastAsia="仿宋"/>
                      <w:sz w:val="21"/>
                    </w:rPr>
                    <w:t>50m</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29</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控制显示</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配备液晶显示屏，可监测车辆发动机转速、发动机水温；液压系统压力、油温、油位等参数</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30</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操作系统</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具备本地按键和遥控控制功能，可全方位控制车辆和移动排水泵站</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31</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作业照明遥控探照灯</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性能参数</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车辆配有应急照明灯，可控制其实现水平、垂直旋转，亮度须满足各时段安全作业照明需求</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32</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油箱</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容量</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满足泵站满负荷连续工作</w:t>
                  </w:r>
                  <w:r>
                    <w:rPr>
                      <w:rFonts w:ascii="仿宋" w:hAnsi="仿宋" w:cs="仿宋" w:eastAsia="仿宋"/>
                      <w:sz w:val="21"/>
                    </w:rPr>
                    <w:t>6</w:t>
                  </w:r>
                  <w:r>
                    <w:rPr>
                      <w:rFonts w:ascii="仿宋" w:hAnsi="仿宋" w:cs="仿宋" w:eastAsia="仿宋"/>
                      <w:sz w:val="21"/>
                    </w:rPr>
                    <w:t>小时及以上</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33</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排水软管</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配套长度</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60</w:t>
                  </w:r>
                  <w:r>
                    <w:rPr>
                      <w:rFonts w:ascii="仿宋" w:hAnsi="仿宋" w:cs="仿宋" w:eastAsia="仿宋"/>
                      <w:sz w:val="21"/>
                    </w:rPr>
                    <w:t>米</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34</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工作压力</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0.3MPa</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35</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爆破压力</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1MPa</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36</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快速接头</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水带自锁接头</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配套相应数量快速接头和扣件</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37</w:t>
                  </w:r>
                </w:p>
              </w:tc>
              <w:tc>
                <w:tcPr>
                  <w:tcW w:type="dxa" w:w="102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收放排水软管绞盘</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数量</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车上配不少于</w:t>
                  </w:r>
                  <w:r>
                    <w:rPr>
                      <w:rFonts w:ascii="仿宋" w:hAnsi="仿宋" w:cs="仿宋" w:eastAsia="仿宋"/>
                      <w:sz w:val="21"/>
                    </w:rPr>
                    <w:t>2</w:t>
                  </w:r>
                  <w:r>
                    <w:rPr>
                      <w:rFonts w:ascii="仿宋" w:hAnsi="仿宋" w:cs="仿宋" w:eastAsia="仿宋"/>
                      <w:sz w:val="21"/>
                    </w:rPr>
                    <w:t>副软管绞盘</w:t>
                  </w:r>
                </w:p>
              </w:tc>
              <w:tc>
                <w:tcPr>
                  <w:tcW w:type="dxa" w:w="12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38</w:t>
                  </w:r>
                </w:p>
              </w:tc>
              <w:tc>
                <w:tcPr>
                  <w:tcW w:type="dxa" w:w="1028"/>
                  <w:vMerge/>
                  <w:tcBorders>
                    <w:top w:val="none" w:color="000000" w:sz="4"/>
                    <w:left w:val="none" w:color="000000" w:sz="4"/>
                    <w:bottom w:val="single" w:color="000000" w:sz="4"/>
                    <w:right w:val="single" w:color="000000" w:sz="4"/>
                  </w:tcBorders>
                </w:tcP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驱动方式</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车载自带动力驱动</w:t>
                  </w:r>
                </w:p>
              </w:tc>
              <w:tc>
                <w:tcPr>
                  <w:tcW w:type="dxa" w:w="1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39</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360</w:t>
                  </w:r>
                  <w:r>
                    <w:rPr>
                      <w:rFonts w:ascii="仿宋" w:hAnsi="仿宋" w:cs="仿宋" w:eastAsia="仿宋"/>
                      <w:sz w:val="21"/>
                    </w:rPr>
                    <w:t>°全景影像系统</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360</w:t>
                  </w:r>
                  <w:r>
                    <w:rPr>
                      <w:rFonts w:ascii="仿宋" w:hAnsi="仿宋" w:cs="仿宋" w:eastAsia="仿宋"/>
                      <w:sz w:val="21"/>
                    </w:rPr>
                    <w:t>°全景影像系统</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配备</w:t>
                  </w:r>
                  <w:r>
                    <w:rPr>
                      <w:rFonts w:ascii="仿宋" w:hAnsi="仿宋" w:cs="仿宋" w:eastAsia="仿宋"/>
                      <w:sz w:val="21"/>
                    </w:rPr>
                    <w:t>360</w:t>
                  </w:r>
                  <w:r>
                    <w:rPr>
                      <w:rFonts w:ascii="仿宋" w:hAnsi="仿宋" w:cs="仿宋" w:eastAsia="仿宋"/>
                      <w:sz w:val="21"/>
                    </w:rPr>
                    <w:t>°影像、倒车雷达等功能</w:t>
                  </w:r>
                </w:p>
              </w:tc>
              <w:tc>
                <w:tcPr>
                  <w:tcW w:type="dxa" w:w="1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18"/>
                    </w:rPr>
                    <w:t>40</w:t>
                  </w:r>
                </w:p>
              </w:tc>
              <w:tc>
                <w:tcPr>
                  <w:tcW w:type="dxa" w:w="10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安全性</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配备紧急停止按钮</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w:t>
                  </w:r>
                </w:p>
              </w:tc>
              <w:tc>
                <w:tcPr>
                  <w:tcW w:type="dxa" w:w="120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采购包2：</w:t>
      </w:r>
    </w:p>
    <w:p>
      <w:pPr>
        <w:pStyle w:val="null3"/>
        <w:jc w:val="left"/>
      </w:pPr>
      <w:r>
        <w:rPr/>
        <w:t>标的名称：200m³/h潜水泵及配套柴油动力站</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00"/>
              <w:gridCol w:w="914"/>
              <w:gridCol w:w="1885"/>
              <w:gridCol w:w="1314"/>
              <w:gridCol w:w="1085"/>
            </w:tblGrid>
            <w:tr>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9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项目类型</w:t>
                  </w:r>
                </w:p>
              </w:tc>
              <w:tc>
                <w:tcPr>
                  <w:tcW w:type="dxa" w:w="18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1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10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p>
              </w:tc>
              <w:tc>
                <w:tcPr>
                  <w:tcW w:type="dxa" w:w="9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柴油动力站</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★驱动形式</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液压驱动</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p>
              </w:tc>
              <w:tc>
                <w:tcPr>
                  <w:tcW w:type="dxa" w:w="914"/>
                  <w:vMerge/>
                  <w:tcBorders>
                    <w:top w:val="none" w:color="000000" w:sz="4"/>
                    <w:left w:val="non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移动形式</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推抬行走</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p>
              </w:tc>
              <w:tc>
                <w:tcPr>
                  <w:tcW w:type="dxa" w:w="914"/>
                  <w:vMerge/>
                  <w:tcBorders>
                    <w:top w:val="none" w:color="000000" w:sz="4"/>
                    <w:left w:val="non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轮胎</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免充气实心轮胎</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p>
              </w:tc>
              <w:tc>
                <w:tcPr>
                  <w:tcW w:type="dxa" w:w="914"/>
                  <w:vMerge/>
                  <w:tcBorders>
                    <w:top w:val="none" w:color="000000" w:sz="4"/>
                    <w:left w:val="non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▲重量（</w:t>
                  </w:r>
                  <w:r>
                    <w:rPr>
                      <w:rFonts w:ascii="仿宋" w:hAnsi="仿宋" w:cs="仿宋" w:eastAsia="仿宋"/>
                      <w:sz w:val="21"/>
                    </w:rPr>
                    <w:t>kg</w:t>
                  </w:r>
                  <w:r>
                    <w:rPr>
                      <w:rFonts w:ascii="仿宋" w:hAnsi="仿宋" w:cs="仿宋" w:eastAsia="仿宋"/>
                      <w:sz w:val="21"/>
                    </w:rPr>
                    <w:t>）</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180</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p>
              </w:tc>
              <w:tc>
                <w:tcPr>
                  <w:tcW w:type="dxa" w:w="914"/>
                  <w:vMerge/>
                  <w:tcBorders>
                    <w:top w:val="none" w:color="000000" w:sz="4"/>
                    <w:left w:val="non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长</w:t>
                  </w:r>
                  <w:r>
                    <w:rPr>
                      <w:rFonts w:ascii="仿宋" w:hAnsi="仿宋" w:cs="仿宋" w:eastAsia="仿宋"/>
                      <w:sz w:val="21"/>
                    </w:rPr>
                    <w:t>(mm)</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1050</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w:t>
                  </w:r>
                </w:p>
              </w:tc>
              <w:tc>
                <w:tcPr>
                  <w:tcW w:type="dxa" w:w="914"/>
                  <w:vMerge/>
                  <w:tcBorders>
                    <w:top w:val="none" w:color="000000" w:sz="4"/>
                    <w:left w:val="non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宽</w:t>
                  </w:r>
                  <w:r>
                    <w:rPr>
                      <w:rFonts w:ascii="仿宋" w:hAnsi="仿宋" w:cs="仿宋" w:eastAsia="仿宋"/>
                      <w:sz w:val="21"/>
                    </w:rPr>
                    <w:t>(mm)</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800</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w:t>
                  </w:r>
                </w:p>
              </w:tc>
              <w:tc>
                <w:tcPr>
                  <w:tcW w:type="dxa" w:w="914"/>
                  <w:vMerge/>
                  <w:tcBorders>
                    <w:top w:val="none" w:color="000000" w:sz="4"/>
                    <w:left w:val="non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高</w:t>
                  </w:r>
                  <w:r>
                    <w:rPr>
                      <w:rFonts w:ascii="仿宋" w:hAnsi="仿宋" w:cs="仿宋" w:eastAsia="仿宋"/>
                      <w:sz w:val="21"/>
                    </w:rPr>
                    <w:t>(mm)</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850</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w:t>
                  </w:r>
                </w:p>
              </w:tc>
              <w:tc>
                <w:tcPr>
                  <w:tcW w:type="dxa" w:w="914"/>
                  <w:vMerge/>
                  <w:tcBorders>
                    <w:top w:val="none" w:color="000000" w:sz="4"/>
                    <w:left w:val="non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▲燃油箱容积（</w:t>
                  </w:r>
                  <w:r>
                    <w:rPr>
                      <w:rFonts w:ascii="仿宋" w:hAnsi="仿宋" w:cs="仿宋" w:eastAsia="仿宋"/>
                      <w:sz w:val="21"/>
                    </w:rPr>
                    <w:t>L</w:t>
                  </w:r>
                  <w:r>
                    <w:rPr>
                      <w:rFonts w:ascii="仿宋" w:hAnsi="仿宋" w:cs="仿宋" w:eastAsia="仿宋"/>
                      <w:sz w:val="21"/>
                    </w:rPr>
                    <w:t>）</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20</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w:t>
                  </w:r>
                </w:p>
              </w:tc>
              <w:tc>
                <w:tcPr>
                  <w:tcW w:type="dxa" w:w="914"/>
                  <w:vMerge/>
                  <w:tcBorders>
                    <w:top w:val="none" w:color="000000" w:sz="4"/>
                    <w:left w:val="non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发动机额定功率（</w:t>
                  </w:r>
                  <w:r>
                    <w:rPr>
                      <w:rFonts w:ascii="仿宋" w:hAnsi="仿宋" w:cs="仿宋" w:eastAsia="仿宋"/>
                      <w:sz w:val="21"/>
                    </w:rPr>
                    <w:t>KW</w:t>
                  </w:r>
                  <w:r>
                    <w:rPr>
                      <w:rFonts w:ascii="仿宋" w:hAnsi="仿宋" w:cs="仿宋" w:eastAsia="仿宋"/>
                      <w:sz w:val="21"/>
                    </w:rPr>
                    <w:t>）</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14</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w:t>
                  </w:r>
                </w:p>
              </w:tc>
              <w:tc>
                <w:tcPr>
                  <w:tcW w:type="dxa" w:w="914"/>
                  <w:vMerge/>
                  <w:tcBorders>
                    <w:top w:val="none" w:color="000000" w:sz="4"/>
                    <w:left w:val="non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▲最大液压输出能力</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液压输出流量≥</w:t>
                  </w:r>
                  <w:r>
                    <w:rPr>
                      <w:rFonts w:ascii="仿宋" w:hAnsi="仿宋" w:cs="仿宋" w:eastAsia="仿宋"/>
                      <w:sz w:val="21"/>
                    </w:rPr>
                    <w:t>30 L/min</w:t>
                  </w:r>
                  <w:r>
                    <w:rPr>
                      <w:rFonts w:ascii="仿宋" w:hAnsi="仿宋" w:cs="仿宋" w:eastAsia="仿宋"/>
                      <w:sz w:val="21"/>
                    </w:rPr>
                    <w:t>，额定输出压力≥</w:t>
                  </w:r>
                  <w:r>
                    <w:rPr>
                      <w:rFonts w:ascii="仿宋" w:hAnsi="仿宋" w:cs="仿宋" w:eastAsia="仿宋"/>
                      <w:sz w:val="21"/>
                    </w:rPr>
                    <w:t>144 bar</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11</w:t>
                  </w:r>
                </w:p>
              </w:tc>
              <w:tc>
                <w:tcPr>
                  <w:tcW w:type="dxa" w:w="9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潜水泵</w:t>
                  </w: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▲重量（</w:t>
                  </w:r>
                  <w:r>
                    <w:rPr>
                      <w:rFonts w:ascii="仿宋" w:hAnsi="仿宋" w:cs="仿宋" w:eastAsia="仿宋"/>
                      <w:sz w:val="21"/>
                    </w:rPr>
                    <w:t>kg</w:t>
                  </w:r>
                  <w:r>
                    <w:rPr>
                      <w:rFonts w:ascii="仿宋" w:hAnsi="仿宋" w:cs="仿宋" w:eastAsia="仿宋"/>
                      <w:sz w:val="21"/>
                    </w:rPr>
                    <w:t>）</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30</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12</w:t>
                  </w:r>
                </w:p>
              </w:tc>
              <w:tc>
                <w:tcPr>
                  <w:tcW w:type="dxa" w:w="914"/>
                  <w:vMerge/>
                  <w:tcBorders>
                    <w:top w:val="none" w:color="000000" w:sz="4"/>
                    <w:left w:val="non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长</w:t>
                  </w:r>
                  <w:r>
                    <w:rPr>
                      <w:rFonts w:ascii="仿宋" w:hAnsi="仿宋" w:cs="仿宋" w:eastAsia="仿宋"/>
                      <w:sz w:val="21"/>
                    </w:rPr>
                    <w:t>(mm)</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500</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13</w:t>
                  </w:r>
                </w:p>
              </w:tc>
              <w:tc>
                <w:tcPr>
                  <w:tcW w:type="dxa" w:w="914"/>
                  <w:vMerge/>
                  <w:tcBorders>
                    <w:top w:val="none" w:color="000000" w:sz="4"/>
                    <w:left w:val="non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宽</w:t>
                  </w:r>
                  <w:r>
                    <w:rPr>
                      <w:rFonts w:ascii="仿宋" w:hAnsi="仿宋" w:cs="仿宋" w:eastAsia="仿宋"/>
                      <w:sz w:val="21"/>
                    </w:rPr>
                    <w:t>(mm)</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450</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14</w:t>
                  </w:r>
                </w:p>
              </w:tc>
              <w:tc>
                <w:tcPr>
                  <w:tcW w:type="dxa" w:w="914"/>
                  <w:vMerge/>
                  <w:tcBorders>
                    <w:top w:val="none" w:color="000000" w:sz="4"/>
                    <w:left w:val="non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高</w:t>
                  </w:r>
                  <w:r>
                    <w:rPr>
                      <w:rFonts w:ascii="仿宋" w:hAnsi="仿宋" w:cs="仿宋" w:eastAsia="仿宋"/>
                      <w:sz w:val="21"/>
                    </w:rPr>
                    <w:t>(mm)</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500</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15</w:t>
                  </w:r>
                </w:p>
              </w:tc>
              <w:tc>
                <w:tcPr>
                  <w:tcW w:type="dxa" w:w="914"/>
                  <w:vMerge/>
                  <w:tcBorders>
                    <w:top w:val="none" w:color="000000" w:sz="4"/>
                    <w:left w:val="non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★最大排水能力（</w:t>
                  </w:r>
                  <w:r>
                    <w:rPr>
                      <w:rFonts w:ascii="仿宋" w:hAnsi="仿宋" w:cs="仿宋" w:eastAsia="仿宋"/>
                      <w:sz w:val="21"/>
                    </w:rPr>
                    <w:t>m</w:t>
                  </w:r>
                  <w:r>
                    <w:rPr>
                      <w:rFonts w:ascii="calibri, sans-serif" w:hAnsi="calibri, sans-serif" w:cs="calibri, sans-serif" w:eastAsia="calibri, sans-serif"/>
                      <w:sz w:val="21"/>
                    </w:rPr>
                    <w:t>³</w:t>
                  </w:r>
                  <w:r>
                    <w:rPr>
                      <w:rFonts w:ascii="仿宋" w:hAnsi="仿宋" w:cs="仿宋" w:eastAsia="仿宋"/>
                      <w:sz w:val="21"/>
                    </w:rPr>
                    <w:t>/h</w:t>
                  </w:r>
                  <w:r>
                    <w:rPr>
                      <w:rFonts w:ascii="仿宋" w:hAnsi="仿宋" w:cs="仿宋" w:eastAsia="仿宋"/>
                      <w:sz w:val="21"/>
                    </w:rPr>
                    <w:t>）</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200</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交货时须随货提供国家认可的第三方检验机构出具的检验报告</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16</w:t>
                  </w:r>
                </w:p>
              </w:tc>
              <w:tc>
                <w:tcPr>
                  <w:tcW w:type="dxa" w:w="914"/>
                  <w:vMerge/>
                  <w:tcBorders>
                    <w:top w:val="none" w:color="000000" w:sz="4"/>
                    <w:left w:val="non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▲最大扬程（</w:t>
                  </w:r>
                  <w:r>
                    <w:rPr>
                      <w:rFonts w:ascii="仿宋" w:hAnsi="仿宋" w:cs="仿宋" w:eastAsia="仿宋"/>
                      <w:sz w:val="21"/>
                    </w:rPr>
                    <w:t>m</w:t>
                  </w:r>
                  <w:r>
                    <w:rPr>
                      <w:rFonts w:ascii="仿宋" w:hAnsi="仿宋" w:cs="仿宋" w:eastAsia="仿宋"/>
                      <w:sz w:val="21"/>
                    </w:rPr>
                    <w:t>）</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20</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交货时须随货提供国家认可的第三方检验机构出具的检验报告</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17</w:t>
                  </w:r>
                </w:p>
              </w:tc>
              <w:tc>
                <w:tcPr>
                  <w:tcW w:type="dxa" w:w="914"/>
                  <w:vMerge/>
                  <w:tcBorders>
                    <w:top w:val="none" w:color="000000" w:sz="4"/>
                    <w:left w:val="none" w:color="000000" w:sz="4"/>
                    <w:bottom w:val="single" w:color="000000" w:sz="4"/>
                    <w:right w:val="single" w:color="000000" w:sz="4"/>
                  </w:tcBorders>
                </w:tcPr>
                <w:p/>
              </w:tc>
              <w:tc>
                <w:tcPr>
                  <w:tcW w:type="dxa" w:w="18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▲驱动形式</w:t>
                  </w:r>
                </w:p>
              </w:tc>
              <w:tc>
                <w:tcPr>
                  <w:tcW w:type="dxa" w:w="1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液压驱动</w:t>
                  </w:r>
                </w:p>
              </w:tc>
              <w:tc>
                <w:tcPr>
                  <w:tcW w:type="dxa" w:w="10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标的名称：400m³/h高扬程潜水泵</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20"/>
              <w:gridCol w:w="910"/>
              <w:gridCol w:w="2358"/>
              <w:gridCol w:w="1910"/>
            </w:tblGrid>
            <w:tr>
              <w:tc>
                <w:tcPr>
                  <w:tcW w:type="dxa" w:w="42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9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235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19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电机</w:t>
                  </w:r>
                </w:p>
              </w:tc>
              <w:tc>
                <w:tcPr>
                  <w:tcW w:type="dxa" w:w="2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绝缘等级</w:t>
                  </w:r>
                  <w:r>
                    <w:rPr>
                      <w:rFonts w:ascii="仿宋" w:hAnsi="仿宋" w:cs="仿宋" w:eastAsia="仿宋"/>
                      <w:sz w:val="21"/>
                    </w:rPr>
                    <w:t>F级及以上，防护等级IP68</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★运行参数</w:t>
                  </w:r>
                </w:p>
              </w:tc>
              <w:tc>
                <w:tcPr>
                  <w:tcW w:type="dxa" w:w="2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额定流量</w:t>
                  </w:r>
                  <w:r>
                    <w:rPr>
                      <w:rFonts w:ascii="仿宋" w:hAnsi="仿宋" w:cs="仿宋" w:eastAsia="仿宋"/>
                      <w:sz w:val="21"/>
                    </w:rPr>
                    <w:t>≥400m</w:t>
                  </w:r>
                  <w:r>
                    <w:rPr>
                      <w:rFonts w:ascii="calibri" w:hAnsi="calibri" w:cs="calibri" w:eastAsia="calibri"/>
                      <w:sz w:val="21"/>
                    </w:rPr>
                    <w:t>³</w:t>
                  </w:r>
                  <w:r>
                    <w:rPr>
                      <w:rFonts w:ascii="仿宋" w:hAnsi="仿宋" w:cs="仿宋" w:eastAsia="仿宋"/>
                      <w:sz w:val="21"/>
                    </w:rPr>
                    <w:t>/h，同时扬程≥30m</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交货时须随货提供国家认可的第三方检验机构出具的检验报告</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▲单台水泵重量</w:t>
                  </w:r>
                </w:p>
              </w:tc>
              <w:tc>
                <w:tcPr>
                  <w:tcW w:type="dxa" w:w="2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≤65kg</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滤网</w:t>
                  </w:r>
                </w:p>
              </w:tc>
              <w:tc>
                <w:tcPr>
                  <w:tcW w:type="dxa" w:w="2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水泵配有不锈钢滤网可有效防止垃圾堵塞，便于拆卸清洗维修</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▲水泵材质</w:t>
                  </w:r>
                </w:p>
              </w:tc>
              <w:tc>
                <w:tcPr>
                  <w:tcW w:type="dxa" w:w="2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采用轻质高强度铝合金或不锈钢材质，叶轮采用不锈钢或轻质高强度铝合金材质一体成型</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允许通过粒径</w:t>
                  </w:r>
                </w:p>
              </w:tc>
              <w:tc>
                <w:tcPr>
                  <w:tcW w:type="dxa" w:w="2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≥20mm</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▲控制柜</w:t>
                  </w:r>
                </w:p>
              </w:tc>
              <w:tc>
                <w:tcPr>
                  <w:tcW w:type="dxa" w:w="2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控制系统集中于变频控制柜内，具有可视化操作界面，实时监测运行参数；带有漏电、电流过载、缺相、过压、欠压、过频、欠频、电机过热等保护，可实现对水泵的软起动和软停止，可调节水泵转速，控制排水量。柜体防护等级</w:t>
                  </w:r>
                  <w:r>
                    <w:rPr>
                      <w:rFonts w:ascii="仿宋" w:hAnsi="仿宋" w:cs="仿宋" w:eastAsia="仿宋"/>
                      <w:sz w:val="21"/>
                    </w:rPr>
                    <w:t>≥IP44；电控柜快插输出口防水等级≥IP67</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电缆</w:t>
                  </w:r>
                </w:p>
              </w:tc>
              <w:tc>
                <w:tcPr>
                  <w:tcW w:type="dxa" w:w="2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采用</w:t>
                  </w:r>
                  <w:r>
                    <w:rPr>
                      <w:rFonts w:ascii="仿宋" w:hAnsi="仿宋" w:cs="仿宋" w:eastAsia="仿宋"/>
                      <w:sz w:val="21"/>
                    </w:rPr>
                    <w:t>JHS级潜水电缆，每台潜水电泵自带电缆≥20m，配备与泵一体且长度大于100mm的钢制电缆护套。延长电缆≥1根，单根长度≥20m，延长电缆两端配备快速工业接头，接头防护等级≥IP67</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w:t>
                  </w:r>
                </w:p>
              </w:tc>
              <w:tc>
                <w:tcPr>
                  <w:tcW w:type="dxa" w:w="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水带</w:t>
                  </w:r>
                </w:p>
              </w:tc>
              <w:tc>
                <w:tcPr>
                  <w:tcW w:type="dxa" w:w="2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配套水带材料为软性材料。单泵配备水带长度</w:t>
                  </w:r>
                  <w:r>
                    <w:rPr>
                      <w:rFonts w:ascii="仿宋" w:hAnsi="仿宋" w:cs="仿宋" w:eastAsia="仿宋"/>
                      <w:sz w:val="21"/>
                    </w:rPr>
                    <w:t>≥80m，材质耐压、耐腐蚀、防穿刺，每根水带配备接合器和不锈钢快速卡箍</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标的名称：600m³/h潜水泵</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20"/>
              <w:gridCol w:w="1036"/>
              <w:gridCol w:w="2231"/>
              <w:gridCol w:w="1911"/>
            </w:tblGrid>
            <w:tr>
              <w:tc>
                <w:tcPr>
                  <w:tcW w:type="dxa" w:w="42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10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223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191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电机</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绝缘等级</w:t>
                  </w:r>
                  <w:r>
                    <w:rPr>
                      <w:rFonts w:ascii="仿宋" w:hAnsi="仿宋" w:cs="仿宋" w:eastAsia="仿宋"/>
                      <w:sz w:val="21"/>
                    </w:rPr>
                    <w:t>F级及以上，防护等级IP68</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★运行参数</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额定流量</w:t>
                  </w:r>
                  <w:r>
                    <w:rPr>
                      <w:rFonts w:ascii="仿宋" w:hAnsi="仿宋" w:cs="仿宋" w:eastAsia="仿宋"/>
                      <w:sz w:val="21"/>
                    </w:rPr>
                    <w:t>≥600m</w:t>
                  </w:r>
                  <w:r>
                    <w:rPr>
                      <w:rFonts w:ascii="calibri" w:hAnsi="calibri" w:cs="calibri" w:eastAsia="calibri"/>
                      <w:sz w:val="21"/>
                    </w:rPr>
                    <w:t>³</w:t>
                  </w:r>
                  <w:r>
                    <w:rPr>
                      <w:rFonts w:ascii="仿宋" w:hAnsi="仿宋" w:cs="仿宋" w:eastAsia="仿宋"/>
                      <w:sz w:val="21"/>
                    </w:rPr>
                    <w:t>/h，同时扬程≥10m</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交货时须随货提供国家认可的第三方检验机构出具的检验报告</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▲单台水泵重量</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≤35kg</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滤网</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水泵配有不锈钢滤网可有效防止垃圾堵塞，便于拆卸清洗维修</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▲水泵材质</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泵体采用轻质高强度铝合金或不锈钢材质，叶轮采用不锈钢或轻质高强度铝合金材质一体成型。</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允许通过粒径</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≥20mm</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▲控制柜</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控制系统集中于变频控制柜内，具有可视化操作界面，实时监测运行参数；带有漏电、电流过载、缺相、过压、欠压、过频、欠频、电机过热等保护，可实现对水泵的软起动和软停止，可调节水泵转速，控制排水量。柜体防护等级</w:t>
                  </w:r>
                  <w:r>
                    <w:rPr>
                      <w:rFonts w:ascii="仿宋" w:hAnsi="仿宋" w:cs="仿宋" w:eastAsia="仿宋"/>
                      <w:sz w:val="21"/>
                    </w:rPr>
                    <w:t>≥IP44；电控柜快插输出口防水等级≥IP67</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电缆</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采用</w:t>
                  </w:r>
                  <w:r>
                    <w:rPr>
                      <w:rFonts w:ascii="仿宋" w:hAnsi="仿宋" w:cs="仿宋" w:eastAsia="仿宋"/>
                      <w:sz w:val="21"/>
                    </w:rPr>
                    <w:t>JHS级潜水电缆，每台潜水电泵自带电缆≥20m，配备与泵一体且长度大于100mm的钢制电缆护套。延长电缆≥1根，单根长度≥20m，延长电缆两端配备快速工业接头，接头防护等级≥IP67</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水带</w:t>
                  </w:r>
                </w:p>
              </w:tc>
              <w:tc>
                <w:tcPr>
                  <w:tcW w:type="dxa" w:w="22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配套水带材料为软性材料。单泵配备水带长度</w:t>
                  </w:r>
                  <w:r>
                    <w:rPr>
                      <w:rFonts w:ascii="仿宋" w:hAnsi="仿宋" w:cs="仿宋" w:eastAsia="仿宋"/>
                      <w:sz w:val="21"/>
                    </w:rPr>
                    <w:t>≥80m，材质耐压、耐腐蚀、防穿刺，每根水带配备接合器和不锈钢快速卡箍</w:t>
                  </w:r>
                </w:p>
              </w:tc>
              <w:tc>
                <w:tcPr>
                  <w:tcW w:type="dxa" w:w="19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标的名称：150m³/h高扬程潜水泵</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20"/>
              <w:gridCol w:w="951"/>
              <w:gridCol w:w="2833"/>
              <w:gridCol w:w="1395"/>
            </w:tblGrid>
            <w:tr>
              <w:tc>
                <w:tcPr>
                  <w:tcW w:type="dxa" w:w="42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95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283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139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电机</w:t>
                  </w:r>
                </w:p>
              </w:tc>
              <w:tc>
                <w:tcPr>
                  <w:tcW w:type="dxa" w:w="2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绝缘等级</w:t>
                  </w:r>
                  <w:r>
                    <w:rPr>
                      <w:rFonts w:ascii="仿宋" w:hAnsi="仿宋" w:cs="仿宋" w:eastAsia="仿宋"/>
                      <w:sz w:val="21"/>
                    </w:rPr>
                    <w:t>F级及以上，防护等级IP68</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★运行参数</w:t>
                  </w:r>
                </w:p>
              </w:tc>
              <w:tc>
                <w:tcPr>
                  <w:tcW w:type="dxa" w:w="2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额定流量</w:t>
                  </w:r>
                  <w:r>
                    <w:rPr>
                      <w:rFonts w:ascii="仿宋" w:hAnsi="仿宋" w:cs="仿宋" w:eastAsia="仿宋"/>
                      <w:sz w:val="21"/>
                    </w:rPr>
                    <w:t>≥150m</w:t>
                  </w:r>
                  <w:r>
                    <w:rPr>
                      <w:rFonts w:ascii="calibri" w:hAnsi="calibri" w:cs="calibri" w:eastAsia="calibri"/>
                      <w:sz w:val="21"/>
                    </w:rPr>
                    <w:t>³</w:t>
                  </w:r>
                  <w:r>
                    <w:rPr>
                      <w:rFonts w:ascii="仿宋" w:hAnsi="仿宋" w:cs="仿宋" w:eastAsia="仿宋"/>
                      <w:sz w:val="21"/>
                    </w:rPr>
                    <w:t>/h，同时扬程≥50m</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交货时须随货提供国家认可的第三方检验机构出具的检验报告</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▲单台水泵重量</w:t>
                  </w:r>
                </w:p>
              </w:tc>
              <w:tc>
                <w:tcPr>
                  <w:tcW w:type="dxa" w:w="2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≤40kg</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滤网</w:t>
                  </w:r>
                </w:p>
              </w:tc>
              <w:tc>
                <w:tcPr>
                  <w:tcW w:type="dxa" w:w="2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水泵配有不锈钢滤网可有效防止垃圾堵塞，便于拆卸清洗维修</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▲水泵材质</w:t>
                  </w:r>
                </w:p>
              </w:tc>
              <w:tc>
                <w:tcPr>
                  <w:tcW w:type="dxa" w:w="2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泵体采用轻质高强度铝合金或不锈钢材质，叶轮采用不锈钢或轻质高强度铝合金材质一体成型。</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允许通过粒径</w:t>
                  </w:r>
                </w:p>
              </w:tc>
              <w:tc>
                <w:tcPr>
                  <w:tcW w:type="dxa" w:w="2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≥20mm</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▲控制柜</w:t>
                  </w:r>
                </w:p>
              </w:tc>
              <w:tc>
                <w:tcPr>
                  <w:tcW w:type="dxa" w:w="2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控制系统集中于变频控制柜内，具有可视化操作界面，实时监测运行参数；带有漏电、电流过载、缺相、过压、欠压、过频、欠频、电机过热等保护，可实现对水泵的软起动和软停止，可调节水泵转速，控制排水量。柜体防护等级</w:t>
                  </w:r>
                  <w:r>
                    <w:rPr>
                      <w:rFonts w:ascii="仿宋" w:hAnsi="仿宋" w:cs="仿宋" w:eastAsia="仿宋"/>
                      <w:sz w:val="21"/>
                    </w:rPr>
                    <w:t>≥IP44；电控柜快插输出口防水等级≥IP67</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电缆</w:t>
                  </w:r>
                </w:p>
              </w:tc>
              <w:tc>
                <w:tcPr>
                  <w:tcW w:type="dxa" w:w="2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采用</w:t>
                  </w:r>
                  <w:r>
                    <w:rPr>
                      <w:rFonts w:ascii="仿宋" w:hAnsi="仿宋" w:cs="仿宋" w:eastAsia="仿宋"/>
                      <w:sz w:val="21"/>
                    </w:rPr>
                    <w:t>JHS级潜水电缆，每台潜水电泵自带电缆≥20m，配备与泵一体且长度大于100mm的钢制电缆护套。延长电缆≥1根，单根长度≥20m，延长电缆两端配备快速工业接头，接头防护等级≥IP67</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w:t>
                  </w:r>
                </w:p>
              </w:tc>
              <w:tc>
                <w:tcPr>
                  <w:tcW w:type="dxa" w:w="9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水带</w:t>
                  </w:r>
                </w:p>
              </w:tc>
              <w:tc>
                <w:tcPr>
                  <w:tcW w:type="dxa" w:w="2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配套水带材料为软性材料。单泵配备水带长度</w:t>
                  </w:r>
                  <w:r>
                    <w:rPr>
                      <w:rFonts w:ascii="仿宋" w:hAnsi="仿宋" w:cs="仿宋" w:eastAsia="仿宋"/>
                      <w:sz w:val="21"/>
                    </w:rPr>
                    <w:t>≥80m，材质耐压、耐腐蚀、防穿刺，每根水带配备接合器和不锈钢快速卡箍</w:t>
                  </w:r>
                </w:p>
              </w:tc>
              <w:tc>
                <w:tcPr>
                  <w:tcW w:type="dxa" w:w="13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标的名称：1000m³/h潜水泵</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20"/>
              <w:gridCol w:w="1038"/>
              <w:gridCol w:w="2230"/>
              <w:gridCol w:w="1910"/>
            </w:tblGrid>
            <w:tr>
              <w:tc>
                <w:tcPr>
                  <w:tcW w:type="dxa" w:w="42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10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223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19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电机</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绝缘等级</w:t>
                  </w:r>
                  <w:r>
                    <w:rPr>
                      <w:rFonts w:ascii="仿宋" w:hAnsi="仿宋" w:cs="仿宋" w:eastAsia="仿宋"/>
                      <w:sz w:val="21"/>
                    </w:rPr>
                    <w:t>F级及以上，防护等级IP68</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★运行参数</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额定流量</w:t>
                  </w:r>
                  <w:r>
                    <w:rPr>
                      <w:rFonts w:ascii="仿宋" w:hAnsi="仿宋" w:cs="仿宋" w:eastAsia="仿宋"/>
                      <w:sz w:val="21"/>
                    </w:rPr>
                    <w:t>≥1000m</w:t>
                  </w:r>
                  <w:r>
                    <w:rPr>
                      <w:rFonts w:ascii="calibri" w:hAnsi="calibri" w:cs="calibri" w:eastAsia="calibri"/>
                      <w:sz w:val="21"/>
                    </w:rPr>
                    <w:t>³</w:t>
                  </w:r>
                  <w:r>
                    <w:rPr>
                      <w:rFonts w:ascii="仿宋" w:hAnsi="仿宋" w:cs="仿宋" w:eastAsia="仿宋"/>
                      <w:sz w:val="21"/>
                    </w:rPr>
                    <w:t>/h，同时扬程≥10m</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交货时须随货提供国家认可的第三方检验机构出具的检验报告</w:t>
                  </w: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▲单台水泵重量</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≤60kg</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滤网</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水泵配有不锈钢滤网可有效防止垃圾堵塞，便于拆卸清洗维修</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▲水泵材质</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泵体采用轻质高强度铝合金或不锈钢材质，叶轮采用不锈钢或轻质高强度铝合金材质一体成型。</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允许通过粒径</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≥20mm</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▲控制柜</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控制系统集中于变频控制柜内，具有可视化操作界面，实时监测运行参数；带有漏电、电流过载、缺相、过压、欠压、过频、欠频、电机过热等保护，可实现对水泵的软起动和软停止，可调节水泵转速，控制排水量。柜体防护等级</w:t>
                  </w:r>
                  <w:r>
                    <w:rPr>
                      <w:rFonts w:ascii="仿宋" w:hAnsi="仿宋" w:cs="仿宋" w:eastAsia="仿宋"/>
                      <w:sz w:val="21"/>
                    </w:rPr>
                    <w:t>≥IP44；电控柜快插输出口防水等级≥IP67</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电缆</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采用</w:t>
                  </w:r>
                  <w:r>
                    <w:rPr>
                      <w:rFonts w:ascii="仿宋" w:hAnsi="仿宋" w:cs="仿宋" w:eastAsia="仿宋"/>
                      <w:sz w:val="21"/>
                    </w:rPr>
                    <w:t>JHS级潜水电缆，每台潜水电泵自带电缆≥20m，配备与泵一体且长度大于100mm的钢制电缆护套。延长电缆≥1根，单根长度≥20m，延长电缆两端配备快速工业接头，接头防护等级≥IP67</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w:t>
                  </w:r>
                </w:p>
              </w:tc>
              <w:tc>
                <w:tcPr>
                  <w:tcW w:type="dxa" w:w="10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水带</w:t>
                  </w:r>
                </w:p>
              </w:tc>
              <w:tc>
                <w:tcPr>
                  <w:tcW w:type="dxa" w:w="2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配套水带材料为软性材料。单泵配备水带长度</w:t>
                  </w:r>
                  <w:r>
                    <w:rPr>
                      <w:rFonts w:ascii="仿宋" w:hAnsi="仿宋" w:cs="仿宋" w:eastAsia="仿宋"/>
                      <w:sz w:val="21"/>
                    </w:rPr>
                    <w:t>≥80m，材质耐压、耐腐蚀、防穿刺，每根水带配备接合器和不锈钢快速卡箍</w:t>
                  </w:r>
                </w:p>
              </w:tc>
              <w:tc>
                <w:tcPr>
                  <w:tcW w:type="dxa" w:w="1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采购包3：</w:t>
      </w:r>
    </w:p>
    <w:p>
      <w:pPr>
        <w:pStyle w:val="null3"/>
        <w:jc w:val="left"/>
      </w:pPr>
      <w:r>
        <w:rPr/>
        <w:t>标的名称：200KW电源车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62"/>
              <w:gridCol w:w="750"/>
              <w:gridCol w:w="1558"/>
              <w:gridCol w:w="1847"/>
              <w:gridCol w:w="981"/>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7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项目类型</w:t>
                  </w:r>
                </w:p>
              </w:tc>
              <w:tc>
                <w:tcPr>
                  <w:tcW w:type="dxa" w:w="1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18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9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1</w:t>
                  </w:r>
                </w:p>
              </w:tc>
              <w:tc>
                <w:tcPr>
                  <w:tcW w:type="dxa" w:w="7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车辆配置</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★车辆排放标准</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国</w:t>
                  </w:r>
                  <w:r>
                    <w:rPr>
                      <w:rFonts w:ascii="仿宋" w:hAnsi="仿宋" w:cs="仿宋" w:eastAsia="仿宋"/>
                      <w:sz w:val="21"/>
                    </w:rPr>
                    <w:t>VI</w:t>
                  </w:r>
                  <w:r>
                    <w:rPr>
                      <w:rFonts w:ascii="仿宋" w:hAnsi="仿宋" w:cs="仿宋" w:eastAsia="仿宋"/>
                      <w:sz w:val="21"/>
                    </w:rPr>
                    <w:t>或优于</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交货时须随货提供国家认可的第三方检验机构出具的检验报告</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2</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燃油类型</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柴油</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3</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整车尺寸（长</w:t>
                  </w:r>
                  <w:r>
                    <w:rPr>
                      <w:rFonts w:ascii="仿宋" w:hAnsi="仿宋" w:cs="仿宋" w:eastAsia="仿宋"/>
                      <w:sz w:val="21"/>
                    </w:rPr>
                    <w:t>*</w:t>
                  </w:r>
                  <w:r>
                    <w:rPr>
                      <w:rFonts w:ascii="仿宋" w:hAnsi="仿宋" w:cs="仿宋" w:eastAsia="仿宋"/>
                      <w:sz w:val="21"/>
                    </w:rPr>
                    <w:t>宽</w:t>
                  </w:r>
                  <w:r>
                    <w:rPr>
                      <w:rFonts w:ascii="仿宋" w:hAnsi="仿宋" w:cs="仿宋" w:eastAsia="仿宋"/>
                      <w:sz w:val="21"/>
                    </w:rPr>
                    <w:t>*</w:t>
                  </w:r>
                  <w:r>
                    <w:rPr>
                      <w:rFonts w:ascii="仿宋" w:hAnsi="仿宋" w:cs="仿宋" w:eastAsia="仿宋"/>
                      <w:sz w:val="21"/>
                    </w:rPr>
                    <w:t>高，</w:t>
                  </w:r>
                  <w:r>
                    <w:rPr>
                      <w:rFonts w:ascii="仿宋" w:hAnsi="仿宋" w:cs="仿宋" w:eastAsia="仿宋"/>
                      <w:sz w:val="21"/>
                    </w:rPr>
                    <w:t>mm</w:t>
                  </w:r>
                  <w:r>
                    <w:rPr>
                      <w:rFonts w:ascii="仿宋" w:hAnsi="仿宋" w:cs="仿宋" w:eastAsia="仿宋"/>
                      <w:sz w:val="21"/>
                    </w:rPr>
                    <w:t>）</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长≤</w:t>
                  </w:r>
                  <w:r>
                    <w:rPr>
                      <w:rFonts w:ascii="仿宋" w:hAnsi="仿宋" w:cs="仿宋" w:eastAsia="仿宋"/>
                      <w:sz w:val="21"/>
                    </w:rPr>
                    <w:t>9000mm</w:t>
                  </w:r>
                  <w:r>
                    <w:rPr>
                      <w:rFonts w:ascii="仿宋" w:hAnsi="仿宋" w:cs="仿宋" w:eastAsia="仿宋"/>
                      <w:sz w:val="21"/>
                    </w:rPr>
                    <w:t>，宽≤</w:t>
                  </w:r>
                  <w:r>
                    <w:rPr>
                      <w:rFonts w:ascii="仿宋" w:hAnsi="仿宋" w:cs="仿宋" w:eastAsia="仿宋"/>
                      <w:sz w:val="21"/>
                    </w:rPr>
                    <w:t>2550mm</w:t>
                  </w:r>
                  <w:r>
                    <w:rPr>
                      <w:rFonts w:ascii="仿宋" w:hAnsi="仿宋" w:cs="仿宋" w:eastAsia="仿宋"/>
                      <w:sz w:val="21"/>
                    </w:rPr>
                    <w:t>，高≤</w:t>
                  </w:r>
                  <w:r>
                    <w:rPr>
                      <w:rFonts w:ascii="仿宋" w:hAnsi="仿宋" w:cs="仿宋" w:eastAsia="仿宋"/>
                      <w:sz w:val="21"/>
                    </w:rPr>
                    <w:t>3500mm</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4</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▲车辆发动机最大输出功率</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130KW</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5</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总质量</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15000kg</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6</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整备质量</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8000kg</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7</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安全配置</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ABS</w:t>
                  </w:r>
                  <w:r>
                    <w:rPr>
                      <w:rFonts w:ascii="仿宋" w:hAnsi="仿宋" w:cs="仿宋" w:eastAsia="仿宋"/>
                      <w:sz w:val="21"/>
                    </w:rPr>
                    <w:t>（防抱死制动系统）</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8</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▲其他配置</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车辆安装彩色显示屏，</w:t>
                  </w:r>
                  <w:r>
                    <w:rPr>
                      <w:rFonts w:ascii="仿宋" w:hAnsi="仿宋" w:cs="仿宋" w:eastAsia="仿宋"/>
                      <w:sz w:val="21"/>
                    </w:rPr>
                    <w:t>2.</w:t>
                  </w:r>
                  <w:r>
                    <w:rPr>
                      <w:rFonts w:ascii="仿宋" w:hAnsi="仿宋" w:cs="仿宋" w:eastAsia="仿宋"/>
                      <w:sz w:val="21"/>
                    </w:rPr>
                    <w:t>配有</w:t>
                  </w:r>
                  <w:r>
                    <w:rPr>
                      <w:rFonts w:ascii="仿宋" w:hAnsi="仿宋" w:cs="仿宋" w:eastAsia="仿宋"/>
                      <w:sz w:val="21"/>
                    </w:rPr>
                    <w:t>360</w:t>
                  </w:r>
                  <w:r>
                    <w:rPr>
                      <w:rFonts w:ascii="仿宋" w:hAnsi="仿宋" w:cs="仿宋" w:eastAsia="仿宋"/>
                      <w:sz w:val="21"/>
                    </w:rPr>
                    <w:t>°全影像、倒车雷达、倒车影像引导等功能；</w:t>
                  </w:r>
                  <w:r>
                    <w:rPr>
                      <w:rFonts w:ascii="仿宋" w:hAnsi="仿宋" w:cs="仿宋" w:eastAsia="仿宋"/>
                      <w:sz w:val="21"/>
                    </w:rPr>
                    <w:t>3.</w:t>
                  </w:r>
                  <w:r>
                    <w:rPr>
                      <w:rFonts w:ascii="仿宋" w:hAnsi="仿宋" w:cs="仿宋" w:eastAsia="仿宋"/>
                      <w:sz w:val="21"/>
                    </w:rPr>
                    <w:t>车辆配有行车记录仪，记录仪有不低于</w:t>
                  </w:r>
                  <w:r>
                    <w:rPr>
                      <w:rFonts w:ascii="仿宋" w:hAnsi="仿宋" w:cs="仿宋" w:eastAsia="仿宋"/>
                      <w:sz w:val="21"/>
                    </w:rPr>
                    <w:t>64G</w:t>
                  </w:r>
                  <w:r>
                    <w:rPr>
                      <w:rFonts w:ascii="仿宋" w:hAnsi="仿宋" w:cs="仿宋" w:eastAsia="仿宋"/>
                      <w:sz w:val="21"/>
                    </w:rPr>
                    <w:t>内存，记录卡录满后自行删除最早记录。</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9</w:t>
                  </w:r>
                </w:p>
              </w:tc>
              <w:tc>
                <w:tcPr>
                  <w:tcW w:type="dxa" w:w="7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车厢</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▲外形及材质</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一体式全封闭车厢，车厢骨架、围板采用优质不锈钢或铝合金材质，围板厚度不少于</w:t>
                  </w:r>
                  <w:r>
                    <w:rPr>
                      <w:rFonts w:ascii="仿宋" w:hAnsi="仿宋" w:cs="仿宋" w:eastAsia="仿宋"/>
                      <w:sz w:val="21"/>
                    </w:rPr>
                    <w:t>1.2mm</w:t>
                  </w:r>
                  <w:r>
                    <w:rPr>
                      <w:rFonts w:ascii="仿宋" w:hAnsi="仿宋" w:cs="仿宋" w:eastAsia="仿宋"/>
                      <w:sz w:val="21"/>
                    </w:rPr>
                    <w:t>；车厢具有隔音、降噪、防雨、防尘、防火、阻燃、防锈功能。车厢内饰环保吸音棉，具备隔音、降噪、防雨、防尘、防火、阻燃、防锈功能。防雨防尘型电动百叶窗，可开启和关闭</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10</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降噪效果</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车厢外</w:t>
                  </w:r>
                  <w:r>
                    <w:rPr>
                      <w:rFonts w:ascii="仿宋" w:hAnsi="仿宋" w:cs="仿宋" w:eastAsia="仿宋"/>
                      <w:sz w:val="21"/>
                    </w:rPr>
                    <w:t>1m</w:t>
                  </w:r>
                  <w:r>
                    <w:rPr>
                      <w:rFonts w:ascii="仿宋" w:hAnsi="仿宋" w:cs="仿宋" w:eastAsia="仿宋"/>
                      <w:sz w:val="21"/>
                    </w:rPr>
                    <w:t>噪音≤</w:t>
                  </w:r>
                  <w:r>
                    <w:rPr>
                      <w:rFonts w:ascii="仿宋" w:hAnsi="仿宋" w:cs="仿宋" w:eastAsia="仿宋"/>
                      <w:sz w:val="21"/>
                    </w:rPr>
                    <w:t>85dbA</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11</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线缆区域收纳形式</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具有单独电缆收放区域，确保快速收放线缆</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12</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▲电缆绞盘</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车上配置可收纳≥</w:t>
                  </w:r>
                  <w:r>
                    <w:rPr>
                      <w:rFonts w:ascii="仿宋" w:hAnsi="仿宋" w:cs="仿宋" w:eastAsia="仿宋"/>
                      <w:sz w:val="21"/>
                    </w:rPr>
                    <w:t>400</w:t>
                  </w:r>
                  <w:r>
                    <w:rPr>
                      <w:rFonts w:ascii="仿宋" w:hAnsi="仿宋" w:cs="仿宋" w:eastAsia="仿宋"/>
                      <w:sz w:val="21"/>
                    </w:rPr>
                    <w:t>米长度的电缆，安装在独立的绞盘机构上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13</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▲液压支撑系统</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配备自动液压支腿，车辆四角承重设计，具备一键开关功能和自动或手动调平功能</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14</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▲休息室</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独立控制室，设有车载空调、提供满足至少</w:t>
                  </w:r>
                  <w:r>
                    <w:rPr>
                      <w:rFonts w:ascii="仿宋" w:hAnsi="仿宋" w:cs="仿宋" w:eastAsia="仿宋"/>
                      <w:sz w:val="21"/>
                    </w:rPr>
                    <w:t>1</w:t>
                  </w:r>
                  <w:r>
                    <w:rPr>
                      <w:rFonts w:ascii="仿宋" w:hAnsi="仿宋" w:cs="仿宋" w:eastAsia="仿宋"/>
                      <w:sz w:val="21"/>
                    </w:rPr>
                    <w:t>人的固定床铺。内壁装有机组控制柜，操作人员在操作间内即可进行机组的操作控制。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15</w:t>
                  </w:r>
                </w:p>
              </w:tc>
              <w:tc>
                <w:tcPr>
                  <w:tcW w:type="dxa" w:w="7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发电机组</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额定电压</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400V</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16</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★额定功率</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200KW</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17</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备用功率</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220KW</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18</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设计寿命（正常运行）</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10000h</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19</w:t>
                  </w:r>
                </w:p>
              </w:tc>
              <w:tc>
                <w:tcPr>
                  <w:tcW w:type="dxa" w:w="7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发动机参数</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★环保排放标准</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非道路四阶段及以上</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20</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▲油箱油量满载持续时间</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8</w:t>
                  </w:r>
                  <w:r>
                    <w:rPr>
                      <w:rFonts w:ascii="仿宋" w:hAnsi="仿宋" w:cs="仿宋" w:eastAsia="仿宋"/>
                      <w:sz w:val="21"/>
                    </w:rPr>
                    <w:t>小时</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21</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▲发动机主用功率</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230KW</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22</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▲发动机备用功率</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250KW</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23</w:t>
                  </w:r>
                </w:p>
              </w:tc>
              <w:tc>
                <w:tcPr>
                  <w:tcW w:type="dxa" w:w="7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发电机参数</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相数</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三相</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24</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功率因数</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0.8</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25</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绝缘等级</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H</w:t>
                  </w:r>
                  <w:r>
                    <w:rPr>
                      <w:rFonts w:ascii="仿宋" w:hAnsi="仿宋" w:cs="仿宋" w:eastAsia="仿宋"/>
                      <w:sz w:val="21"/>
                    </w:rPr>
                    <w:t>级</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26</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温度等级</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H</w:t>
                  </w:r>
                  <w:r>
                    <w:rPr>
                      <w:rFonts w:ascii="仿宋" w:hAnsi="仿宋" w:cs="仿宋" w:eastAsia="仿宋"/>
                      <w:sz w:val="21"/>
                    </w:rPr>
                    <w:t>级</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27</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防护等级</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IP23</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28</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▲励磁系统</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全铜无刷励磁系统</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29</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▲抗短路电流能力</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3</w:t>
                  </w:r>
                  <w:r>
                    <w:rPr>
                      <w:rFonts w:ascii="仿宋" w:hAnsi="仿宋" w:cs="仿宋" w:eastAsia="仿宋"/>
                      <w:sz w:val="21"/>
                    </w:rPr>
                    <w:t>倍额定电流，时长≥</w:t>
                  </w:r>
                  <w:r>
                    <w:rPr>
                      <w:rFonts w:ascii="仿宋" w:hAnsi="仿宋" w:cs="仿宋" w:eastAsia="仿宋"/>
                      <w:sz w:val="21"/>
                    </w:rPr>
                    <w:t>10</w:t>
                  </w:r>
                  <w:r>
                    <w:rPr>
                      <w:rFonts w:ascii="仿宋" w:hAnsi="仿宋" w:cs="仿宋" w:eastAsia="仿宋"/>
                      <w:sz w:val="21"/>
                    </w:rPr>
                    <w:t>秒</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30</w:t>
                  </w:r>
                </w:p>
              </w:tc>
              <w:tc>
                <w:tcPr>
                  <w:tcW w:type="dxa" w:w="7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控制系统</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并机控制功能</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具备单机带负载、并机带负载功能，同时具有操作记录，故障记录等功能。</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31</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操作界面</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中文</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32</w:t>
                  </w:r>
                </w:p>
              </w:tc>
              <w:tc>
                <w:tcPr>
                  <w:tcW w:type="dxa" w:w="75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其他配置</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电缆快插接头箱防护安全性</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防护等级≥</w:t>
                  </w:r>
                  <w:r>
                    <w:rPr>
                      <w:rFonts w:ascii="仿宋" w:hAnsi="仿宋" w:cs="仿宋" w:eastAsia="仿宋"/>
                      <w:sz w:val="21"/>
                    </w:rPr>
                    <w:t>IP67</w:t>
                  </w:r>
                  <w:r>
                    <w:rPr>
                      <w:rFonts w:ascii="仿宋" w:hAnsi="仿宋" w:cs="仿宋" w:eastAsia="仿宋"/>
                      <w:sz w:val="21"/>
                    </w:rPr>
                    <w:t>，电缆连接后关闭快插舱门作业。</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33</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接地线及其形式</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接地线缆长度≥</w:t>
                  </w:r>
                  <w:r>
                    <w:rPr>
                      <w:rFonts w:ascii="仿宋" w:hAnsi="仿宋" w:cs="仿宋" w:eastAsia="仿宋"/>
                      <w:sz w:val="21"/>
                    </w:rPr>
                    <w:t>10</w:t>
                  </w:r>
                  <w:r>
                    <w:rPr>
                      <w:rFonts w:ascii="仿宋" w:hAnsi="仿宋" w:cs="仿宋" w:eastAsia="仿宋"/>
                      <w:sz w:val="21"/>
                    </w:rPr>
                    <w:t>米，线径≥</w:t>
                  </w:r>
                  <w:r>
                    <w:rPr>
                      <w:rFonts w:ascii="仿宋" w:hAnsi="仿宋" w:cs="仿宋" w:eastAsia="仿宋"/>
                      <w:sz w:val="21"/>
                    </w:rPr>
                    <w:t>25mm</w:t>
                  </w:r>
                  <w:r>
                    <w:rPr>
                      <w:rFonts w:ascii="仿宋" w:hAnsi="仿宋" w:cs="仿宋" w:eastAsia="仿宋"/>
                      <w:sz w:val="21"/>
                      <w:vertAlign w:val="superscript"/>
                    </w:rPr>
                    <w:t>2</w:t>
                  </w:r>
                  <w:r>
                    <w:rPr>
                      <w:rFonts w:ascii="仿宋" w:hAnsi="仿宋" w:cs="仿宋" w:eastAsia="仿宋"/>
                      <w:sz w:val="21"/>
                    </w:rPr>
                    <w:t>。并配备接地钢针，长度≥</w:t>
                  </w:r>
                  <w:r>
                    <w:rPr>
                      <w:rFonts w:ascii="仿宋" w:hAnsi="仿宋" w:cs="仿宋" w:eastAsia="仿宋"/>
                      <w:sz w:val="21"/>
                    </w:rPr>
                    <w:t>1m</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34</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燃油箱液位显示</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具备机械或电子显示功能</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35</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急停开关</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有</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36</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电缆</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电缆规格≥</w:t>
                  </w:r>
                  <w:r>
                    <w:rPr>
                      <w:rFonts w:ascii="仿宋" w:hAnsi="仿宋" w:cs="仿宋" w:eastAsia="仿宋"/>
                      <w:sz w:val="21"/>
                    </w:rPr>
                    <w:t>1</w:t>
                  </w:r>
                  <w:r>
                    <w:rPr>
                      <w:rFonts w:ascii="仿宋" w:hAnsi="仿宋" w:cs="仿宋" w:eastAsia="仿宋"/>
                      <w:sz w:val="21"/>
                    </w:rPr>
                    <w:t>×</w:t>
                  </w:r>
                  <w:r>
                    <w:rPr>
                      <w:rFonts w:ascii="仿宋" w:hAnsi="仿宋" w:cs="仿宋" w:eastAsia="仿宋"/>
                      <w:sz w:val="21"/>
                    </w:rPr>
                    <w:t>120mm</w:t>
                  </w:r>
                  <w:r>
                    <w:rPr>
                      <w:rFonts w:ascii="仿宋" w:hAnsi="仿宋" w:cs="仿宋" w:eastAsia="仿宋"/>
                      <w:sz w:val="21"/>
                      <w:vertAlign w:val="superscript"/>
                    </w:rPr>
                    <w:t>2</w:t>
                  </w:r>
                  <w:r>
                    <w:rPr>
                      <w:rFonts w:ascii="仿宋" w:hAnsi="仿宋" w:cs="仿宋" w:eastAsia="仿宋"/>
                      <w:sz w:val="21"/>
                    </w:rPr>
                    <w:t>的机车柔性电缆，</w:t>
                  </w:r>
                  <w:r>
                    <w:rPr>
                      <w:rFonts w:ascii="仿宋" w:hAnsi="仿宋" w:cs="仿宋" w:eastAsia="仿宋"/>
                      <w:sz w:val="21"/>
                    </w:rPr>
                    <w:t>50m/</w:t>
                  </w:r>
                  <w:r>
                    <w:rPr>
                      <w:rFonts w:ascii="仿宋" w:hAnsi="仿宋" w:cs="仿宋" w:eastAsia="仿宋"/>
                      <w:sz w:val="21"/>
                    </w:rPr>
                    <w:t>根，每相</w:t>
                  </w:r>
                  <w:r>
                    <w:rPr>
                      <w:rFonts w:ascii="仿宋" w:hAnsi="仿宋" w:cs="仿宋" w:eastAsia="仿宋"/>
                      <w:sz w:val="21"/>
                    </w:rPr>
                    <w:t>2</w:t>
                  </w:r>
                  <w:r>
                    <w:rPr>
                      <w:rFonts w:ascii="仿宋" w:hAnsi="仿宋" w:cs="仿宋" w:eastAsia="仿宋"/>
                      <w:sz w:val="21"/>
                    </w:rPr>
                    <w:t>根共</w:t>
                  </w:r>
                  <w:r>
                    <w:rPr>
                      <w:rFonts w:ascii="仿宋" w:hAnsi="仿宋" w:cs="仿宋" w:eastAsia="仿宋"/>
                      <w:sz w:val="21"/>
                    </w:rPr>
                    <w:t>8</w:t>
                  </w:r>
                  <w:r>
                    <w:rPr>
                      <w:rFonts w:ascii="仿宋" w:hAnsi="仿宋" w:cs="仿宋" w:eastAsia="仿宋"/>
                      <w:sz w:val="21"/>
                    </w:rPr>
                    <w:t>根，共</w:t>
                  </w:r>
                  <w:r>
                    <w:rPr>
                      <w:rFonts w:ascii="仿宋" w:hAnsi="仿宋" w:cs="仿宋" w:eastAsia="仿宋"/>
                      <w:sz w:val="21"/>
                    </w:rPr>
                    <w:t>400m</w:t>
                  </w:r>
                  <w:r>
                    <w:rPr>
                      <w:rFonts w:ascii="仿宋" w:hAnsi="仿宋" w:cs="仿宋" w:eastAsia="仿宋"/>
                      <w:sz w:val="21"/>
                    </w:rPr>
                    <w:t>，电缆一端为快插、一端为铜鼻子。另配</w:t>
                  </w:r>
                  <w:r>
                    <w:rPr>
                      <w:rFonts w:ascii="仿宋" w:hAnsi="仿宋" w:cs="仿宋" w:eastAsia="仿宋"/>
                      <w:sz w:val="21"/>
                    </w:rPr>
                    <w:t>20mYC-4*120+1*70</w:t>
                  </w:r>
                  <w:r>
                    <w:rPr>
                      <w:rFonts w:ascii="仿宋" w:hAnsi="仿宋" w:cs="仿宋" w:eastAsia="仿宋"/>
                      <w:sz w:val="21"/>
                    </w:rPr>
                    <w:t>电缆、电缆两头各接一只三项五孔</w:t>
                  </w:r>
                  <w:r>
                    <w:rPr>
                      <w:rFonts w:ascii="仿宋" w:hAnsi="仿宋" w:cs="仿宋" w:eastAsia="仿宋"/>
                      <w:sz w:val="21"/>
                    </w:rPr>
                    <w:t>5p400AIP67</w:t>
                  </w:r>
                  <w:r>
                    <w:rPr>
                      <w:rFonts w:ascii="仿宋" w:hAnsi="仿宋" w:cs="仿宋" w:eastAsia="仿宋"/>
                      <w:sz w:val="21"/>
                    </w:rPr>
                    <w:t>工业插头（共两只，插头型号应与本电源车所配置的工业电源插座型号一致）。</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37</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输出接口</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以下三种输出方式需全部具备：</w:t>
                  </w:r>
                  <w:r>
                    <w:rPr>
                      <w:rFonts w:ascii="仿宋" w:hAnsi="仿宋" w:cs="仿宋" w:eastAsia="仿宋"/>
                      <w:sz w:val="21"/>
                    </w:rPr>
                    <w:t>1.</w:t>
                  </w:r>
                  <w:r>
                    <w:rPr>
                      <w:rFonts w:ascii="仿宋" w:hAnsi="仿宋" w:cs="仿宋" w:eastAsia="仿宋"/>
                      <w:sz w:val="21"/>
                    </w:rPr>
                    <w:t>具备</w:t>
                  </w:r>
                  <w:r>
                    <w:rPr>
                      <w:rFonts w:ascii="仿宋" w:hAnsi="仿宋" w:cs="仿宋" w:eastAsia="仿宋"/>
                      <w:sz w:val="21"/>
                    </w:rPr>
                    <w:t>400A</w:t>
                  </w:r>
                  <w:r>
                    <w:rPr>
                      <w:rFonts w:ascii="仿宋" w:hAnsi="仿宋" w:cs="仿宋" w:eastAsia="仿宋"/>
                      <w:sz w:val="21"/>
                    </w:rPr>
                    <w:t>三相五孔一体式快速转换输出；</w:t>
                  </w:r>
                  <w:r>
                    <w:rPr>
                      <w:rFonts w:ascii="仿宋" w:hAnsi="仿宋" w:cs="仿宋" w:eastAsia="仿宋"/>
                      <w:sz w:val="21"/>
                    </w:rPr>
                    <w:t>2.</w:t>
                  </w:r>
                  <w:r>
                    <w:rPr>
                      <w:rFonts w:ascii="仿宋" w:hAnsi="仿宋" w:cs="仿宋" w:eastAsia="仿宋"/>
                      <w:sz w:val="21"/>
                    </w:rPr>
                    <w:t>组合式快速转换接头输出，三相</w:t>
                  </w:r>
                  <w:r>
                    <w:rPr>
                      <w:rFonts w:ascii="仿宋" w:hAnsi="仿宋" w:cs="仿宋" w:eastAsia="仿宋"/>
                      <w:sz w:val="21"/>
                    </w:rPr>
                    <w:t>4</w:t>
                  </w:r>
                  <w:r>
                    <w:rPr>
                      <w:rFonts w:ascii="仿宋" w:hAnsi="仿宋" w:cs="仿宋" w:eastAsia="仿宋"/>
                      <w:sz w:val="21"/>
                    </w:rPr>
                    <w:t>线输出，输出接口功率应满足发电机最大输出功率；</w:t>
                  </w:r>
                  <w:r>
                    <w:rPr>
                      <w:rFonts w:ascii="仿宋" w:hAnsi="仿宋" w:cs="仿宋" w:eastAsia="仿宋"/>
                      <w:sz w:val="21"/>
                    </w:rPr>
                    <w:t>3.</w:t>
                  </w:r>
                  <w:r>
                    <w:rPr>
                      <w:rFonts w:ascii="仿宋" w:hAnsi="仿宋" w:cs="仿宋" w:eastAsia="仿宋"/>
                      <w:sz w:val="21"/>
                    </w:rPr>
                    <w:t>铜牌接线端子输出形式，输出接口功率应满足发电机最大输出功率；</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38</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工具箱配置</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配有备品箱、工具箱，黄油和黄油枪等基础备品备件和活扳手、螺丝刀等全套设备、底盘维修所需常规工具。</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39</w:t>
                  </w:r>
                </w:p>
              </w:tc>
              <w:tc>
                <w:tcPr>
                  <w:tcW w:type="dxa" w:w="750"/>
                  <w:vMerge/>
                  <w:tcBorders>
                    <w:top w:val="none" w:color="000000" w:sz="4"/>
                    <w:left w:val="none" w:color="000000" w:sz="4"/>
                    <w:bottom w:val="single" w:color="000000" w:sz="4"/>
                    <w:right w:val="single" w:color="000000" w:sz="4"/>
                  </w:tcBorders>
                </w:tcP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防雷功能</w:t>
                  </w:r>
                </w:p>
              </w:tc>
              <w:tc>
                <w:tcPr>
                  <w:tcW w:type="dxa" w:w="18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电路供电设备应配备防雷模块，对输出电源具有防雷特性，保证雷雨天气时设备和人员的安全。</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标的名称：500KW电源车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28"/>
              <w:gridCol w:w="685"/>
              <w:gridCol w:w="971"/>
              <w:gridCol w:w="2171"/>
              <w:gridCol w:w="1142"/>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项目类型</w:t>
                  </w:r>
                </w:p>
              </w:tc>
              <w:tc>
                <w:tcPr>
                  <w:tcW w:type="dxa" w:w="9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21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1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车辆配置</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★车辆排放标准</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国</w:t>
                  </w:r>
                  <w:r>
                    <w:rPr>
                      <w:rFonts w:ascii="仿宋" w:hAnsi="仿宋" w:cs="仿宋" w:eastAsia="仿宋"/>
                      <w:sz w:val="21"/>
                    </w:rPr>
                    <w:t>VI</w:t>
                  </w:r>
                  <w:r>
                    <w:rPr>
                      <w:rFonts w:ascii="仿宋" w:hAnsi="仿宋" w:cs="仿宋" w:eastAsia="仿宋"/>
                      <w:sz w:val="21"/>
                    </w:rPr>
                    <w:t>或优于</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交货时须随货提供国家认可的第三方检验机构出具的检验报告</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燃油类型</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柴油</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整车尺寸（长</w:t>
                  </w:r>
                  <w:r>
                    <w:rPr>
                      <w:rFonts w:ascii="仿宋" w:hAnsi="仿宋" w:cs="仿宋" w:eastAsia="仿宋"/>
                      <w:sz w:val="21"/>
                    </w:rPr>
                    <w:t>*</w:t>
                  </w:r>
                  <w:r>
                    <w:rPr>
                      <w:rFonts w:ascii="仿宋" w:hAnsi="仿宋" w:cs="仿宋" w:eastAsia="仿宋"/>
                      <w:sz w:val="21"/>
                    </w:rPr>
                    <w:t>宽</w:t>
                  </w:r>
                  <w:r>
                    <w:rPr>
                      <w:rFonts w:ascii="仿宋" w:hAnsi="仿宋" w:cs="仿宋" w:eastAsia="仿宋"/>
                      <w:sz w:val="21"/>
                    </w:rPr>
                    <w:t>*</w:t>
                  </w:r>
                  <w:r>
                    <w:rPr>
                      <w:rFonts w:ascii="仿宋" w:hAnsi="仿宋" w:cs="仿宋" w:eastAsia="仿宋"/>
                      <w:sz w:val="21"/>
                    </w:rPr>
                    <w:t>高，</w:t>
                  </w:r>
                  <w:r>
                    <w:rPr>
                      <w:rFonts w:ascii="仿宋" w:hAnsi="仿宋" w:cs="仿宋" w:eastAsia="仿宋"/>
                      <w:sz w:val="21"/>
                    </w:rPr>
                    <w:t>mm</w:t>
                  </w:r>
                  <w:r>
                    <w:rPr>
                      <w:rFonts w:ascii="仿宋" w:hAnsi="仿宋" w:cs="仿宋" w:eastAsia="仿宋"/>
                      <w:sz w:val="21"/>
                    </w:rPr>
                    <w:t>）</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长≤</w:t>
                  </w:r>
                  <w:r>
                    <w:rPr>
                      <w:rFonts w:ascii="仿宋" w:hAnsi="仿宋" w:cs="仿宋" w:eastAsia="仿宋"/>
                      <w:sz w:val="21"/>
                    </w:rPr>
                    <w:t>10500mm</w:t>
                  </w:r>
                  <w:r>
                    <w:rPr>
                      <w:rFonts w:ascii="仿宋" w:hAnsi="仿宋" w:cs="仿宋" w:eastAsia="仿宋"/>
                      <w:sz w:val="21"/>
                    </w:rPr>
                    <w:t>，宽≤</w:t>
                  </w:r>
                  <w:r>
                    <w:rPr>
                      <w:rFonts w:ascii="仿宋" w:hAnsi="仿宋" w:cs="仿宋" w:eastAsia="仿宋"/>
                      <w:sz w:val="21"/>
                    </w:rPr>
                    <w:t>2550mm</w:t>
                  </w:r>
                  <w:r>
                    <w:rPr>
                      <w:rFonts w:ascii="仿宋" w:hAnsi="仿宋" w:cs="仿宋" w:eastAsia="仿宋"/>
                      <w:sz w:val="21"/>
                    </w:rPr>
                    <w:t>，高≤</w:t>
                  </w:r>
                  <w:r>
                    <w:rPr>
                      <w:rFonts w:ascii="仿宋" w:hAnsi="仿宋" w:cs="仿宋" w:eastAsia="仿宋"/>
                      <w:sz w:val="21"/>
                    </w:rPr>
                    <w:t>4000mm</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▲车辆发动机最大输出功率</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240Kw</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汽车总质量</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22000kg</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整备质量</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17000kg</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安全配置</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ABS</w:t>
                  </w:r>
                  <w:r>
                    <w:rPr>
                      <w:rFonts w:ascii="仿宋" w:hAnsi="仿宋" w:cs="仿宋" w:eastAsia="仿宋"/>
                      <w:sz w:val="21"/>
                    </w:rPr>
                    <w:t>（防抱死制动系统）</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▲其他配置</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车辆安装彩色显示屏，</w:t>
                  </w:r>
                  <w:r>
                    <w:rPr>
                      <w:rFonts w:ascii="仿宋" w:hAnsi="仿宋" w:cs="仿宋" w:eastAsia="仿宋"/>
                      <w:sz w:val="21"/>
                    </w:rPr>
                    <w:t>2.</w:t>
                  </w:r>
                  <w:r>
                    <w:rPr>
                      <w:rFonts w:ascii="仿宋" w:hAnsi="仿宋" w:cs="仿宋" w:eastAsia="仿宋"/>
                      <w:sz w:val="21"/>
                    </w:rPr>
                    <w:t>配有</w:t>
                  </w:r>
                  <w:r>
                    <w:rPr>
                      <w:rFonts w:ascii="仿宋" w:hAnsi="仿宋" w:cs="仿宋" w:eastAsia="仿宋"/>
                      <w:sz w:val="21"/>
                    </w:rPr>
                    <w:t>360</w:t>
                  </w:r>
                  <w:r>
                    <w:rPr>
                      <w:rFonts w:ascii="仿宋" w:hAnsi="仿宋" w:cs="仿宋" w:eastAsia="仿宋"/>
                      <w:sz w:val="21"/>
                    </w:rPr>
                    <w:t>°全影像、倒车雷达、倒车影像引导等功能；</w:t>
                  </w:r>
                  <w:r>
                    <w:rPr>
                      <w:rFonts w:ascii="仿宋" w:hAnsi="仿宋" w:cs="仿宋" w:eastAsia="仿宋"/>
                      <w:sz w:val="21"/>
                    </w:rPr>
                    <w:t>3.</w:t>
                  </w:r>
                  <w:r>
                    <w:rPr>
                      <w:rFonts w:ascii="仿宋" w:hAnsi="仿宋" w:cs="仿宋" w:eastAsia="仿宋"/>
                      <w:sz w:val="21"/>
                    </w:rPr>
                    <w:t>车辆配有行车记录仪，记录仪有不低于</w:t>
                  </w:r>
                  <w:r>
                    <w:rPr>
                      <w:rFonts w:ascii="仿宋" w:hAnsi="仿宋" w:cs="仿宋" w:eastAsia="仿宋"/>
                      <w:sz w:val="21"/>
                    </w:rPr>
                    <w:t>64G</w:t>
                  </w:r>
                  <w:r>
                    <w:rPr>
                      <w:rFonts w:ascii="仿宋" w:hAnsi="仿宋" w:cs="仿宋" w:eastAsia="仿宋"/>
                      <w:sz w:val="21"/>
                    </w:rPr>
                    <w:t>内存，记录卡录满后自行删除最早记录。</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车厢</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▲外形及材质</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一体式全封闭车厢，车厢骨架、围板采用优质不锈钢或铝合金材质，围板厚度不少于</w:t>
                  </w:r>
                  <w:r>
                    <w:rPr>
                      <w:rFonts w:ascii="仿宋" w:hAnsi="仿宋" w:cs="仿宋" w:eastAsia="仿宋"/>
                      <w:sz w:val="21"/>
                    </w:rPr>
                    <w:t>1.2mm</w:t>
                  </w:r>
                  <w:r>
                    <w:rPr>
                      <w:rFonts w:ascii="仿宋" w:hAnsi="仿宋" w:cs="仿宋" w:eastAsia="仿宋"/>
                      <w:sz w:val="21"/>
                    </w:rPr>
                    <w:t>；车厢具有隔音、降噪、防雨、防尘、防火、阻燃、防锈功能。车厢内饰环保吸音棉，具备隔音、降噪、防雨、防尘、防火、阻燃、防锈功能。防雨防尘型电动百叶窗，可开启和关闭</w:t>
                  </w:r>
                  <w:r>
                    <w:rPr>
                      <w:rFonts w:ascii="仿宋" w:hAnsi="仿宋" w:cs="仿宋" w:eastAsia="仿宋"/>
                      <w:sz w:val="21"/>
                    </w:rPr>
                    <w:t>;</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降噪效果</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车厢外</w:t>
                  </w:r>
                  <w:r>
                    <w:rPr>
                      <w:rFonts w:ascii="仿宋" w:hAnsi="仿宋" w:cs="仿宋" w:eastAsia="仿宋"/>
                      <w:sz w:val="21"/>
                    </w:rPr>
                    <w:t>1m</w:t>
                  </w:r>
                  <w:r>
                    <w:rPr>
                      <w:rFonts w:ascii="仿宋" w:hAnsi="仿宋" w:cs="仿宋" w:eastAsia="仿宋"/>
                      <w:sz w:val="21"/>
                    </w:rPr>
                    <w:t>噪音≤</w:t>
                  </w:r>
                  <w:r>
                    <w:rPr>
                      <w:rFonts w:ascii="仿宋" w:hAnsi="仿宋" w:cs="仿宋" w:eastAsia="仿宋"/>
                      <w:sz w:val="21"/>
                    </w:rPr>
                    <w:t>85dbA</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11</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线缆区域收纳形式</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具有单独电缆收放区域，确保快速收放线缆</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12</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▲电缆绞盘</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车上配置可收纳≥</w:t>
                  </w:r>
                  <w:r>
                    <w:rPr>
                      <w:rFonts w:ascii="仿宋" w:hAnsi="仿宋" w:cs="仿宋" w:eastAsia="仿宋"/>
                      <w:sz w:val="21"/>
                    </w:rPr>
                    <w:t>400</w:t>
                  </w:r>
                  <w:r>
                    <w:rPr>
                      <w:rFonts w:ascii="仿宋" w:hAnsi="仿宋" w:cs="仿宋" w:eastAsia="仿宋"/>
                      <w:sz w:val="21"/>
                    </w:rPr>
                    <w:t>米长度的电缆，安装在独立的绞盘机构上。</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13</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▲液压支撑系统</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配备自动液压支腿，车辆四角承重设计，具备一键开关功能和自动或手动调平功能。</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14</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▲休息室</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独立控制室，设有车载空调、提供满足至少</w:t>
                  </w:r>
                  <w:r>
                    <w:rPr>
                      <w:rFonts w:ascii="仿宋" w:hAnsi="仿宋" w:cs="仿宋" w:eastAsia="仿宋"/>
                      <w:sz w:val="21"/>
                    </w:rPr>
                    <w:t>1</w:t>
                  </w:r>
                  <w:r>
                    <w:rPr>
                      <w:rFonts w:ascii="仿宋" w:hAnsi="仿宋" w:cs="仿宋" w:eastAsia="仿宋"/>
                      <w:sz w:val="21"/>
                    </w:rPr>
                    <w:t>人的固定床铺。内壁装有机组控制柜，操作人员在操作间内即可进行机组的操作控制。</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15</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发电机组</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额定电压</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400V</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16</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★额定功率</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500KW</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17</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备用功率</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550KW</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18</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设计寿命（正常运行）</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10000h</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19</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发动机参数</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★环保排放标准</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非道路三阶段及以上</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20</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▲油箱油量满载持续时间</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8</w:t>
                  </w:r>
                  <w:r>
                    <w:rPr>
                      <w:rFonts w:ascii="仿宋" w:hAnsi="仿宋" w:cs="仿宋" w:eastAsia="仿宋"/>
                      <w:sz w:val="21"/>
                    </w:rPr>
                    <w:t>小时</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21</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▲发动机主用功率</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550KW</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22</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▲发动机备用功率</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600KW</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23</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发电机参数</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相数</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三相</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24</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功率因数</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0.8</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25</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绝缘等级</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H</w:t>
                  </w:r>
                  <w:r>
                    <w:rPr>
                      <w:rFonts w:ascii="仿宋" w:hAnsi="仿宋" w:cs="仿宋" w:eastAsia="仿宋"/>
                      <w:sz w:val="21"/>
                    </w:rPr>
                    <w:t>级</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26</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温度等级</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H</w:t>
                  </w:r>
                  <w:r>
                    <w:rPr>
                      <w:rFonts w:ascii="仿宋" w:hAnsi="仿宋" w:cs="仿宋" w:eastAsia="仿宋"/>
                      <w:sz w:val="21"/>
                    </w:rPr>
                    <w:t>级</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27</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防护等级</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IP23</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28</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▲励磁系统</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全铜无刷励磁系统</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29</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▲抗短路电流能力</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3</w:t>
                  </w:r>
                  <w:r>
                    <w:rPr>
                      <w:rFonts w:ascii="仿宋" w:hAnsi="仿宋" w:cs="仿宋" w:eastAsia="仿宋"/>
                      <w:sz w:val="21"/>
                    </w:rPr>
                    <w:t>倍额定电流，时长≥</w:t>
                  </w:r>
                  <w:r>
                    <w:rPr>
                      <w:rFonts w:ascii="仿宋" w:hAnsi="仿宋" w:cs="仿宋" w:eastAsia="仿宋"/>
                      <w:sz w:val="21"/>
                    </w:rPr>
                    <w:t>10</w:t>
                  </w:r>
                  <w:r>
                    <w:rPr>
                      <w:rFonts w:ascii="仿宋" w:hAnsi="仿宋" w:cs="仿宋" w:eastAsia="仿宋"/>
                      <w:sz w:val="21"/>
                    </w:rPr>
                    <w:t>秒</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30</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控制系统</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并机控制功能</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具备单机带负载、并机带负载功能，同时具有操作记录，故障记录等功能。</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31</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操作界面</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中文</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32</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其他配置</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电缆快插接头箱防护安全性</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防护等级≥</w:t>
                  </w:r>
                  <w:r>
                    <w:rPr>
                      <w:rFonts w:ascii="仿宋" w:hAnsi="仿宋" w:cs="仿宋" w:eastAsia="仿宋"/>
                      <w:sz w:val="21"/>
                    </w:rPr>
                    <w:t>IP67</w:t>
                  </w:r>
                  <w:r>
                    <w:rPr>
                      <w:rFonts w:ascii="仿宋" w:hAnsi="仿宋" w:cs="仿宋" w:eastAsia="仿宋"/>
                      <w:sz w:val="21"/>
                    </w:rPr>
                    <w:t>，电缆连接后关闭车门可实现全封闭作业。</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33</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接地线及其形式</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接地线缆长度≥</w:t>
                  </w:r>
                  <w:r>
                    <w:rPr>
                      <w:rFonts w:ascii="仿宋" w:hAnsi="仿宋" w:cs="仿宋" w:eastAsia="仿宋"/>
                      <w:sz w:val="21"/>
                    </w:rPr>
                    <w:t>10</w:t>
                  </w:r>
                  <w:r>
                    <w:rPr>
                      <w:rFonts w:ascii="仿宋" w:hAnsi="仿宋" w:cs="仿宋" w:eastAsia="仿宋"/>
                      <w:sz w:val="21"/>
                    </w:rPr>
                    <w:t>米，线径≥</w:t>
                  </w:r>
                  <w:r>
                    <w:rPr>
                      <w:rFonts w:ascii="仿宋" w:hAnsi="仿宋" w:cs="仿宋" w:eastAsia="仿宋"/>
                      <w:sz w:val="21"/>
                    </w:rPr>
                    <w:t>25mm2</w:t>
                  </w:r>
                  <w:r>
                    <w:rPr>
                      <w:rFonts w:ascii="仿宋" w:hAnsi="仿宋" w:cs="仿宋" w:eastAsia="仿宋"/>
                      <w:sz w:val="21"/>
                    </w:rPr>
                    <w:t>。并配备接地钢针，长度≥</w:t>
                  </w:r>
                  <w:r>
                    <w:rPr>
                      <w:rFonts w:ascii="仿宋" w:hAnsi="仿宋" w:cs="仿宋" w:eastAsia="仿宋"/>
                      <w:sz w:val="21"/>
                    </w:rPr>
                    <w:t>1m</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34</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燃油箱液位显示</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具备机械或电子显示功能</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35</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急停开关</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在车厢外部设置发电车急停开关，可对发电机进行紧急停止操作。</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36</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电缆</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电缆规格≥</w:t>
                  </w:r>
                  <w:r>
                    <w:rPr>
                      <w:rFonts w:ascii="仿宋" w:hAnsi="仿宋" w:cs="仿宋" w:eastAsia="仿宋"/>
                      <w:sz w:val="21"/>
                    </w:rPr>
                    <w:t>1</w:t>
                  </w:r>
                  <w:r>
                    <w:rPr>
                      <w:rFonts w:ascii="仿宋" w:hAnsi="仿宋" w:cs="仿宋" w:eastAsia="仿宋"/>
                      <w:sz w:val="21"/>
                    </w:rPr>
                    <w:t>×</w:t>
                  </w:r>
                  <w:r>
                    <w:rPr>
                      <w:rFonts w:ascii="仿宋" w:hAnsi="仿宋" w:cs="仿宋" w:eastAsia="仿宋"/>
                      <w:sz w:val="21"/>
                    </w:rPr>
                    <w:t>150mm</w:t>
                  </w:r>
                  <w:r>
                    <w:rPr>
                      <w:rFonts w:ascii="仿宋" w:hAnsi="仿宋" w:cs="仿宋" w:eastAsia="仿宋"/>
                      <w:sz w:val="21"/>
                      <w:vertAlign w:val="superscript"/>
                    </w:rPr>
                    <w:t>2</w:t>
                  </w:r>
                  <w:r>
                    <w:rPr>
                      <w:rFonts w:ascii="仿宋" w:hAnsi="仿宋" w:cs="仿宋" w:eastAsia="仿宋"/>
                      <w:sz w:val="21"/>
                    </w:rPr>
                    <w:t>的机车柔性电缆，</w:t>
                  </w:r>
                  <w:r>
                    <w:rPr>
                      <w:rFonts w:ascii="仿宋" w:hAnsi="仿宋" w:cs="仿宋" w:eastAsia="仿宋"/>
                      <w:sz w:val="21"/>
                    </w:rPr>
                    <w:t>50m/</w:t>
                  </w:r>
                  <w:r>
                    <w:rPr>
                      <w:rFonts w:ascii="仿宋" w:hAnsi="仿宋" w:cs="仿宋" w:eastAsia="仿宋"/>
                      <w:sz w:val="21"/>
                    </w:rPr>
                    <w:t>根，每相</w:t>
                  </w:r>
                  <w:r>
                    <w:rPr>
                      <w:rFonts w:ascii="仿宋" w:hAnsi="仿宋" w:cs="仿宋" w:eastAsia="仿宋"/>
                      <w:sz w:val="21"/>
                    </w:rPr>
                    <w:t>2</w:t>
                  </w:r>
                  <w:r>
                    <w:rPr>
                      <w:rFonts w:ascii="仿宋" w:hAnsi="仿宋" w:cs="仿宋" w:eastAsia="仿宋"/>
                      <w:sz w:val="21"/>
                    </w:rPr>
                    <w:t>根共</w:t>
                  </w:r>
                  <w:r>
                    <w:rPr>
                      <w:rFonts w:ascii="仿宋" w:hAnsi="仿宋" w:cs="仿宋" w:eastAsia="仿宋"/>
                      <w:sz w:val="21"/>
                    </w:rPr>
                    <w:t>8</w:t>
                  </w:r>
                  <w:r>
                    <w:rPr>
                      <w:rFonts w:ascii="仿宋" w:hAnsi="仿宋" w:cs="仿宋" w:eastAsia="仿宋"/>
                      <w:sz w:val="21"/>
                    </w:rPr>
                    <w:t>根，共</w:t>
                  </w:r>
                  <w:r>
                    <w:rPr>
                      <w:rFonts w:ascii="仿宋" w:hAnsi="仿宋" w:cs="仿宋" w:eastAsia="仿宋"/>
                      <w:sz w:val="21"/>
                    </w:rPr>
                    <w:t>400m</w:t>
                  </w:r>
                  <w:r>
                    <w:rPr>
                      <w:rFonts w:ascii="仿宋" w:hAnsi="仿宋" w:cs="仿宋" w:eastAsia="仿宋"/>
                      <w:sz w:val="21"/>
                    </w:rPr>
                    <w:t>，电缆一端为快插、一端为铜鼻子。另配</w:t>
                  </w:r>
                  <w:r>
                    <w:rPr>
                      <w:rFonts w:ascii="仿宋" w:hAnsi="仿宋" w:cs="仿宋" w:eastAsia="仿宋"/>
                      <w:sz w:val="21"/>
                    </w:rPr>
                    <w:t>20mYC-4*120+1*70</w:t>
                  </w:r>
                  <w:r>
                    <w:rPr>
                      <w:rFonts w:ascii="仿宋" w:hAnsi="仿宋" w:cs="仿宋" w:eastAsia="仿宋"/>
                      <w:sz w:val="21"/>
                    </w:rPr>
                    <w:t>电缆、电缆两头各接一只三项五孔</w:t>
                  </w:r>
                  <w:r>
                    <w:rPr>
                      <w:rFonts w:ascii="仿宋" w:hAnsi="仿宋" w:cs="仿宋" w:eastAsia="仿宋"/>
                      <w:sz w:val="21"/>
                    </w:rPr>
                    <w:t>5p400AIP67</w:t>
                  </w:r>
                  <w:r>
                    <w:rPr>
                      <w:rFonts w:ascii="仿宋" w:hAnsi="仿宋" w:cs="仿宋" w:eastAsia="仿宋"/>
                      <w:sz w:val="21"/>
                    </w:rPr>
                    <w:t>工业插头（共两只，插头型号应与本电源车所配置的工业电源插座型号一致）。</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37</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输出接口</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以下三种输出方式需全部具备：</w:t>
                  </w:r>
                  <w:r>
                    <w:rPr>
                      <w:rFonts w:ascii="仿宋" w:hAnsi="仿宋" w:cs="仿宋" w:eastAsia="仿宋"/>
                      <w:sz w:val="21"/>
                    </w:rPr>
                    <w:t>1.</w:t>
                  </w:r>
                  <w:r>
                    <w:rPr>
                      <w:rFonts w:ascii="仿宋" w:hAnsi="仿宋" w:cs="仿宋" w:eastAsia="仿宋"/>
                      <w:sz w:val="21"/>
                    </w:rPr>
                    <w:t>具备</w:t>
                  </w:r>
                  <w:r>
                    <w:rPr>
                      <w:rFonts w:ascii="仿宋" w:hAnsi="仿宋" w:cs="仿宋" w:eastAsia="仿宋"/>
                      <w:sz w:val="21"/>
                    </w:rPr>
                    <w:t>400A</w:t>
                  </w:r>
                  <w:r>
                    <w:rPr>
                      <w:rFonts w:ascii="仿宋" w:hAnsi="仿宋" w:cs="仿宋" w:eastAsia="仿宋"/>
                      <w:sz w:val="21"/>
                    </w:rPr>
                    <w:t>三相五孔一体式快速转换输出；</w:t>
                  </w:r>
                  <w:r>
                    <w:rPr>
                      <w:rFonts w:ascii="仿宋" w:hAnsi="仿宋" w:cs="仿宋" w:eastAsia="仿宋"/>
                      <w:sz w:val="21"/>
                    </w:rPr>
                    <w:t>2.</w:t>
                  </w:r>
                  <w:r>
                    <w:rPr>
                      <w:rFonts w:ascii="仿宋" w:hAnsi="仿宋" w:cs="仿宋" w:eastAsia="仿宋"/>
                      <w:sz w:val="21"/>
                    </w:rPr>
                    <w:t>组合式快速转换接头输出，三相</w:t>
                  </w:r>
                  <w:r>
                    <w:rPr>
                      <w:rFonts w:ascii="仿宋" w:hAnsi="仿宋" w:cs="仿宋" w:eastAsia="仿宋"/>
                      <w:sz w:val="21"/>
                    </w:rPr>
                    <w:t>4</w:t>
                  </w:r>
                  <w:r>
                    <w:rPr>
                      <w:rFonts w:ascii="仿宋" w:hAnsi="仿宋" w:cs="仿宋" w:eastAsia="仿宋"/>
                      <w:sz w:val="21"/>
                    </w:rPr>
                    <w:t>线输出，输出接口功率应满足发电机最大输出功率；</w:t>
                  </w:r>
                  <w:r>
                    <w:rPr>
                      <w:rFonts w:ascii="仿宋" w:hAnsi="仿宋" w:cs="仿宋" w:eastAsia="仿宋"/>
                      <w:sz w:val="21"/>
                    </w:rPr>
                    <w:t>3.</w:t>
                  </w:r>
                  <w:r>
                    <w:rPr>
                      <w:rFonts w:ascii="仿宋" w:hAnsi="仿宋" w:cs="仿宋" w:eastAsia="仿宋"/>
                      <w:sz w:val="21"/>
                    </w:rPr>
                    <w:t>铜牌接线端子输出形式，输出接口功率应满足发电机最大输出功率；</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38</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工具箱配置</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配有备品箱、工具箱，黄油和黄油枪等基础备品备件和活扳手、螺丝刀等全套设备、底盘维修所需常规工具。</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39</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防雷功能</w:t>
                  </w:r>
                </w:p>
              </w:tc>
              <w:tc>
                <w:tcPr>
                  <w:tcW w:type="dxa" w:w="21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电路供电设备应配备防雷模块，对输出电源具有防雷特性，保证雷雨天气时设备和人员的安全。</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标的名称：800KW电源车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28"/>
              <w:gridCol w:w="685"/>
              <w:gridCol w:w="971"/>
              <w:gridCol w:w="2056"/>
              <w:gridCol w:w="1257"/>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项目类型</w:t>
                  </w:r>
                </w:p>
              </w:tc>
              <w:tc>
                <w:tcPr>
                  <w:tcW w:type="dxa" w:w="9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20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1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车辆配置</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★车辆排放标准</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国</w:t>
                  </w:r>
                  <w:r>
                    <w:rPr>
                      <w:rFonts w:ascii="仿宋" w:hAnsi="仿宋" w:cs="仿宋" w:eastAsia="仿宋"/>
                      <w:sz w:val="21"/>
                    </w:rPr>
                    <w:t>VI</w:t>
                  </w:r>
                  <w:r>
                    <w:rPr>
                      <w:rFonts w:ascii="仿宋" w:hAnsi="仿宋" w:cs="仿宋" w:eastAsia="仿宋"/>
                      <w:sz w:val="21"/>
                    </w:rPr>
                    <w:t>或优于</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交货时须随货提供国家认可的第三方检验机构出具的检验报告</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燃油类型</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柴油</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整车尺寸（长</w:t>
                  </w:r>
                  <w:r>
                    <w:rPr>
                      <w:rFonts w:ascii="仿宋" w:hAnsi="仿宋" w:cs="仿宋" w:eastAsia="仿宋"/>
                      <w:sz w:val="21"/>
                    </w:rPr>
                    <w:t>*</w:t>
                  </w:r>
                  <w:r>
                    <w:rPr>
                      <w:rFonts w:ascii="仿宋" w:hAnsi="仿宋" w:cs="仿宋" w:eastAsia="仿宋"/>
                      <w:sz w:val="21"/>
                    </w:rPr>
                    <w:t>宽</w:t>
                  </w:r>
                  <w:r>
                    <w:rPr>
                      <w:rFonts w:ascii="仿宋" w:hAnsi="仿宋" w:cs="仿宋" w:eastAsia="仿宋"/>
                      <w:sz w:val="21"/>
                    </w:rPr>
                    <w:t>*</w:t>
                  </w:r>
                  <w:r>
                    <w:rPr>
                      <w:rFonts w:ascii="仿宋" w:hAnsi="仿宋" w:cs="仿宋" w:eastAsia="仿宋"/>
                      <w:sz w:val="21"/>
                    </w:rPr>
                    <w:t>高，</w:t>
                  </w:r>
                  <w:r>
                    <w:rPr>
                      <w:rFonts w:ascii="仿宋" w:hAnsi="仿宋" w:cs="仿宋" w:eastAsia="仿宋"/>
                      <w:sz w:val="21"/>
                    </w:rPr>
                    <w:t>mm</w:t>
                  </w:r>
                  <w:r>
                    <w:rPr>
                      <w:rFonts w:ascii="仿宋" w:hAnsi="仿宋" w:cs="仿宋" w:eastAsia="仿宋"/>
                      <w:sz w:val="21"/>
                    </w:rPr>
                    <w:t>）</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长≤</w:t>
                  </w:r>
                  <w:r>
                    <w:rPr>
                      <w:rFonts w:ascii="仿宋" w:hAnsi="仿宋" w:cs="仿宋" w:eastAsia="仿宋"/>
                      <w:sz w:val="21"/>
                    </w:rPr>
                    <w:t>12500mm</w:t>
                  </w:r>
                  <w:r>
                    <w:rPr>
                      <w:rFonts w:ascii="仿宋" w:hAnsi="仿宋" w:cs="仿宋" w:eastAsia="仿宋"/>
                      <w:sz w:val="21"/>
                    </w:rPr>
                    <w:t>，宽≤</w:t>
                  </w:r>
                  <w:r>
                    <w:rPr>
                      <w:rFonts w:ascii="仿宋" w:hAnsi="仿宋" w:cs="仿宋" w:eastAsia="仿宋"/>
                      <w:sz w:val="21"/>
                    </w:rPr>
                    <w:t>2550mm</w:t>
                  </w:r>
                  <w:r>
                    <w:rPr>
                      <w:rFonts w:ascii="仿宋" w:hAnsi="仿宋" w:cs="仿宋" w:eastAsia="仿宋"/>
                      <w:sz w:val="21"/>
                    </w:rPr>
                    <w:t>，高≤</w:t>
                  </w:r>
                  <w:r>
                    <w:rPr>
                      <w:rFonts w:ascii="仿宋" w:hAnsi="仿宋" w:cs="仿宋" w:eastAsia="仿宋"/>
                      <w:sz w:val="21"/>
                    </w:rPr>
                    <w:t>4000mm</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▲车辆发动机最大输出功率</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255KW</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汽车总质量</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28000kg</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整备质量</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22000kg</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安全配置</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ABS</w:t>
                  </w:r>
                  <w:r>
                    <w:rPr>
                      <w:rFonts w:ascii="仿宋" w:hAnsi="仿宋" w:cs="仿宋" w:eastAsia="仿宋"/>
                      <w:sz w:val="21"/>
                    </w:rPr>
                    <w:t>（防抱死制动系统）</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▲其他配置</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车辆安装彩色显示屏，</w:t>
                  </w:r>
                  <w:r>
                    <w:rPr>
                      <w:rFonts w:ascii="仿宋" w:hAnsi="仿宋" w:cs="仿宋" w:eastAsia="仿宋"/>
                      <w:sz w:val="21"/>
                    </w:rPr>
                    <w:t>2.</w:t>
                  </w:r>
                  <w:r>
                    <w:rPr>
                      <w:rFonts w:ascii="仿宋" w:hAnsi="仿宋" w:cs="仿宋" w:eastAsia="仿宋"/>
                      <w:sz w:val="21"/>
                    </w:rPr>
                    <w:t>配有</w:t>
                  </w:r>
                  <w:r>
                    <w:rPr>
                      <w:rFonts w:ascii="仿宋" w:hAnsi="仿宋" w:cs="仿宋" w:eastAsia="仿宋"/>
                      <w:sz w:val="21"/>
                    </w:rPr>
                    <w:t>360</w:t>
                  </w:r>
                  <w:r>
                    <w:rPr>
                      <w:rFonts w:ascii="仿宋" w:hAnsi="仿宋" w:cs="仿宋" w:eastAsia="仿宋"/>
                      <w:sz w:val="21"/>
                    </w:rPr>
                    <w:t>°全影像、倒车雷达、倒车影像引导等功能；</w:t>
                  </w:r>
                  <w:r>
                    <w:rPr>
                      <w:rFonts w:ascii="仿宋" w:hAnsi="仿宋" w:cs="仿宋" w:eastAsia="仿宋"/>
                      <w:sz w:val="21"/>
                    </w:rPr>
                    <w:t>3.</w:t>
                  </w:r>
                  <w:r>
                    <w:rPr>
                      <w:rFonts w:ascii="仿宋" w:hAnsi="仿宋" w:cs="仿宋" w:eastAsia="仿宋"/>
                      <w:sz w:val="21"/>
                    </w:rPr>
                    <w:t>车辆配有行车记录仪，记录仪有不低于</w:t>
                  </w:r>
                  <w:r>
                    <w:rPr>
                      <w:rFonts w:ascii="仿宋" w:hAnsi="仿宋" w:cs="仿宋" w:eastAsia="仿宋"/>
                      <w:sz w:val="21"/>
                    </w:rPr>
                    <w:t>64G</w:t>
                  </w:r>
                  <w:r>
                    <w:rPr>
                      <w:rFonts w:ascii="仿宋" w:hAnsi="仿宋" w:cs="仿宋" w:eastAsia="仿宋"/>
                      <w:sz w:val="21"/>
                    </w:rPr>
                    <w:t>内存，记录卡录满后自行删除最早记录。</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车厢</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▲外形及材质</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一体式全封闭车厢，车厢骨架、围板采用优质不锈钢或铝合金材质，围板厚度不少于</w:t>
                  </w:r>
                  <w:r>
                    <w:rPr>
                      <w:rFonts w:ascii="仿宋" w:hAnsi="仿宋" w:cs="仿宋" w:eastAsia="仿宋"/>
                      <w:sz w:val="21"/>
                    </w:rPr>
                    <w:t>1.2mm</w:t>
                  </w:r>
                  <w:r>
                    <w:rPr>
                      <w:rFonts w:ascii="仿宋" w:hAnsi="仿宋" w:cs="仿宋" w:eastAsia="仿宋"/>
                      <w:sz w:val="21"/>
                    </w:rPr>
                    <w:t>；车厢具有隔音、降噪、防雨、防尘、防火、阻燃、防锈功能。车厢内饰环保吸音棉，具备隔音、降噪、防雨、防尘、防火、阻燃、防锈功能。防雨防尘型电动百叶窗，可开启和关闭</w:t>
                  </w:r>
                  <w:r>
                    <w:rPr>
                      <w:rFonts w:ascii="仿宋" w:hAnsi="仿宋" w:cs="仿宋" w:eastAsia="仿宋"/>
                      <w:sz w:val="21"/>
                    </w:rPr>
                    <w:t>;</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降噪效果</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车厢外</w:t>
                  </w:r>
                  <w:r>
                    <w:rPr>
                      <w:rFonts w:ascii="仿宋" w:hAnsi="仿宋" w:cs="仿宋" w:eastAsia="仿宋"/>
                      <w:sz w:val="21"/>
                    </w:rPr>
                    <w:t>1m</w:t>
                  </w:r>
                  <w:r>
                    <w:rPr>
                      <w:rFonts w:ascii="仿宋" w:hAnsi="仿宋" w:cs="仿宋" w:eastAsia="仿宋"/>
                      <w:sz w:val="21"/>
                    </w:rPr>
                    <w:t>噪音≤</w:t>
                  </w:r>
                  <w:r>
                    <w:rPr>
                      <w:rFonts w:ascii="仿宋" w:hAnsi="仿宋" w:cs="仿宋" w:eastAsia="仿宋"/>
                      <w:sz w:val="21"/>
                    </w:rPr>
                    <w:t>85dbA</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11</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线缆区域收纳形式</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具有单独电缆收放区域，确保快速收放线缆</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12</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▲电缆绞盘</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车上配置可收纳≥</w:t>
                  </w:r>
                  <w:r>
                    <w:rPr>
                      <w:rFonts w:ascii="仿宋" w:hAnsi="仿宋" w:cs="仿宋" w:eastAsia="仿宋"/>
                      <w:sz w:val="21"/>
                    </w:rPr>
                    <w:t>600</w:t>
                  </w:r>
                  <w:r>
                    <w:rPr>
                      <w:rFonts w:ascii="仿宋" w:hAnsi="仿宋" w:cs="仿宋" w:eastAsia="仿宋"/>
                      <w:sz w:val="21"/>
                    </w:rPr>
                    <w:t>米长度的电缆，安装在独立的绞盘机构上。</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13</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▲液压支撑系统</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配备自动液压支腿，车辆四角承重设计，具备一键开关功能和自动或手动调平功能。</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14</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▲休息室</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独立控制室，设有车载空调、提供满足至少</w:t>
                  </w:r>
                  <w:r>
                    <w:rPr>
                      <w:rFonts w:ascii="仿宋" w:hAnsi="仿宋" w:cs="仿宋" w:eastAsia="仿宋"/>
                      <w:sz w:val="21"/>
                    </w:rPr>
                    <w:t>1</w:t>
                  </w:r>
                  <w:r>
                    <w:rPr>
                      <w:rFonts w:ascii="仿宋" w:hAnsi="仿宋" w:cs="仿宋" w:eastAsia="仿宋"/>
                      <w:sz w:val="21"/>
                    </w:rPr>
                    <w:t>人的固定床铺。内壁装有机组控制柜，操作人员在操作间内即可进行机组的操作控制。</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15</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发电机组</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额定电压</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400V</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16</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★额定功率</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800KW</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17</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备用功率</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880KW</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18</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设计寿命（正常运行）</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10000h</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19</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发动机参数</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★环保排放标准</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非道路三阶段及以上</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20</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▲油箱油量满载持续时间</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8</w:t>
                  </w:r>
                  <w:r>
                    <w:rPr>
                      <w:rFonts w:ascii="仿宋" w:hAnsi="仿宋" w:cs="仿宋" w:eastAsia="仿宋"/>
                      <w:sz w:val="21"/>
                    </w:rPr>
                    <w:t>小时</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21</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▲发动机主用功率</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880kw</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22</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▲发动机备用功率</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960KW</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23</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发电机参数</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相数</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三相</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24</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功率因数</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0.8</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25</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绝缘等级</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H</w:t>
                  </w:r>
                  <w:r>
                    <w:rPr>
                      <w:rFonts w:ascii="仿宋" w:hAnsi="仿宋" w:cs="仿宋" w:eastAsia="仿宋"/>
                      <w:sz w:val="21"/>
                    </w:rPr>
                    <w:t>级</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26</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温度等级</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H</w:t>
                  </w:r>
                  <w:r>
                    <w:rPr>
                      <w:rFonts w:ascii="仿宋" w:hAnsi="仿宋" w:cs="仿宋" w:eastAsia="仿宋"/>
                      <w:sz w:val="21"/>
                    </w:rPr>
                    <w:t>级</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27</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防护等级</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IP23</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28</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▲励磁系统</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全铜无刷励磁系统</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29</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▲抗短路电流能力</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3</w:t>
                  </w:r>
                  <w:r>
                    <w:rPr>
                      <w:rFonts w:ascii="仿宋" w:hAnsi="仿宋" w:cs="仿宋" w:eastAsia="仿宋"/>
                      <w:sz w:val="21"/>
                    </w:rPr>
                    <w:t>倍额定电流，时长≥</w:t>
                  </w:r>
                  <w:r>
                    <w:rPr>
                      <w:rFonts w:ascii="仿宋" w:hAnsi="仿宋" w:cs="仿宋" w:eastAsia="仿宋"/>
                      <w:sz w:val="21"/>
                    </w:rPr>
                    <w:t>10</w:t>
                  </w:r>
                  <w:r>
                    <w:rPr>
                      <w:rFonts w:ascii="仿宋" w:hAnsi="仿宋" w:cs="仿宋" w:eastAsia="仿宋"/>
                      <w:sz w:val="21"/>
                    </w:rPr>
                    <w:t>秒</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30</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控制系统</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并机控制功能</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具备单机带负载、并机带负载功能，同时具有操作记录，故障记录等功能。</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31</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操作界面</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中文</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32</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其他配置</w:t>
                  </w: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电缆快插接头箱防护安全性</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防护等级≥</w:t>
                  </w:r>
                  <w:r>
                    <w:rPr>
                      <w:rFonts w:ascii="仿宋" w:hAnsi="仿宋" w:cs="仿宋" w:eastAsia="仿宋"/>
                      <w:sz w:val="21"/>
                    </w:rPr>
                    <w:t>IP67</w:t>
                  </w:r>
                  <w:r>
                    <w:rPr>
                      <w:rFonts w:ascii="仿宋" w:hAnsi="仿宋" w:cs="仿宋" w:eastAsia="仿宋"/>
                      <w:sz w:val="21"/>
                    </w:rPr>
                    <w:t>，电缆连接后关闭车门可实现全封闭作业。</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33</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接地线及其形式</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接地线缆长度≥</w:t>
                  </w:r>
                  <w:r>
                    <w:rPr>
                      <w:rFonts w:ascii="仿宋" w:hAnsi="仿宋" w:cs="仿宋" w:eastAsia="仿宋"/>
                      <w:sz w:val="21"/>
                    </w:rPr>
                    <w:t>10</w:t>
                  </w:r>
                  <w:r>
                    <w:rPr>
                      <w:rFonts w:ascii="仿宋" w:hAnsi="仿宋" w:cs="仿宋" w:eastAsia="仿宋"/>
                      <w:sz w:val="21"/>
                    </w:rPr>
                    <w:t>米，线径≥</w:t>
                  </w:r>
                  <w:r>
                    <w:rPr>
                      <w:rFonts w:ascii="仿宋" w:hAnsi="仿宋" w:cs="仿宋" w:eastAsia="仿宋"/>
                      <w:sz w:val="21"/>
                    </w:rPr>
                    <w:t>25mm2</w:t>
                  </w:r>
                  <w:r>
                    <w:rPr>
                      <w:rFonts w:ascii="仿宋" w:hAnsi="仿宋" w:cs="仿宋" w:eastAsia="仿宋"/>
                      <w:sz w:val="21"/>
                    </w:rPr>
                    <w:t>。并配备接地钢针，长度≥</w:t>
                  </w:r>
                  <w:r>
                    <w:rPr>
                      <w:rFonts w:ascii="仿宋" w:hAnsi="仿宋" w:cs="仿宋" w:eastAsia="仿宋"/>
                      <w:sz w:val="21"/>
                    </w:rPr>
                    <w:t>1m</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34</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燃油箱液位显示</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具备机械或电子显示功能</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35</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急停开关</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36</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电缆</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电缆规格≥</w:t>
                  </w:r>
                  <w:r>
                    <w:rPr>
                      <w:rFonts w:ascii="仿宋" w:hAnsi="仿宋" w:cs="仿宋" w:eastAsia="仿宋"/>
                      <w:sz w:val="21"/>
                    </w:rPr>
                    <w:t>1</w:t>
                  </w:r>
                  <w:r>
                    <w:rPr>
                      <w:rFonts w:ascii="仿宋" w:hAnsi="仿宋" w:cs="仿宋" w:eastAsia="仿宋"/>
                      <w:sz w:val="21"/>
                    </w:rPr>
                    <w:t>×</w:t>
                  </w:r>
                  <w:r>
                    <w:rPr>
                      <w:rFonts w:ascii="仿宋" w:hAnsi="仿宋" w:cs="仿宋" w:eastAsia="仿宋"/>
                      <w:sz w:val="21"/>
                    </w:rPr>
                    <w:t>185mm2</w:t>
                  </w:r>
                  <w:r>
                    <w:rPr>
                      <w:rFonts w:ascii="仿宋" w:hAnsi="仿宋" w:cs="仿宋" w:eastAsia="仿宋"/>
                      <w:sz w:val="21"/>
                    </w:rPr>
                    <w:t>的柔性电缆，</w:t>
                  </w:r>
                  <w:r>
                    <w:rPr>
                      <w:rFonts w:ascii="仿宋" w:hAnsi="仿宋" w:cs="仿宋" w:eastAsia="仿宋"/>
                      <w:sz w:val="21"/>
                    </w:rPr>
                    <w:t>50m/</w:t>
                  </w:r>
                  <w:r>
                    <w:rPr>
                      <w:rFonts w:ascii="仿宋" w:hAnsi="仿宋" w:cs="仿宋" w:eastAsia="仿宋"/>
                      <w:sz w:val="21"/>
                    </w:rPr>
                    <w:t>根，每相</w:t>
                  </w:r>
                  <w:r>
                    <w:rPr>
                      <w:rFonts w:ascii="仿宋" w:hAnsi="仿宋" w:cs="仿宋" w:eastAsia="仿宋"/>
                      <w:sz w:val="21"/>
                    </w:rPr>
                    <w:t>3</w:t>
                  </w:r>
                  <w:r>
                    <w:rPr>
                      <w:rFonts w:ascii="仿宋" w:hAnsi="仿宋" w:cs="仿宋" w:eastAsia="仿宋"/>
                      <w:sz w:val="21"/>
                    </w:rPr>
                    <w:t>根共</w:t>
                  </w:r>
                  <w:r>
                    <w:rPr>
                      <w:rFonts w:ascii="仿宋" w:hAnsi="仿宋" w:cs="仿宋" w:eastAsia="仿宋"/>
                      <w:sz w:val="21"/>
                    </w:rPr>
                    <w:t>12</w:t>
                  </w:r>
                  <w:r>
                    <w:rPr>
                      <w:rFonts w:ascii="仿宋" w:hAnsi="仿宋" w:cs="仿宋" w:eastAsia="仿宋"/>
                      <w:sz w:val="21"/>
                    </w:rPr>
                    <w:t>根，共</w:t>
                  </w:r>
                  <w:r>
                    <w:rPr>
                      <w:rFonts w:ascii="仿宋" w:hAnsi="仿宋" w:cs="仿宋" w:eastAsia="仿宋"/>
                      <w:sz w:val="21"/>
                    </w:rPr>
                    <w:t>600m</w:t>
                  </w:r>
                  <w:r>
                    <w:rPr>
                      <w:rFonts w:ascii="仿宋" w:hAnsi="仿宋" w:cs="仿宋" w:eastAsia="仿宋"/>
                      <w:sz w:val="21"/>
                    </w:rPr>
                    <w:t>，电缆一端为快插、一端为铜鼻子。另配</w:t>
                  </w:r>
                  <w:r>
                    <w:rPr>
                      <w:rFonts w:ascii="仿宋" w:hAnsi="仿宋" w:cs="仿宋" w:eastAsia="仿宋"/>
                      <w:sz w:val="21"/>
                    </w:rPr>
                    <w:t>20mYC-4*120+1*70</w:t>
                  </w:r>
                  <w:r>
                    <w:rPr>
                      <w:rFonts w:ascii="仿宋" w:hAnsi="仿宋" w:cs="仿宋" w:eastAsia="仿宋"/>
                      <w:sz w:val="21"/>
                    </w:rPr>
                    <w:t>电缆、电缆两头各接一只三项五孔</w:t>
                  </w:r>
                  <w:r>
                    <w:rPr>
                      <w:rFonts w:ascii="仿宋" w:hAnsi="仿宋" w:cs="仿宋" w:eastAsia="仿宋"/>
                      <w:sz w:val="21"/>
                    </w:rPr>
                    <w:t>5p400AIP67</w:t>
                  </w:r>
                  <w:r>
                    <w:rPr>
                      <w:rFonts w:ascii="仿宋" w:hAnsi="仿宋" w:cs="仿宋" w:eastAsia="仿宋"/>
                      <w:sz w:val="21"/>
                    </w:rPr>
                    <w:t>工业插头（共两只，插头型号应与本电源车所配置的工业电源插座型号一致）。</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37</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输出接口</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以下三种输出方式需全部具备：</w:t>
                  </w:r>
                  <w:r>
                    <w:rPr>
                      <w:rFonts w:ascii="仿宋" w:hAnsi="仿宋" w:cs="仿宋" w:eastAsia="仿宋"/>
                      <w:sz w:val="21"/>
                    </w:rPr>
                    <w:t>1.</w:t>
                  </w:r>
                  <w:r>
                    <w:rPr>
                      <w:rFonts w:ascii="仿宋" w:hAnsi="仿宋" w:cs="仿宋" w:eastAsia="仿宋"/>
                      <w:sz w:val="21"/>
                    </w:rPr>
                    <w:t>具备</w:t>
                  </w:r>
                  <w:r>
                    <w:rPr>
                      <w:rFonts w:ascii="仿宋" w:hAnsi="仿宋" w:cs="仿宋" w:eastAsia="仿宋"/>
                      <w:sz w:val="21"/>
                    </w:rPr>
                    <w:t>400A</w:t>
                  </w:r>
                  <w:r>
                    <w:rPr>
                      <w:rFonts w:ascii="仿宋" w:hAnsi="仿宋" w:cs="仿宋" w:eastAsia="仿宋"/>
                      <w:sz w:val="21"/>
                    </w:rPr>
                    <w:t>三相五孔一体式快速转换输出；</w:t>
                  </w:r>
                  <w:r>
                    <w:rPr>
                      <w:rFonts w:ascii="仿宋" w:hAnsi="仿宋" w:cs="仿宋" w:eastAsia="仿宋"/>
                      <w:sz w:val="21"/>
                    </w:rPr>
                    <w:t>2.</w:t>
                  </w:r>
                  <w:r>
                    <w:rPr>
                      <w:rFonts w:ascii="仿宋" w:hAnsi="仿宋" w:cs="仿宋" w:eastAsia="仿宋"/>
                      <w:sz w:val="21"/>
                    </w:rPr>
                    <w:t>组合式快速转换接头输出，三相</w:t>
                  </w:r>
                  <w:r>
                    <w:rPr>
                      <w:rFonts w:ascii="仿宋" w:hAnsi="仿宋" w:cs="仿宋" w:eastAsia="仿宋"/>
                      <w:sz w:val="21"/>
                    </w:rPr>
                    <w:t>4</w:t>
                  </w:r>
                  <w:r>
                    <w:rPr>
                      <w:rFonts w:ascii="仿宋" w:hAnsi="仿宋" w:cs="仿宋" w:eastAsia="仿宋"/>
                      <w:sz w:val="21"/>
                    </w:rPr>
                    <w:t>线输出，输出接口功率应满足发电机最大输出功率；</w:t>
                  </w:r>
                  <w:r>
                    <w:rPr>
                      <w:rFonts w:ascii="仿宋" w:hAnsi="仿宋" w:cs="仿宋" w:eastAsia="仿宋"/>
                      <w:sz w:val="21"/>
                    </w:rPr>
                    <w:t>3.</w:t>
                  </w:r>
                  <w:r>
                    <w:rPr>
                      <w:rFonts w:ascii="仿宋" w:hAnsi="仿宋" w:cs="仿宋" w:eastAsia="仿宋"/>
                      <w:sz w:val="21"/>
                    </w:rPr>
                    <w:t>铜牌接线端子输出形式，输出接口功率应满足发电机最大输出功率；</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38</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工具箱配置</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配有备品箱、工具箱，随车配备传动轴、黄油和黄油枪等基础备品备件和活扳手、螺丝刀等全套设备、底盘维修所需常规工具。</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39</w:t>
                  </w:r>
                </w:p>
              </w:tc>
              <w:tc>
                <w:tcPr>
                  <w:tcW w:type="dxa" w:w="685"/>
                  <w:vMerge/>
                  <w:tcBorders>
                    <w:top w:val="none" w:color="000000" w:sz="4"/>
                    <w:left w:val="none" w:color="000000" w:sz="4"/>
                    <w:bottom w:val="single" w:color="000000" w:sz="4"/>
                    <w:right w:val="single" w:color="000000" w:sz="4"/>
                  </w:tcBorders>
                </w:tcPr>
                <w:p/>
              </w:tc>
              <w:tc>
                <w:tcPr>
                  <w:tcW w:type="dxa" w:w="9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防雷功能</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电路供电设备应配备防雷模块，对输出电源具有防雷特性，保证雷雨天气时设备和人员的安全。</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标的名称：载货汽车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62"/>
              <w:gridCol w:w="693"/>
              <w:gridCol w:w="1154"/>
              <w:gridCol w:w="1731"/>
              <w:gridCol w:w="1558"/>
            </w:tblGrid>
            <w:tr>
              <w:tc>
                <w:tcPr>
                  <w:tcW w:type="dxa" w:w="4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6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项目类型</w:t>
                  </w:r>
                </w:p>
              </w:tc>
              <w:tc>
                <w:tcPr>
                  <w:tcW w:type="dxa" w:w="11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17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15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1</w:t>
                  </w:r>
                </w:p>
              </w:tc>
              <w:tc>
                <w:tcPr>
                  <w:tcW w:type="dxa" w:w="69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车辆配置</w:t>
                  </w: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★车辆排放标准</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国</w:t>
                  </w:r>
                  <w:r>
                    <w:rPr>
                      <w:rFonts w:ascii="仿宋" w:hAnsi="仿宋" w:cs="仿宋" w:eastAsia="仿宋"/>
                      <w:sz w:val="21"/>
                    </w:rPr>
                    <w:t>VI</w:t>
                  </w:r>
                  <w:r>
                    <w:rPr>
                      <w:rFonts w:ascii="仿宋" w:hAnsi="仿宋" w:cs="仿宋" w:eastAsia="仿宋"/>
                      <w:sz w:val="21"/>
                    </w:rPr>
                    <w:t>或优于</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投标人提供工信部公告参数页截图作为佐证材料</w:t>
                  </w: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2</w:t>
                  </w:r>
                </w:p>
              </w:tc>
              <w:tc>
                <w:tcPr>
                  <w:tcW w:type="dxa" w:w="693"/>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燃油类型</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柴油</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3</w:t>
                  </w:r>
                </w:p>
              </w:tc>
              <w:tc>
                <w:tcPr>
                  <w:tcW w:type="dxa" w:w="693"/>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★排量</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7.5L</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4</w:t>
                  </w:r>
                </w:p>
              </w:tc>
              <w:tc>
                <w:tcPr>
                  <w:tcW w:type="dxa" w:w="693"/>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★驱动形式</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w:t>
                  </w:r>
                  <w:r>
                    <w:rPr>
                      <w:rFonts w:ascii="仿宋" w:hAnsi="仿宋" w:cs="仿宋" w:eastAsia="仿宋"/>
                      <w:sz w:val="21"/>
                    </w:rPr>
                    <w:t>×</w:t>
                  </w:r>
                  <w:r>
                    <w:rPr>
                      <w:rFonts w:ascii="仿宋" w:hAnsi="仿宋" w:cs="仿宋" w:eastAsia="仿宋"/>
                      <w:sz w:val="21"/>
                    </w:rPr>
                    <w:t>4</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5</w:t>
                  </w:r>
                </w:p>
              </w:tc>
              <w:tc>
                <w:tcPr>
                  <w:tcW w:type="dxa" w:w="693"/>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▲额定载重</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18</w:t>
                  </w:r>
                  <w:r>
                    <w:rPr>
                      <w:rFonts w:ascii="仿宋" w:hAnsi="仿宋" w:cs="仿宋" w:eastAsia="仿宋"/>
                      <w:sz w:val="21"/>
                    </w:rPr>
                    <w:t>吨</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6</w:t>
                  </w:r>
                </w:p>
              </w:tc>
              <w:tc>
                <w:tcPr>
                  <w:tcW w:type="dxa" w:w="693"/>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栏板内部尺寸</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长、宽、高分别不小于</w:t>
                  </w:r>
                  <w:r>
                    <w:rPr>
                      <w:rFonts w:ascii="仿宋" w:hAnsi="仿宋" w:cs="仿宋" w:eastAsia="仿宋"/>
                      <w:sz w:val="21"/>
                    </w:rPr>
                    <w:t>9500mm</w:t>
                  </w:r>
                  <w:r>
                    <w:rPr>
                      <w:rFonts w:ascii="仿宋" w:hAnsi="仿宋" w:cs="仿宋" w:eastAsia="仿宋"/>
                      <w:sz w:val="21"/>
                    </w:rPr>
                    <w:t>、</w:t>
                  </w:r>
                  <w:r>
                    <w:rPr>
                      <w:rFonts w:ascii="仿宋" w:hAnsi="仿宋" w:cs="仿宋" w:eastAsia="仿宋"/>
                      <w:sz w:val="21"/>
                    </w:rPr>
                    <w:t>2400mm</w:t>
                  </w:r>
                  <w:r>
                    <w:rPr>
                      <w:rFonts w:ascii="仿宋" w:hAnsi="仿宋" w:cs="仿宋" w:eastAsia="仿宋"/>
                      <w:sz w:val="21"/>
                    </w:rPr>
                    <w:t>、</w:t>
                  </w:r>
                  <w:r>
                    <w:rPr>
                      <w:rFonts w:ascii="仿宋" w:hAnsi="仿宋" w:cs="仿宋" w:eastAsia="仿宋"/>
                      <w:sz w:val="21"/>
                    </w:rPr>
                    <w:t>600mm</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7</w:t>
                  </w:r>
                </w:p>
              </w:tc>
              <w:tc>
                <w:tcPr>
                  <w:tcW w:type="dxa" w:w="693"/>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★货箱形式</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仓栅式</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8</w:t>
                  </w:r>
                </w:p>
              </w:tc>
              <w:tc>
                <w:tcPr>
                  <w:tcW w:type="dxa" w:w="693"/>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车辆油箱容积</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300L</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9</w:t>
                  </w:r>
                </w:p>
              </w:tc>
              <w:tc>
                <w:tcPr>
                  <w:tcW w:type="dxa" w:w="693"/>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★发动机最大输出功率</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235KW</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10</w:t>
                  </w:r>
                </w:p>
              </w:tc>
              <w:tc>
                <w:tcPr>
                  <w:tcW w:type="dxa" w:w="693"/>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驾驶室座位排数</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排半</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11</w:t>
                  </w:r>
                </w:p>
              </w:tc>
              <w:tc>
                <w:tcPr>
                  <w:tcW w:type="dxa" w:w="693"/>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驾驶室主驾座椅</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气囊减震座椅</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12</w:t>
                  </w:r>
                </w:p>
              </w:tc>
              <w:tc>
                <w:tcPr>
                  <w:tcW w:type="dxa" w:w="693"/>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安全配置</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ABS</w:t>
                  </w:r>
                  <w:r>
                    <w:rPr>
                      <w:rFonts w:ascii="仿宋" w:hAnsi="仿宋" w:cs="仿宋" w:eastAsia="仿宋"/>
                      <w:sz w:val="21"/>
                    </w:rPr>
                    <w:t>（自动紧急刹车系统）；差速锁结构。</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calibri, sans-serif" w:hAnsi="calibri, sans-serif" w:cs="calibri, sans-serif" w:eastAsia="calibri, sans-serif"/>
                      <w:sz w:val="20"/>
                    </w:rPr>
                    <w:t>13</w:t>
                  </w:r>
                </w:p>
              </w:tc>
              <w:tc>
                <w:tcPr>
                  <w:tcW w:type="dxa" w:w="693"/>
                  <w:vMerge/>
                  <w:tcBorders>
                    <w:top w:val="none" w:color="000000" w:sz="4"/>
                    <w:left w:val="none" w:color="000000" w:sz="4"/>
                    <w:bottom w:val="single" w:color="000000" w:sz="4"/>
                    <w:right w:val="single" w:color="000000" w:sz="4"/>
                  </w:tcBorders>
                </w:tcPr>
                <w:p/>
              </w:tc>
              <w:tc>
                <w:tcPr>
                  <w:tcW w:type="dxa" w:w="11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▲其他配置</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配有</w:t>
                  </w:r>
                  <w:r>
                    <w:rPr>
                      <w:rFonts w:ascii="仿宋" w:hAnsi="仿宋" w:cs="仿宋" w:eastAsia="仿宋"/>
                      <w:sz w:val="21"/>
                    </w:rPr>
                    <w:t>360</w:t>
                  </w:r>
                  <w:r>
                    <w:rPr>
                      <w:rFonts w:ascii="仿宋" w:hAnsi="仿宋" w:cs="仿宋" w:eastAsia="仿宋"/>
                      <w:sz w:val="21"/>
                    </w:rPr>
                    <w:t>°全影像、倒车雷达、倒车影像引导等功能；</w:t>
                  </w:r>
                  <w:r>
                    <w:rPr>
                      <w:rFonts w:ascii="仿宋" w:hAnsi="仿宋" w:cs="仿宋" w:eastAsia="仿宋"/>
                      <w:sz w:val="21"/>
                    </w:rPr>
                    <w:t>2.</w:t>
                  </w:r>
                  <w:r>
                    <w:rPr>
                      <w:rFonts w:ascii="仿宋" w:hAnsi="仿宋" w:cs="仿宋" w:eastAsia="仿宋"/>
                      <w:sz w:val="21"/>
                    </w:rPr>
                    <w:t>车辆配有行车记录仪，记录仪有不低于</w:t>
                  </w:r>
                  <w:r>
                    <w:rPr>
                      <w:rFonts w:ascii="仿宋" w:hAnsi="仿宋" w:cs="仿宋" w:eastAsia="仿宋"/>
                      <w:sz w:val="21"/>
                    </w:rPr>
                    <w:t>64G</w:t>
                  </w:r>
                  <w:r>
                    <w:rPr>
                      <w:rFonts w:ascii="仿宋" w:hAnsi="仿宋" w:cs="仿宋" w:eastAsia="仿宋"/>
                      <w:sz w:val="21"/>
                    </w:rPr>
                    <w:t>内存，记录卡录满后自行删除最早记录；</w:t>
                  </w:r>
                </w:p>
              </w:tc>
              <w:tc>
                <w:tcPr>
                  <w:tcW w:type="dxa" w:w="15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标的名称：随车起重运输车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09"/>
              <w:gridCol w:w="706"/>
              <w:gridCol w:w="2579"/>
              <w:gridCol w:w="1494"/>
              <w:gridCol w:w="410"/>
            </w:tblGrid>
            <w:tr>
              <w:tc>
                <w:tcPr>
                  <w:tcW w:type="dxa" w:w="4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7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项目类型</w:t>
                  </w:r>
                </w:p>
              </w:tc>
              <w:tc>
                <w:tcPr>
                  <w:tcW w:type="dxa" w:w="2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14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p>
              </w:tc>
              <w:tc>
                <w:tcPr>
                  <w:tcW w:type="dxa" w:w="7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整车参数</w:t>
                  </w: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发动机功率</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65kw</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外形尺寸（长</w:t>
                  </w:r>
                  <w:r>
                    <w:rPr>
                      <w:rFonts w:ascii="仿宋" w:hAnsi="仿宋" w:cs="仿宋" w:eastAsia="仿宋"/>
                      <w:sz w:val="21"/>
                    </w:rPr>
                    <w:t>*宽*高）</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≥9000*2550*3600mm</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货厢尺寸（长</w:t>
                  </w:r>
                  <w:r>
                    <w:rPr>
                      <w:rFonts w:ascii="仿宋" w:hAnsi="仿宋" w:cs="仿宋" w:eastAsia="仿宋"/>
                      <w:sz w:val="21"/>
                    </w:rPr>
                    <w:t>*宽*高）</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≥5500*2450*550mm</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总质量</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≥18000kg</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整备质量</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≥11500kg</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额定载质量</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≥630</w:t>
                  </w:r>
                  <w:r>
                    <w:rPr>
                      <w:rFonts w:ascii="仿宋" w:hAnsi="仿宋" w:cs="仿宋" w:eastAsia="仿宋"/>
                      <w:sz w:val="21"/>
                    </w:rPr>
                    <w:t>0kg</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燃油类型、排放标准</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柴油，国</w:t>
                  </w:r>
                  <w:r>
                    <w:rPr>
                      <w:rFonts w:ascii="仿宋" w:hAnsi="仿宋" w:cs="仿宋" w:eastAsia="仿宋"/>
                      <w:sz w:val="21"/>
                    </w:rPr>
                    <w:t>VI或优于</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w:t>
                  </w:r>
                </w:p>
              </w:tc>
              <w:tc>
                <w:tcPr>
                  <w:tcW w:type="dxa" w:w="70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起重系统</w:t>
                  </w:r>
                </w:p>
                <w:p>
                  <w:pPr>
                    <w:pStyle w:val="null3"/>
                    <w:jc w:val="left"/>
                  </w:p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吊臂形式</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折臂式</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b/>
                      <w:sz w:val="21"/>
                    </w:rPr>
                    <w:t>★</w:t>
                  </w:r>
                  <w:r>
                    <w:rPr>
                      <w:rFonts w:ascii="仿宋" w:hAnsi="仿宋" w:cs="仿宋" w:eastAsia="仿宋"/>
                      <w:sz w:val="21"/>
                    </w:rPr>
                    <w:t>最大起重质量</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≥8000kg</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b/>
                      <w:sz w:val="21"/>
                    </w:rPr>
                    <w:t>★</w:t>
                  </w:r>
                  <w:r>
                    <w:rPr>
                      <w:rFonts w:ascii="仿宋" w:hAnsi="仿宋" w:cs="仿宋" w:eastAsia="仿宋"/>
                      <w:sz w:val="21"/>
                    </w:rPr>
                    <w:t>额定起重力矩</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≥16.</w:t>
                  </w:r>
                  <w:r>
                    <w:rPr>
                      <w:rFonts w:ascii="仿宋" w:hAnsi="仿宋" w:cs="仿宋" w:eastAsia="仿宋"/>
                      <w:sz w:val="21"/>
                    </w:rPr>
                    <w:t>0</w:t>
                  </w:r>
                  <w:r>
                    <w:rPr>
                      <w:rFonts w:ascii="仿宋" w:hAnsi="仿宋" w:cs="仿宋" w:eastAsia="仿宋"/>
                      <w:sz w:val="21"/>
                    </w:rPr>
                    <w:t>T·m</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1</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最大起升高度（以支腿全伸地面为基准）</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≥15</w:t>
                  </w:r>
                  <w:r>
                    <w:rPr>
                      <w:rFonts w:ascii="仿宋" w:hAnsi="仿宋" w:cs="仿宋" w:eastAsia="仿宋"/>
                      <w:sz w:val="21"/>
                    </w:rPr>
                    <w:t>m</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2</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起重臂</w:t>
                  </w:r>
                  <w:r>
                    <w:rPr>
                      <w:rFonts w:ascii="仿宋" w:hAnsi="仿宋" w:cs="仿宋" w:eastAsia="仿宋"/>
                      <w:sz w:val="21"/>
                    </w:rPr>
                    <w:t>工作半径</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≥12</w:t>
                  </w:r>
                  <w:r>
                    <w:rPr>
                      <w:rFonts w:ascii="仿宋" w:hAnsi="仿宋" w:cs="仿宋" w:eastAsia="仿宋"/>
                      <w:sz w:val="21"/>
                    </w:rPr>
                    <w:t>m</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3</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起重臂全伸臂长</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≥12m</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4</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起重臂节数</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5</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变幅角度范围</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0~75°</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6</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b/>
                      <w:sz w:val="21"/>
                    </w:rPr>
                    <w:t>★</w:t>
                  </w:r>
                  <w:r>
                    <w:rPr>
                      <w:rFonts w:ascii="仿宋" w:hAnsi="仿宋" w:cs="仿宋" w:eastAsia="仿宋"/>
                      <w:sz w:val="21"/>
                    </w:rPr>
                    <w:t>回转角度</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360°</w:t>
                  </w:r>
                  <w:r>
                    <w:rPr>
                      <w:rFonts w:ascii="仿宋" w:hAnsi="仿宋" w:cs="仿宋" w:eastAsia="仿宋"/>
                      <w:sz w:val="21"/>
                    </w:rPr>
                    <w:t>全回转</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7</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回转机构</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蜗轮蜗杆液压马达回转</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8</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变幅机构</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连杆设计</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19</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支腿全伸跨距</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≥5.6m</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20</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支腿形式</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半包加油缸支腿</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21</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液压系统</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配置高压过滤器</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22</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系统流量</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≥40L/min</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23</w:t>
                  </w:r>
                </w:p>
              </w:tc>
              <w:tc>
                <w:tcPr>
                  <w:tcW w:type="dxa" w:w="706"/>
                  <w:vMerge/>
                  <w:tcBorders>
                    <w:top w:val="none" w:color="000000" w:sz="4"/>
                    <w:left w:val="single" w:color="000000" w:sz="4"/>
                    <w:bottom w:val="single" w:color="000000" w:sz="4"/>
                    <w:right w:val="single" w:color="000000" w:sz="4"/>
                  </w:tcBorders>
                </w:tcPr>
                <w:p/>
              </w:tc>
              <w:tc>
                <w:tcPr>
                  <w:tcW w:type="dxa" w:w="2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系统额定压力</w:t>
                  </w:r>
                </w:p>
              </w:tc>
              <w:tc>
                <w:tcPr>
                  <w:tcW w:type="dxa" w:w="14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≥28Mpa</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采购包4：</w:t>
      </w:r>
    </w:p>
    <w:p>
      <w:pPr>
        <w:pStyle w:val="null3"/>
        <w:jc w:val="left"/>
      </w:pPr>
      <w:r>
        <w:rPr/>
        <w:t>标的名称：通信指挥车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28"/>
              <w:gridCol w:w="743"/>
              <w:gridCol w:w="743"/>
              <w:gridCol w:w="2913"/>
              <w:gridCol w:w="571"/>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项目类型</w:t>
                  </w:r>
                </w:p>
              </w:tc>
              <w:tc>
                <w:tcPr>
                  <w:tcW w:type="dxa" w:w="7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w:t>
                  </w:r>
                </w:p>
                <w:p>
                  <w:pPr>
                    <w:pStyle w:val="null3"/>
                    <w:jc w:val="left"/>
                  </w:pPr>
                  <w:r>
                    <w:rPr>
                      <w:rFonts w:ascii="仿宋" w:hAnsi="仿宋" w:cs="仿宋" w:eastAsia="仿宋"/>
                      <w:sz w:val="21"/>
                    </w:rPr>
                    <w:t>名称</w:t>
                  </w:r>
                </w:p>
              </w:tc>
              <w:tc>
                <w:tcPr>
                  <w:tcW w:type="dxa" w:w="29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p>
              </w:tc>
              <w:tc>
                <w:tcPr>
                  <w:tcW w:type="dxa" w:w="148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★总体要求</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通过对客车进行改装，具备信息采集与处理、定位、卫星通信、调度指挥、视频会议等功能。</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底盘及车辆配套</w:t>
                  </w: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▲车辆配置</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外形尺寸≥</w:t>
                  </w:r>
                  <w:r>
                    <w:rPr>
                      <w:rFonts w:ascii="仿宋" w:hAnsi="仿宋" w:cs="仿宋" w:eastAsia="仿宋"/>
                      <w:sz w:val="21"/>
                    </w:rPr>
                    <w:t>7000mm*2000mm*2700mm</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配置</w:t>
                  </w:r>
                  <w:r>
                    <w:rPr>
                      <w:rFonts w:ascii="仿宋" w:hAnsi="仿宋" w:cs="仿宋" w:eastAsia="仿宋"/>
                      <w:sz w:val="21"/>
                    </w:rPr>
                    <w:t>ABS</w:t>
                  </w:r>
                  <w:r>
                    <w:rPr>
                      <w:rFonts w:ascii="仿宋" w:hAnsi="仿宋" w:cs="仿宋" w:eastAsia="仿宋"/>
                      <w:sz w:val="21"/>
                    </w:rPr>
                    <w:t>防抱死系统、车身稳定系统</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配备倒车影像</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r>
                    <w:rPr>
                      <w:rFonts w:ascii="仿宋" w:hAnsi="仿宋" w:cs="仿宋" w:eastAsia="仿宋"/>
                      <w:sz w:val="21"/>
                    </w:rPr>
                    <w:t>排量：≥</w:t>
                  </w:r>
                  <w:r>
                    <w:rPr>
                      <w:rFonts w:ascii="仿宋" w:hAnsi="仿宋" w:cs="仿宋" w:eastAsia="仿宋"/>
                      <w:sz w:val="21"/>
                    </w:rPr>
                    <w:t>3.0L</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★排放标准</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满足国家现行标准，并在交付时必须满足上牌要求</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车顶平台</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铝合金骨架铺花纹铝板，车顶仿形，带防护栏。</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登顶爬梯</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不锈钢材质、防滑</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登车梯</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不锈钢材质、防滑</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会议桌</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采用实木材质，厚度≥</w:t>
                  </w:r>
                  <w:r>
                    <w:rPr>
                      <w:rFonts w:ascii="仿宋" w:hAnsi="仿宋" w:cs="仿宋" w:eastAsia="仿宋"/>
                      <w:sz w:val="21"/>
                    </w:rPr>
                    <w:t>2cm</w:t>
                  </w:r>
                  <w:r>
                    <w:rPr>
                      <w:rFonts w:ascii="仿宋" w:hAnsi="仿宋" w:cs="仿宋" w:eastAsia="仿宋"/>
                      <w:sz w:val="21"/>
                    </w:rPr>
                    <w:t>，边角做防碰撞处理，颜色与整车内饰协调，会议桌尺寸为：长≥</w:t>
                  </w:r>
                  <w:r>
                    <w:rPr>
                      <w:rFonts w:ascii="仿宋" w:hAnsi="仿宋" w:cs="仿宋" w:eastAsia="仿宋"/>
                      <w:sz w:val="21"/>
                    </w:rPr>
                    <w:t>1700mm</w:t>
                  </w:r>
                  <w:r>
                    <w:rPr>
                      <w:rFonts w:ascii="仿宋" w:hAnsi="仿宋" w:cs="仿宋" w:eastAsia="仿宋"/>
                      <w:sz w:val="21"/>
                    </w:rPr>
                    <w:t>、宽≥</w:t>
                  </w:r>
                  <w:r>
                    <w:rPr>
                      <w:rFonts w:ascii="仿宋" w:hAnsi="仿宋" w:cs="仿宋" w:eastAsia="仿宋"/>
                      <w:sz w:val="21"/>
                    </w:rPr>
                    <w:t>500mm</w:t>
                  </w:r>
                  <w:r>
                    <w:rPr>
                      <w:rFonts w:ascii="仿宋" w:hAnsi="仿宋" w:cs="仿宋" w:eastAsia="仿宋"/>
                      <w:sz w:val="21"/>
                    </w:rPr>
                    <w:t>、高≥</w:t>
                  </w:r>
                  <w:r>
                    <w:rPr>
                      <w:rFonts w:ascii="仿宋" w:hAnsi="仿宋" w:cs="仿宋" w:eastAsia="仿宋"/>
                      <w:sz w:val="21"/>
                    </w:rPr>
                    <w:t>650mm</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张</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11</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会议座椅</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可</w:t>
                  </w:r>
                  <w:r>
                    <w:rPr>
                      <w:rFonts w:ascii="仿宋" w:hAnsi="仿宋" w:cs="仿宋" w:eastAsia="仿宋"/>
                      <w:sz w:val="21"/>
                    </w:rPr>
                    <w:t>360</w:t>
                  </w:r>
                  <w:r>
                    <w:rPr>
                      <w:rFonts w:ascii="仿宋" w:hAnsi="仿宋" w:cs="仿宋" w:eastAsia="仿宋"/>
                      <w:sz w:val="21"/>
                    </w:rPr>
                    <w:t>度旋转，内部填充物采用环保记忆棉，座椅可前后左右调节，靠背和扶手可调</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把</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12</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长排沙发</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放置于会议桌两侧，可容纳至少</w:t>
                  </w:r>
                  <w:r>
                    <w:rPr>
                      <w:rFonts w:ascii="仿宋" w:hAnsi="仿宋" w:cs="仿宋" w:eastAsia="仿宋"/>
                      <w:sz w:val="21"/>
                    </w:rPr>
                    <w:t>6</w:t>
                  </w:r>
                  <w:r>
                    <w:rPr>
                      <w:rFonts w:ascii="仿宋" w:hAnsi="仿宋" w:cs="仿宋" w:eastAsia="仿宋"/>
                      <w:sz w:val="21"/>
                    </w:rPr>
                    <w:t>人</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张</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13</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行车记录仪</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录像视频、图片分辨率应≥</w:t>
                  </w:r>
                  <w:r>
                    <w:rPr>
                      <w:rFonts w:ascii="仿宋" w:hAnsi="仿宋" w:cs="仿宋" w:eastAsia="仿宋"/>
                      <w:sz w:val="21"/>
                    </w:rPr>
                    <w:t>1920</w:t>
                  </w:r>
                  <w:r>
                    <w:rPr>
                      <w:rFonts w:ascii="仿宋" w:hAnsi="仿宋" w:cs="仿宋" w:eastAsia="仿宋"/>
                      <w:sz w:val="21"/>
                    </w:rPr>
                    <w:t>×</w:t>
                  </w:r>
                  <w:r>
                    <w:rPr>
                      <w:rFonts w:ascii="仿宋" w:hAnsi="仿宋" w:cs="仿宋" w:eastAsia="仿宋"/>
                      <w:sz w:val="21"/>
                    </w:rPr>
                    <w:t>1080</w:t>
                  </w:r>
                  <w:r>
                    <w:rPr>
                      <w:rFonts w:ascii="仿宋" w:hAnsi="仿宋" w:cs="仿宋" w:eastAsia="仿宋"/>
                      <w:sz w:val="21"/>
                    </w:rPr>
                    <w:t>像素点</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14</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记录仪有内存≥</w:t>
                  </w:r>
                  <w:r>
                    <w:rPr>
                      <w:rFonts w:ascii="仿宋" w:hAnsi="仿宋" w:cs="仿宋" w:eastAsia="仿宋"/>
                      <w:sz w:val="21"/>
                    </w:rPr>
                    <w:t>64g</w:t>
                  </w:r>
                  <w:r>
                    <w:rPr>
                      <w:rFonts w:ascii="仿宋" w:hAnsi="仿宋" w:cs="仿宋" w:eastAsia="仿宋"/>
                      <w:sz w:val="21"/>
                    </w:rPr>
                    <w:t>，记录卡录满后自行删除最早记录</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15</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设备机柜</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标准≥</w:t>
                  </w:r>
                  <w:r>
                    <w:rPr>
                      <w:rFonts w:ascii="仿宋" w:hAnsi="仿宋" w:cs="仿宋" w:eastAsia="仿宋"/>
                      <w:sz w:val="21"/>
                    </w:rPr>
                    <w:t>19</w:t>
                  </w:r>
                  <w:r>
                    <w:rPr>
                      <w:rFonts w:ascii="仿宋" w:hAnsi="仿宋" w:cs="仿宋" w:eastAsia="仿宋"/>
                      <w:sz w:val="21"/>
                    </w:rPr>
                    <w:t>英寸机柜，表面喷塑处理，颜色需与内饰协调。并根据需求配备托盘、托架、盲板，以及线缆绑扎固定机构；根据车辆底盘性能和上装设备的情况设计减震系统，以确保设备满足在各种恶劣路况的应用需求</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组</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16</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限高预警系统</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摄像头</w:t>
                  </w:r>
                  <w:r>
                    <w:rPr>
                      <w:rFonts w:ascii="仿宋" w:hAnsi="仿宋" w:cs="仿宋" w:eastAsia="仿宋"/>
                      <w:sz w:val="21"/>
                    </w:rPr>
                    <w:t>:</w:t>
                  </w:r>
                  <w:r>
                    <w:rPr>
                      <w:rFonts w:ascii="仿宋" w:hAnsi="仿宋" w:cs="仿宋" w:eastAsia="仿宋"/>
                      <w:sz w:val="21"/>
                    </w:rPr>
                    <w:t>分辨率≥</w:t>
                  </w:r>
                  <w:r>
                    <w:rPr>
                      <w:rFonts w:ascii="仿宋" w:hAnsi="仿宋" w:cs="仿宋" w:eastAsia="仿宋"/>
                      <w:sz w:val="21"/>
                    </w:rPr>
                    <w:t>1280</w:t>
                  </w:r>
                  <w:r>
                    <w:rPr>
                      <w:rFonts w:ascii="仿宋" w:hAnsi="仿宋" w:cs="仿宋" w:eastAsia="仿宋"/>
                      <w:sz w:val="21"/>
                    </w:rPr>
                    <w:t>×</w:t>
                  </w:r>
                  <w:r>
                    <w:rPr>
                      <w:rFonts w:ascii="仿宋" w:hAnsi="仿宋" w:cs="仿宋" w:eastAsia="仿宋"/>
                      <w:sz w:val="21"/>
                    </w:rPr>
                    <w:t>720</w:t>
                  </w:r>
                  <w:r>
                    <w:rPr>
                      <w:rFonts w:ascii="仿宋" w:hAnsi="仿宋" w:cs="仿宋" w:eastAsia="仿宋"/>
                      <w:sz w:val="21"/>
                    </w:rPr>
                    <w:t>、聚焦范围≥</w:t>
                  </w:r>
                  <w:r>
                    <w:rPr>
                      <w:rFonts w:ascii="仿宋" w:hAnsi="仿宋" w:cs="仿宋" w:eastAsia="仿宋"/>
                      <w:sz w:val="21"/>
                    </w:rPr>
                    <w:t>8mm</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17</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障碍物识别能力：相机识别最远距离</w:t>
                  </w:r>
                  <w:r>
                    <w:rPr>
                      <w:rFonts w:ascii="仿宋" w:hAnsi="仿宋" w:cs="仿宋" w:eastAsia="仿宋"/>
                      <w:sz w:val="21"/>
                    </w:rPr>
                    <w:t>60m(</w:t>
                  </w:r>
                  <w:r>
                    <w:rPr>
                      <w:rFonts w:ascii="仿宋" w:hAnsi="仿宋" w:cs="仿宋" w:eastAsia="仿宋"/>
                      <w:sz w:val="21"/>
                    </w:rPr>
                    <w:t>系统设定上限值</w:t>
                  </w:r>
                  <w:r>
                    <w:rPr>
                      <w:rFonts w:ascii="仿宋" w:hAnsi="仿宋" w:cs="仿宋" w:eastAsia="仿宋"/>
                      <w:sz w:val="21"/>
                    </w:rPr>
                    <w:t>)</w:t>
                  </w:r>
                  <w:r>
                    <w:rPr>
                      <w:rFonts w:ascii="仿宋" w:hAnsi="仿宋" w:cs="仿宋" w:eastAsia="仿宋"/>
                      <w:sz w:val="21"/>
                    </w:rPr>
                    <w:t>、相机识别最近距离</w:t>
                  </w:r>
                  <w:r>
                    <w:rPr>
                      <w:rFonts w:ascii="仿宋" w:hAnsi="仿宋" w:cs="仿宋" w:eastAsia="仿宋"/>
                      <w:sz w:val="21"/>
                    </w:rPr>
                    <w:t>3m</w:t>
                  </w:r>
                  <w:r>
                    <w:rPr>
                      <w:rFonts w:ascii="仿宋" w:hAnsi="仿宋" w:cs="仿宋" w:eastAsia="仿宋"/>
                      <w:sz w:val="21"/>
                    </w:rPr>
                    <w:t>，识别最远距离的最小物体直径垂直范围：≥</w:t>
                  </w:r>
                  <w:r>
                    <w:rPr>
                      <w:rFonts w:ascii="仿宋" w:hAnsi="仿宋" w:cs="仿宋" w:eastAsia="仿宋"/>
                      <w:sz w:val="21"/>
                    </w:rPr>
                    <w:t>1.6m</w:t>
                  </w:r>
                  <w:r>
                    <w:rPr>
                      <w:rFonts w:ascii="仿宋" w:hAnsi="仿宋" w:cs="仿宋" w:eastAsia="仿宋"/>
                      <w:sz w:val="21"/>
                    </w:rPr>
                    <w:t>、水平范围：</w:t>
                  </w:r>
                  <w:r>
                    <w:rPr>
                      <w:rFonts w:ascii="仿宋" w:hAnsi="仿宋" w:cs="仿宋" w:eastAsia="仿宋"/>
                      <w:sz w:val="21"/>
                    </w:rPr>
                    <w:t>0.1</w:t>
                  </w:r>
                  <w:r>
                    <w:rPr>
                      <w:rFonts w:ascii="仿宋" w:hAnsi="仿宋" w:cs="仿宋" w:eastAsia="仿宋"/>
                      <w:sz w:val="21"/>
                    </w:rPr>
                    <w:t>至</w:t>
                  </w:r>
                  <w:r>
                    <w:rPr>
                      <w:rFonts w:ascii="仿宋" w:hAnsi="仿宋" w:cs="仿宋" w:eastAsia="仿宋"/>
                      <w:sz w:val="21"/>
                    </w:rPr>
                    <w:t>0.7m</w:t>
                  </w:r>
                  <w:r>
                    <w:rPr>
                      <w:rFonts w:ascii="仿宋" w:hAnsi="仿宋" w:cs="仿宋" w:eastAsia="仿宋"/>
                      <w:sz w:val="21"/>
                    </w:rPr>
                    <w:t>，识别最近距离的最大物体直径无上限。</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18</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识别类型：限高杆、天桥、桥洞入口、电线、隧道口等。</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19</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内饰</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整体色调保持暖色调</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20</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地面铺设地胶，厚度≥</w:t>
                  </w:r>
                  <w:r>
                    <w:rPr>
                      <w:rFonts w:ascii="仿宋" w:hAnsi="仿宋" w:cs="仿宋" w:eastAsia="仿宋"/>
                      <w:sz w:val="21"/>
                    </w:rPr>
                    <w:t>2.5mm</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21</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车内照明</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采用</w:t>
                  </w:r>
                  <w:r>
                    <w:rPr>
                      <w:rFonts w:ascii="仿宋" w:hAnsi="仿宋" w:cs="仿宋" w:eastAsia="仿宋"/>
                      <w:sz w:val="21"/>
                    </w:rPr>
                    <w:t>LED</w:t>
                  </w:r>
                  <w:r>
                    <w:rPr>
                      <w:rFonts w:ascii="仿宋" w:hAnsi="仿宋" w:cs="仿宋" w:eastAsia="仿宋"/>
                      <w:sz w:val="21"/>
                    </w:rPr>
                    <w:t>照明，照度和色温符合室内视频会议光照要求。</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22</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窗帘</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覆盖车辆侧面玻璃</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23</w:t>
                  </w:r>
                </w:p>
              </w:tc>
              <w:tc>
                <w:tcPr>
                  <w:tcW w:type="dxa" w:w="743"/>
                  <w:vMerge/>
                  <w:tcBorders>
                    <w:top w:val="none" w:color="000000" w:sz="4"/>
                    <w:left w:val="none" w:color="000000" w:sz="4"/>
                    <w:bottom w:val="single" w:color="000000" w:sz="4"/>
                    <w:right w:val="single" w:color="000000" w:sz="4"/>
                  </w:tcBorders>
                </w:tcP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布线原则</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预埋和安装车内外的各种型号的优质直流、交流供电电缆，音视频屏蔽电缆，超</w:t>
                  </w:r>
                  <w:r>
                    <w:rPr>
                      <w:rFonts w:ascii="仿宋" w:hAnsi="仿宋" w:cs="仿宋" w:eastAsia="仿宋"/>
                      <w:sz w:val="21"/>
                    </w:rPr>
                    <w:t>6</w:t>
                  </w:r>
                  <w:r>
                    <w:rPr>
                      <w:rFonts w:ascii="仿宋" w:hAnsi="仿宋" w:cs="仿宋" w:eastAsia="仿宋"/>
                      <w:sz w:val="21"/>
                    </w:rPr>
                    <w:t>类网络、电话线缆、射频线缆等各类线缆。</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24</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分类布线，强弱电分开；信号、控制、电源分开布设，防止互相干扰；</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25</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线管保护，整车线缆具有线槽（管）保护；</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26</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r>
                    <w:rPr>
                      <w:rFonts w:ascii="仿宋" w:hAnsi="仿宋" w:cs="仿宋" w:eastAsia="仿宋"/>
                      <w:sz w:val="21"/>
                    </w:rPr>
                    <w:t>标识清晰，布线布局合理、捆扎整齐，走线标识齐全；</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27</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r>
                    <w:rPr>
                      <w:rFonts w:ascii="仿宋" w:hAnsi="仿宋" w:cs="仿宋" w:eastAsia="仿宋"/>
                      <w:sz w:val="21"/>
                    </w:rPr>
                    <w:t>车外按照隐蔽、防晒、防雨、密封的原则布线。</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28</w:t>
                  </w: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通信传输系统</w:t>
                  </w: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▲卫星天线</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动中通，用于收发卫星信号</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29</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工作频段：发射</w:t>
                  </w:r>
                  <w:r>
                    <w:rPr>
                      <w:rFonts w:ascii="仿宋" w:hAnsi="仿宋" w:cs="仿宋" w:eastAsia="仿宋"/>
                      <w:sz w:val="21"/>
                    </w:rPr>
                    <w:t>12.75</w:t>
                  </w:r>
                  <w:r>
                    <w:rPr>
                      <w:rFonts w:ascii="仿宋" w:hAnsi="仿宋" w:cs="仿宋" w:eastAsia="仿宋"/>
                      <w:sz w:val="21"/>
                    </w:rPr>
                    <w:t>～</w:t>
                  </w:r>
                  <w:r>
                    <w:rPr>
                      <w:rFonts w:ascii="仿宋" w:hAnsi="仿宋" w:cs="仿宋" w:eastAsia="仿宋"/>
                      <w:sz w:val="21"/>
                    </w:rPr>
                    <w:t>14.50GHz</w:t>
                  </w:r>
                  <w:r>
                    <w:rPr>
                      <w:rFonts w:ascii="仿宋" w:hAnsi="仿宋" w:cs="仿宋" w:eastAsia="仿宋"/>
                      <w:sz w:val="21"/>
                    </w:rPr>
                    <w:t>，接收</w:t>
                  </w:r>
                  <w:r>
                    <w:rPr>
                      <w:rFonts w:ascii="仿宋" w:hAnsi="仿宋" w:cs="仿宋" w:eastAsia="仿宋"/>
                      <w:sz w:val="21"/>
                    </w:rPr>
                    <w:t>10.70</w:t>
                  </w:r>
                  <w:r>
                    <w:rPr>
                      <w:rFonts w:ascii="仿宋" w:hAnsi="仿宋" w:cs="仿宋" w:eastAsia="仿宋"/>
                      <w:sz w:val="21"/>
                    </w:rPr>
                    <w:t>～</w:t>
                  </w:r>
                  <w:r>
                    <w:rPr>
                      <w:rFonts w:ascii="仿宋" w:hAnsi="仿宋" w:cs="仿宋" w:eastAsia="仿宋"/>
                      <w:sz w:val="21"/>
                    </w:rPr>
                    <w:t>12.75GHz</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30</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天线增益：发射增益≥</w:t>
                  </w:r>
                  <w:r>
                    <w:rPr>
                      <w:rFonts w:ascii="仿宋" w:hAnsi="仿宋" w:cs="仿宋" w:eastAsia="仿宋"/>
                      <w:sz w:val="21"/>
                    </w:rPr>
                    <w:t>38dBi</w:t>
                  </w:r>
                  <w:r>
                    <w:rPr>
                      <w:rFonts w:ascii="仿宋" w:hAnsi="仿宋" w:cs="仿宋" w:eastAsia="仿宋"/>
                      <w:sz w:val="21"/>
                    </w:rPr>
                    <w:t>、接收增益≥</w:t>
                  </w:r>
                  <w:r>
                    <w:rPr>
                      <w:rFonts w:ascii="仿宋" w:hAnsi="仿宋" w:cs="仿宋" w:eastAsia="仿宋"/>
                      <w:sz w:val="21"/>
                    </w:rPr>
                    <w:t>37dBi</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31</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r>
                    <w:rPr>
                      <w:rFonts w:ascii="仿宋" w:hAnsi="仿宋" w:cs="仿宋" w:eastAsia="仿宋"/>
                      <w:sz w:val="21"/>
                    </w:rPr>
                    <w:t>极化方式：至少支持线极化，交叉极化隔离度≥</w:t>
                  </w:r>
                  <w:r>
                    <w:rPr>
                      <w:rFonts w:ascii="仿宋" w:hAnsi="仿宋" w:cs="仿宋" w:eastAsia="仿宋"/>
                      <w:sz w:val="21"/>
                    </w:rPr>
                    <w:t>30dB</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32</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r>
                    <w:rPr>
                      <w:rFonts w:ascii="仿宋" w:hAnsi="仿宋" w:cs="仿宋" w:eastAsia="仿宋"/>
                      <w:sz w:val="21"/>
                    </w:rPr>
                    <w:t>天线运动范围：方位角满足</w:t>
                  </w:r>
                  <w:r>
                    <w:rPr>
                      <w:rFonts w:ascii="仿宋" w:hAnsi="仿宋" w:cs="仿宋" w:eastAsia="仿宋"/>
                      <w:sz w:val="21"/>
                    </w:rPr>
                    <w:t>0</w:t>
                  </w:r>
                  <w:r>
                    <w:rPr>
                      <w:rFonts w:ascii="仿宋" w:hAnsi="仿宋" w:cs="仿宋" w:eastAsia="仿宋"/>
                      <w:sz w:val="21"/>
                    </w:rPr>
                    <w:t>～</w:t>
                  </w:r>
                  <w:r>
                    <w:rPr>
                      <w:rFonts w:ascii="仿宋" w:hAnsi="仿宋" w:cs="仿宋" w:eastAsia="仿宋"/>
                      <w:sz w:val="21"/>
                    </w:rPr>
                    <w:t>360</w:t>
                  </w:r>
                  <w:r>
                    <w:rPr>
                      <w:rFonts w:ascii="仿宋" w:hAnsi="仿宋" w:cs="仿宋" w:eastAsia="仿宋"/>
                      <w:sz w:val="21"/>
                    </w:rPr>
                    <w:t>°连续，俯仰角不小于</w:t>
                  </w:r>
                  <w:r>
                    <w:rPr>
                      <w:rFonts w:ascii="仿宋" w:hAnsi="仿宋" w:cs="仿宋" w:eastAsia="仿宋"/>
                      <w:sz w:val="21"/>
                    </w:rPr>
                    <w:t>10</w:t>
                  </w:r>
                  <w:r>
                    <w:rPr>
                      <w:rFonts w:ascii="仿宋" w:hAnsi="仿宋" w:cs="仿宋" w:eastAsia="仿宋"/>
                      <w:sz w:val="21"/>
                    </w:rPr>
                    <w:t>°～</w:t>
                  </w:r>
                  <w:r>
                    <w:rPr>
                      <w:rFonts w:ascii="仿宋" w:hAnsi="仿宋" w:cs="仿宋" w:eastAsia="仿宋"/>
                      <w:sz w:val="21"/>
                    </w:rPr>
                    <w:t>75</w:t>
                  </w:r>
                  <w:r>
                    <w:rPr>
                      <w:rFonts w:ascii="仿宋" w:hAnsi="仿宋" w:cs="仿宋" w:eastAsia="仿宋"/>
                      <w:sz w:val="21"/>
                    </w:rPr>
                    <w:t>°范围；</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33</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w:t>
                  </w:r>
                  <w:r>
                    <w:rPr>
                      <w:rFonts w:ascii="仿宋" w:hAnsi="仿宋" w:cs="仿宋" w:eastAsia="仿宋"/>
                      <w:sz w:val="21"/>
                    </w:rPr>
                    <w:t>具备自动寻星功能；</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34</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w:t>
                  </w:r>
                  <w:r>
                    <w:rPr>
                      <w:rFonts w:ascii="仿宋" w:hAnsi="仿宋" w:cs="仿宋" w:eastAsia="仿宋"/>
                      <w:sz w:val="21"/>
                    </w:rPr>
                    <w:t>初始锁星时间：≤</w:t>
                  </w:r>
                  <w:r>
                    <w:rPr>
                      <w:rFonts w:ascii="仿宋" w:hAnsi="仿宋" w:cs="仿宋" w:eastAsia="仿宋"/>
                      <w:sz w:val="21"/>
                    </w:rPr>
                    <w:t>120s</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35</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w:t>
                  </w:r>
                  <w:r>
                    <w:rPr>
                      <w:rFonts w:ascii="仿宋" w:hAnsi="仿宋" w:cs="仿宋" w:eastAsia="仿宋"/>
                      <w:sz w:val="21"/>
                    </w:rPr>
                    <w:t>跟踪精度：≤</w:t>
                  </w:r>
                  <w:r>
                    <w:rPr>
                      <w:rFonts w:ascii="仿宋" w:hAnsi="仿宋" w:cs="仿宋" w:eastAsia="仿宋"/>
                      <w:sz w:val="21"/>
                    </w:rPr>
                    <w:t>0.3</w:t>
                  </w:r>
                  <w:r>
                    <w:rPr>
                      <w:rFonts w:ascii="仿宋" w:hAnsi="仿宋" w:cs="仿宋" w:eastAsia="仿宋"/>
                      <w:sz w:val="21"/>
                    </w:rPr>
                    <w:t>°（</w:t>
                  </w:r>
                  <w:r>
                    <w:rPr>
                      <w:rFonts w:ascii="仿宋" w:hAnsi="仿宋" w:cs="仿宋" w:eastAsia="仿宋"/>
                      <w:sz w:val="21"/>
                    </w:rPr>
                    <w:t>RMS</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36</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w:t>
                  </w:r>
                  <w:r>
                    <w:rPr>
                      <w:rFonts w:ascii="仿宋" w:hAnsi="仿宋" w:cs="仿宋" w:eastAsia="仿宋"/>
                      <w:sz w:val="21"/>
                    </w:rPr>
                    <w:t>环境温度</w:t>
                  </w:r>
                  <w:r>
                    <w:rPr>
                      <w:rFonts w:ascii="仿宋" w:hAnsi="仿宋" w:cs="仿宋" w:eastAsia="仿宋"/>
                      <w:sz w:val="21"/>
                    </w:rPr>
                    <w:t>:</w:t>
                  </w:r>
                  <w:r>
                    <w:rPr>
                      <w:rFonts w:ascii="仿宋" w:hAnsi="仿宋" w:cs="仿宋" w:eastAsia="仿宋"/>
                      <w:sz w:val="21"/>
                    </w:rPr>
                    <w:t>不小于</w:t>
                  </w:r>
                  <w:r>
                    <w:rPr>
                      <w:rFonts w:ascii="仿宋" w:hAnsi="仿宋" w:cs="仿宋" w:eastAsia="仿宋"/>
                      <w:sz w:val="21"/>
                    </w:rPr>
                    <w:t>-25</w:t>
                  </w:r>
                  <w:r>
                    <w:rPr>
                      <w:rFonts w:ascii="仿宋" w:hAnsi="仿宋" w:cs="仿宋" w:eastAsia="仿宋"/>
                      <w:sz w:val="21"/>
                    </w:rPr>
                    <w:t>℃～</w:t>
                  </w:r>
                  <w:r>
                    <w:rPr>
                      <w:rFonts w:ascii="仿宋" w:hAnsi="仿宋" w:cs="仿宋" w:eastAsia="仿宋"/>
                      <w:sz w:val="21"/>
                    </w:rPr>
                    <w:t>+45</w:t>
                  </w:r>
                  <w:r>
                    <w:rPr>
                      <w:rFonts w:ascii="仿宋" w:hAnsi="仿宋" w:cs="仿宋" w:eastAsia="仿宋"/>
                      <w:sz w:val="21"/>
                    </w:rPr>
                    <w:t>℃范围。</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37</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10.LNB</w:t>
                  </w:r>
                  <w:r>
                    <w:rPr>
                      <w:rFonts w:ascii="仿宋" w:hAnsi="仿宋" w:cs="仿宋" w:eastAsia="仿宋"/>
                      <w:sz w:val="21"/>
                    </w:rPr>
                    <w:t>与</w:t>
                  </w:r>
                  <w:r>
                    <w:rPr>
                      <w:rFonts w:ascii="仿宋" w:hAnsi="仿宋" w:cs="仿宋" w:eastAsia="仿宋"/>
                      <w:sz w:val="21"/>
                    </w:rPr>
                    <w:t>BUC</w:t>
                  </w:r>
                  <w:r>
                    <w:rPr>
                      <w:rFonts w:ascii="仿宋" w:hAnsi="仿宋" w:cs="仿宋" w:eastAsia="仿宋"/>
                      <w:sz w:val="21"/>
                    </w:rPr>
                    <w:t>内置于动中通设备；</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38</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11.</w:t>
                  </w:r>
                  <w:r>
                    <w:rPr>
                      <w:rFonts w:ascii="仿宋" w:hAnsi="仿宋" w:cs="仿宋" w:eastAsia="仿宋"/>
                      <w:sz w:val="21"/>
                    </w:rPr>
                    <w:t>防护等级不低于</w:t>
                  </w:r>
                  <w:r>
                    <w:rPr>
                      <w:rFonts w:ascii="仿宋" w:hAnsi="仿宋" w:cs="仿宋" w:eastAsia="仿宋"/>
                      <w:sz w:val="21"/>
                    </w:rPr>
                    <w:t>IP65</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39</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12.</w:t>
                  </w:r>
                  <w:r>
                    <w:rPr>
                      <w:rFonts w:ascii="仿宋" w:hAnsi="仿宋" w:cs="仿宋" w:eastAsia="仿宋"/>
                      <w:sz w:val="21"/>
                    </w:rPr>
                    <w:t>接口：至少支持网络和直流供电</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40</w:t>
                  </w:r>
                </w:p>
              </w:tc>
              <w:tc>
                <w:tcPr>
                  <w:tcW w:type="dxa" w:w="743"/>
                  <w:vMerge/>
                  <w:tcBorders>
                    <w:top w:val="none" w:color="000000" w:sz="4"/>
                    <w:left w:val="none" w:color="000000" w:sz="4"/>
                    <w:bottom w:val="single" w:color="000000" w:sz="4"/>
                    <w:right w:val="single" w:color="000000" w:sz="4"/>
                  </w:tcBorders>
                </w:tcP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卫星调制调解器</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网络拓扑：</w:t>
                  </w:r>
                  <w:r>
                    <w:rPr>
                      <w:rFonts w:ascii="仿宋" w:hAnsi="仿宋" w:cs="仿宋" w:eastAsia="仿宋"/>
                      <w:sz w:val="21"/>
                    </w:rPr>
                    <w:t>DVB-S2X/ACM</w:t>
                  </w:r>
                  <w:r>
                    <w:rPr>
                      <w:rFonts w:ascii="仿宋" w:hAnsi="仿宋" w:cs="仿宋" w:eastAsia="仿宋"/>
                      <w:sz w:val="21"/>
                    </w:rPr>
                    <w:t>、</w:t>
                  </w:r>
                  <w:r>
                    <w:rPr>
                      <w:rFonts w:ascii="仿宋" w:hAnsi="仿宋" w:cs="仿宋" w:eastAsia="仿宋"/>
                      <w:sz w:val="21"/>
                    </w:rPr>
                    <w:t>DVB-S2/ACM</w:t>
                  </w:r>
                  <w:r>
                    <w:rPr>
                      <w:rFonts w:ascii="仿宋" w:hAnsi="仿宋" w:cs="仿宋" w:eastAsia="仿宋"/>
                      <w:sz w:val="21"/>
                    </w:rPr>
                    <w:t>；自适应</w:t>
                  </w:r>
                  <w:r>
                    <w:rPr>
                      <w:rFonts w:ascii="仿宋" w:hAnsi="仿宋" w:cs="仿宋" w:eastAsia="仿宋"/>
                      <w:sz w:val="21"/>
                    </w:rPr>
                    <w:t>TDMA</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41</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数据接口：至少支持</w:t>
                  </w:r>
                  <w:r>
                    <w:rPr>
                      <w:rFonts w:ascii="仿宋" w:hAnsi="仿宋" w:cs="仿宋" w:eastAsia="仿宋"/>
                      <w:sz w:val="21"/>
                    </w:rPr>
                    <w:t>RJ45</w:t>
                  </w:r>
                  <w:r>
                    <w:rPr>
                      <w:rFonts w:ascii="仿宋" w:hAnsi="仿宋" w:cs="仿宋" w:eastAsia="仿宋"/>
                      <w:sz w:val="21"/>
                    </w:rPr>
                    <w:t>、</w:t>
                  </w:r>
                  <w:r>
                    <w:rPr>
                      <w:rFonts w:ascii="仿宋" w:hAnsi="仿宋" w:cs="仿宋" w:eastAsia="仿宋"/>
                      <w:sz w:val="21"/>
                    </w:rPr>
                    <w:t>RS232</w:t>
                  </w:r>
                  <w:r>
                    <w:rPr>
                      <w:rFonts w:ascii="仿宋" w:hAnsi="仿宋" w:cs="仿宋" w:eastAsia="仿宋"/>
                      <w:sz w:val="21"/>
                    </w:rPr>
                    <w:t>或</w:t>
                  </w:r>
                  <w:r>
                    <w:rPr>
                      <w:rFonts w:ascii="仿宋" w:hAnsi="仿宋" w:cs="仿宋" w:eastAsia="仿宋"/>
                      <w:sz w:val="21"/>
                    </w:rPr>
                    <w:t>V.35</w:t>
                  </w:r>
                  <w:r>
                    <w:rPr>
                      <w:rFonts w:ascii="仿宋" w:hAnsi="仿宋" w:cs="仿宋" w:eastAsia="仿宋"/>
                      <w:sz w:val="21"/>
                    </w:rPr>
                    <w:t>中的一种；</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42</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控制接口：至少支持</w:t>
                  </w:r>
                  <w:r>
                    <w:rPr>
                      <w:rFonts w:ascii="仿宋" w:hAnsi="仿宋" w:cs="仿宋" w:eastAsia="仿宋"/>
                      <w:sz w:val="21"/>
                    </w:rPr>
                    <w:t>RJ45</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43</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r>
                    <w:rPr>
                      <w:rFonts w:ascii="仿宋" w:hAnsi="仿宋" w:cs="仿宋" w:eastAsia="仿宋"/>
                      <w:sz w:val="21"/>
                    </w:rPr>
                    <w:t>符合国家卫星通信技术标准</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44</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r>
                    <w:rPr>
                      <w:rFonts w:ascii="仿宋" w:hAnsi="仿宋" w:cs="仿宋" w:eastAsia="仿宋"/>
                      <w:sz w:val="21"/>
                    </w:rPr>
                    <w:t>内置于动中通</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45</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★通信服务</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根据买方需求协助办理，并接入系统</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46</w:t>
                  </w: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网络系统</w:t>
                  </w: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4G/5G</w:t>
                  </w:r>
                  <w:r>
                    <w:rPr>
                      <w:rFonts w:ascii="仿宋" w:hAnsi="仿宋" w:cs="仿宋" w:eastAsia="仿宋"/>
                      <w:sz w:val="21"/>
                    </w:rPr>
                    <w:t>路由器</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工业级</w:t>
                  </w:r>
                  <w:r>
                    <w:rPr>
                      <w:rFonts w:ascii="仿宋" w:hAnsi="仿宋" w:cs="仿宋" w:eastAsia="仿宋"/>
                      <w:sz w:val="21"/>
                    </w:rPr>
                    <w:t>5G</w:t>
                  </w:r>
                  <w:r>
                    <w:rPr>
                      <w:rFonts w:ascii="仿宋" w:hAnsi="仿宋" w:cs="仿宋" w:eastAsia="仿宋"/>
                      <w:sz w:val="21"/>
                    </w:rPr>
                    <w:t>模块，支持</w:t>
                  </w:r>
                  <w:r>
                    <w:rPr>
                      <w:rFonts w:ascii="仿宋" w:hAnsi="仿宋" w:cs="仿宋" w:eastAsia="仿宋"/>
                      <w:sz w:val="21"/>
                    </w:rPr>
                    <w:t>5G</w:t>
                  </w:r>
                  <w:r>
                    <w:rPr>
                      <w:rFonts w:ascii="仿宋" w:hAnsi="仿宋" w:cs="仿宋" w:eastAsia="仿宋"/>
                      <w:sz w:val="21"/>
                    </w:rPr>
                    <w:t>高速网，兼容中国电信、中国移动、中国联通三家运营商的通信卡且支持组合；</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47</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无线频段：</w:t>
                  </w:r>
                  <w:r>
                    <w:rPr>
                      <w:rFonts w:ascii="仿宋" w:hAnsi="仿宋" w:cs="仿宋" w:eastAsia="仿宋"/>
                      <w:sz w:val="21"/>
                    </w:rPr>
                    <w:t>2.4GHz&amp;5GHz</w:t>
                  </w:r>
                  <w:r>
                    <w:rPr>
                      <w:rFonts w:ascii="仿宋" w:hAnsi="仿宋" w:cs="仿宋" w:eastAsia="仿宋"/>
                      <w:sz w:val="21"/>
                    </w:rPr>
                    <w:t>，支持双频优选；</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48</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支持</w:t>
                  </w:r>
                  <w:r>
                    <w:rPr>
                      <w:rFonts w:ascii="仿宋" w:hAnsi="仿宋" w:cs="仿宋" w:eastAsia="仿宋"/>
                      <w:sz w:val="21"/>
                    </w:rPr>
                    <w:t>5GNSA</w:t>
                  </w:r>
                  <w:r>
                    <w:rPr>
                      <w:rFonts w:ascii="仿宋" w:hAnsi="仿宋" w:cs="仿宋" w:eastAsia="仿宋"/>
                      <w:sz w:val="21"/>
                    </w:rPr>
                    <w:t>、</w:t>
                  </w:r>
                  <w:r>
                    <w:rPr>
                      <w:rFonts w:ascii="仿宋" w:hAnsi="仿宋" w:cs="仿宋" w:eastAsia="仿宋"/>
                      <w:sz w:val="21"/>
                    </w:rPr>
                    <w:t>SA.</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49</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4.SIM</w:t>
                  </w:r>
                  <w:r>
                    <w:rPr>
                      <w:rFonts w:ascii="仿宋" w:hAnsi="仿宋" w:cs="仿宋" w:eastAsia="仿宋"/>
                      <w:sz w:val="21"/>
                    </w:rPr>
                    <w:t>卡≥</w:t>
                  </w:r>
                  <w:r>
                    <w:rPr>
                      <w:rFonts w:ascii="仿宋" w:hAnsi="仿宋" w:cs="仿宋" w:eastAsia="仿宋"/>
                      <w:sz w:val="21"/>
                    </w:rPr>
                    <w:t>2</w:t>
                  </w:r>
                  <w:r>
                    <w:rPr>
                      <w:rFonts w:ascii="仿宋" w:hAnsi="仿宋" w:cs="仿宋" w:eastAsia="仿宋"/>
                      <w:sz w:val="21"/>
                    </w:rPr>
                    <w:t>个，流量≥</w:t>
                  </w:r>
                  <w:r>
                    <w:rPr>
                      <w:rFonts w:ascii="仿宋" w:hAnsi="仿宋" w:cs="仿宋" w:eastAsia="仿宋"/>
                      <w:sz w:val="21"/>
                    </w:rPr>
                    <w:t>500G</w:t>
                  </w:r>
                  <w:r>
                    <w:rPr>
                      <w:rFonts w:ascii="仿宋" w:hAnsi="仿宋" w:cs="仿宋" w:eastAsia="仿宋"/>
                      <w:sz w:val="21"/>
                    </w:rPr>
                    <w:t>，资费一年。</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50</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交换机</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24</w:t>
                  </w:r>
                  <w:r>
                    <w:rPr>
                      <w:rFonts w:ascii="仿宋" w:hAnsi="仿宋" w:cs="仿宋" w:eastAsia="仿宋"/>
                      <w:sz w:val="21"/>
                    </w:rPr>
                    <w:t>口千兆交换机，包转发率：≥</w:t>
                  </w:r>
                  <w:r>
                    <w:rPr>
                      <w:rFonts w:ascii="仿宋" w:hAnsi="仿宋" w:cs="仿宋" w:eastAsia="仿宋"/>
                      <w:sz w:val="21"/>
                    </w:rPr>
                    <w:t>51/126Mpps</w:t>
                  </w:r>
                  <w:r>
                    <w:rPr>
                      <w:rFonts w:ascii="仿宋" w:hAnsi="仿宋" w:cs="仿宋" w:eastAsia="仿宋"/>
                      <w:sz w:val="21"/>
                    </w:rPr>
                    <w:t>，交换容量：≥</w:t>
                  </w:r>
                  <w:r>
                    <w:rPr>
                      <w:rFonts w:ascii="仿宋" w:hAnsi="仿宋" w:cs="仿宋" w:eastAsia="仿宋"/>
                      <w:sz w:val="21"/>
                    </w:rPr>
                    <w:t>336Gbps/3.6Tbps</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51</w:t>
                  </w: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办公系统</w:t>
                  </w: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多功能办公一体机</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激光打印机，具备</w:t>
                  </w:r>
                  <w:r>
                    <w:rPr>
                      <w:rFonts w:ascii="仿宋" w:hAnsi="仿宋" w:cs="仿宋" w:eastAsia="仿宋"/>
                      <w:sz w:val="21"/>
                    </w:rPr>
                    <w:t>A4</w:t>
                  </w:r>
                  <w:r>
                    <w:rPr>
                      <w:rFonts w:ascii="仿宋" w:hAnsi="仿宋" w:cs="仿宋" w:eastAsia="仿宋"/>
                      <w:sz w:val="21"/>
                    </w:rPr>
                    <w:t>纸张双面打印、复印、扫描；</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52</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支持</w:t>
                  </w:r>
                  <w:r>
                    <w:rPr>
                      <w:rFonts w:ascii="仿宋" w:hAnsi="仿宋" w:cs="仿宋" w:eastAsia="仿宋"/>
                      <w:sz w:val="21"/>
                    </w:rPr>
                    <w:t>WiFi</w:t>
                  </w:r>
                  <w:r>
                    <w:rPr>
                      <w:rFonts w:ascii="仿宋" w:hAnsi="仿宋" w:cs="仿宋" w:eastAsia="仿宋"/>
                      <w:sz w:val="21"/>
                    </w:rPr>
                    <w:t>、有线、</w:t>
                  </w:r>
                  <w:r>
                    <w:rPr>
                      <w:rFonts w:ascii="仿宋" w:hAnsi="仿宋" w:cs="仿宋" w:eastAsia="仿宋"/>
                      <w:sz w:val="21"/>
                    </w:rPr>
                    <w:t>USB</w:t>
                  </w:r>
                  <w:r>
                    <w:rPr>
                      <w:rFonts w:ascii="仿宋" w:hAnsi="仿宋" w:cs="仿宋" w:eastAsia="仿宋"/>
                      <w:sz w:val="21"/>
                    </w:rPr>
                    <w:t>连接</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53</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车内固定安装</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54</w:t>
                  </w:r>
                </w:p>
              </w:tc>
              <w:tc>
                <w:tcPr>
                  <w:tcW w:type="dxa" w:w="743"/>
                  <w:vMerge/>
                  <w:tcBorders>
                    <w:top w:val="none" w:color="000000" w:sz="4"/>
                    <w:left w:val="none" w:color="000000" w:sz="4"/>
                    <w:bottom w:val="single" w:color="000000" w:sz="4"/>
                    <w:right w:val="single" w:color="000000" w:sz="4"/>
                  </w:tcBorders>
                </w:tcP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▲工控机</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散热可靠；</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55</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采用抗震措施，保证机器在颠簸路况中正常运行；</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56</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3.CPU</w:t>
                  </w:r>
                  <w:r>
                    <w:rPr>
                      <w:rFonts w:ascii="仿宋" w:hAnsi="仿宋" w:cs="仿宋" w:eastAsia="仿宋"/>
                      <w:sz w:val="21"/>
                    </w:rPr>
                    <w:t>主频≥</w:t>
                  </w:r>
                  <w:r>
                    <w:rPr>
                      <w:rFonts w:ascii="仿宋" w:hAnsi="仿宋" w:cs="仿宋" w:eastAsia="仿宋"/>
                      <w:sz w:val="21"/>
                    </w:rPr>
                    <w:t>3.4GHz</w:t>
                  </w:r>
                  <w:r>
                    <w:rPr>
                      <w:rFonts w:ascii="仿宋" w:hAnsi="仿宋" w:cs="仿宋" w:eastAsia="仿宋"/>
                      <w:sz w:val="21"/>
                    </w:rPr>
                    <w:t>，核心数≥</w:t>
                  </w:r>
                  <w:r>
                    <w:rPr>
                      <w:rFonts w:ascii="仿宋" w:hAnsi="仿宋" w:cs="仿宋" w:eastAsia="仿宋"/>
                      <w:sz w:val="21"/>
                    </w:rPr>
                    <w:t>4</w:t>
                  </w:r>
                  <w:r>
                    <w:rPr>
                      <w:rFonts w:ascii="仿宋" w:hAnsi="仿宋" w:cs="仿宋" w:eastAsia="仿宋"/>
                      <w:sz w:val="21"/>
                    </w:rPr>
                    <w:t>，三级缓存≥</w:t>
                  </w:r>
                  <w:r>
                    <w:rPr>
                      <w:rFonts w:ascii="仿宋" w:hAnsi="仿宋" w:cs="仿宋" w:eastAsia="仿宋"/>
                      <w:sz w:val="21"/>
                    </w:rPr>
                    <w:t>8M</w:t>
                  </w:r>
                  <w:r>
                    <w:rPr>
                      <w:rFonts w:ascii="仿宋" w:hAnsi="仿宋" w:cs="仿宋" w:eastAsia="仿宋"/>
                      <w:sz w:val="21"/>
                    </w:rPr>
                    <w:t>；内存≥</w:t>
                  </w:r>
                  <w:r>
                    <w:rPr>
                      <w:rFonts w:ascii="仿宋" w:hAnsi="仿宋" w:cs="仿宋" w:eastAsia="仿宋"/>
                      <w:sz w:val="21"/>
                    </w:rPr>
                    <w:t>32G</w:t>
                  </w:r>
                  <w:r>
                    <w:rPr>
                      <w:rFonts w:ascii="仿宋" w:hAnsi="仿宋" w:cs="仿宋" w:eastAsia="仿宋"/>
                      <w:sz w:val="21"/>
                    </w:rPr>
                    <w:t>，固态硬盘≥</w:t>
                  </w:r>
                  <w:r>
                    <w:rPr>
                      <w:rFonts w:ascii="仿宋" w:hAnsi="仿宋" w:cs="仿宋" w:eastAsia="仿宋"/>
                      <w:sz w:val="21"/>
                    </w:rPr>
                    <w:t>1TSSD</w:t>
                  </w:r>
                  <w:r>
                    <w:rPr>
                      <w:rFonts w:ascii="仿宋" w:hAnsi="仿宋" w:cs="仿宋" w:eastAsia="仿宋"/>
                      <w:sz w:val="21"/>
                    </w:rPr>
                    <w:t>，机械硬盘容量≥</w:t>
                  </w:r>
                  <w:r>
                    <w:rPr>
                      <w:rFonts w:ascii="仿宋" w:hAnsi="仿宋" w:cs="仿宋" w:eastAsia="仿宋"/>
                      <w:sz w:val="21"/>
                    </w:rPr>
                    <w:t>2TB</w:t>
                  </w:r>
                  <w:r>
                    <w:rPr>
                      <w:rFonts w:ascii="仿宋" w:hAnsi="仿宋" w:cs="仿宋" w:eastAsia="仿宋"/>
                      <w:sz w:val="21"/>
                    </w:rPr>
                    <w:t>，非背面</w:t>
                  </w:r>
                  <w:r>
                    <w:rPr>
                      <w:rFonts w:ascii="仿宋" w:hAnsi="仿宋" w:cs="仿宋" w:eastAsia="仿宋"/>
                      <w:sz w:val="21"/>
                    </w:rPr>
                    <w:t>USB</w:t>
                  </w:r>
                  <w:r>
                    <w:rPr>
                      <w:rFonts w:ascii="仿宋" w:hAnsi="仿宋" w:cs="仿宋" w:eastAsia="仿宋"/>
                      <w:sz w:val="21"/>
                    </w:rPr>
                    <w:t>接口数量≥</w:t>
                  </w:r>
                  <w:r>
                    <w:rPr>
                      <w:rFonts w:ascii="仿宋" w:hAnsi="仿宋" w:cs="仿宋" w:eastAsia="仿宋"/>
                      <w:sz w:val="21"/>
                    </w:rPr>
                    <w:t>4</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57</w:t>
                  </w: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数字会议系统</w:t>
                  </w: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▲视频会议终端</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采用嵌入式操作系统。</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58</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带宽</w:t>
                  </w:r>
                  <w:r>
                    <w:rPr>
                      <w:rFonts w:ascii="仿宋" w:hAnsi="仿宋" w:cs="仿宋" w:eastAsia="仿宋"/>
                      <w:sz w:val="21"/>
                    </w:rPr>
                    <w:t>IP:64Kbps-8Mbps</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59</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视频编解码协议：支持</w:t>
                  </w:r>
                  <w:r>
                    <w:rPr>
                      <w:rFonts w:ascii="仿宋" w:hAnsi="仿宋" w:cs="仿宋" w:eastAsia="仿宋"/>
                      <w:sz w:val="21"/>
                    </w:rPr>
                    <w:t>H.264HP</w:t>
                  </w:r>
                  <w:r>
                    <w:rPr>
                      <w:rFonts w:ascii="仿宋" w:hAnsi="仿宋" w:cs="仿宋" w:eastAsia="仿宋"/>
                      <w:sz w:val="21"/>
                    </w:rPr>
                    <w:t>、</w:t>
                  </w:r>
                  <w:r>
                    <w:rPr>
                      <w:rFonts w:ascii="仿宋" w:hAnsi="仿宋" w:cs="仿宋" w:eastAsia="仿宋"/>
                      <w:sz w:val="21"/>
                    </w:rPr>
                    <w:t>H.264BP</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60</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r>
                    <w:rPr>
                      <w:rFonts w:ascii="仿宋" w:hAnsi="仿宋" w:cs="仿宋" w:eastAsia="仿宋"/>
                      <w:sz w:val="21"/>
                    </w:rPr>
                    <w:t>活动图像分辨率支持≥</w:t>
                  </w:r>
                  <w:r>
                    <w:rPr>
                      <w:rFonts w:ascii="仿宋" w:hAnsi="仿宋" w:cs="仿宋" w:eastAsia="仿宋"/>
                      <w:sz w:val="21"/>
                    </w:rPr>
                    <w:t>1080P60fps</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61</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r>
                    <w:rPr>
                      <w:rFonts w:ascii="仿宋" w:hAnsi="仿宋" w:cs="仿宋" w:eastAsia="仿宋"/>
                      <w:sz w:val="21"/>
                    </w:rPr>
                    <w:t>支持</w:t>
                  </w:r>
                  <w:r>
                    <w:rPr>
                      <w:rFonts w:ascii="仿宋" w:hAnsi="仿宋" w:cs="仿宋" w:eastAsia="仿宋"/>
                      <w:sz w:val="21"/>
                    </w:rPr>
                    <w:t>AAC-LD</w:t>
                  </w:r>
                  <w:r>
                    <w:rPr>
                      <w:rFonts w:ascii="仿宋" w:hAnsi="仿宋" w:cs="仿宋" w:eastAsia="仿宋"/>
                      <w:sz w:val="21"/>
                    </w:rPr>
                    <w:t>、</w:t>
                  </w:r>
                  <w:r>
                    <w:rPr>
                      <w:rFonts w:ascii="仿宋" w:hAnsi="仿宋" w:cs="仿宋" w:eastAsia="仿宋"/>
                      <w:sz w:val="21"/>
                    </w:rPr>
                    <w:t>G.729A</w:t>
                  </w:r>
                  <w:r>
                    <w:rPr>
                      <w:rFonts w:ascii="仿宋" w:hAnsi="仿宋" w:cs="仿宋" w:eastAsia="仿宋"/>
                      <w:sz w:val="21"/>
                    </w:rPr>
                    <w:t>、</w:t>
                  </w:r>
                  <w:r>
                    <w:rPr>
                      <w:rFonts w:ascii="仿宋" w:hAnsi="仿宋" w:cs="仿宋" w:eastAsia="仿宋"/>
                      <w:sz w:val="21"/>
                    </w:rPr>
                    <w:t>G.722</w:t>
                  </w:r>
                  <w:r>
                    <w:rPr>
                      <w:rFonts w:ascii="仿宋" w:hAnsi="仿宋" w:cs="仿宋" w:eastAsia="仿宋"/>
                      <w:sz w:val="21"/>
                    </w:rPr>
                    <w:t>、</w:t>
                  </w:r>
                  <w:r>
                    <w:rPr>
                      <w:rFonts w:ascii="仿宋" w:hAnsi="仿宋" w:cs="仿宋" w:eastAsia="仿宋"/>
                      <w:sz w:val="21"/>
                    </w:rPr>
                    <w:t>G.722.1C</w:t>
                  </w:r>
                  <w:r>
                    <w:rPr>
                      <w:rFonts w:ascii="仿宋" w:hAnsi="仿宋" w:cs="仿宋" w:eastAsia="仿宋"/>
                      <w:sz w:val="21"/>
                    </w:rPr>
                    <w:t>、</w:t>
                  </w:r>
                  <w:r>
                    <w:rPr>
                      <w:rFonts w:ascii="仿宋" w:hAnsi="仿宋" w:cs="仿宋" w:eastAsia="仿宋"/>
                      <w:sz w:val="21"/>
                    </w:rPr>
                    <w:t>G.711U</w:t>
                  </w:r>
                  <w:r>
                    <w:rPr>
                      <w:rFonts w:ascii="仿宋" w:hAnsi="仿宋" w:cs="仿宋" w:eastAsia="仿宋"/>
                      <w:sz w:val="21"/>
                    </w:rPr>
                    <w:t>、</w:t>
                  </w:r>
                  <w:r>
                    <w:rPr>
                      <w:rFonts w:ascii="仿宋" w:hAnsi="仿宋" w:cs="仿宋" w:eastAsia="仿宋"/>
                      <w:sz w:val="21"/>
                    </w:rPr>
                    <w:t>G.711A</w:t>
                  </w:r>
                  <w:r>
                    <w:rPr>
                      <w:rFonts w:ascii="仿宋" w:hAnsi="仿宋" w:cs="仿宋" w:eastAsia="仿宋"/>
                      <w:sz w:val="21"/>
                    </w:rPr>
                    <w:t>等音频协议</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62</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w:t>
                  </w:r>
                  <w:r>
                    <w:rPr>
                      <w:rFonts w:ascii="仿宋" w:hAnsi="仿宋" w:cs="仿宋" w:eastAsia="仿宋"/>
                      <w:sz w:val="21"/>
                    </w:rPr>
                    <w:t>双流能力：支持双路</w:t>
                  </w:r>
                  <w:r>
                    <w:rPr>
                      <w:rFonts w:ascii="仿宋" w:hAnsi="仿宋" w:cs="仿宋" w:eastAsia="仿宋"/>
                      <w:sz w:val="21"/>
                    </w:rPr>
                    <w:t>1080P30fps</w:t>
                  </w:r>
                  <w:r>
                    <w:rPr>
                      <w:rFonts w:ascii="仿宋" w:hAnsi="仿宋" w:cs="仿宋" w:eastAsia="仿宋"/>
                      <w:sz w:val="21"/>
                    </w:rPr>
                    <w:t>或</w:t>
                  </w:r>
                  <w:r>
                    <w:rPr>
                      <w:rFonts w:ascii="仿宋" w:hAnsi="仿宋" w:cs="仿宋" w:eastAsia="仿宋"/>
                      <w:sz w:val="21"/>
                    </w:rPr>
                    <w:t>1080p60fps</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63</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w:t>
                  </w:r>
                  <w:r>
                    <w:rPr>
                      <w:rFonts w:ascii="仿宋" w:hAnsi="仿宋" w:cs="仿宋" w:eastAsia="仿宋"/>
                      <w:sz w:val="21"/>
                    </w:rPr>
                    <w:t>支持至少</w:t>
                  </w:r>
                  <w:r>
                    <w:rPr>
                      <w:rFonts w:ascii="仿宋" w:hAnsi="仿宋" w:cs="仿宋" w:eastAsia="仿宋"/>
                      <w:sz w:val="21"/>
                    </w:rPr>
                    <w:t>2</w:t>
                  </w:r>
                  <w:r>
                    <w:rPr>
                      <w:rFonts w:ascii="仿宋" w:hAnsi="仿宋" w:cs="仿宋" w:eastAsia="仿宋"/>
                      <w:sz w:val="21"/>
                    </w:rPr>
                    <w:t>个</w:t>
                  </w:r>
                  <w:r>
                    <w:rPr>
                      <w:rFonts w:ascii="仿宋" w:hAnsi="仿宋" w:cs="仿宋" w:eastAsia="仿宋"/>
                      <w:sz w:val="21"/>
                    </w:rPr>
                    <w:t>10M/100M/1000M</w:t>
                  </w:r>
                  <w:r>
                    <w:rPr>
                      <w:rFonts w:ascii="仿宋" w:hAnsi="仿宋" w:cs="仿宋" w:eastAsia="仿宋"/>
                      <w:sz w:val="21"/>
                    </w:rPr>
                    <w:t>自适应网口。</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64</w:t>
                  </w: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音像采集系统</w:t>
                  </w: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★显示器</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屏幕尺寸</w:t>
                  </w:r>
                  <w:r>
                    <w:rPr>
                      <w:rFonts w:ascii="仿宋" w:hAnsi="仿宋" w:cs="仿宋" w:eastAsia="仿宋"/>
                      <w:sz w:val="21"/>
                    </w:rPr>
                    <w:t>:</w:t>
                  </w:r>
                  <w:r>
                    <w:rPr>
                      <w:rFonts w:ascii="仿宋" w:hAnsi="仿宋" w:cs="仿宋" w:eastAsia="仿宋"/>
                      <w:sz w:val="21"/>
                    </w:rPr>
                    <w:t>≥</w:t>
                  </w:r>
                  <w:r>
                    <w:rPr>
                      <w:rFonts w:ascii="仿宋" w:hAnsi="仿宋" w:cs="仿宋" w:eastAsia="仿宋"/>
                      <w:sz w:val="21"/>
                    </w:rPr>
                    <w:t>40</w:t>
                  </w:r>
                  <w:r>
                    <w:rPr>
                      <w:rFonts w:ascii="仿宋" w:hAnsi="仿宋" w:cs="仿宋" w:eastAsia="仿宋"/>
                      <w:sz w:val="21"/>
                    </w:rPr>
                    <w:t>英寸</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65</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屏幕比例</w:t>
                  </w:r>
                  <w:r>
                    <w:rPr>
                      <w:rFonts w:ascii="仿宋" w:hAnsi="仿宋" w:cs="仿宋" w:eastAsia="仿宋"/>
                      <w:sz w:val="21"/>
                    </w:rPr>
                    <w:t>:16</w:t>
                  </w:r>
                  <w:r>
                    <w:rPr>
                      <w:rFonts w:ascii="仿宋" w:hAnsi="仿宋" w:cs="仿宋" w:eastAsia="仿宋"/>
                      <w:sz w:val="21"/>
                    </w:rPr>
                    <w:t>：</w:t>
                  </w:r>
                  <w:r>
                    <w:rPr>
                      <w:rFonts w:ascii="仿宋" w:hAnsi="仿宋" w:cs="仿宋" w:eastAsia="仿宋"/>
                      <w:sz w:val="21"/>
                    </w:rPr>
                    <w:t>9</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66</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分辨率</w:t>
                  </w:r>
                  <w:r>
                    <w:rPr>
                      <w:rFonts w:ascii="仿宋" w:hAnsi="仿宋" w:cs="仿宋" w:eastAsia="仿宋"/>
                      <w:sz w:val="21"/>
                    </w:rPr>
                    <w:t>:3840</w:t>
                  </w:r>
                  <w:r>
                    <w:rPr>
                      <w:rFonts w:ascii="仿宋" w:hAnsi="仿宋" w:cs="仿宋" w:eastAsia="仿宋"/>
                      <w:sz w:val="21"/>
                    </w:rPr>
                    <w:t>×</w:t>
                  </w:r>
                  <w:r>
                    <w:rPr>
                      <w:rFonts w:ascii="仿宋" w:hAnsi="仿宋" w:cs="仿宋" w:eastAsia="仿宋"/>
                      <w:sz w:val="21"/>
                    </w:rPr>
                    <w:t>2160</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67</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r>
                    <w:rPr>
                      <w:rFonts w:ascii="仿宋" w:hAnsi="仿宋" w:cs="仿宋" w:eastAsia="仿宋"/>
                      <w:sz w:val="21"/>
                    </w:rPr>
                    <w:t>显示类型：</w:t>
                  </w:r>
                  <w:r>
                    <w:rPr>
                      <w:rFonts w:ascii="仿宋" w:hAnsi="仿宋" w:cs="仿宋" w:eastAsia="仿宋"/>
                      <w:sz w:val="21"/>
                    </w:rPr>
                    <w:t>LED</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68</w:t>
                  </w:r>
                </w:p>
              </w:tc>
              <w:tc>
                <w:tcPr>
                  <w:tcW w:type="dxa" w:w="743"/>
                  <w:vMerge/>
                  <w:tcBorders>
                    <w:top w:val="none" w:color="000000" w:sz="4"/>
                    <w:left w:val="none" w:color="000000" w:sz="4"/>
                    <w:bottom w:val="single" w:color="000000" w:sz="4"/>
                    <w:right w:val="single" w:color="000000" w:sz="4"/>
                  </w:tcBorders>
                </w:tcP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▲高清视频矩阵</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具备音频处理器、视频矩阵、录播编解码、视频会议终端、多方互动</w:t>
                  </w:r>
                  <w:r>
                    <w:rPr>
                      <w:rFonts w:ascii="仿宋" w:hAnsi="仿宋" w:cs="仿宋" w:eastAsia="仿宋"/>
                      <w:sz w:val="21"/>
                    </w:rPr>
                    <w:t>MCU</w:t>
                  </w:r>
                  <w:r>
                    <w:rPr>
                      <w:rFonts w:ascii="仿宋" w:hAnsi="仿宋" w:cs="仿宋" w:eastAsia="仿宋"/>
                      <w:sz w:val="21"/>
                    </w:rPr>
                    <w:t>、可编程中控等功能，应符合指挥车标准化装机需求，需采用纯嵌入式架构</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69</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主机支持标准机柜安装，设备高度不高于</w:t>
                  </w:r>
                  <w:r>
                    <w:rPr>
                      <w:rFonts w:ascii="仿宋" w:hAnsi="仿宋" w:cs="仿宋" w:eastAsia="仿宋"/>
                      <w:sz w:val="21"/>
                    </w:rPr>
                    <w:t>4U</w:t>
                  </w:r>
                  <w:r>
                    <w:rPr>
                      <w:rFonts w:ascii="仿宋" w:hAnsi="仿宋" w:cs="仿宋" w:eastAsia="仿宋"/>
                      <w:sz w:val="21"/>
                    </w:rPr>
                    <w:t>；采用电信级拔插式结构设计，输入输出板卡采用可自由配置方式，支持带电插拔升级维护。前面板支持不低于</w:t>
                  </w:r>
                  <w:r>
                    <w:rPr>
                      <w:rFonts w:ascii="仿宋" w:hAnsi="仿宋" w:cs="仿宋" w:eastAsia="仿宋"/>
                      <w:sz w:val="21"/>
                    </w:rPr>
                    <w:t>7</w:t>
                  </w:r>
                  <w:r>
                    <w:rPr>
                      <w:rFonts w:ascii="仿宋" w:hAnsi="仿宋" w:cs="仿宋" w:eastAsia="仿宋"/>
                      <w:sz w:val="21"/>
                    </w:rPr>
                    <w:t>英寸液晶触摸显示屏，可以视频预览和触控操作菜单；</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70</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视频接口卡满足：不低于</w:t>
                  </w:r>
                  <w:r>
                    <w:rPr>
                      <w:rFonts w:ascii="仿宋" w:hAnsi="仿宋" w:cs="仿宋" w:eastAsia="仿宋"/>
                      <w:sz w:val="21"/>
                    </w:rPr>
                    <w:t>16</w:t>
                  </w:r>
                  <w:r>
                    <w:rPr>
                      <w:rFonts w:ascii="仿宋" w:hAnsi="仿宋" w:cs="仿宋" w:eastAsia="仿宋"/>
                      <w:sz w:val="21"/>
                    </w:rPr>
                    <w:t>路输入、</w:t>
                  </w:r>
                  <w:r>
                    <w:rPr>
                      <w:rFonts w:ascii="仿宋" w:hAnsi="仿宋" w:cs="仿宋" w:eastAsia="仿宋"/>
                      <w:sz w:val="21"/>
                    </w:rPr>
                    <w:t>16</w:t>
                  </w:r>
                  <w:r>
                    <w:rPr>
                      <w:rFonts w:ascii="仿宋" w:hAnsi="仿宋" w:cs="仿宋" w:eastAsia="仿宋"/>
                      <w:sz w:val="21"/>
                    </w:rPr>
                    <w:t>路输出，视频输入板卡支持</w:t>
                  </w:r>
                  <w:r>
                    <w:rPr>
                      <w:rFonts w:ascii="仿宋" w:hAnsi="仿宋" w:cs="仿宋" w:eastAsia="仿宋"/>
                      <w:sz w:val="21"/>
                    </w:rPr>
                    <w:t>hdmi/DVI/VGA</w:t>
                  </w:r>
                  <w:r>
                    <w:rPr>
                      <w:rFonts w:ascii="仿宋" w:hAnsi="仿宋" w:cs="仿宋" w:eastAsia="仿宋"/>
                      <w:sz w:val="21"/>
                    </w:rPr>
                    <w:t>等各类信号接口卡，</w:t>
                  </w:r>
                  <w:r>
                    <w:rPr>
                      <w:rFonts w:ascii="仿宋" w:hAnsi="仿宋" w:cs="仿宋" w:eastAsia="仿宋"/>
                      <w:sz w:val="21"/>
                    </w:rPr>
                    <w:t>hdmi</w:t>
                  </w:r>
                  <w:r>
                    <w:rPr>
                      <w:rFonts w:ascii="仿宋" w:hAnsi="仿宋" w:cs="仿宋" w:eastAsia="仿宋"/>
                      <w:sz w:val="21"/>
                    </w:rPr>
                    <w:t>接口支持数字音频同步输入输出</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71</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r>
                    <w:rPr>
                      <w:rFonts w:ascii="仿宋" w:hAnsi="仿宋" w:cs="仿宋" w:eastAsia="仿宋"/>
                      <w:sz w:val="21"/>
                    </w:rPr>
                    <w:t>音频接口卡满足：不低于</w:t>
                  </w:r>
                  <w:r>
                    <w:rPr>
                      <w:rFonts w:ascii="仿宋" w:hAnsi="仿宋" w:cs="仿宋" w:eastAsia="仿宋"/>
                      <w:sz w:val="21"/>
                    </w:rPr>
                    <w:t>4</w:t>
                  </w:r>
                  <w:r>
                    <w:rPr>
                      <w:rFonts w:ascii="仿宋" w:hAnsi="仿宋" w:cs="仿宋" w:eastAsia="仿宋"/>
                      <w:sz w:val="21"/>
                    </w:rPr>
                    <w:t>路远程解码音频输入及</w:t>
                  </w:r>
                  <w:r>
                    <w:rPr>
                      <w:rFonts w:ascii="仿宋" w:hAnsi="仿宋" w:cs="仿宋" w:eastAsia="仿宋"/>
                      <w:sz w:val="21"/>
                    </w:rPr>
                    <w:t>8</w:t>
                  </w:r>
                  <w:r>
                    <w:rPr>
                      <w:rFonts w:ascii="仿宋" w:hAnsi="仿宋" w:cs="仿宋" w:eastAsia="仿宋"/>
                      <w:sz w:val="21"/>
                    </w:rPr>
                    <w:t>路平衡音频输出。</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72</w:t>
                  </w:r>
                </w:p>
              </w:tc>
              <w:tc>
                <w:tcPr>
                  <w:tcW w:type="dxa" w:w="743"/>
                  <w:vMerge/>
                  <w:tcBorders>
                    <w:top w:val="none" w:color="000000" w:sz="4"/>
                    <w:left w:val="none" w:color="000000" w:sz="4"/>
                    <w:bottom w:val="single" w:color="000000" w:sz="4"/>
                    <w:right w:val="single" w:color="000000" w:sz="4"/>
                  </w:tcBorders>
                </w:tcP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车顶云台摄像机</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镜头光学变倍：</w:t>
                  </w:r>
                  <w:r>
                    <w:rPr>
                      <w:rFonts w:ascii="仿宋" w:hAnsi="仿宋" w:cs="仿宋" w:eastAsia="仿宋"/>
                      <w:sz w:val="21"/>
                    </w:rPr>
                    <w:t>12</w:t>
                  </w:r>
                  <w:r>
                    <w:rPr>
                      <w:rFonts w:ascii="仿宋" w:hAnsi="仿宋" w:cs="仿宋" w:eastAsia="仿宋"/>
                      <w:sz w:val="21"/>
                    </w:rPr>
                    <w:t>倍光学变焦</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73</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图像传感器：</w:t>
                  </w:r>
                  <w:r>
                    <w:rPr>
                      <w:rFonts w:ascii="仿宋" w:hAnsi="仿宋" w:cs="仿宋" w:eastAsia="仿宋"/>
                      <w:sz w:val="21"/>
                    </w:rPr>
                    <w:t>1/2.7</w:t>
                  </w:r>
                  <w:r>
                    <w:rPr>
                      <w:rFonts w:ascii="仿宋" w:hAnsi="仿宋" w:cs="仿宋" w:eastAsia="仿宋"/>
                      <w:sz w:val="21"/>
                    </w:rPr>
                    <w:t>英寸高品质</w:t>
                  </w:r>
                  <w:r>
                    <w:rPr>
                      <w:rFonts w:ascii="仿宋" w:hAnsi="仿宋" w:cs="仿宋" w:eastAsia="仿宋"/>
                      <w:sz w:val="21"/>
                    </w:rPr>
                    <w:t>CMOS</w:t>
                  </w:r>
                  <w:r>
                    <w:rPr>
                      <w:rFonts w:ascii="仿宋" w:hAnsi="仿宋" w:cs="仿宋" w:eastAsia="仿宋"/>
                      <w:sz w:val="21"/>
                    </w:rPr>
                    <w:t>传感器</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74</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像素：不低于</w:t>
                  </w:r>
                  <w:r>
                    <w:rPr>
                      <w:rFonts w:ascii="仿宋" w:hAnsi="仿宋" w:cs="仿宋" w:eastAsia="仿宋"/>
                      <w:sz w:val="21"/>
                    </w:rPr>
                    <w:t>200</w:t>
                  </w:r>
                  <w:r>
                    <w:rPr>
                      <w:rFonts w:ascii="仿宋" w:hAnsi="仿宋" w:cs="仿宋" w:eastAsia="仿宋"/>
                      <w:sz w:val="21"/>
                    </w:rPr>
                    <w:t>万</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75</w:t>
                  </w:r>
                </w:p>
              </w:tc>
              <w:tc>
                <w:tcPr>
                  <w:tcW w:type="dxa" w:w="743"/>
                  <w:vMerge/>
                  <w:tcBorders>
                    <w:top w:val="none" w:color="000000" w:sz="4"/>
                    <w:left w:val="none" w:color="000000" w:sz="4"/>
                    <w:bottom w:val="single" w:color="000000" w:sz="4"/>
                    <w:right w:val="single" w:color="000000" w:sz="4"/>
                  </w:tcBorders>
                </w:tcP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车内高清会议摄像机</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镜头光学变倍：</w:t>
                  </w:r>
                  <w:r>
                    <w:rPr>
                      <w:rFonts w:ascii="仿宋" w:hAnsi="仿宋" w:cs="仿宋" w:eastAsia="仿宋"/>
                      <w:sz w:val="21"/>
                    </w:rPr>
                    <w:t>12</w:t>
                  </w:r>
                  <w:r>
                    <w:rPr>
                      <w:rFonts w:ascii="仿宋" w:hAnsi="仿宋" w:cs="仿宋" w:eastAsia="仿宋"/>
                      <w:sz w:val="21"/>
                    </w:rPr>
                    <w:t>倍光学变焦</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76</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图像传感器：</w:t>
                  </w:r>
                  <w:r>
                    <w:rPr>
                      <w:rFonts w:ascii="仿宋" w:hAnsi="仿宋" w:cs="仿宋" w:eastAsia="仿宋"/>
                      <w:sz w:val="21"/>
                    </w:rPr>
                    <w:t>1/2.7</w:t>
                  </w:r>
                  <w:r>
                    <w:rPr>
                      <w:rFonts w:ascii="仿宋" w:hAnsi="仿宋" w:cs="仿宋" w:eastAsia="仿宋"/>
                      <w:sz w:val="21"/>
                    </w:rPr>
                    <w:t>英寸高品质</w:t>
                  </w:r>
                  <w:r>
                    <w:rPr>
                      <w:rFonts w:ascii="仿宋" w:hAnsi="仿宋" w:cs="仿宋" w:eastAsia="仿宋"/>
                      <w:sz w:val="21"/>
                    </w:rPr>
                    <w:t>CMOS</w:t>
                  </w:r>
                  <w:r>
                    <w:rPr>
                      <w:rFonts w:ascii="仿宋" w:hAnsi="仿宋" w:cs="仿宋" w:eastAsia="仿宋"/>
                      <w:sz w:val="21"/>
                    </w:rPr>
                    <w:t>传感器</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77</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像素：</w:t>
                  </w:r>
                  <w:r>
                    <w:rPr>
                      <w:rFonts w:ascii="仿宋" w:hAnsi="仿宋" w:cs="仿宋" w:eastAsia="仿宋"/>
                      <w:sz w:val="21"/>
                    </w:rPr>
                    <w:t>207</w:t>
                  </w:r>
                  <w:r>
                    <w:rPr>
                      <w:rFonts w:ascii="仿宋" w:hAnsi="仿宋" w:cs="仿宋" w:eastAsia="仿宋"/>
                      <w:sz w:val="21"/>
                    </w:rPr>
                    <w:t>万</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78</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r>
                    <w:rPr>
                      <w:rFonts w:ascii="仿宋" w:hAnsi="仿宋" w:cs="仿宋" w:eastAsia="仿宋"/>
                      <w:sz w:val="21"/>
                    </w:rPr>
                    <w:t>最低照度：</w:t>
                  </w:r>
                  <w:r>
                    <w:rPr>
                      <w:rFonts w:ascii="仿宋" w:hAnsi="仿宋" w:cs="仿宋" w:eastAsia="仿宋"/>
                      <w:sz w:val="21"/>
                    </w:rPr>
                    <w:t>0.5Lux(F1.8</w:t>
                  </w:r>
                  <w:r>
                    <w:rPr>
                      <w:rFonts w:ascii="仿宋" w:hAnsi="仿宋" w:cs="仿宋" w:eastAsia="仿宋"/>
                      <w:sz w:val="21"/>
                    </w:rPr>
                    <w:t>，</w:t>
                  </w:r>
                  <w:r>
                    <w:rPr>
                      <w:rFonts w:ascii="仿宋" w:hAnsi="仿宋" w:cs="仿宋" w:eastAsia="仿宋"/>
                      <w:sz w:val="21"/>
                    </w:rPr>
                    <w:t>AGCON)</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79</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r>
                    <w:rPr>
                      <w:rFonts w:ascii="仿宋" w:hAnsi="仿宋" w:cs="仿宋" w:eastAsia="仿宋"/>
                      <w:sz w:val="21"/>
                    </w:rPr>
                    <w:t>视频压缩格式</w:t>
                  </w:r>
                  <w:r>
                    <w:rPr>
                      <w:rFonts w:ascii="仿宋" w:hAnsi="仿宋" w:cs="仿宋" w:eastAsia="仿宋"/>
                      <w:sz w:val="21"/>
                    </w:rPr>
                    <w:t>H.265</w:t>
                  </w:r>
                  <w:r>
                    <w:rPr>
                      <w:rFonts w:ascii="仿宋" w:hAnsi="仿宋" w:cs="仿宋" w:eastAsia="仿宋"/>
                      <w:sz w:val="21"/>
                    </w:rPr>
                    <w:t>、</w:t>
                  </w:r>
                  <w:r>
                    <w:rPr>
                      <w:rFonts w:ascii="仿宋" w:hAnsi="仿宋" w:cs="仿宋" w:eastAsia="仿宋"/>
                      <w:sz w:val="21"/>
                    </w:rPr>
                    <w:t>H.264</w:t>
                  </w:r>
                  <w:r>
                    <w:rPr>
                      <w:rFonts w:ascii="仿宋" w:hAnsi="仿宋" w:cs="仿宋" w:eastAsia="仿宋"/>
                      <w:sz w:val="21"/>
                    </w:rPr>
                    <w:t>；双码流输出</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80</w:t>
                  </w:r>
                </w:p>
              </w:tc>
              <w:tc>
                <w:tcPr>
                  <w:tcW w:type="dxa" w:w="743"/>
                  <w:vMerge/>
                  <w:tcBorders>
                    <w:top w:val="none" w:color="000000" w:sz="4"/>
                    <w:left w:val="none" w:color="000000" w:sz="4"/>
                    <w:bottom w:val="single" w:color="000000" w:sz="4"/>
                    <w:right w:val="single" w:color="000000" w:sz="4"/>
                  </w:tcBorders>
                </w:tcP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音频处理器</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满足不低于</w:t>
                  </w:r>
                  <w:r>
                    <w:rPr>
                      <w:rFonts w:ascii="仿宋" w:hAnsi="仿宋" w:cs="仿宋" w:eastAsia="仿宋"/>
                      <w:sz w:val="21"/>
                    </w:rPr>
                    <w:t>8</w:t>
                  </w:r>
                  <w:r>
                    <w:rPr>
                      <w:rFonts w:ascii="仿宋" w:hAnsi="仿宋" w:cs="仿宋" w:eastAsia="仿宋"/>
                      <w:sz w:val="21"/>
                    </w:rPr>
                    <w:t>路输入及</w:t>
                  </w:r>
                  <w:r>
                    <w:rPr>
                      <w:rFonts w:ascii="仿宋" w:hAnsi="仿宋" w:cs="仿宋" w:eastAsia="仿宋"/>
                      <w:sz w:val="21"/>
                    </w:rPr>
                    <w:t>8</w:t>
                  </w:r>
                  <w:r>
                    <w:rPr>
                      <w:rFonts w:ascii="仿宋" w:hAnsi="仿宋" w:cs="仿宋" w:eastAsia="仿宋"/>
                      <w:sz w:val="21"/>
                    </w:rPr>
                    <w:t>路输出；</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81</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失真度：≤</w:t>
                  </w:r>
                  <w:r>
                    <w:rPr>
                      <w:rFonts w:ascii="仿宋" w:hAnsi="仿宋" w:cs="仿宋" w:eastAsia="仿宋"/>
                      <w:sz w:val="21"/>
                    </w:rPr>
                    <w:t>0.008%</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82</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系统延时</w:t>
                  </w:r>
                  <w:r>
                    <w:rPr>
                      <w:rFonts w:ascii="仿宋" w:hAnsi="仿宋" w:cs="仿宋" w:eastAsia="仿宋"/>
                      <w:sz w:val="21"/>
                    </w:rPr>
                    <w:t xml:space="preserve">: </w:t>
                  </w:r>
                  <w:r>
                    <w:rPr>
                      <w:rFonts w:ascii="仿宋" w:hAnsi="仿宋" w:cs="仿宋" w:eastAsia="仿宋"/>
                      <w:sz w:val="21"/>
                    </w:rPr>
                    <w:t>≤</w:t>
                  </w:r>
                  <w:r>
                    <w:rPr>
                      <w:rFonts w:ascii="仿宋" w:hAnsi="仿宋" w:cs="仿宋" w:eastAsia="仿宋"/>
                      <w:sz w:val="21"/>
                    </w:rPr>
                    <w:t>1.4ms</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83</w:t>
                  </w:r>
                </w:p>
              </w:tc>
              <w:tc>
                <w:tcPr>
                  <w:tcW w:type="dxa" w:w="743"/>
                  <w:vMerge/>
                  <w:tcBorders>
                    <w:top w:val="none" w:color="000000" w:sz="4"/>
                    <w:left w:val="none" w:color="000000" w:sz="4"/>
                    <w:bottom w:val="single" w:color="000000" w:sz="4"/>
                    <w:right w:val="single" w:color="000000" w:sz="4"/>
                  </w:tcBorders>
                </w:tcP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麦克风</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1.48V</w:t>
                  </w:r>
                  <w:r>
                    <w:rPr>
                      <w:rFonts w:ascii="仿宋" w:hAnsi="仿宋" w:cs="仿宋" w:eastAsia="仿宋"/>
                      <w:sz w:val="21"/>
                    </w:rPr>
                    <w:t>电源</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r>
                    <w:rPr>
                      <w:rFonts w:ascii="仿宋" w:hAnsi="仿宋" w:cs="仿宋" w:eastAsia="仿宋"/>
                      <w:sz w:val="21"/>
                    </w:rPr>
                    <w:t>个</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84</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超心型指向</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85</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频率范围：≥</w:t>
                  </w:r>
                  <w:r>
                    <w:rPr>
                      <w:rFonts w:ascii="仿宋" w:hAnsi="仿宋" w:cs="仿宋" w:eastAsia="仿宋"/>
                      <w:sz w:val="21"/>
                    </w:rPr>
                    <w:t>50Hz-14KHz;</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86</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r>
                    <w:rPr>
                      <w:rFonts w:ascii="仿宋" w:hAnsi="仿宋" w:cs="仿宋" w:eastAsia="仿宋"/>
                      <w:sz w:val="21"/>
                    </w:rPr>
                    <w:t>设置在会议桌</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87</w:t>
                  </w:r>
                </w:p>
              </w:tc>
              <w:tc>
                <w:tcPr>
                  <w:tcW w:type="dxa" w:w="743"/>
                  <w:vMerge/>
                  <w:tcBorders>
                    <w:top w:val="none" w:color="000000" w:sz="4"/>
                    <w:left w:val="none" w:color="000000" w:sz="4"/>
                    <w:bottom w:val="single" w:color="000000" w:sz="4"/>
                    <w:right w:val="single" w:color="000000" w:sz="4"/>
                  </w:tcBorders>
                </w:tcP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无线话筒及支架</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全铝合金底座、一体成型枪式话筒杆；</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88</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装备防震拾音头；</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89</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采用触控式开关按键，定位精确；全金属方柱型话筒杆，内置金膜音头；</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90</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r>
                    <w:rPr>
                      <w:rFonts w:ascii="仿宋" w:hAnsi="仿宋" w:cs="仿宋" w:eastAsia="仿宋"/>
                      <w:sz w:val="21"/>
                    </w:rPr>
                    <w:t>频率响应至少支持：</w:t>
                  </w:r>
                  <w:r>
                    <w:rPr>
                      <w:rFonts w:ascii="仿宋" w:hAnsi="仿宋" w:cs="仿宋" w:eastAsia="仿宋"/>
                      <w:sz w:val="21"/>
                    </w:rPr>
                    <w:t>40Hz</w:t>
                  </w:r>
                  <w:r>
                    <w:rPr>
                      <w:rFonts w:ascii="仿宋" w:hAnsi="仿宋" w:cs="仿宋" w:eastAsia="仿宋"/>
                      <w:sz w:val="21"/>
                    </w:rPr>
                    <w:t>～</w:t>
                  </w:r>
                  <w:r>
                    <w:rPr>
                      <w:rFonts w:ascii="仿宋" w:hAnsi="仿宋" w:cs="仿宋" w:eastAsia="仿宋"/>
                      <w:sz w:val="21"/>
                    </w:rPr>
                    <w:t>20KHz</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91</w:t>
                  </w:r>
                </w:p>
              </w:tc>
              <w:tc>
                <w:tcPr>
                  <w:tcW w:type="dxa" w:w="743"/>
                  <w:vMerge/>
                  <w:tcBorders>
                    <w:top w:val="none" w:color="000000" w:sz="4"/>
                    <w:left w:val="none" w:color="000000" w:sz="4"/>
                    <w:bottom w:val="single" w:color="000000" w:sz="4"/>
                    <w:right w:val="single" w:color="000000" w:sz="4"/>
                  </w:tcBorders>
                </w:tcP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车内音响</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车内高保真视频会议音响系统，会议室内视频会议语音及轻音乐播放需效果良好，语言清晰、无失真、声压余量充分、声场分布均匀、无啸叫，声像定位正确</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92</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监听级音质</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93</w:t>
                  </w:r>
                </w:p>
              </w:tc>
              <w:tc>
                <w:tcPr>
                  <w:tcW w:type="dxa" w:w="743"/>
                  <w:vMerge/>
                  <w:tcBorders>
                    <w:top w:val="none" w:color="000000" w:sz="4"/>
                    <w:left w:val="none" w:color="000000" w:sz="4"/>
                    <w:bottom w:val="single" w:color="000000" w:sz="4"/>
                    <w:right w:val="single" w:color="000000" w:sz="4"/>
                  </w:tcBorders>
                </w:tcP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车外音响</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至少满足</w:t>
                  </w:r>
                  <w:r>
                    <w:rPr>
                      <w:rFonts w:ascii="仿宋" w:hAnsi="仿宋" w:cs="仿宋" w:eastAsia="仿宋"/>
                      <w:sz w:val="21"/>
                    </w:rPr>
                    <w:t>2</w:t>
                  </w:r>
                  <w:r>
                    <w:rPr>
                      <w:rFonts w:ascii="仿宋" w:hAnsi="仿宋" w:cs="仿宋" w:eastAsia="仿宋"/>
                      <w:sz w:val="21"/>
                    </w:rPr>
                    <w:t>路话筒输入及≥</w:t>
                  </w:r>
                  <w:r>
                    <w:rPr>
                      <w:rFonts w:ascii="仿宋" w:hAnsi="仿宋" w:cs="仿宋" w:eastAsia="仿宋"/>
                      <w:sz w:val="21"/>
                    </w:rPr>
                    <w:t>3</w:t>
                  </w:r>
                  <w:r>
                    <w:rPr>
                      <w:rFonts w:ascii="仿宋" w:hAnsi="仿宋" w:cs="仿宋" w:eastAsia="仿宋"/>
                      <w:sz w:val="21"/>
                    </w:rPr>
                    <w:t>路线路输入</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94</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具有高低音调节功能；</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95</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自动散热；</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96</w:t>
                  </w:r>
                </w:p>
              </w:tc>
              <w:tc>
                <w:tcPr>
                  <w:tcW w:type="dxa" w:w="743"/>
                  <w:vMerge/>
                  <w:tcBorders>
                    <w:top w:val="none" w:color="000000" w:sz="4"/>
                    <w:left w:val="none" w:color="000000" w:sz="4"/>
                    <w:bottom w:val="single" w:color="000000" w:sz="4"/>
                    <w:right w:val="single" w:color="000000" w:sz="4"/>
                  </w:tcBorders>
                </w:tcP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无线投屏器</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1.USB</w:t>
                  </w:r>
                  <w:r>
                    <w:rPr>
                      <w:rFonts w:ascii="仿宋" w:hAnsi="仿宋" w:cs="仿宋" w:eastAsia="仿宋"/>
                      <w:sz w:val="21"/>
                    </w:rPr>
                    <w:t>接口</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97</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支持一键投屏</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98</w:t>
                  </w: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集中控制系统</w:t>
                  </w: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▲集中控制主机</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1.RS232</w:t>
                  </w:r>
                  <w:r>
                    <w:rPr>
                      <w:rFonts w:ascii="仿宋" w:hAnsi="仿宋" w:cs="仿宋" w:eastAsia="仿宋"/>
                      <w:sz w:val="21"/>
                    </w:rPr>
                    <w:t>双向串行接口：不少于</w:t>
                  </w:r>
                  <w:r>
                    <w:rPr>
                      <w:rFonts w:ascii="仿宋" w:hAnsi="仿宋" w:cs="仿宋" w:eastAsia="仿宋"/>
                      <w:sz w:val="21"/>
                    </w:rPr>
                    <w:t>12</w:t>
                  </w:r>
                  <w:r>
                    <w:rPr>
                      <w:rFonts w:ascii="仿宋" w:hAnsi="仿宋" w:cs="仿宋" w:eastAsia="仿宋"/>
                      <w:sz w:val="21"/>
                    </w:rPr>
                    <w:t>路，可以控制现有任意具有</w:t>
                  </w:r>
                  <w:r>
                    <w:rPr>
                      <w:rFonts w:ascii="仿宋" w:hAnsi="仿宋" w:cs="仿宋" w:eastAsia="仿宋"/>
                      <w:sz w:val="21"/>
                    </w:rPr>
                    <w:t>RS232</w:t>
                  </w:r>
                  <w:r>
                    <w:rPr>
                      <w:rFonts w:ascii="仿宋" w:hAnsi="仿宋" w:cs="仿宋" w:eastAsia="仿宋"/>
                      <w:sz w:val="21"/>
                    </w:rPr>
                    <w:t>接口的设备，监控设备状态，通信波特率及数据格式任意可调；</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99</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2.RS485</w:t>
                  </w:r>
                  <w:r>
                    <w:rPr>
                      <w:rFonts w:ascii="仿宋" w:hAnsi="仿宋" w:cs="仿宋" w:eastAsia="仿宋"/>
                      <w:sz w:val="21"/>
                    </w:rPr>
                    <w:t>双向串行接口：不少于</w:t>
                  </w:r>
                  <w:r>
                    <w:rPr>
                      <w:rFonts w:ascii="仿宋" w:hAnsi="仿宋" w:cs="仿宋" w:eastAsia="仿宋"/>
                      <w:sz w:val="21"/>
                    </w:rPr>
                    <w:t>4</w:t>
                  </w:r>
                  <w:r>
                    <w:rPr>
                      <w:rFonts w:ascii="仿宋" w:hAnsi="仿宋" w:cs="仿宋" w:eastAsia="仿宋"/>
                      <w:sz w:val="21"/>
                    </w:rPr>
                    <w:t>路，可以控制现有任意具有</w:t>
                  </w:r>
                  <w:r>
                    <w:rPr>
                      <w:rFonts w:ascii="仿宋" w:hAnsi="仿宋" w:cs="仿宋" w:eastAsia="仿宋"/>
                      <w:sz w:val="21"/>
                    </w:rPr>
                    <w:t>RS485</w:t>
                  </w:r>
                  <w:r>
                    <w:rPr>
                      <w:rFonts w:ascii="仿宋" w:hAnsi="仿宋" w:cs="仿宋" w:eastAsia="仿宋"/>
                      <w:sz w:val="21"/>
                    </w:rPr>
                    <w:t>接口的设备，监控设备状态，通信波特率及数据格式任意可调；</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100</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触控终端：可支持系统控制器；支持多终端同时控制，最大支持数量不小于</w:t>
                  </w:r>
                  <w:r>
                    <w:rPr>
                      <w:rFonts w:ascii="仿宋" w:hAnsi="仿宋" w:cs="仿宋" w:eastAsia="仿宋"/>
                      <w:sz w:val="21"/>
                    </w:rPr>
                    <w:t>4</w:t>
                  </w:r>
                  <w:r>
                    <w:rPr>
                      <w:rFonts w:ascii="仿宋" w:hAnsi="仿宋" w:cs="仿宋" w:eastAsia="仿宋"/>
                      <w:sz w:val="21"/>
                    </w:rPr>
                    <w:t>个。</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101</w:t>
                  </w:r>
                </w:p>
              </w:tc>
              <w:tc>
                <w:tcPr>
                  <w:tcW w:type="dxa" w:w="743"/>
                  <w:vMerge/>
                  <w:tcBorders>
                    <w:top w:val="none" w:color="000000" w:sz="4"/>
                    <w:left w:val="none" w:color="000000" w:sz="4"/>
                    <w:bottom w:val="single" w:color="000000" w:sz="4"/>
                    <w:right w:val="single" w:color="000000" w:sz="4"/>
                  </w:tcBorders>
                </w:tcP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控制软件</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支持多终端同时控制，最大支持数量不小于</w:t>
                  </w:r>
                  <w:r>
                    <w:rPr>
                      <w:rFonts w:ascii="仿宋" w:hAnsi="仿宋" w:cs="仿宋" w:eastAsia="仿宋"/>
                      <w:sz w:val="21"/>
                    </w:rPr>
                    <w:t>4</w:t>
                  </w:r>
                  <w:r>
                    <w:rPr>
                      <w:rFonts w:ascii="仿宋" w:hAnsi="仿宋" w:cs="仿宋" w:eastAsia="仿宋"/>
                      <w:sz w:val="21"/>
                    </w:rPr>
                    <w:t>个；</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102</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可控制调节整车主要设备，包括但不限于：各种通信设备、音视频设备、照明设备等；</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103</w:t>
                  </w:r>
                </w:p>
              </w:tc>
              <w:tc>
                <w:tcPr>
                  <w:tcW w:type="dxa" w:w="743"/>
                  <w:vMerge/>
                  <w:tcBorders>
                    <w:top w:val="none" w:color="000000" w:sz="4"/>
                    <w:left w:val="none" w:color="000000" w:sz="4"/>
                    <w:bottom w:val="single" w:color="000000" w:sz="4"/>
                    <w:right w:val="single" w:color="000000" w:sz="4"/>
                  </w:tcBorders>
                </w:tcP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无线控制终端</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屏幕及尺寸：无线彩色触摸屏，尺寸≥</w:t>
                  </w:r>
                  <w:r>
                    <w:rPr>
                      <w:rFonts w:ascii="仿宋" w:hAnsi="仿宋" w:cs="仿宋" w:eastAsia="仿宋"/>
                      <w:sz w:val="21"/>
                    </w:rPr>
                    <w:t>10</w:t>
                  </w:r>
                  <w:r>
                    <w:rPr>
                      <w:rFonts w:ascii="仿宋" w:hAnsi="仿宋" w:cs="仿宋" w:eastAsia="仿宋"/>
                      <w:sz w:val="21"/>
                    </w:rPr>
                    <w:t>英寸</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104</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系统内存：≥</w:t>
                  </w:r>
                  <w:r>
                    <w:rPr>
                      <w:rFonts w:ascii="仿宋" w:hAnsi="仿宋" w:cs="仿宋" w:eastAsia="仿宋"/>
                      <w:sz w:val="21"/>
                    </w:rPr>
                    <w:t>8G</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105</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屏幕分辨率：≥</w:t>
                  </w:r>
                  <w:r>
                    <w:rPr>
                      <w:rFonts w:ascii="仿宋" w:hAnsi="仿宋" w:cs="仿宋" w:eastAsia="仿宋"/>
                      <w:sz w:val="21"/>
                    </w:rPr>
                    <w:t>2048x1536</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106</w:t>
                  </w: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供配电系统</w:t>
                  </w: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UPS</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输入电压范围</w:t>
                  </w:r>
                  <w:r>
                    <w:rPr>
                      <w:rFonts w:ascii="仿宋" w:hAnsi="仿宋" w:cs="仿宋" w:eastAsia="仿宋"/>
                      <w:sz w:val="21"/>
                    </w:rPr>
                    <w:t>110-300Vac</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107</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波形失真正弦波</w:t>
                  </w:r>
                  <w:r>
                    <w:rPr>
                      <w:rFonts w:ascii="仿宋" w:hAnsi="仿宋" w:cs="仿宋" w:eastAsia="仿宋"/>
                      <w:sz w:val="21"/>
                    </w:rPr>
                    <w:t>THDv</w:t>
                  </w:r>
                  <w:r>
                    <w:rPr>
                      <w:rFonts w:ascii="仿宋" w:hAnsi="仿宋" w:cs="仿宋" w:eastAsia="仿宋"/>
                      <w:sz w:val="21"/>
                    </w:rPr>
                    <w:t>≤</w:t>
                  </w:r>
                  <w:r>
                    <w:rPr>
                      <w:rFonts w:ascii="仿宋" w:hAnsi="仿宋" w:cs="仿宋" w:eastAsia="仿宋"/>
                      <w:sz w:val="21"/>
                    </w:rPr>
                    <w:t>3%</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108</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额定容量</w:t>
                  </w:r>
                  <w:r>
                    <w:rPr>
                      <w:rFonts w:ascii="仿宋" w:hAnsi="仿宋" w:cs="仿宋" w:eastAsia="仿宋"/>
                      <w:sz w:val="21"/>
                    </w:rPr>
                    <w:t>(kVA/kW):3/2.4</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109</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r>
                    <w:rPr>
                      <w:rFonts w:ascii="仿宋" w:hAnsi="仿宋" w:cs="仿宋" w:eastAsia="仿宋"/>
                      <w:sz w:val="21"/>
                    </w:rPr>
                    <w:t>输出插座</w:t>
                  </w:r>
                  <w:r>
                    <w:rPr>
                      <w:rFonts w:ascii="仿宋" w:hAnsi="仿宋" w:cs="仿宋" w:eastAsia="仿宋"/>
                      <w:sz w:val="21"/>
                    </w:rPr>
                    <w:t>:</w:t>
                  </w:r>
                  <w:r>
                    <w:rPr>
                      <w:rFonts w:ascii="仿宋" w:hAnsi="仿宋" w:cs="仿宋" w:eastAsia="仿宋"/>
                      <w:sz w:val="21"/>
                    </w:rPr>
                    <w:t>至少</w:t>
                  </w:r>
                  <w:r>
                    <w:rPr>
                      <w:rFonts w:ascii="仿宋" w:hAnsi="仿宋" w:cs="仿宋" w:eastAsia="仿宋"/>
                      <w:sz w:val="21"/>
                    </w:rPr>
                    <w:t>3</w:t>
                  </w:r>
                  <w:r>
                    <w:rPr>
                      <w:rFonts w:ascii="仿宋" w:hAnsi="仿宋" w:cs="仿宋" w:eastAsia="仿宋"/>
                      <w:sz w:val="21"/>
                    </w:rPr>
                    <w:t>路</w:t>
                  </w:r>
                  <w:r>
                    <w:rPr>
                      <w:rFonts w:ascii="仿宋" w:hAnsi="仿宋" w:cs="仿宋" w:eastAsia="仿宋"/>
                      <w:sz w:val="21"/>
                    </w:rPr>
                    <w:t>10A</w:t>
                  </w:r>
                  <w:r>
                    <w:rPr>
                      <w:rFonts w:ascii="仿宋" w:hAnsi="仿宋" w:cs="仿宋" w:eastAsia="仿宋"/>
                      <w:sz w:val="21"/>
                    </w:rPr>
                    <w:t>插座</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110</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r>
                    <w:rPr>
                      <w:rFonts w:ascii="仿宋" w:hAnsi="仿宋" w:cs="仿宋" w:eastAsia="仿宋"/>
                      <w:sz w:val="21"/>
                    </w:rPr>
                    <w:t>电池至少满足</w:t>
                  </w:r>
                  <w:r>
                    <w:rPr>
                      <w:rFonts w:ascii="仿宋" w:hAnsi="仿宋" w:cs="仿宋" w:eastAsia="仿宋"/>
                      <w:sz w:val="21"/>
                    </w:rPr>
                    <w:t>10</w:t>
                  </w:r>
                  <w:r>
                    <w:rPr>
                      <w:rFonts w:ascii="仿宋" w:hAnsi="仿宋" w:cs="仿宋" w:eastAsia="仿宋"/>
                      <w:sz w:val="21"/>
                    </w:rPr>
                    <w:t>分钟后备</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111</w:t>
                  </w:r>
                </w:p>
              </w:tc>
              <w:tc>
                <w:tcPr>
                  <w:tcW w:type="dxa" w:w="743"/>
                  <w:vMerge/>
                  <w:tcBorders>
                    <w:top w:val="none" w:color="000000" w:sz="4"/>
                    <w:left w:val="none" w:color="000000" w:sz="4"/>
                    <w:bottom w:val="single" w:color="000000" w:sz="4"/>
                    <w:right w:val="single" w:color="000000" w:sz="4"/>
                  </w:tcBorders>
                </w:tcP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发电机</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发电机额定功率发电机功率在满足全部设备功耗后冗余不低于</w:t>
                  </w:r>
                  <w:r>
                    <w:rPr>
                      <w:rFonts w:ascii="仿宋" w:hAnsi="仿宋" w:cs="仿宋" w:eastAsia="仿宋"/>
                      <w:sz w:val="21"/>
                    </w:rPr>
                    <w:t>30%</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112</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输出电压</w:t>
                  </w:r>
                  <w:r>
                    <w:rPr>
                      <w:rFonts w:ascii="仿宋" w:hAnsi="仿宋" w:cs="仿宋" w:eastAsia="仿宋"/>
                      <w:sz w:val="21"/>
                    </w:rPr>
                    <w:t>(</w:t>
                  </w:r>
                  <w:r>
                    <w:rPr>
                      <w:rFonts w:ascii="仿宋" w:hAnsi="仿宋" w:cs="仿宋" w:eastAsia="仿宋"/>
                      <w:sz w:val="21"/>
                    </w:rPr>
                    <w:t>单相</w:t>
                  </w:r>
                  <w:r>
                    <w:rPr>
                      <w:rFonts w:ascii="仿宋" w:hAnsi="仿宋" w:cs="仿宋" w:eastAsia="仿宋"/>
                      <w:sz w:val="21"/>
                    </w:rPr>
                    <w:t>)225Vac</w:t>
                  </w:r>
                  <w:r>
                    <w:rPr>
                      <w:rFonts w:ascii="仿宋" w:hAnsi="仿宋" w:cs="仿宋" w:eastAsia="仿宋"/>
                      <w:sz w:val="21"/>
                    </w:rPr>
                    <w:t>±</w:t>
                  </w:r>
                  <w:r>
                    <w:rPr>
                      <w:rFonts w:ascii="仿宋" w:hAnsi="仿宋" w:cs="仿宋" w:eastAsia="仿宋"/>
                      <w:sz w:val="21"/>
                    </w:rPr>
                    <w:t>3%</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113</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r>
                    <w:rPr>
                      <w:rFonts w:ascii="仿宋" w:hAnsi="仿宋" w:cs="仿宋" w:eastAsia="仿宋"/>
                      <w:sz w:val="21"/>
                    </w:rPr>
                    <w:t>输出频率：</w:t>
                  </w:r>
                  <w:r>
                    <w:rPr>
                      <w:rFonts w:ascii="仿宋" w:hAnsi="仿宋" w:cs="仿宋" w:eastAsia="仿宋"/>
                      <w:sz w:val="21"/>
                    </w:rPr>
                    <w:t>50Hz</w:t>
                  </w:r>
                  <w:r>
                    <w:rPr>
                      <w:rFonts w:ascii="仿宋" w:hAnsi="仿宋" w:cs="仿宋" w:eastAsia="仿宋"/>
                      <w:sz w:val="21"/>
                    </w:rPr>
                    <w:t>±</w:t>
                  </w:r>
                  <w:r>
                    <w:rPr>
                      <w:rFonts w:ascii="仿宋" w:hAnsi="仿宋" w:cs="仿宋" w:eastAsia="仿宋"/>
                      <w:sz w:val="21"/>
                    </w:rPr>
                    <w:t>0.1%</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114</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r>
                    <w:rPr>
                      <w:rFonts w:ascii="仿宋" w:hAnsi="仿宋" w:cs="仿宋" w:eastAsia="仿宋"/>
                      <w:sz w:val="21"/>
                    </w:rPr>
                    <w:t>功率因数≥</w:t>
                  </w:r>
                  <w:r>
                    <w:rPr>
                      <w:rFonts w:ascii="仿宋" w:hAnsi="仿宋" w:cs="仿宋" w:eastAsia="仿宋"/>
                      <w:sz w:val="21"/>
                    </w:rPr>
                    <w:t>0.9</w:t>
                  </w:r>
                  <w:r>
                    <w:rPr>
                      <w:rFonts w:ascii="仿宋" w:hAnsi="仿宋" w:cs="仿宋" w:eastAsia="仿宋"/>
                      <w:sz w:val="21"/>
                    </w:rPr>
                    <w:t>；空载和负载谐波失真率：≤</w:t>
                  </w:r>
                  <w:r>
                    <w:rPr>
                      <w:rFonts w:ascii="仿宋" w:hAnsi="仿宋" w:cs="仿宋" w:eastAsia="仿宋"/>
                      <w:sz w:val="21"/>
                    </w:rPr>
                    <w:t>2%</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115</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r>
                    <w:rPr>
                      <w:rFonts w:ascii="仿宋" w:hAnsi="仿宋" w:cs="仿宋" w:eastAsia="仿宋"/>
                      <w:sz w:val="21"/>
                    </w:rPr>
                    <w:t>运行环境：满足</w:t>
                  </w:r>
                  <w:r>
                    <w:rPr>
                      <w:rFonts w:ascii="仿宋" w:hAnsi="仿宋" w:cs="仿宋" w:eastAsia="仿宋"/>
                      <w:sz w:val="21"/>
                    </w:rPr>
                    <w:t>-45</w:t>
                  </w:r>
                  <w:r>
                    <w:rPr>
                      <w:rFonts w:ascii="仿宋" w:hAnsi="仿宋" w:cs="仿宋" w:eastAsia="仿宋"/>
                      <w:sz w:val="21"/>
                    </w:rPr>
                    <w:t>℃到</w:t>
                  </w:r>
                  <w:r>
                    <w:rPr>
                      <w:rFonts w:ascii="仿宋" w:hAnsi="仿宋" w:cs="仿宋" w:eastAsia="仿宋"/>
                      <w:sz w:val="21"/>
                    </w:rPr>
                    <w:t>+60</w:t>
                  </w:r>
                  <w:r>
                    <w:rPr>
                      <w:rFonts w:ascii="仿宋" w:hAnsi="仿宋" w:cs="仿宋" w:eastAsia="仿宋"/>
                      <w:sz w:val="21"/>
                    </w:rPr>
                    <w:t>℃条件下</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116</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w:t>
                  </w:r>
                  <w:r>
                    <w:rPr>
                      <w:rFonts w:ascii="仿宋" w:hAnsi="仿宋" w:cs="仿宋" w:eastAsia="仿宋"/>
                      <w:sz w:val="21"/>
                    </w:rPr>
                    <w:t>系统输出：单相</w:t>
                  </w:r>
                  <w:r>
                    <w:rPr>
                      <w:rFonts w:ascii="仿宋" w:hAnsi="仿宋" w:cs="仿宋" w:eastAsia="仿宋"/>
                      <w:sz w:val="21"/>
                    </w:rPr>
                    <w:t>220V</w:t>
                  </w:r>
                  <w:r>
                    <w:rPr>
                      <w:rFonts w:ascii="仿宋" w:hAnsi="仿宋" w:cs="仿宋" w:eastAsia="仿宋"/>
                      <w:sz w:val="21"/>
                    </w:rPr>
                    <w:t>交流电</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117</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w:t>
                  </w:r>
                  <w:r>
                    <w:rPr>
                      <w:rFonts w:ascii="仿宋" w:hAnsi="仿宋" w:cs="仿宋" w:eastAsia="仿宋"/>
                      <w:sz w:val="21"/>
                    </w:rPr>
                    <w:t>噪音等级：</w:t>
                  </w:r>
                  <w:r>
                    <w:rPr>
                      <w:rFonts w:ascii="仿宋" w:hAnsi="仿宋" w:cs="仿宋" w:eastAsia="仿宋"/>
                      <w:sz w:val="21"/>
                    </w:rPr>
                    <w:t>3</w:t>
                  </w:r>
                  <w:r>
                    <w:rPr>
                      <w:rFonts w:ascii="仿宋" w:hAnsi="仿宋" w:cs="仿宋" w:eastAsia="仿宋"/>
                      <w:sz w:val="21"/>
                    </w:rPr>
                    <w:t>米处≤</w:t>
                  </w:r>
                  <w:r>
                    <w:rPr>
                      <w:rFonts w:ascii="仿宋" w:hAnsi="仿宋" w:cs="仿宋" w:eastAsia="仿宋"/>
                      <w:sz w:val="21"/>
                    </w:rPr>
                    <w:t>64dB(A)</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118</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▲防雷接地系统</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防雷等级≥</w:t>
                  </w:r>
                  <w:r>
                    <w:rPr>
                      <w:rFonts w:ascii="仿宋" w:hAnsi="仿宋" w:cs="仿宋" w:eastAsia="仿宋"/>
                      <w:sz w:val="21"/>
                    </w:rPr>
                    <w:t>C</w:t>
                  </w:r>
                  <w:r>
                    <w:rPr>
                      <w:rFonts w:ascii="仿宋" w:hAnsi="仿宋" w:cs="仿宋" w:eastAsia="仿宋"/>
                      <w:sz w:val="21"/>
                    </w:rPr>
                    <w:t>级，保护车内设备</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119</w:t>
                  </w:r>
                </w:p>
              </w:tc>
              <w:tc>
                <w:tcPr>
                  <w:tcW w:type="dxa" w:w="743"/>
                  <w:vMerge/>
                  <w:tcBorders>
                    <w:top w:val="none" w:color="000000" w:sz="4"/>
                    <w:left w:val="none" w:color="000000" w:sz="4"/>
                    <w:bottom w:val="single" w:color="000000" w:sz="4"/>
                    <w:right w:val="single" w:color="000000" w:sz="4"/>
                  </w:tcBorders>
                </w:tcPr>
                <w:p/>
              </w:tc>
              <w:tc>
                <w:tcPr>
                  <w:tcW w:type="dxa" w:w="74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外接电源电缆</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长度：≥</w:t>
                  </w:r>
                  <w:r>
                    <w:rPr>
                      <w:rFonts w:ascii="仿宋" w:hAnsi="仿宋" w:cs="仿宋" w:eastAsia="仿宋"/>
                      <w:sz w:val="21"/>
                    </w:rPr>
                    <w:t>50</w:t>
                  </w:r>
                  <w:r>
                    <w:rPr>
                      <w:rFonts w:ascii="仿宋" w:hAnsi="仿宋" w:cs="仿宋" w:eastAsia="仿宋"/>
                      <w:sz w:val="21"/>
                    </w:rPr>
                    <w:t>米</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120</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r>
                    <w:rPr>
                      <w:rFonts w:ascii="仿宋" w:hAnsi="仿宋" w:cs="仿宋" w:eastAsia="仿宋"/>
                      <w:sz w:val="21"/>
                    </w:rPr>
                    <w:t>规格：截面积流量满足整车最大负载，且可保证长时间运行；</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121</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r>
                    <w:rPr>
                      <w:rFonts w:ascii="仿宋" w:hAnsi="仿宋" w:cs="仿宋" w:eastAsia="仿宋"/>
                      <w:sz w:val="21"/>
                    </w:rPr>
                    <w:t>接头防护等级：≥</w:t>
                  </w:r>
                  <w:r>
                    <w:rPr>
                      <w:rFonts w:ascii="仿宋" w:hAnsi="仿宋" w:cs="仿宋" w:eastAsia="仿宋"/>
                      <w:sz w:val="21"/>
                    </w:rPr>
                    <w:t>IP44</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122</w:t>
                  </w:r>
                </w:p>
              </w:tc>
              <w:tc>
                <w:tcPr>
                  <w:tcW w:type="dxa" w:w="743"/>
                  <w:vMerge/>
                  <w:tcBorders>
                    <w:top w:val="none" w:color="000000" w:sz="4"/>
                    <w:left w:val="none" w:color="000000" w:sz="4"/>
                    <w:bottom w:val="single" w:color="000000" w:sz="4"/>
                    <w:right w:val="single" w:color="000000" w:sz="4"/>
                  </w:tcBorders>
                </w:tcPr>
                <w:p/>
              </w:tc>
              <w:tc>
                <w:tcPr>
                  <w:tcW w:type="dxa" w:w="743"/>
                  <w:vMerge/>
                  <w:tcBorders>
                    <w:top w:val="none" w:color="000000" w:sz="4"/>
                    <w:left w:val="none" w:color="000000" w:sz="4"/>
                    <w:bottom w:val="single" w:color="000000" w:sz="4"/>
                    <w:right w:val="single" w:color="000000" w:sz="4"/>
                  </w:tcBorders>
                </w:tcP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r>
                    <w:rPr>
                      <w:rFonts w:ascii="仿宋" w:hAnsi="仿宋" w:cs="仿宋" w:eastAsia="仿宋"/>
                      <w:sz w:val="21"/>
                    </w:rPr>
                    <w:t>配备绞盘</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123</w:t>
                  </w:r>
                </w:p>
              </w:tc>
              <w:tc>
                <w:tcPr>
                  <w:tcW w:type="dxa" w:w="743"/>
                  <w:vMerge/>
                  <w:tcBorders>
                    <w:top w:val="none" w:color="000000" w:sz="4"/>
                    <w:left w:val="none" w:color="000000" w:sz="4"/>
                    <w:bottom w:val="single" w:color="000000" w:sz="4"/>
                    <w:right w:val="single" w:color="000000" w:sz="4"/>
                  </w:tcBorders>
                </w:tcP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外接面板</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至少具备适配车载设备的电源、视频、音频、网络等接口</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124</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自组网系统</w:t>
                  </w:r>
                </w:p>
              </w:tc>
              <w:tc>
                <w:tcPr>
                  <w:tcW w:type="dxa" w:w="7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★自组网系统</w:t>
                  </w:r>
                </w:p>
              </w:tc>
              <w:tc>
                <w:tcPr>
                  <w:tcW w:type="dxa" w:w="29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可在失去公网的极端环境下，利用</w:t>
                  </w:r>
                  <w:r>
                    <w:rPr>
                      <w:rFonts w:ascii="仿宋" w:hAnsi="仿宋" w:cs="仿宋" w:eastAsia="仿宋"/>
                      <w:sz w:val="21"/>
                    </w:rPr>
                    <w:t>Mesh</w:t>
                  </w:r>
                  <w:r>
                    <w:rPr>
                      <w:rFonts w:ascii="仿宋" w:hAnsi="仿宋" w:cs="仿宋" w:eastAsia="仿宋"/>
                      <w:sz w:val="21"/>
                    </w:rPr>
                    <w:t>，搭配背负台、手持终端及配套指挥调度平台，为指挥车提供指挥调度不少于</w:t>
                  </w:r>
                  <w:r>
                    <w:rPr>
                      <w:rFonts w:ascii="仿宋" w:hAnsi="仿宋" w:cs="仿宋" w:eastAsia="仿宋"/>
                      <w:sz w:val="21"/>
                    </w:rPr>
                    <w:t>8</w:t>
                  </w:r>
                  <w:r>
                    <w:rPr>
                      <w:rFonts w:ascii="仿宋" w:hAnsi="仿宋" w:cs="仿宋" w:eastAsia="仿宋"/>
                      <w:sz w:val="21"/>
                    </w:rPr>
                    <w:t>个前线抢险单元的条件；各抢险单元及指挥车的间隔距离≥</w:t>
                  </w:r>
                  <w:r>
                    <w:rPr>
                      <w:rFonts w:ascii="仿宋" w:hAnsi="仿宋" w:cs="仿宋" w:eastAsia="仿宋"/>
                      <w:sz w:val="21"/>
                    </w:rPr>
                    <w:t>2km</w:t>
                  </w:r>
                  <w:r>
                    <w:rPr>
                      <w:rFonts w:ascii="仿宋" w:hAnsi="仿宋" w:cs="仿宋" w:eastAsia="仿宋"/>
                      <w:sz w:val="21"/>
                    </w:rPr>
                    <w:t>。</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套</w:t>
                  </w: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标的名称：挡水板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38"/>
              <w:gridCol w:w="663"/>
              <w:gridCol w:w="950"/>
              <w:gridCol w:w="2598"/>
              <w:gridCol w:w="605"/>
            </w:tblGrid>
            <w:tr>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6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项目类型</w:t>
                  </w:r>
                </w:p>
              </w:tc>
              <w:tc>
                <w:tcPr>
                  <w:tcW w:type="dxa" w:w="9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25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p>
              </w:tc>
              <w:tc>
                <w:tcPr>
                  <w:tcW w:type="dxa" w:w="6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整体结构</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产品结构</w:t>
                  </w:r>
                </w:p>
              </w:tc>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曲面</w:t>
                  </w:r>
                  <w:r>
                    <w:rPr>
                      <w:rFonts w:ascii="仿宋" w:hAnsi="仿宋" w:cs="仿宋" w:eastAsia="仿宋"/>
                      <w:sz w:val="21"/>
                    </w:rPr>
                    <w:t>L型结构</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p>
              </w:tc>
              <w:tc>
                <w:tcPr>
                  <w:tcW w:type="dxa" w:w="663"/>
                  <w:vMerge/>
                  <w:tcBorders>
                    <w:top w:val="none" w:color="000000" w:sz="4"/>
                    <w:left w:val="single" w:color="000000" w:sz="4"/>
                    <w:bottom w:val="single" w:color="000000" w:sz="4"/>
                    <w:right w:val="single" w:color="000000" w:sz="4"/>
                  </w:tcBorders>
                </w:tc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拼接方式</w:t>
                  </w:r>
                </w:p>
              </w:tc>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弹簧锁扣式</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p>
              </w:tc>
              <w:tc>
                <w:tcPr>
                  <w:tcW w:type="dxa" w:w="663"/>
                  <w:vMerge/>
                  <w:tcBorders>
                    <w:top w:val="none" w:color="000000" w:sz="4"/>
                    <w:left w:val="single" w:color="000000" w:sz="4"/>
                    <w:bottom w:val="single" w:color="000000" w:sz="4"/>
                    <w:right w:val="single" w:color="000000" w:sz="4"/>
                  </w:tcBorders>
                </w:tc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底部</w:t>
                  </w:r>
                </w:p>
              </w:tc>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可拆卸柔性材料的鱼鳍式防渗件</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p>
              </w:tc>
              <w:tc>
                <w:tcPr>
                  <w:tcW w:type="dxa" w:w="663"/>
                  <w:vMerge/>
                  <w:tcBorders>
                    <w:top w:val="none" w:color="000000" w:sz="4"/>
                    <w:left w:val="single" w:color="000000" w:sz="4"/>
                    <w:bottom w:val="single" w:color="000000" w:sz="4"/>
                    <w:right w:val="single" w:color="000000" w:sz="4"/>
                  </w:tcBorders>
                </w:tc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背部</w:t>
                  </w:r>
                </w:p>
              </w:tc>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可拆卸防风支撑稳定结构</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p>
              </w:tc>
              <w:tc>
                <w:tcPr>
                  <w:tcW w:type="dxa" w:w="663"/>
                  <w:vMerge/>
                  <w:tcBorders>
                    <w:top w:val="none" w:color="000000" w:sz="4"/>
                    <w:left w:val="single" w:color="000000" w:sz="4"/>
                    <w:bottom w:val="single" w:color="000000" w:sz="4"/>
                    <w:right w:val="single" w:color="000000" w:sz="4"/>
                  </w:tcBorders>
                </w:tc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尺寸</w:t>
                  </w:r>
                </w:p>
              </w:tc>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≥高100CM*宽100CM*底长104CM（不含鱼鳍）</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w:t>
                  </w:r>
                </w:p>
              </w:tc>
              <w:tc>
                <w:tcPr>
                  <w:tcW w:type="dxa" w:w="663"/>
                  <w:vMerge/>
                  <w:tcBorders>
                    <w:top w:val="none" w:color="000000" w:sz="4"/>
                    <w:left w:val="single" w:color="000000" w:sz="4"/>
                    <w:bottom w:val="single" w:color="000000" w:sz="4"/>
                    <w:right w:val="single" w:color="000000" w:sz="4"/>
                  </w:tcBorders>
                </w:tc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重量</w:t>
                  </w:r>
                </w:p>
              </w:tc>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≤14KG</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w:t>
                  </w:r>
                </w:p>
              </w:tc>
              <w:tc>
                <w:tcPr>
                  <w:tcW w:type="dxa" w:w="663"/>
                  <w:vMerge/>
                  <w:tcBorders>
                    <w:top w:val="none" w:color="000000" w:sz="4"/>
                    <w:left w:val="single" w:color="000000" w:sz="4"/>
                    <w:bottom w:val="single" w:color="000000" w:sz="4"/>
                    <w:right w:val="single" w:color="000000" w:sz="4"/>
                  </w:tcBorders>
                </w:tc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平均厚度</w:t>
                  </w:r>
                </w:p>
              </w:tc>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≥5MM</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w:t>
                  </w:r>
                </w:p>
              </w:tc>
              <w:tc>
                <w:tcPr>
                  <w:tcW w:type="dxa" w:w="663"/>
                  <w:vMerge/>
                  <w:tcBorders>
                    <w:top w:val="none" w:color="000000" w:sz="4"/>
                    <w:left w:val="single" w:color="000000" w:sz="4"/>
                    <w:bottom w:val="single" w:color="000000" w:sz="4"/>
                    <w:right w:val="single" w:color="000000" w:sz="4"/>
                  </w:tcBorders>
                </w:tc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材质</w:t>
                  </w:r>
                </w:p>
              </w:tc>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高聚酯</w:t>
                  </w:r>
                  <w:r>
                    <w:rPr>
                      <w:rFonts w:ascii="仿宋" w:hAnsi="仿宋" w:cs="仿宋" w:eastAsia="仿宋"/>
                      <w:sz w:val="21"/>
                    </w:rPr>
                    <w:t>ABS材料</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w:t>
                  </w:r>
                </w:p>
              </w:tc>
              <w:tc>
                <w:tcPr>
                  <w:tcW w:type="dxa" w:w="6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功能要求</w:t>
                  </w: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底部防滑条</w:t>
                  </w:r>
                </w:p>
              </w:tc>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w:t>
                  </w:r>
                </w:p>
              </w:tc>
              <w:tc>
                <w:tcPr>
                  <w:tcW w:type="dxa" w:w="663"/>
                  <w:vMerge/>
                  <w:tcBorders>
                    <w:top w:val="none" w:color="000000" w:sz="4"/>
                    <w:left w:val="single" w:color="000000" w:sz="4"/>
                    <w:bottom w:val="single" w:color="000000" w:sz="4"/>
                    <w:right w:val="single" w:color="000000" w:sz="4"/>
                  </w:tcBorders>
                </w:tc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底部阻水胶条</w:t>
                  </w:r>
                </w:p>
              </w:tc>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11</w:t>
                  </w:r>
                </w:p>
              </w:tc>
              <w:tc>
                <w:tcPr>
                  <w:tcW w:type="dxa" w:w="663"/>
                  <w:vMerge/>
                  <w:tcBorders>
                    <w:top w:val="none" w:color="000000" w:sz="4"/>
                    <w:left w:val="single" w:color="000000" w:sz="4"/>
                    <w:bottom w:val="single" w:color="000000" w:sz="4"/>
                    <w:right w:val="single" w:color="000000" w:sz="4"/>
                  </w:tcBorders>
                </w:tc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有效阻水高度</w:t>
                  </w:r>
                </w:p>
              </w:tc>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≥100CM</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12</w:t>
                  </w:r>
                </w:p>
              </w:tc>
              <w:tc>
                <w:tcPr>
                  <w:tcW w:type="dxa" w:w="663"/>
                  <w:vMerge/>
                  <w:tcBorders>
                    <w:top w:val="none" w:color="000000" w:sz="4"/>
                    <w:left w:val="single" w:color="000000" w:sz="4"/>
                    <w:bottom w:val="single" w:color="000000" w:sz="4"/>
                    <w:right w:val="single" w:color="000000" w:sz="4"/>
                  </w:tcBorders>
                </w:tcPr>
                <w:p/>
              </w:tc>
              <w:tc>
                <w:tcPr>
                  <w:tcW w:type="dxa" w:w="9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防风撑杆</w:t>
                  </w:r>
                </w:p>
              </w:tc>
              <w:tc>
                <w:tcPr>
                  <w:tcW w:type="dxa" w:w="25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w:t>
                  </w:r>
                </w:p>
              </w:tc>
              <w:tc>
                <w:tcPr>
                  <w:tcW w:type="dxa" w:w="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ind w:firstLine="480"/>
              <w:jc w:val="both"/>
            </w:pPr>
          </w:p>
        </w:tc>
      </w:tr>
    </w:tbl>
    <w:p>
      <w:pPr>
        <w:pStyle w:val="null3"/>
        <w:jc w:val="left"/>
      </w:pPr>
      <w:r>
        <w:rPr/>
        <w:t>标的名称：便携式轻便工作灯</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53"/>
              <w:gridCol w:w="1229"/>
              <w:gridCol w:w="3396"/>
              <w:gridCol w:w="519"/>
            </w:tblGrid>
            <w:tr>
              <w:tc>
                <w:tcPr>
                  <w:tcW w:type="dxa" w:w="4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1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33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5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功能</w:t>
                  </w:r>
                </w:p>
              </w:tc>
              <w:tc>
                <w:tcPr>
                  <w:tcW w:type="dxa" w:w="3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1.一体化设计，可折叠收起放置，可手提或拖行；</w:t>
                  </w:r>
                </w:p>
                <w:p>
                  <w:pPr>
                    <w:pStyle w:val="null3"/>
                    <w:jc w:val="left"/>
                  </w:pPr>
                  <w:r>
                    <w:rPr>
                      <w:rFonts w:ascii="仿宋" w:hAnsi="仿宋" w:cs="仿宋" w:eastAsia="仿宋"/>
                      <w:sz w:val="21"/>
                    </w:rPr>
                    <w:t>2.具有聚光、泛光工作模式，可以单独开启或关闭，并可通过控制面板的按键进行模式的切换</w:t>
                  </w:r>
                  <w:r>
                    <w:rPr>
                      <w:rFonts w:ascii="仿宋" w:hAnsi="仿宋" w:cs="仿宋" w:eastAsia="仿宋"/>
                      <w:sz w:val="21"/>
                    </w:rPr>
                    <w:t>；</w:t>
                  </w:r>
                </w:p>
                <w:p>
                  <w:pPr>
                    <w:pStyle w:val="null3"/>
                    <w:jc w:val="left"/>
                  </w:pPr>
                  <w:r>
                    <w:rPr>
                      <w:rFonts w:ascii="仿宋" w:hAnsi="仿宋" w:cs="仿宋" w:eastAsia="仿宋"/>
                      <w:sz w:val="21"/>
                    </w:rPr>
                    <w:t>3.充电使用；</w:t>
                  </w:r>
                </w:p>
                <w:p>
                  <w:pPr>
                    <w:pStyle w:val="null3"/>
                    <w:jc w:val="left"/>
                  </w:pPr>
                  <w:r>
                    <w:rPr>
                      <w:rFonts w:ascii="仿宋" w:hAnsi="仿宋" w:cs="仿宋" w:eastAsia="仿宋"/>
                      <w:sz w:val="21"/>
                    </w:rPr>
                    <w:t>4.用于抢险救援现场应急照明，具备红蓝交替闪烁式警示灯；</w:t>
                  </w:r>
                </w:p>
                <w:p>
                  <w:pPr>
                    <w:pStyle w:val="null3"/>
                    <w:jc w:val="left"/>
                  </w:pPr>
                  <w:r>
                    <w:rPr>
                      <w:rFonts w:ascii="仿宋" w:hAnsi="仿宋" w:cs="仿宋" w:eastAsia="仿宋"/>
                      <w:sz w:val="21"/>
                    </w:rPr>
                    <w:t>5.灯头可旋转。</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亮度调节方式</w:t>
                  </w:r>
                </w:p>
              </w:tc>
              <w:tc>
                <w:tcPr>
                  <w:tcW w:type="dxa" w:w="3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无极调光</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防护等级</w:t>
                  </w:r>
                </w:p>
              </w:tc>
              <w:tc>
                <w:tcPr>
                  <w:tcW w:type="dxa" w:w="3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灯头外壳：</w:t>
                  </w:r>
                  <w:r>
                    <w:rPr>
                      <w:rFonts w:ascii="仿宋" w:hAnsi="仿宋" w:cs="仿宋" w:eastAsia="仿宋"/>
                      <w:sz w:val="21"/>
                    </w:rPr>
                    <w:t>IP66及以上</w:t>
                  </w:r>
                  <w:r>
                    <w:rPr>
                      <w:rFonts w:ascii="仿宋" w:hAnsi="仿宋" w:cs="仿宋" w:eastAsia="仿宋"/>
                      <w:sz w:val="21"/>
                    </w:rPr>
                    <w:t>；</w:t>
                  </w:r>
                  <w:r>
                    <w:rPr>
                      <w:rFonts w:ascii="仿宋" w:hAnsi="仿宋" w:cs="仿宋" w:eastAsia="仿宋"/>
                      <w:sz w:val="21"/>
                    </w:rPr>
                    <w:t>灯箱：</w:t>
                  </w:r>
                  <w:r>
                    <w:rPr>
                      <w:rFonts w:ascii="仿宋" w:hAnsi="仿宋" w:cs="仿宋" w:eastAsia="仿宋"/>
                      <w:sz w:val="21"/>
                    </w:rPr>
                    <w:t>IP55及以上</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强光连续放电时长</w:t>
                  </w:r>
                </w:p>
              </w:tc>
              <w:tc>
                <w:tcPr>
                  <w:tcW w:type="dxa" w:w="3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≥8h</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充电时间</w:t>
                  </w:r>
                </w:p>
                <w:p>
                  <w:pPr>
                    <w:pStyle w:val="null3"/>
                    <w:jc w:val="left"/>
                  </w:pPr>
                  <w:r>
                    <w:rPr>
                      <w:rFonts w:ascii="仿宋" w:hAnsi="仿宋" w:cs="仿宋" w:eastAsia="仿宋"/>
                      <w:sz w:val="21"/>
                    </w:rPr>
                    <w:t>(0%-100%)</w:t>
                  </w:r>
                </w:p>
              </w:tc>
              <w:tc>
                <w:tcPr>
                  <w:tcW w:type="dxa" w:w="3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≤8h</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外形尺寸</w:t>
                  </w:r>
                </w:p>
              </w:tc>
              <w:tc>
                <w:tcPr>
                  <w:tcW w:type="dxa" w:w="3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收缩状态</w:t>
                  </w:r>
                  <w:r>
                    <w:rPr>
                      <w:rFonts w:ascii="仿宋" w:hAnsi="仿宋" w:cs="仿宋" w:eastAsia="仿宋"/>
                      <w:sz w:val="21"/>
                    </w:rPr>
                    <w:t>≤650*350*250mm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最大升起高度</w:t>
                  </w:r>
                </w:p>
              </w:tc>
              <w:tc>
                <w:tcPr>
                  <w:tcW w:type="dxa" w:w="3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≥1.8m</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重量</w:t>
                  </w:r>
                </w:p>
              </w:tc>
              <w:tc>
                <w:tcPr>
                  <w:tcW w:type="dxa" w:w="3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≤25kg</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光源</w:t>
                  </w:r>
                  <w:r>
                    <w:rPr>
                      <w:rFonts w:ascii="仿宋" w:hAnsi="仿宋" w:cs="仿宋" w:eastAsia="仿宋"/>
                      <w:sz w:val="21"/>
                    </w:rPr>
                    <w:t>（</w:t>
                  </w:r>
                  <w:r>
                    <w:rPr>
                      <w:rFonts w:ascii="仿宋" w:hAnsi="仿宋" w:cs="仿宋" w:eastAsia="仿宋"/>
                      <w:sz w:val="21"/>
                    </w:rPr>
                    <w:t>LED</w:t>
                  </w:r>
                  <w:r>
                    <w:rPr>
                      <w:rFonts w:ascii="仿宋" w:hAnsi="仿宋" w:cs="仿宋" w:eastAsia="仿宋"/>
                      <w:sz w:val="21"/>
                    </w:rPr>
                    <w:t>）</w:t>
                  </w:r>
                  <w:r>
                    <w:rPr>
                      <w:rFonts w:ascii="仿宋" w:hAnsi="仿宋" w:cs="仿宋" w:eastAsia="仿宋"/>
                      <w:sz w:val="21"/>
                    </w:rPr>
                    <w:t>总功率</w:t>
                  </w:r>
                </w:p>
              </w:tc>
              <w:tc>
                <w:tcPr>
                  <w:tcW w:type="dxa" w:w="33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≥100W</w:t>
                  </w:r>
                </w:p>
              </w:tc>
              <w:tc>
                <w:tcPr>
                  <w:tcW w:type="dxa" w:w="5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ind w:firstLine="480"/>
              <w:jc w:val="both"/>
            </w:pPr>
          </w:p>
        </w:tc>
      </w:tr>
    </w:tbl>
    <w:p>
      <w:pPr>
        <w:pStyle w:val="null3"/>
        <w:jc w:val="left"/>
      </w:pPr>
      <w:r>
        <w:rPr/>
        <w:t>标的名称：冲锋舟</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505"/>
              <w:gridCol w:w="1272"/>
              <w:gridCol w:w="3325"/>
              <w:gridCol w:w="496"/>
            </w:tblGrid>
            <w:tr>
              <w:tc>
                <w:tcPr>
                  <w:tcW w:type="dxa" w:w="5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12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3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4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★船体主要材质</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玻璃钢或不锈钢</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船身长度</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≥6m</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船宽</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≥1.7m</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设计吃水</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≥0.3m</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航区</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B级</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船体自重</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≥0.35吨</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★乘员人数</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≥12人</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最大载重</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≥1200kg</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允许航速</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≥40km/h</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外观颜色</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颜色、文字、符号根据买方订单要求喷涂</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11</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挂机尾板</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加厚，有防滑纹、导舟体粘接牢固；可满足</w:t>
                  </w:r>
                  <w:r>
                    <w:rPr>
                      <w:rFonts w:ascii="仿宋" w:hAnsi="仿宋" w:cs="仿宋" w:eastAsia="仿宋"/>
                      <w:sz w:val="21"/>
                    </w:rPr>
                    <w:t>60马力及以上二冲程长脚船外机后挂安装使用</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12</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船身要求</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内外壳表面应光顺，平整光滑</w:t>
                  </w:r>
                  <w:r>
                    <w:rPr>
                      <w:rFonts w:ascii="仿宋" w:hAnsi="仿宋" w:cs="仿宋" w:eastAsia="仿宋"/>
                      <w:sz w:val="21"/>
                    </w:rPr>
                    <w:t>,不得有起皱、分层、碰伤、气泡等缺陷，发泡应均匀、无漏发</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13</w:t>
                  </w:r>
                </w:p>
              </w:tc>
              <w:tc>
                <w:tcPr>
                  <w:tcW w:type="dxa" w:w="12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★其他配置</w:t>
                  </w:r>
                </w:p>
              </w:tc>
              <w:tc>
                <w:tcPr>
                  <w:tcW w:type="dxa" w:w="3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1.手划桨2付、系留绳2根、水瓢1把、玻璃钢撑杆1根；</w:t>
                  </w:r>
                </w:p>
                <w:p>
                  <w:pPr>
                    <w:pStyle w:val="null3"/>
                    <w:jc w:val="left"/>
                  </w:pPr>
                  <w:r>
                    <w:rPr>
                      <w:rFonts w:ascii="仿宋" w:hAnsi="仿宋" w:cs="仿宋" w:eastAsia="仿宋"/>
                      <w:sz w:val="21"/>
                    </w:rPr>
                    <w:t>2.配置不锈钢材质吊装环、系留环、牵引环，稳固牢靠；</w:t>
                  </w:r>
                </w:p>
                <w:p>
                  <w:pPr>
                    <w:pStyle w:val="null3"/>
                    <w:jc w:val="left"/>
                  </w:pPr>
                  <w:r>
                    <w:rPr>
                      <w:rFonts w:ascii="仿宋" w:hAnsi="仿宋" w:cs="仿宋" w:eastAsia="仿宋"/>
                      <w:sz w:val="21"/>
                    </w:rPr>
                    <w:t>3.两侧配置不锈钢材质的连续扶手；</w:t>
                  </w:r>
                </w:p>
                <w:p>
                  <w:pPr>
                    <w:pStyle w:val="null3"/>
                    <w:jc w:val="left"/>
                  </w:pPr>
                  <w:r>
                    <w:rPr>
                      <w:rFonts w:ascii="仿宋" w:hAnsi="仿宋" w:cs="仿宋" w:eastAsia="仿宋"/>
                      <w:sz w:val="21"/>
                    </w:rPr>
                    <w:t>4.每个座位均有固定的防滑垫。</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标的名称：40匹船外机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543"/>
              <w:gridCol w:w="2383"/>
              <w:gridCol w:w="1781"/>
              <w:gridCol w:w="891"/>
            </w:tblGrid>
            <w:tr>
              <w:tc>
                <w:tcPr>
                  <w:tcW w:type="dxa" w:w="5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2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17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8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p>
              </w:tc>
              <w:tc>
                <w:tcPr>
                  <w:tcW w:type="dxa" w:w="2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马力</w:t>
                  </w:r>
                </w:p>
              </w:tc>
              <w:tc>
                <w:tcPr>
                  <w:tcW w:type="dxa" w:w="1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≥40Ps</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p>
              </w:tc>
              <w:tc>
                <w:tcPr>
                  <w:tcW w:type="dxa" w:w="2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燃油类型、排放标准</w:t>
                  </w:r>
                </w:p>
              </w:tc>
              <w:tc>
                <w:tcPr>
                  <w:tcW w:type="dxa" w:w="1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柴油</w:t>
                  </w:r>
                  <w:r>
                    <w:rPr>
                      <w:rFonts w:ascii="仿宋" w:hAnsi="仿宋" w:cs="仿宋" w:eastAsia="仿宋"/>
                      <w:sz w:val="21"/>
                    </w:rPr>
                    <w:t>或汽油，满足国家现行标准</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p>
              </w:tc>
              <w:tc>
                <w:tcPr>
                  <w:tcW w:type="dxa" w:w="2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启动方式</w:t>
                  </w:r>
                </w:p>
              </w:tc>
              <w:tc>
                <w:tcPr>
                  <w:tcW w:type="dxa" w:w="1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手动</w:t>
                  </w:r>
                  <w:r>
                    <w:rPr>
                      <w:rFonts w:ascii="仿宋" w:hAnsi="仿宋" w:cs="仿宋" w:eastAsia="仿宋"/>
                      <w:sz w:val="21"/>
                    </w:rPr>
                    <w:t>或电动</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p>
              </w:tc>
              <w:tc>
                <w:tcPr>
                  <w:tcW w:type="dxa" w:w="2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档位</w:t>
                  </w:r>
                </w:p>
              </w:tc>
              <w:tc>
                <w:tcPr>
                  <w:tcW w:type="dxa" w:w="1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前进</w:t>
                  </w:r>
                  <w:r>
                    <w:rPr>
                      <w:rFonts w:ascii="仿宋" w:hAnsi="仿宋" w:cs="仿宋" w:eastAsia="仿宋"/>
                      <w:sz w:val="21"/>
                    </w:rPr>
                    <w:t>-空挡-倒挡</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p>
              </w:tc>
              <w:tc>
                <w:tcPr>
                  <w:tcW w:type="dxa" w:w="2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操作方式</w:t>
                  </w:r>
                </w:p>
              </w:tc>
              <w:tc>
                <w:tcPr>
                  <w:tcW w:type="dxa" w:w="1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后操</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w:t>
                  </w:r>
                </w:p>
              </w:tc>
              <w:tc>
                <w:tcPr>
                  <w:tcW w:type="dxa" w:w="2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冲程</w:t>
                  </w:r>
                </w:p>
              </w:tc>
              <w:tc>
                <w:tcPr>
                  <w:tcW w:type="dxa" w:w="17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二冲程</w:t>
                  </w:r>
                </w:p>
              </w:tc>
              <w:tc>
                <w:tcPr>
                  <w:tcW w:type="dxa" w:w="8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标的名称：60匹船外机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933"/>
              <w:gridCol w:w="1866"/>
              <w:gridCol w:w="1866"/>
              <w:gridCol w:w="933"/>
            </w:tblGrid>
            <w:tr>
              <w:tc>
                <w:tcPr>
                  <w:tcW w:type="dxa" w:w="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18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9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马力</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≥60Ps</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燃油类型、排放标准</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柴油</w:t>
                  </w:r>
                  <w:r>
                    <w:rPr>
                      <w:rFonts w:ascii="仿宋" w:hAnsi="仿宋" w:cs="仿宋" w:eastAsia="仿宋"/>
                      <w:sz w:val="21"/>
                    </w:rPr>
                    <w:t>或汽油，满足国家现行标准</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启动方式</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手动</w:t>
                  </w:r>
                  <w:r>
                    <w:rPr>
                      <w:rFonts w:ascii="仿宋" w:hAnsi="仿宋" w:cs="仿宋" w:eastAsia="仿宋"/>
                      <w:sz w:val="21"/>
                    </w:rPr>
                    <w:t>或电动</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档位</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前进</w:t>
                  </w:r>
                  <w:r>
                    <w:rPr>
                      <w:rFonts w:ascii="仿宋" w:hAnsi="仿宋" w:cs="仿宋" w:eastAsia="仿宋"/>
                      <w:sz w:val="21"/>
                    </w:rPr>
                    <w:t>-空挡-倒挡</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操作方式</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后操</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冲程</w:t>
                  </w:r>
                </w:p>
              </w:tc>
              <w:tc>
                <w:tcPr>
                  <w:tcW w:type="dxa" w:w="18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二冲程</w:t>
                  </w:r>
                </w:p>
              </w:tc>
              <w:tc>
                <w:tcPr>
                  <w:tcW w:type="dxa" w:w="9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标的名称：冲锋舟专用拖车</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67"/>
              <w:gridCol w:w="1336"/>
              <w:gridCol w:w="2929"/>
              <w:gridCol w:w="666"/>
            </w:tblGrid>
            <w:tr>
              <w:tc>
                <w:tcPr>
                  <w:tcW w:type="dxa" w:w="6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13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29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6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轴数</w:t>
                  </w:r>
                </w:p>
              </w:tc>
              <w:tc>
                <w:tcPr>
                  <w:tcW w:type="dxa" w:w="2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单轴</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尺寸</w:t>
                  </w:r>
                </w:p>
              </w:tc>
              <w:tc>
                <w:tcPr>
                  <w:tcW w:type="dxa" w:w="2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长度</w:t>
                  </w:r>
                  <w:r>
                    <w:rPr>
                      <w:rFonts w:ascii="仿宋" w:hAnsi="仿宋" w:cs="仿宋" w:eastAsia="仿宋"/>
                      <w:sz w:val="21"/>
                    </w:rPr>
                    <w:t>≥6m且宽度≥2.2m</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载重</w:t>
                  </w:r>
                </w:p>
              </w:tc>
              <w:tc>
                <w:tcPr>
                  <w:tcW w:type="dxa" w:w="2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≥1000kg</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p>
              </w:tc>
              <w:tc>
                <w:tcPr>
                  <w:tcW w:type="dxa" w:w="13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适用范围</w:t>
                  </w:r>
                </w:p>
              </w:tc>
              <w:tc>
                <w:tcPr>
                  <w:tcW w:type="dxa" w:w="2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满足</w:t>
                  </w:r>
                  <w:r>
                    <w:rPr>
                      <w:rFonts w:ascii="仿宋" w:hAnsi="仿宋" w:cs="仿宋" w:eastAsia="仿宋"/>
                      <w:sz w:val="21"/>
                    </w:rPr>
                    <w:t>6米或12人以上冲锋舟</w:t>
                  </w:r>
                  <w:r>
                    <w:rPr>
                      <w:rFonts w:ascii="仿宋" w:hAnsi="仿宋" w:cs="仿宋" w:eastAsia="仿宋"/>
                      <w:sz w:val="21"/>
                    </w:rPr>
                    <w:t>拖运</w:t>
                  </w:r>
                </w:p>
              </w:tc>
              <w:tc>
                <w:tcPr>
                  <w:tcW w:type="dxa" w:w="6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标的名称：对讲机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00"/>
              <w:gridCol w:w="800"/>
              <w:gridCol w:w="1714"/>
              <w:gridCol w:w="1828"/>
              <w:gridCol w:w="857"/>
            </w:tblGrid>
            <w:tr>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项目类型</w:t>
                  </w:r>
                </w:p>
              </w:tc>
              <w:tc>
                <w:tcPr>
                  <w:tcW w:type="dxa" w:w="17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18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8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p>
              </w:tc>
              <w:tc>
                <w:tcPr>
                  <w:tcW w:type="dxa" w:w="8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基本要求</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★工业和信息化部《无线电发射设备型号核准证》</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投标时提供扫描件</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p>
              </w:tc>
              <w:tc>
                <w:tcPr>
                  <w:tcW w:type="dxa" w:w="800"/>
                  <w:vMerge/>
                  <w:tcBorders>
                    <w:top w:val="none" w:color="000000" w:sz="4"/>
                    <w:left w:val="none" w:color="000000" w:sz="4"/>
                    <w:bottom w:val="single"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★频率范围</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UHF:400-470MHz</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p>
              </w:tc>
              <w:tc>
                <w:tcPr>
                  <w:tcW w:type="dxa" w:w="800"/>
                  <w:vMerge/>
                  <w:tcBorders>
                    <w:top w:val="none" w:color="000000" w:sz="4"/>
                    <w:left w:val="none" w:color="000000" w:sz="4"/>
                    <w:bottom w:val="single"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输出功率</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1-4W</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p>
              </w:tc>
              <w:tc>
                <w:tcPr>
                  <w:tcW w:type="dxa" w:w="800"/>
                  <w:vMerge/>
                  <w:tcBorders>
                    <w:top w:val="none" w:color="000000" w:sz="4"/>
                    <w:left w:val="none" w:color="000000" w:sz="4"/>
                    <w:bottom w:val="single"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尺寸</w:t>
                  </w:r>
                  <w:r>
                    <w:rPr>
                      <w:rFonts w:ascii="仿宋" w:hAnsi="仿宋" w:cs="仿宋" w:eastAsia="仿宋"/>
                      <w:sz w:val="21"/>
                    </w:rPr>
                    <w:t>(</w:t>
                  </w:r>
                  <w:r>
                    <w:rPr>
                      <w:rFonts w:ascii="仿宋" w:hAnsi="仿宋" w:cs="仿宋" w:eastAsia="仿宋"/>
                      <w:sz w:val="21"/>
                    </w:rPr>
                    <w:t>不含天线</w:t>
                  </w:r>
                  <w:r>
                    <w:rPr>
                      <w:rFonts w:ascii="仿宋" w:hAnsi="仿宋" w:cs="仿宋" w:eastAsia="仿宋"/>
                      <w:sz w:val="21"/>
                    </w:rPr>
                    <w:t>)</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120*60*40mm</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5</w:t>
                  </w:r>
                </w:p>
              </w:tc>
              <w:tc>
                <w:tcPr>
                  <w:tcW w:type="dxa" w:w="800"/>
                  <w:vMerge/>
                  <w:tcBorders>
                    <w:top w:val="none" w:color="000000" w:sz="4"/>
                    <w:left w:val="none" w:color="000000" w:sz="4"/>
                    <w:bottom w:val="single"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▲接收灵敏度</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-122dBm(</w:t>
                  </w:r>
                  <w:r>
                    <w:rPr>
                      <w:rFonts w:ascii="仿宋" w:hAnsi="仿宋" w:cs="仿宋" w:eastAsia="仿宋"/>
                      <w:sz w:val="21"/>
                    </w:rPr>
                    <w:t>或≤</w:t>
                  </w:r>
                  <w:r>
                    <w:rPr>
                      <w:rFonts w:ascii="仿宋" w:hAnsi="仿宋" w:cs="仿宋" w:eastAsia="仿宋"/>
                      <w:sz w:val="21"/>
                    </w:rPr>
                    <w:t>0.18</w:t>
                  </w:r>
                  <w:r>
                    <w:rPr>
                      <w:rFonts w:ascii="仿宋" w:hAnsi="仿宋" w:cs="仿宋" w:eastAsia="仿宋"/>
                      <w:sz w:val="21"/>
                    </w:rPr>
                    <w:t>μ</w:t>
                  </w:r>
                  <w:r>
                    <w:rPr>
                      <w:rFonts w:ascii="仿宋" w:hAnsi="仿宋" w:cs="仿宋" w:eastAsia="仿宋"/>
                      <w:sz w:val="21"/>
                    </w:rPr>
                    <w:t>V)(BER5%)</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6</w:t>
                  </w:r>
                </w:p>
              </w:tc>
              <w:tc>
                <w:tcPr>
                  <w:tcW w:type="dxa" w:w="800"/>
                  <w:vMerge/>
                  <w:tcBorders>
                    <w:top w:val="none" w:color="000000" w:sz="4"/>
                    <w:left w:val="none" w:color="000000" w:sz="4"/>
                    <w:bottom w:val="single"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▲防尘防水等级</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IP67</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7</w:t>
                  </w:r>
                </w:p>
              </w:tc>
              <w:tc>
                <w:tcPr>
                  <w:tcW w:type="dxa" w:w="8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功能要求</w:t>
                  </w: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操作功能</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具备大面积</w:t>
                  </w:r>
                  <w:r>
                    <w:rPr>
                      <w:rFonts w:ascii="仿宋" w:hAnsi="仿宋" w:cs="仿宋" w:eastAsia="仿宋"/>
                      <w:sz w:val="21"/>
                    </w:rPr>
                    <w:t>PTT</w:t>
                  </w:r>
                  <w:r>
                    <w:rPr>
                      <w:rFonts w:ascii="仿宋" w:hAnsi="仿宋" w:cs="仿宋" w:eastAsia="仿宋"/>
                      <w:sz w:val="21"/>
                    </w:rPr>
                    <w:t>按键；支持一键操作</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8</w:t>
                  </w:r>
                </w:p>
              </w:tc>
              <w:tc>
                <w:tcPr>
                  <w:tcW w:type="dxa" w:w="800"/>
                  <w:vMerge/>
                  <w:tcBorders>
                    <w:top w:val="none" w:color="000000" w:sz="4"/>
                    <w:left w:val="none" w:color="000000" w:sz="4"/>
                    <w:bottom w:val="single"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语音数据加密</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40bit</w:t>
                  </w:r>
                  <w:r>
                    <w:rPr>
                      <w:rFonts w:ascii="仿宋" w:hAnsi="仿宋" w:cs="仿宋" w:eastAsia="仿宋"/>
                      <w:sz w:val="21"/>
                    </w:rPr>
                    <w:t>、</w:t>
                  </w:r>
                  <w:r>
                    <w:rPr>
                      <w:rFonts w:ascii="仿宋" w:hAnsi="仿宋" w:cs="仿宋" w:eastAsia="仿宋"/>
                      <w:sz w:val="21"/>
                    </w:rPr>
                    <w:t>128bit</w:t>
                  </w:r>
                  <w:r>
                    <w:rPr>
                      <w:rFonts w:ascii="仿宋" w:hAnsi="仿宋" w:cs="仿宋" w:eastAsia="仿宋"/>
                      <w:sz w:val="21"/>
                    </w:rPr>
                    <w:t>、</w:t>
                  </w:r>
                  <w:r>
                    <w:rPr>
                      <w:rFonts w:ascii="仿宋" w:hAnsi="仿宋" w:cs="仿宋" w:eastAsia="仿宋"/>
                      <w:sz w:val="21"/>
                    </w:rPr>
                    <w:t>256bit</w:t>
                  </w:r>
                  <w:r>
                    <w:rPr>
                      <w:rFonts w:ascii="仿宋" w:hAnsi="仿宋" w:cs="仿宋" w:eastAsia="仿宋"/>
                      <w:sz w:val="21"/>
                    </w:rPr>
                    <w:t>可选，密钥数量支持不少于</w:t>
                  </w:r>
                  <w:r>
                    <w:rPr>
                      <w:rFonts w:ascii="仿宋" w:hAnsi="仿宋" w:cs="仿宋" w:eastAsia="仿宋"/>
                      <w:sz w:val="21"/>
                    </w:rPr>
                    <w:t>30</w:t>
                  </w:r>
                  <w:r>
                    <w:rPr>
                      <w:rFonts w:ascii="仿宋" w:hAnsi="仿宋" w:cs="仿宋" w:eastAsia="仿宋"/>
                      <w:sz w:val="21"/>
                    </w:rPr>
                    <w:t>串。</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9</w:t>
                  </w:r>
                </w:p>
              </w:tc>
              <w:tc>
                <w:tcPr>
                  <w:tcW w:type="dxa" w:w="800"/>
                  <w:vMerge/>
                  <w:tcBorders>
                    <w:top w:val="none" w:color="000000" w:sz="4"/>
                    <w:left w:val="none" w:color="000000" w:sz="4"/>
                    <w:bottom w:val="single"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电池容量</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1500mAh</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w:t>
                  </w:r>
                </w:p>
              </w:tc>
              <w:tc>
                <w:tcPr>
                  <w:tcW w:type="dxa" w:w="800"/>
                  <w:vMerge/>
                  <w:tcBorders>
                    <w:top w:val="none" w:color="000000" w:sz="4"/>
                    <w:left w:val="none" w:color="000000" w:sz="4"/>
                    <w:bottom w:val="single"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对讲机呼叫方式</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个呼、组呼、全呼和紧急呼叫</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11</w:t>
                  </w:r>
                </w:p>
              </w:tc>
              <w:tc>
                <w:tcPr>
                  <w:tcW w:type="dxa" w:w="800"/>
                  <w:vMerge/>
                  <w:tcBorders>
                    <w:top w:val="none" w:color="000000" w:sz="4"/>
                    <w:left w:val="none" w:color="000000" w:sz="4"/>
                    <w:bottom w:val="single"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信道快速切换</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12</w:t>
                  </w:r>
                </w:p>
              </w:tc>
              <w:tc>
                <w:tcPr>
                  <w:tcW w:type="dxa" w:w="800"/>
                  <w:vMerge/>
                  <w:tcBorders>
                    <w:top w:val="none" w:color="000000" w:sz="4"/>
                    <w:left w:val="none" w:color="000000" w:sz="4"/>
                    <w:bottom w:val="single"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通信技术</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DMR</w:t>
                  </w:r>
                  <w:r>
                    <w:rPr>
                      <w:rFonts w:ascii="仿宋" w:hAnsi="仿宋" w:cs="仿宋" w:eastAsia="仿宋"/>
                      <w:sz w:val="21"/>
                    </w:rPr>
                    <w:t>标准</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13</w:t>
                  </w:r>
                </w:p>
              </w:tc>
              <w:tc>
                <w:tcPr>
                  <w:tcW w:type="dxa" w:w="800"/>
                  <w:vMerge/>
                  <w:tcBorders>
                    <w:top w:val="none" w:color="000000" w:sz="4"/>
                    <w:left w:val="none" w:color="000000" w:sz="4"/>
                    <w:bottom w:val="single"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显示屏</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14</w:t>
                  </w:r>
                </w:p>
              </w:tc>
              <w:tc>
                <w:tcPr>
                  <w:tcW w:type="dxa" w:w="800"/>
                  <w:vMerge/>
                  <w:tcBorders>
                    <w:top w:val="none" w:color="000000" w:sz="4"/>
                    <w:left w:val="none" w:color="000000" w:sz="4"/>
                    <w:bottom w:val="single"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待机时长：</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12</w:t>
                  </w:r>
                  <w:r>
                    <w:rPr>
                      <w:rFonts w:ascii="仿宋" w:hAnsi="仿宋" w:cs="仿宋" w:eastAsia="仿宋"/>
                      <w:sz w:val="21"/>
                    </w:rPr>
                    <w:t>小时</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15</w:t>
                  </w:r>
                </w:p>
              </w:tc>
              <w:tc>
                <w:tcPr>
                  <w:tcW w:type="dxa" w:w="800"/>
                  <w:vMerge/>
                  <w:tcBorders>
                    <w:top w:val="none" w:color="000000" w:sz="4"/>
                    <w:left w:val="none" w:color="000000" w:sz="4"/>
                    <w:bottom w:val="single" w:color="000000" w:sz="4"/>
                    <w:right w:val="single" w:color="000000" w:sz="4"/>
                  </w:tcBorders>
                </w:tcPr>
                <w:p/>
              </w:tc>
              <w:tc>
                <w:tcPr>
                  <w:tcW w:type="dxa" w:w="17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额定音频失真</w:t>
                  </w:r>
                </w:p>
              </w:tc>
              <w:tc>
                <w:tcPr>
                  <w:tcW w:type="dxa" w:w="1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3%</w:t>
                  </w:r>
                </w:p>
              </w:tc>
              <w:tc>
                <w:tcPr>
                  <w:tcW w:type="dxa" w:w="8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标的名称：配电柜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p>
            <w:pPr>
              <w:pStyle w:val="null3"/>
              <w:jc w:val="left"/>
            </w:pPr>
            <w:r>
              <w:rPr/>
              <w:t xml:space="preserve"> </w:t>
            </w:r>
          </w:p>
          <w:tbl>
            <w:tblPr>
              <w:tblBorders>
                <w:top w:val="none" w:color="000000" w:sz="4"/>
                <w:left w:val="none" w:color="000000" w:sz="4"/>
                <w:bottom w:val="none" w:color="000000" w:sz="4"/>
                <w:right w:val="none" w:color="000000" w:sz="4"/>
                <w:insideH w:val="none"/>
                <w:insideV w:val="none"/>
              </w:tblBorders>
            </w:tblPr>
            <w:tblGrid>
              <w:gridCol w:w="550"/>
              <w:gridCol w:w="929"/>
              <w:gridCol w:w="3537"/>
              <w:gridCol w:w="582"/>
            </w:tblGrid>
            <w:tr>
              <w:tc>
                <w:tcPr>
                  <w:tcW w:type="dxa" w:w="5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9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353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5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柜体材质</w:t>
                  </w:r>
                </w:p>
              </w:tc>
              <w:tc>
                <w:tcPr>
                  <w:tcW w:type="dxa" w:w="3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304不锈钢</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尺寸</w:t>
                  </w:r>
                </w:p>
              </w:tc>
              <w:tc>
                <w:tcPr>
                  <w:tcW w:type="dxa" w:w="3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长</w:t>
                  </w:r>
                  <w:r>
                    <w:rPr>
                      <w:rFonts w:ascii="仿宋" w:hAnsi="仿宋" w:cs="仿宋" w:eastAsia="仿宋"/>
                      <w:sz w:val="21"/>
                    </w:rPr>
                    <w:t>≤1000mm</w:t>
                  </w:r>
                  <w:r>
                    <w:rPr>
                      <w:rFonts w:ascii="仿宋" w:hAnsi="仿宋" w:cs="仿宋" w:eastAsia="仿宋"/>
                      <w:sz w:val="21"/>
                    </w:rPr>
                    <w:t>；</w:t>
                  </w:r>
                  <w:r>
                    <w:rPr>
                      <w:rFonts w:ascii="仿宋" w:hAnsi="仿宋" w:cs="仿宋" w:eastAsia="仿宋"/>
                      <w:sz w:val="21"/>
                    </w:rPr>
                    <w:t>宽</w:t>
                  </w:r>
                  <w:r>
                    <w:rPr>
                      <w:rFonts w:ascii="仿宋" w:hAnsi="仿宋" w:cs="仿宋" w:eastAsia="仿宋"/>
                      <w:sz w:val="21"/>
                    </w:rPr>
                    <w:t>≤600mm</w:t>
                  </w:r>
                  <w:r>
                    <w:rPr>
                      <w:rFonts w:ascii="仿宋" w:hAnsi="仿宋" w:cs="仿宋" w:eastAsia="仿宋"/>
                      <w:sz w:val="21"/>
                    </w:rPr>
                    <w:t>；</w:t>
                  </w:r>
                  <w:r>
                    <w:rPr>
                      <w:rFonts w:ascii="仿宋" w:hAnsi="仿宋" w:cs="仿宋" w:eastAsia="仿宋"/>
                      <w:sz w:val="21"/>
                    </w:rPr>
                    <w:t>高</w:t>
                  </w:r>
                  <w:r>
                    <w:rPr>
                      <w:rFonts w:ascii="仿宋" w:hAnsi="仿宋" w:cs="仿宋" w:eastAsia="仿宋"/>
                      <w:sz w:val="21"/>
                    </w:rPr>
                    <w:t>≤1200mm。</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3</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防雷</w:t>
                  </w:r>
                </w:p>
              </w:tc>
              <w:tc>
                <w:tcPr>
                  <w:tcW w:type="dxa" w:w="3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一级</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5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w:t>
                  </w:r>
                </w:p>
              </w:tc>
              <w:tc>
                <w:tcPr>
                  <w:tcW w:type="dxa" w:w="9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配件</w:t>
                  </w:r>
                </w:p>
              </w:tc>
              <w:tc>
                <w:tcPr>
                  <w:tcW w:type="dxa" w:w="353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w:t>
                  </w:r>
                  <w:r>
                    <w:rPr>
                      <w:rFonts w:ascii="仿宋" w:hAnsi="仿宋" w:cs="仿宋" w:eastAsia="仿宋"/>
                      <w:sz w:val="21"/>
                    </w:rPr>
                    <w:t>1</w:t>
                  </w:r>
                  <w:r>
                    <w:rPr>
                      <w:rFonts w:ascii="仿宋" w:hAnsi="仿宋" w:cs="仿宋" w:eastAsia="仿宋"/>
                      <w:sz w:val="21"/>
                    </w:rPr>
                    <w:t>只进线</w:t>
                  </w:r>
                  <w:r>
                    <w:rPr>
                      <w:rFonts w:ascii="仿宋" w:hAnsi="仿宋" w:cs="仿宋" w:eastAsia="仿宋"/>
                      <w:sz w:val="21"/>
                    </w:rPr>
                    <w:t>400A的塑壳断路器，4只出线100A的塑壳断路器。</w:t>
                  </w:r>
                </w:p>
                <w:p>
                  <w:pPr>
                    <w:pStyle w:val="null3"/>
                    <w:jc w:val="left"/>
                  </w:pPr>
                  <w:r>
                    <w:rPr>
                      <w:rFonts w:ascii="仿宋" w:hAnsi="仿宋" w:cs="仿宋" w:eastAsia="仿宋"/>
                      <w:sz w:val="21"/>
                    </w:rPr>
                    <w:t>2、1只5P 400A的进线工业插座</w:t>
                  </w:r>
                  <w:r>
                    <w:rPr>
                      <w:rFonts w:ascii="仿宋" w:hAnsi="仿宋" w:cs="仿宋" w:eastAsia="仿宋"/>
                      <w:sz w:val="21"/>
                    </w:rPr>
                    <w:t>，</w:t>
                  </w:r>
                  <w:r>
                    <w:rPr>
                      <w:rFonts w:ascii="仿宋" w:hAnsi="仿宋" w:cs="仿宋" w:eastAsia="仿宋"/>
                      <w:sz w:val="21"/>
                    </w:rPr>
                    <w:t>4只5P 125A的出线插座</w:t>
                  </w:r>
                  <w:r>
                    <w:rPr>
                      <w:rFonts w:ascii="仿宋" w:hAnsi="仿宋" w:cs="仿宋" w:eastAsia="仿宋"/>
                      <w:sz w:val="21"/>
                    </w:rPr>
                    <w:t>，防护等级</w:t>
                  </w:r>
                  <w:r>
                    <w:rPr>
                      <w:rFonts w:ascii="仿宋" w:hAnsi="仿宋" w:cs="仿宋" w:eastAsia="仿宋"/>
                      <w:sz w:val="21"/>
                    </w:rPr>
                    <w:t>≥IP67。</w:t>
                  </w:r>
                </w:p>
              </w:tc>
              <w:tc>
                <w:tcPr>
                  <w:tcW w:type="dxa" w:w="5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标的名称：无人机及配件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00"/>
              <w:gridCol w:w="514"/>
              <w:gridCol w:w="1142"/>
              <w:gridCol w:w="2399"/>
              <w:gridCol w:w="1142"/>
            </w:tblGrid>
            <w:tr>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序号</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项目</w:t>
                  </w:r>
                </w:p>
                <w:p>
                  <w:pPr>
                    <w:pStyle w:val="null3"/>
                    <w:jc w:val="left"/>
                  </w:pPr>
                  <w:r>
                    <w:rPr>
                      <w:rFonts w:ascii="仿宋" w:hAnsi="仿宋" w:cs="仿宋" w:eastAsia="仿宋"/>
                      <w:sz w:val="21"/>
                    </w:rPr>
                    <w:t>类型</w:t>
                  </w:r>
                </w:p>
              </w:tc>
              <w:tc>
                <w:tcPr>
                  <w:tcW w:type="dxa" w:w="11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参数名称</w:t>
                  </w:r>
                </w:p>
              </w:tc>
              <w:tc>
                <w:tcPr>
                  <w:tcW w:type="dxa" w:w="23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参数要求</w:t>
                  </w:r>
                </w:p>
              </w:tc>
              <w:tc>
                <w:tcPr>
                  <w:tcW w:type="dxa" w:w="11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备注</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1</w:t>
                  </w:r>
                </w:p>
              </w:tc>
              <w:tc>
                <w:tcPr>
                  <w:tcW w:type="dxa" w:w="5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无人机</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裸机重量</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≤4千克</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无配件，不含电池</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2</w:t>
                  </w:r>
                </w:p>
              </w:tc>
              <w:tc>
                <w:tcPr>
                  <w:tcW w:type="dxa" w:w="514"/>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▲最大起飞重量</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≥9千克</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3</w:t>
                  </w:r>
                </w:p>
              </w:tc>
              <w:tc>
                <w:tcPr>
                  <w:tcW w:type="dxa" w:w="514"/>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飞行器尺寸</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≤500×500×500mm</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折叠后</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4</w:t>
                  </w:r>
                </w:p>
              </w:tc>
              <w:tc>
                <w:tcPr>
                  <w:tcW w:type="dxa" w:w="514"/>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▲对角线轴距</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≤900mm</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5</w:t>
                  </w:r>
                </w:p>
              </w:tc>
              <w:tc>
                <w:tcPr>
                  <w:tcW w:type="dxa" w:w="514"/>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最大水平飞行速度</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≥23m/s</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6</w:t>
                  </w:r>
                </w:p>
              </w:tc>
              <w:tc>
                <w:tcPr>
                  <w:tcW w:type="dxa" w:w="514"/>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▲最长飞行时间</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≥55分钟</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7</w:t>
                  </w:r>
                </w:p>
              </w:tc>
              <w:tc>
                <w:tcPr>
                  <w:tcW w:type="dxa" w:w="514"/>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防护等级</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≥IP55</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8</w:t>
                  </w:r>
                </w:p>
              </w:tc>
              <w:tc>
                <w:tcPr>
                  <w:tcW w:type="dxa" w:w="514"/>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最大可抗风速</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≥12m/s</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9</w:t>
                  </w:r>
                </w:p>
              </w:tc>
              <w:tc>
                <w:tcPr>
                  <w:tcW w:type="dxa" w:w="514"/>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GNSS</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支持国产定位系统</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10</w:t>
                  </w:r>
                </w:p>
              </w:tc>
              <w:tc>
                <w:tcPr>
                  <w:tcW w:type="dxa" w:w="514"/>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▲最大信号有效距离</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≥20km</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无干扰、无遮挡</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11</w:t>
                  </w:r>
                </w:p>
              </w:tc>
              <w:tc>
                <w:tcPr>
                  <w:tcW w:type="dxa" w:w="514"/>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充电箱</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具备充电、储存和运输功能，可容纳不少于4组电池</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12</w:t>
                  </w:r>
                </w:p>
              </w:tc>
              <w:tc>
                <w:tcPr>
                  <w:tcW w:type="dxa" w:w="514"/>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飞行电池</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采用高性能、高能量电芯，循环充放次数不少于400次</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两块电池为一组</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13</w:t>
                  </w:r>
                </w:p>
              </w:tc>
              <w:tc>
                <w:tcPr>
                  <w:tcW w:type="dxa" w:w="514"/>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遥控器</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具备显示大屏，按键丰富，操控流畅</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14</w:t>
                  </w:r>
                </w:p>
              </w:tc>
              <w:tc>
                <w:tcPr>
                  <w:tcW w:type="dxa" w:w="514"/>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遥控器外置电池</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支持热替换。内外置电池组合使用时，续航时长不少于6小时</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15</w:t>
                  </w:r>
                </w:p>
              </w:tc>
              <w:tc>
                <w:tcPr>
                  <w:tcW w:type="dxa" w:w="5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全彩夜视镜头</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变焦相机传感器</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1/1.8''CMOS</w:t>
                  </w:r>
                  <w:r>
                    <w:rPr>
                      <w:rFonts w:ascii="仿宋" w:hAnsi="仿宋" w:cs="仿宋" w:eastAsia="仿宋"/>
                      <w:sz w:val="21"/>
                    </w:rPr>
                    <w:t>，分辨率：≥2688*1520，最大分辨率≥400W像素，光学变焦≥30倍，最低照度：全彩色0.0008Lux（F1.6，AGCON），宽动态：支持动态强光抑制；</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16</w:t>
                  </w:r>
                </w:p>
              </w:tc>
              <w:tc>
                <w:tcPr>
                  <w:tcW w:type="dxa" w:w="514"/>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热成像相机</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像素≥640*480，夜晚极低照度0.0008Lux，能看清运动物体轮廓，数字变倍≥8倍，像元≥12μm；</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17</w:t>
                  </w:r>
                </w:p>
              </w:tc>
              <w:tc>
                <w:tcPr>
                  <w:tcW w:type="dxa" w:w="514"/>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激光测距</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距离：≥1000m、波长≥900nm、测量精度偏差＜1m</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18</w:t>
                  </w:r>
                </w:p>
              </w:tc>
              <w:tc>
                <w:tcPr>
                  <w:tcW w:type="dxa" w:w="5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云台相机</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基本参数</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≥2000万像素23倍混合光学变焦可见光相机，≥1000万像素广角相机最大1200米激光测距仪，≥640×512热成像相机，四合一传感器，≥IP44防护等级；</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19</w:t>
                  </w:r>
                </w:p>
              </w:tc>
              <w:tc>
                <w:tcPr>
                  <w:tcW w:type="dxa" w:w="514"/>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功能要求</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精确测温无需接触，即可快速、准确获取目标物体的表面温度，有效监测现场，及时发现隐患</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20</w:t>
                  </w:r>
                </w:p>
              </w:tc>
              <w:tc>
                <w:tcPr>
                  <w:tcW w:type="dxa" w:w="5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双云台组件</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安装位置</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安装负载至飞行器底部</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21</w:t>
                  </w:r>
                </w:p>
              </w:tc>
              <w:tc>
                <w:tcPr>
                  <w:tcW w:type="dxa" w:w="514"/>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防水等级</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≥IP44</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22</w:t>
                  </w:r>
                </w:p>
              </w:tc>
              <w:tc>
                <w:tcPr>
                  <w:tcW w:type="dxa" w:w="5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备用飞行电池</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数量</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不少于2组</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两块电池为一组</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23</w:t>
                  </w:r>
                </w:p>
              </w:tc>
              <w:tc>
                <w:tcPr>
                  <w:tcW w:type="dxa" w:w="514"/>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适配性</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与无人机原装同款飞行电池</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24</w:t>
                  </w:r>
                </w:p>
              </w:tc>
              <w:tc>
                <w:tcPr>
                  <w:tcW w:type="dxa" w:w="5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备用遥控器电池</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数量</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不少于2块</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25</w:t>
                  </w:r>
                </w:p>
              </w:tc>
              <w:tc>
                <w:tcPr>
                  <w:tcW w:type="dxa" w:w="514"/>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适配性</w:t>
                  </w:r>
                </w:p>
              </w:tc>
              <w:tc>
                <w:tcPr>
                  <w:tcW w:type="dxa" w:w="2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 w:hAnsi="仿宋" w:cs="仿宋" w:eastAsia="仿宋"/>
                      <w:sz w:val="21"/>
                    </w:rPr>
                    <w:t>与无人机遥控器原装同款遥控器电池</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标的名称：管道潜望镜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628"/>
              <w:gridCol w:w="685"/>
              <w:gridCol w:w="1142"/>
              <w:gridCol w:w="2628"/>
              <w:gridCol w:w="514"/>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项目类型</w:t>
                  </w:r>
                </w:p>
              </w:tc>
              <w:tc>
                <w:tcPr>
                  <w:tcW w:type="dxa" w:w="11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2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5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防爆摄像仪</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图像传感器</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1/2</w:t>
                  </w:r>
                  <w:r>
                    <w:rPr>
                      <w:rFonts w:ascii="仿宋" w:hAnsi="仿宋" w:cs="仿宋" w:eastAsia="仿宋"/>
                      <w:sz w:val="21"/>
                    </w:rPr>
                    <w:t>英寸</w:t>
                  </w:r>
                  <w:r>
                    <w:rPr>
                      <w:rFonts w:ascii="仿宋" w:hAnsi="仿宋" w:cs="仿宋" w:eastAsia="仿宋"/>
                      <w:sz w:val="21"/>
                    </w:rPr>
                    <w:t xml:space="preserve"> CCD</w:t>
                  </w:r>
                  <w:r>
                    <w:rPr>
                      <w:rFonts w:ascii="仿宋" w:hAnsi="仿宋" w:cs="仿宋" w:eastAsia="仿宋"/>
                      <w:sz w:val="21"/>
                    </w:rPr>
                    <w:t>图像传感器，分辨率不低于</w:t>
                  </w:r>
                  <w:r>
                    <w:rPr>
                      <w:rFonts w:ascii="仿宋" w:hAnsi="仿宋" w:cs="仿宋" w:eastAsia="仿宋"/>
                      <w:sz w:val="21"/>
                    </w:rPr>
                    <w:t>210</w:t>
                  </w:r>
                  <w:r>
                    <w:rPr>
                      <w:rFonts w:ascii="仿宋" w:hAnsi="仿宋" w:cs="仿宋" w:eastAsia="仿宋"/>
                      <w:sz w:val="21"/>
                    </w:rPr>
                    <w:t>万像素，照度</w:t>
                  </w:r>
                  <w:r>
                    <w:rPr>
                      <w:rFonts w:ascii="仿宋" w:hAnsi="仿宋" w:cs="仿宋" w:eastAsia="仿宋"/>
                      <w:sz w:val="21"/>
                    </w:rPr>
                    <w:t>0.011 lux</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w:t>
                  </w:r>
                </w:p>
              </w:tc>
              <w:tc>
                <w:tcPr>
                  <w:tcW w:type="dxa" w:w="685"/>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变焦</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光学变焦≥</w:t>
                  </w:r>
                  <w:r>
                    <w:rPr>
                      <w:rFonts w:ascii="仿宋" w:hAnsi="仿宋" w:cs="仿宋" w:eastAsia="仿宋"/>
                      <w:sz w:val="21"/>
                    </w:rPr>
                    <w:t>25</w:t>
                  </w:r>
                  <w:r>
                    <w:rPr>
                      <w:rFonts w:ascii="仿宋" w:hAnsi="仿宋" w:cs="仿宋" w:eastAsia="仿宋"/>
                      <w:sz w:val="21"/>
                    </w:rPr>
                    <w:t>倍，电子放大≥</w:t>
                  </w:r>
                  <w:r>
                    <w:rPr>
                      <w:rFonts w:ascii="仿宋" w:hAnsi="仿宋" w:cs="仿宋" w:eastAsia="仿宋"/>
                      <w:sz w:val="21"/>
                    </w:rPr>
                    <w:t>12</w:t>
                  </w:r>
                  <w:r>
                    <w:rPr>
                      <w:rFonts w:ascii="仿宋" w:hAnsi="仿宋" w:cs="仿宋" w:eastAsia="仿宋"/>
                      <w:sz w:val="21"/>
                    </w:rPr>
                    <w:t>倍</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3</w:t>
                  </w:r>
                </w:p>
              </w:tc>
              <w:tc>
                <w:tcPr>
                  <w:tcW w:type="dxa" w:w="685"/>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摄像主机</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可垂直</w:t>
                  </w:r>
                  <w:r>
                    <w:rPr>
                      <w:rFonts w:ascii="仿宋" w:hAnsi="仿宋" w:cs="仿宋" w:eastAsia="仿宋"/>
                      <w:sz w:val="21"/>
                    </w:rPr>
                    <w:t>90</w:t>
                  </w:r>
                  <w:r>
                    <w:rPr>
                      <w:rFonts w:ascii="仿宋" w:hAnsi="仿宋" w:cs="仿宋" w:eastAsia="仿宋"/>
                      <w:sz w:val="21"/>
                    </w:rPr>
                    <w:t>°电动仰俯，支持一键复位</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4</w:t>
                  </w:r>
                </w:p>
              </w:tc>
              <w:tc>
                <w:tcPr>
                  <w:tcW w:type="dxa" w:w="685"/>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气压检测传感器</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内置气压检测传感器，</w:t>
                  </w:r>
                  <w:r>
                    <w:rPr>
                      <w:rFonts w:ascii="仿宋" w:hAnsi="仿宋" w:cs="仿宋" w:eastAsia="仿宋"/>
                      <w:sz w:val="21"/>
                    </w:rPr>
                    <w:t>安全气压值</w:t>
                  </w:r>
                  <w:r>
                    <w:rPr>
                      <w:rFonts w:ascii="仿宋" w:hAnsi="仿宋" w:cs="仿宋" w:eastAsia="仿宋"/>
                      <w:sz w:val="21"/>
                    </w:rPr>
                    <w:t>1.2~1.7bar</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5</w:t>
                  </w:r>
                </w:p>
              </w:tc>
              <w:tc>
                <w:tcPr>
                  <w:tcW w:type="dxa" w:w="685"/>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 xml:space="preserve">LED </w:t>
                  </w:r>
                  <w:r>
                    <w:rPr>
                      <w:rFonts w:ascii="仿宋" w:hAnsi="仿宋" w:cs="仿宋" w:eastAsia="仿宋"/>
                      <w:sz w:val="22"/>
                    </w:rPr>
                    <w:t>辅助灯</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不少于四颗独立灯杯高亮</w:t>
                  </w:r>
                  <w:r>
                    <w:rPr>
                      <w:rFonts w:ascii="仿宋" w:hAnsi="仿宋" w:cs="仿宋" w:eastAsia="仿宋"/>
                      <w:sz w:val="21"/>
                    </w:rPr>
                    <w:t>LED</w:t>
                  </w:r>
                  <w:r>
                    <w:rPr>
                      <w:rFonts w:ascii="仿宋" w:hAnsi="仿宋" w:cs="仿宋" w:eastAsia="仿宋"/>
                      <w:sz w:val="21"/>
                    </w:rPr>
                    <w:t>辅助灯，其中两颗高亮远光辅助，以及两颗柔光近距离辅助照明灯光</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6</w:t>
                  </w:r>
                </w:p>
              </w:tc>
              <w:tc>
                <w:tcPr>
                  <w:tcW w:type="dxa" w:w="685"/>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防水等级</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IP68</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7</w:t>
                  </w:r>
                </w:p>
              </w:tc>
              <w:tc>
                <w:tcPr>
                  <w:tcW w:type="dxa" w:w="685"/>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电气防爆认证</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8</w:t>
                  </w:r>
                </w:p>
              </w:tc>
              <w:tc>
                <w:tcPr>
                  <w:tcW w:type="dxa" w:w="685"/>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镜头除雾功能</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9</w:t>
                  </w:r>
                </w:p>
              </w:tc>
              <w:tc>
                <w:tcPr>
                  <w:tcW w:type="dxa" w:w="685"/>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尺寸</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直径≥</w:t>
                  </w:r>
                  <w:r>
                    <w:rPr>
                      <w:rFonts w:ascii="仿宋" w:hAnsi="仿宋" w:cs="仿宋" w:eastAsia="仿宋"/>
                      <w:sz w:val="21"/>
                    </w:rPr>
                    <w:t>80mm</w:t>
                  </w:r>
                  <w:r>
                    <w:rPr>
                      <w:rFonts w:ascii="仿宋" w:hAnsi="仿宋" w:cs="仿宋" w:eastAsia="仿宋"/>
                      <w:sz w:val="21"/>
                    </w:rPr>
                    <w:t>，长度≥</w:t>
                  </w:r>
                  <w:r>
                    <w:rPr>
                      <w:rFonts w:ascii="仿宋" w:hAnsi="仿宋" w:cs="仿宋" w:eastAsia="仿宋"/>
                      <w:sz w:val="21"/>
                    </w:rPr>
                    <w:t>180mm</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10</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智能显示控制终端</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 xml:space="preserve">IPS </w:t>
                  </w:r>
                  <w:r>
                    <w:rPr>
                      <w:rFonts w:ascii="仿宋" w:hAnsi="仿宋" w:cs="仿宋" w:eastAsia="仿宋"/>
                      <w:sz w:val="22"/>
                    </w:rPr>
                    <w:t>高清屏</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屏幕尺寸不小于</w:t>
                  </w:r>
                  <w:r>
                    <w:rPr>
                      <w:rFonts w:ascii="仿宋" w:hAnsi="仿宋" w:cs="仿宋" w:eastAsia="仿宋"/>
                      <w:sz w:val="21"/>
                    </w:rPr>
                    <w:t>10</w:t>
                  </w:r>
                  <w:r>
                    <w:rPr>
                      <w:rFonts w:ascii="仿宋" w:hAnsi="仿宋" w:cs="仿宋" w:eastAsia="仿宋"/>
                      <w:sz w:val="21"/>
                    </w:rPr>
                    <w:t>寸，分辨率不低于</w:t>
                  </w:r>
                  <w:r>
                    <w:rPr>
                      <w:rFonts w:ascii="仿宋" w:hAnsi="仿宋" w:cs="仿宋" w:eastAsia="仿宋"/>
                      <w:sz w:val="21"/>
                    </w:rPr>
                    <w:t>1024</w:t>
                  </w:r>
                  <w:r>
                    <w:rPr>
                      <w:rFonts w:ascii="仿宋" w:hAnsi="仿宋" w:cs="仿宋" w:eastAsia="仿宋"/>
                      <w:sz w:val="21"/>
                    </w:rPr>
                    <w:t>×</w:t>
                  </w:r>
                  <w:r>
                    <w:rPr>
                      <w:rFonts w:ascii="仿宋" w:hAnsi="仿宋" w:cs="仿宋" w:eastAsia="仿宋"/>
                      <w:sz w:val="21"/>
                    </w:rPr>
                    <w:t>768</w:t>
                  </w:r>
                  <w:r>
                    <w:rPr>
                      <w:rFonts w:ascii="仿宋" w:hAnsi="仿宋" w:cs="仿宋" w:eastAsia="仿宋"/>
                      <w:sz w:val="21"/>
                    </w:rPr>
                    <w:t>，显示背光亮度可调，阳光下可视</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11</w:t>
                  </w:r>
                </w:p>
              </w:tc>
              <w:tc>
                <w:tcPr>
                  <w:tcW w:type="dxa" w:w="685"/>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操控方式</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触屏或物理按键操作</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12</w:t>
                  </w:r>
                </w:p>
              </w:tc>
              <w:tc>
                <w:tcPr>
                  <w:tcW w:type="dxa" w:w="685"/>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画面字符叠加</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支持中文字符叠加，如：时间、地址、检测地、检测数据等</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13</w:t>
                  </w:r>
                </w:p>
              </w:tc>
              <w:tc>
                <w:tcPr>
                  <w:tcW w:type="dxa" w:w="685"/>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视频图像</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支持缩放、一键录像、一键拍照，一键回放</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14</w:t>
                  </w:r>
                </w:p>
              </w:tc>
              <w:tc>
                <w:tcPr>
                  <w:tcW w:type="dxa" w:w="685"/>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传输功能</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支持</w:t>
                  </w:r>
                  <w:r>
                    <w:rPr>
                      <w:rFonts w:ascii="仿宋" w:hAnsi="仿宋" w:cs="仿宋" w:eastAsia="仿宋"/>
                      <w:sz w:val="22"/>
                    </w:rPr>
                    <w:t>4G</w:t>
                  </w:r>
                  <w:r>
                    <w:rPr>
                      <w:rFonts w:ascii="仿宋" w:hAnsi="仿宋" w:cs="仿宋" w:eastAsia="仿宋"/>
                      <w:sz w:val="22"/>
                    </w:rPr>
                    <w:t>图传，可与车载图传互联互通</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15</w:t>
                  </w:r>
                </w:p>
              </w:tc>
              <w:tc>
                <w:tcPr>
                  <w:tcW w:type="dxa" w:w="685"/>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图像输出</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支持</w:t>
                  </w:r>
                  <w:r>
                    <w:rPr>
                      <w:rFonts w:ascii="仿宋" w:hAnsi="仿宋" w:cs="仿宋" w:eastAsia="仿宋"/>
                      <w:sz w:val="22"/>
                    </w:rPr>
                    <w:t>HDMI</w:t>
                  </w:r>
                  <w:r>
                    <w:rPr>
                      <w:rFonts w:ascii="仿宋" w:hAnsi="仿宋" w:cs="仿宋" w:eastAsia="仿宋"/>
                      <w:sz w:val="22"/>
                    </w:rPr>
                    <w:t>高清图像输出，分辨率不低于</w:t>
                  </w:r>
                  <w:r>
                    <w:rPr>
                      <w:rFonts w:ascii="仿宋" w:hAnsi="仿宋" w:cs="仿宋" w:eastAsia="仿宋"/>
                      <w:sz w:val="22"/>
                    </w:rPr>
                    <w:t>1080P</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16</w:t>
                  </w:r>
                </w:p>
              </w:tc>
              <w:tc>
                <w:tcPr>
                  <w:tcW w:type="dxa" w:w="685"/>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存储空间</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内置不少于</w:t>
                  </w:r>
                  <w:r>
                    <w:rPr>
                      <w:rFonts w:ascii="仿宋" w:hAnsi="仿宋" w:cs="仿宋" w:eastAsia="仿宋"/>
                      <w:sz w:val="22"/>
                    </w:rPr>
                    <w:t>8G</w:t>
                  </w:r>
                  <w:r>
                    <w:rPr>
                      <w:rFonts w:ascii="仿宋" w:hAnsi="仿宋" w:cs="仿宋" w:eastAsia="仿宋"/>
                      <w:sz w:val="22"/>
                    </w:rPr>
                    <w:t>存储空间，支持储存拓展</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17</w:t>
                  </w:r>
                </w:p>
              </w:tc>
              <w:tc>
                <w:tcPr>
                  <w:tcW w:type="dxa" w:w="685"/>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电池</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插拔式高容量聚合物锂电池，支持设备工作时间≥</w:t>
                  </w:r>
                  <w:r>
                    <w:rPr>
                      <w:rFonts w:ascii="仿宋" w:hAnsi="仿宋" w:cs="仿宋" w:eastAsia="仿宋"/>
                      <w:sz w:val="22"/>
                    </w:rPr>
                    <w:t>6</w:t>
                  </w:r>
                  <w:r>
                    <w:rPr>
                      <w:rFonts w:ascii="仿宋" w:hAnsi="仿宋" w:cs="仿宋" w:eastAsia="仿宋"/>
                      <w:sz w:val="22"/>
                    </w:rPr>
                    <w:t>小时</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18</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操作杆和信号线</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操作杆结构</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高强度碳纤维管状材料，单根伸缩，长度≥</w:t>
                  </w:r>
                  <w:r>
                    <w:rPr>
                      <w:rFonts w:ascii="仿宋" w:hAnsi="仿宋" w:cs="仿宋" w:eastAsia="仿宋"/>
                      <w:sz w:val="21"/>
                    </w:rPr>
                    <w:t>7</w:t>
                  </w:r>
                  <w:r>
                    <w:rPr>
                      <w:rFonts w:ascii="仿宋" w:hAnsi="仿宋" w:cs="仿宋" w:eastAsia="仿宋"/>
                      <w:sz w:val="21"/>
                    </w:rPr>
                    <w:t>米</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19</w:t>
                  </w:r>
                  <w:r>
                    <w:rPr>
                      <w:rFonts w:ascii="仿宋" w:hAnsi="仿宋" w:cs="仿宋" w:eastAsia="仿宋"/>
                      <w:sz w:val="22"/>
                    </w:rPr>
                    <w:t>·</w:t>
                  </w:r>
                </w:p>
              </w:tc>
              <w:tc>
                <w:tcPr>
                  <w:tcW w:type="dxa" w:w="685"/>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信号模块</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传输长度≥</w:t>
                  </w:r>
                  <w:r>
                    <w:rPr>
                      <w:rFonts w:ascii="仿宋" w:hAnsi="仿宋" w:cs="仿宋" w:eastAsia="仿宋"/>
                      <w:sz w:val="22"/>
                    </w:rPr>
                    <w:t>9</w:t>
                  </w:r>
                  <w:r>
                    <w:rPr>
                      <w:rFonts w:ascii="仿宋" w:hAnsi="仿宋" w:cs="仿宋" w:eastAsia="仿宋"/>
                      <w:sz w:val="22"/>
                    </w:rPr>
                    <w:t>米</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20</w:t>
                  </w:r>
                </w:p>
              </w:tc>
              <w:tc>
                <w:tcPr>
                  <w:tcW w:type="dxa" w:w="685"/>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其它</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操作杆快插设置，防脱落</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21</w:t>
                  </w:r>
                </w:p>
              </w:tc>
              <w:tc>
                <w:tcPr>
                  <w:tcW w:type="dxa" w:w="68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支撑支架</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材料</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不锈钢防腐</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22</w:t>
                  </w:r>
                </w:p>
              </w:tc>
              <w:tc>
                <w:tcPr>
                  <w:tcW w:type="dxa" w:w="685"/>
                  <w:vMerge/>
                  <w:tcBorders>
                    <w:top w:val="none" w:color="000000" w:sz="4"/>
                    <w:left w:val="none" w:color="000000" w:sz="4"/>
                    <w:bottom w:val="single" w:color="000000" w:sz="4"/>
                    <w:right w:val="single" w:color="000000" w:sz="4"/>
                  </w:tcBorders>
                </w:tcP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形状</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U</w:t>
                  </w:r>
                  <w:r>
                    <w:rPr>
                      <w:rFonts w:ascii="仿宋" w:hAnsi="仿宋" w:cs="仿宋" w:eastAsia="仿宋"/>
                      <w:sz w:val="21"/>
                    </w:rPr>
                    <w:t>型双侧支撑设计增加稳定性</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23</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其他</w:t>
                  </w:r>
                </w:p>
              </w:tc>
              <w:tc>
                <w:tcPr>
                  <w:tcW w:type="dxa" w:w="11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包装箱</w:t>
                  </w:r>
                </w:p>
              </w:tc>
              <w:tc>
                <w:tcPr>
                  <w:tcW w:type="dxa" w:w="2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带拉杆和轮子</w:t>
                  </w:r>
                </w:p>
              </w:tc>
              <w:tc>
                <w:tcPr>
                  <w:tcW w:type="dxa" w:w="5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pPr>
      <w:r>
        <w:rPr/>
        <w:t>标的名称：管道爬行机器人（CCTV）</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389"/>
              <w:gridCol w:w="649"/>
              <w:gridCol w:w="806"/>
              <w:gridCol w:w="3003"/>
              <w:gridCol w:w="751"/>
            </w:tblGrid>
            <w:tr>
              <w:tc>
                <w:tcPr>
                  <w:tcW w:type="dxa" w:w="3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6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项目类型</w:t>
                  </w:r>
                </w:p>
              </w:tc>
              <w:tc>
                <w:tcPr>
                  <w:tcW w:type="dxa" w:w="8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30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7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w:t>
                  </w:r>
                </w:p>
              </w:tc>
              <w:tc>
                <w:tcPr>
                  <w:tcW w:type="dxa" w:w="6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机器人本体</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适用管径</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可适应测量管径范围为</w:t>
                  </w:r>
                  <w:r>
                    <w:rPr>
                      <w:rFonts w:ascii="仿宋" w:hAnsi="仿宋" w:cs="仿宋" w:eastAsia="仿宋"/>
                      <w:sz w:val="21"/>
                    </w:rPr>
                    <w:t>DN300-DN3000</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镜头</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支持</w:t>
                  </w:r>
                  <w:r>
                    <w:rPr>
                      <w:rFonts w:ascii="仿宋" w:hAnsi="仿宋" w:cs="仿宋" w:eastAsia="仿宋"/>
                      <w:sz w:val="21"/>
                    </w:rPr>
                    <w:t>360°轴向旋转</w:t>
                  </w:r>
                  <w:r>
                    <w:rPr>
                      <w:rFonts w:ascii="仿宋" w:hAnsi="仿宋" w:cs="仿宋" w:eastAsia="仿宋"/>
                      <w:sz w:val="21"/>
                    </w:rPr>
                    <w:t>，支持</w:t>
                  </w:r>
                  <w:r>
                    <w:rPr>
                      <w:rFonts w:ascii="仿宋" w:hAnsi="仿宋" w:cs="仿宋" w:eastAsia="仿宋"/>
                      <w:sz w:val="21"/>
                    </w:rPr>
                    <w:t>径向翻转</w:t>
                  </w:r>
                  <w:r>
                    <w:rPr>
                      <w:rFonts w:ascii="仿宋" w:hAnsi="仿宋" w:cs="仿宋" w:eastAsia="仿宋"/>
                      <w:sz w:val="21"/>
                    </w:rPr>
                    <w:t>，</w:t>
                  </w:r>
                  <w:r>
                    <w:rPr>
                      <w:rFonts w:ascii="仿宋" w:hAnsi="仿宋" w:cs="仿宋" w:eastAsia="仿宋"/>
                      <w:sz w:val="21"/>
                    </w:rPr>
                    <w:t>具有防雾、防刮、防凝水</w:t>
                  </w:r>
                  <w:r>
                    <w:rPr>
                      <w:rFonts w:ascii="仿宋" w:hAnsi="仿宋" w:cs="仿宋" w:eastAsia="仿宋"/>
                      <w:sz w:val="21"/>
                    </w:rPr>
                    <w:t>设计和加热除雾功能</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3</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云台机芯</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光学变倍</w:t>
                  </w:r>
                  <w:r>
                    <w:rPr>
                      <w:rFonts w:ascii="仿宋" w:hAnsi="仿宋" w:cs="仿宋" w:eastAsia="仿宋"/>
                      <w:sz w:val="21"/>
                    </w:rPr>
                    <w:t>不低于</w:t>
                  </w:r>
                  <w:r>
                    <w:rPr>
                      <w:rFonts w:ascii="仿宋" w:hAnsi="仿宋" w:cs="仿宋" w:eastAsia="仿宋"/>
                      <w:sz w:val="21"/>
                    </w:rPr>
                    <w:t>10倍</w:t>
                  </w:r>
                  <w:r>
                    <w:rPr>
                      <w:rFonts w:ascii="仿宋" w:hAnsi="仿宋" w:cs="仿宋" w:eastAsia="仿宋"/>
                      <w:sz w:val="21"/>
                    </w:rPr>
                    <w:t>，</w:t>
                  </w:r>
                  <w:r>
                    <w:rPr>
                      <w:rFonts w:ascii="仿宋" w:hAnsi="仿宋" w:cs="仿宋" w:eastAsia="仿宋"/>
                      <w:sz w:val="21"/>
                    </w:rPr>
                    <w:t>像素</w:t>
                  </w:r>
                  <w:r>
                    <w:rPr>
                      <w:rFonts w:ascii="仿宋" w:hAnsi="仿宋" w:cs="仿宋" w:eastAsia="仿宋"/>
                      <w:sz w:val="21"/>
                    </w:rPr>
                    <w:t>不低于</w:t>
                  </w:r>
                  <w:r>
                    <w:rPr>
                      <w:rFonts w:ascii="仿宋" w:hAnsi="仿宋" w:cs="仿宋" w:eastAsia="仿宋"/>
                      <w:sz w:val="21"/>
                    </w:rPr>
                    <w:t>210万</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4</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后视成像</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像素</w:t>
                  </w:r>
                  <w:r>
                    <w:rPr>
                      <w:rFonts w:ascii="仿宋" w:hAnsi="仿宋" w:cs="仿宋" w:eastAsia="仿宋"/>
                      <w:sz w:val="21"/>
                    </w:rPr>
                    <w:t>不低于</w:t>
                  </w:r>
                  <w:r>
                    <w:rPr>
                      <w:rFonts w:ascii="仿宋" w:hAnsi="仿宋" w:cs="仿宋" w:eastAsia="仿宋"/>
                      <w:sz w:val="21"/>
                    </w:rPr>
                    <w:t>210万</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5</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前置照明光源</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4颗高亮LED冷白光源近光灯，光照度</w:t>
                  </w:r>
                  <w:r>
                    <w:rPr>
                      <w:rFonts w:ascii="仿宋" w:hAnsi="仿宋" w:cs="仿宋" w:eastAsia="仿宋"/>
                      <w:sz w:val="21"/>
                    </w:rPr>
                    <w:t>不低于</w:t>
                  </w:r>
                  <w:r>
                    <w:rPr>
                      <w:rFonts w:ascii="仿宋" w:hAnsi="仿宋" w:cs="仿宋" w:eastAsia="仿宋"/>
                      <w:sz w:val="21"/>
                    </w:rPr>
                    <w:t>20*10000LUX；</w:t>
                  </w:r>
                </w:p>
                <w:p>
                  <w:pPr>
                    <w:pStyle w:val="null3"/>
                    <w:jc w:val="left"/>
                  </w:pPr>
                  <w:r>
                    <w:rPr>
                      <w:rFonts w:ascii="仿宋" w:hAnsi="仿宋" w:cs="仿宋" w:eastAsia="仿宋"/>
                      <w:sz w:val="21"/>
                    </w:rPr>
                    <w:t>4颗高亮LED冷白光源远光灯，光照度为：30*10000LUX</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6</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后置照明光源</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2颗高亮LED冷白光源，光照度</w:t>
                  </w:r>
                  <w:r>
                    <w:rPr>
                      <w:rFonts w:ascii="仿宋" w:hAnsi="仿宋" w:cs="仿宋" w:eastAsia="仿宋"/>
                      <w:sz w:val="21"/>
                    </w:rPr>
                    <w:t>不低于</w:t>
                  </w:r>
                  <w:r>
                    <w:rPr>
                      <w:rFonts w:ascii="仿宋" w:hAnsi="仿宋" w:cs="仿宋" w:eastAsia="仿宋"/>
                      <w:sz w:val="21"/>
                    </w:rPr>
                    <w:t>15*10000LUX</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7</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机身升降</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电动升降架，</w:t>
                  </w:r>
                  <w:r>
                    <w:rPr>
                      <w:rFonts w:ascii="仿宋" w:hAnsi="仿宋" w:cs="仿宋" w:eastAsia="仿宋"/>
                      <w:sz w:val="21"/>
                    </w:rPr>
                    <w:t>镜头与爬行器可直接连接使用</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8</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驱动与速度</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配备双</w:t>
                  </w:r>
                  <w:r>
                    <w:rPr>
                      <w:rFonts w:ascii="仿宋" w:hAnsi="仿宋" w:cs="仿宋" w:eastAsia="仿宋"/>
                      <w:sz w:val="21"/>
                    </w:rPr>
                    <w:t>电机驱动</w:t>
                  </w:r>
                  <w:r>
                    <w:rPr>
                      <w:rFonts w:ascii="仿宋" w:hAnsi="仿宋" w:cs="仿宋" w:eastAsia="仿宋"/>
                      <w:sz w:val="21"/>
                    </w:rPr>
                    <w:t>，</w:t>
                  </w:r>
                  <w:r>
                    <w:rPr>
                      <w:rFonts w:ascii="仿宋" w:hAnsi="仿宋" w:cs="仿宋" w:eastAsia="仿宋"/>
                      <w:sz w:val="21"/>
                    </w:rPr>
                    <w:t>行进速度多档可调</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9</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转向</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支持原地</w:t>
                  </w:r>
                  <w:r>
                    <w:rPr>
                      <w:rFonts w:ascii="仿宋" w:hAnsi="仿宋" w:cs="仿宋" w:eastAsia="仿宋"/>
                      <w:sz w:val="21"/>
                    </w:rPr>
                    <w:t>360</w:t>
                  </w:r>
                  <w:r>
                    <w:rPr>
                      <w:rFonts w:ascii="仿宋" w:hAnsi="仿宋" w:cs="仿宋" w:eastAsia="仿宋"/>
                      <w:sz w:val="21"/>
                    </w:rPr>
                    <w:t>°转向</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10</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重心</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内置姿态传感器，实时监测机身角度，具备防侧翻报警功能</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11</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爬坡能力</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不低于</w:t>
                  </w:r>
                  <w:r>
                    <w:rPr>
                      <w:rFonts w:ascii="仿宋" w:hAnsi="仿宋" w:cs="仿宋" w:eastAsia="仿宋"/>
                      <w:sz w:val="21"/>
                    </w:rPr>
                    <w:t>50</w:t>
                  </w:r>
                  <w:r>
                    <w:rPr>
                      <w:rFonts w:ascii="仿宋" w:hAnsi="仿宋" w:cs="仿宋" w:eastAsia="仿宋"/>
                      <w:sz w:val="21"/>
                    </w:rPr>
                    <w:t>°</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12</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防护等级</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≥IP68，</w:t>
                  </w:r>
                  <w:r>
                    <w:rPr>
                      <w:rFonts w:ascii="仿宋" w:hAnsi="仿宋" w:cs="仿宋" w:eastAsia="仿宋"/>
                      <w:sz w:val="21"/>
                    </w:rPr>
                    <w:t>具备</w:t>
                  </w:r>
                  <w:r>
                    <w:rPr>
                      <w:rFonts w:ascii="仿宋" w:hAnsi="仿宋" w:cs="仿宋" w:eastAsia="仿宋"/>
                      <w:sz w:val="21"/>
                    </w:rPr>
                    <w:t>防水、防尘、防腐蚀、防静电、防侧翻、防爆</w:t>
                  </w:r>
                  <w:r>
                    <w:rPr>
                      <w:rFonts w:ascii="仿宋" w:hAnsi="仿宋" w:cs="仿宋" w:eastAsia="仿宋"/>
                      <w:sz w:val="21"/>
                    </w:rPr>
                    <w:t>设计</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13</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车轮</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配备不少于</w:t>
                  </w:r>
                  <w:r>
                    <w:rPr>
                      <w:rFonts w:ascii="仿宋" w:hAnsi="仿宋" w:cs="仿宋" w:eastAsia="仿宋"/>
                      <w:sz w:val="21"/>
                    </w:rPr>
                    <w:t>3组轮胎，适应不同管径</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w:t>
                  </w:r>
                  <w:r>
                    <w:rPr>
                      <w:rFonts w:ascii="仿宋" w:hAnsi="仿宋" w:cs="仿宋" w:eastAsia="仿宋"/>
                      <w:sz w:val="22"/>
                    </w:rPr>
                    <w:t>4</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工作温度</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-10℃～50℃</w:t>
                  </w:r>
                  <w:r>
                    <w:rPr>
                      <w:rFonts w:ascii="仿宋" w:hAnsi="仿宋" w:cs="仿宋" w:eastAsia="仿宋"/>
                      <w:sz w:val="21"/>
                    </w:rPr>
                    <w:t>下可正常工作</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15</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通信及接口</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机器人与线缆车通过</w:t>
                  </w:r>
                  <w:r>
                    <w:rPr>
                      <w:rFonts w:ascii="仿宋" w:hAnsi="仿宋" w:cs="仿宋" w:eastAsia="仿宋"/>
                      <w:sz w:val="21"/>
                    </w:rPr>
                    <w:t>2</w:t>
                  </w:r>
                  <w:r>
                    <w:rPr>
                      <w:rFonts w:ascii="仿宋" w:hAnsi="仿宋" w:cs="仿宋" w:eastAsia="仿宋"/>
                      <w:sz w:val="21"/>
                    </w:rPr>
                    <w:t>芯线缆通讯、供电，</w:t>
                  </w:r>
                  <w:r>
                    <w:rPr>
                      <w:rFonts w:ascii="仿宋" w:hAnsi="仿宋" w:cs="仿宋" w:eastAsia="仿宋"/>
                      <w:sz w:val="21"/>
                    </w:rPr>
                    <w:t>4</w:t>
                  </w:r>
                  <w:r>
                    <w:rPr>
                      <w:rFonts w:ascii="仿宋" w:hAnsi="仿宋" w:cs="仿宋" w:eastAsia="仿宋"/>
                      <w:sz w:val="21"/>
                    </w:rPr>
                    <w:t>芯专用航空接头，防水</w:t>
                  </w:r>
                  <w:r>
                    <w:rPr>
                      <w:rFonts w:ascii="仿宋" w:hAnsi="仿宋" w:cs="仿宋" w:eastAsia="仿宋"/>
                      <w:sz w:val="21"/>
                    </w:rPr>
                    <w:t>≥</w:t>
                  </w:r>
                  <w:r>
                    <w:rPr>
                      <w:rFonts w:ascii="仿宋" w:hAnsi="仿宋" w:cs="仿宋" w:eastAsia="仿宋"/>
                      <w:sz w:val="21"/>
                    </w:rPr>
                    <w:t>IP68</w:t>
                  </w:r>
                  <w:r>
                    <w:rPr>
                      <w:rFonts w:ascii="仿宋" w:hAnsi="仿宋" w:cs="仿宋" w:eastAsia="仿宋"/>
                      <w:sz w:val="21"/>
                    </w:rPr>
                    <w:t>等级</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w:t>
                  </w:r>
                  <w:r>
                    <w:rPr>
                      <w:rFonts w:ascii="仿宋" w:hAnsi="仿宋" w:cs="仿宋" w:eastAsia="仿宋"/>
                      <w:sz w:val="22"/>
                    </w:rPr>
                    <w:t>6</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车体及镜头材质</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黄铜</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17</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车体大小</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≤480 mm*199 mm*205mm</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18</w:t>
                  </w:r>
                </w:p>
              </w:tc>
              <w:tc>
                <w:tcPr>
                  <w:tcW w:type="dxa" w:w="6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控制装置</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人机控制方式</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触屏控制</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19</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显示屏幕</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不小于</w:t>
                  </w:r>
                  <w:r>
                    <w:rPr>
                      <w:rFonts w:ascii="仿宋" w:hAnsi="仿宋" w:cs="仿宋" w:eastAsia="仿宋"/>
                      <w:sz w:val="21"/>
                    </w:rPr>
                    <w:t>10</w:t>
                  </w:r>
                  <w:r>
                    <w:rPr>
                      <w:rFonts w:ascii="仿宋" w:hAnsi="仿宋" w:cs="仿宋" w:eastAsia="仿宋"/>
                      <w:sz w:val="21"/>
                    </w:rPr>
                    <w:t>寸高亮度</w:t>
                  </w:r>
                  <w:r>
                    <w:rPr>
                      <w:rFonts w:ascii="仿宋" w:hAnsi="仿宋" w:cs="仿宋" w:eastAsia="仿宋"/>
                      <w:sz w:val="21"/>
                    </w:rPr>
                    <w:t>触摸</w:t>
                  </w:r>
                  <w:r>
                    <w:rPr>
                      <w:rFonts w:ascii="仿宋" w:hAnsi="仿宋" w:cs="仿宋" w:eastAsia="仿宋"/>
                      <w:sz w:val="21"/>
                    </w:rPr>
                    <w:t>屏，具备防眩目、防反光功能</w:t>
                  </w:r>
                  <w:r>
                    <w:rPr>
                      <w:rFonts w:ascii="仿宋" w:hAnsi="仿宋" w:cs="仿宋" w:eastAsia="仿宋"/>
                      <w:sz w:val="21"/>
                    </w:rPr>
                    <w:t>，</w:t>
                  </w:r>
                  <w:r>
                    <w:rPr>
                      <w:rFonts w:ascii="仿宋" w:hAnsi="仿宋" w:cs="仿宋" w:eastAsia="仿宋"/>
                      <w:sz w:val="21"/>
                    </w:rPr>
                    <w:t>强太阳光下清晰可见</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20</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存储</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标配内置容量不小于</w:t>
                  </w:r>
                  <w:r>
                    <w:rPr>
                      <w:rFonts w:ascii="仿宋" w:hAnsi="仿宋" w:cs="仿宋" w:eastAsia="仿宋"/>
                      <w:sz w:val="21"/>
                    </w:rPr>
                    <w:t>1</w:t>
                  </w:r>
                  <w:r>
                    <w:rPr>
                      <w:rFonts w:ascii="仿宋" w:hAnsi="仿宋" w:cs="仿宋" w:eastAsia="仿宋"/>
                      <w:sz w:val="21"/>
                    </w:rPr>
                    <w:t>28G固态硬盘</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21</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续航时间</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自带电池续航不低于</w:t>
                  </w:r>
                  <w:r>
                    <w:rPr>
                      <w:rFonts w:ascii="仿宋" w:hAnsi="仿宋" w:cs="仿宋" w:eastAsia="仿宋"/>
                      <w:sz w:val="21"/>
                    </w:rPr>
                    <w:t>6</w:t>
                  </w:r>
                  <w:r>
                    <w:rPr>
                      <w:rFonts w:ascii="仿宋" w:hAnsi="仿宋" w:cs="仿宋" w:eastAsia="仿宋"/>
                      <w:sz w:val="21"/>
                    </w:rPr>
                    <w:t>小时</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22</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其它</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w:t>
                  </w:r>
                  <w:r>
                    <w:rPr>
                      <w:rFonts w:ascii="仿宋" w:hAnsi="仿宋" w:cs="仿宋" w:eastAsia="仿宋"/>
                      <w:sz w:val="21"/>
                    </w:rPr>
                    <w:t>WIFI</w:t>
                  </w:r>
                  <w:r>
                    <w:rPr>
                      <w:rFonts w:ascii="仿宋" w:hAnsi="仿宋" w:cs="仿宋" w:eastAsia="仿宋"/>
                      <w:sz w:val="21"/>
                    </w:rPr>
                    <w:t>、蓝牙定位等功能</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23</w:t>
                  </w:r>
                </w:p>
              </w:tc>
              <w:tc>
                <w:tcPr>
                  <w:tcW w:type="dxa" w:w="64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线缆车</w:t>
                  </w: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搬运方式</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配备万向轮和拉手</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24</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计米功能</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电子计米传感器，可计算机器人在管道内部行走的路程，放线长度计数精度不超过</w:t>
                  </w:r>
                  <w:r>
                    <w:rPr>
                      <w:rFonts w:ascii="仿宋" w:hAnsi="仿宋" w:cs="仿宋" w:eastAsia="仿宋"/>
                      <w:sz w:val="21"/>
                    </w:rPr>
                    <w:t>±</w:t>
                  </w:r>
                  <w:r>
                    <w:rPr>
                      <w:rFonts w:ascii="仿宋" w:hAnsi="仿宋" w:cs="仿宋" w:eastAsia="仿宋"/>
                      <w:sz w:val="21"/>
                    </w:rPr>
                    <w:t>0.05m</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25</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线缆长度</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标配长度不少于</w:t>
                  </w:r>
                  <w:r>
                    <w:rPr>
                      <w:rFonts w:ascii="仿宋" w:hAnsi="仿宋" w:cs="仿宋" w:eastAsia="仿宋"/>
                      <w:sz w:val="21"/>
                    </w:rPr>
                    <w:t>120m</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26</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线缆材质</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高强度专用线缆，具备抗拉伸，防水、防油、耐磨和耐腐蚀等功能</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27</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线缆保护</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具备﹟形井口放线滑轮</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28</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防水等级</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w:t>
                  </w:r>
                  <w:r>
                    <w:rPr>
                      <w:rFonts w:ascii="仿宋" w:hAnsi="仿宋" w:cs="仿宋" w:eastAsia="仿宋"/>
                      <w:sz w:val="21"/>
                    </w:rPr>
                    <w:t>IP65</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29</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控制系统</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带有电源开关、点动收线开关、急停开关。所有控制模块集成在控制箱中，可以快速拆卸更换，方便维修</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3</w:t>
                  </w:r>
                  <w:r>
                    <w:rPr>
                      <w:rFonts w:ascii="仿宋" w:hAnsi="仿宋" w:cs="仿宋" w:eastAsia="仿宋"/>
                      <w:sz w:val="22"/>
                    </w:rPr>
                    <w:t>0</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数据通讯</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线缆车到终端通过</w:t>
                  </w:r>
                  <w:r>
                    <w:rPr>
                      <w:rFonts w:ascii="仿宋" w:hAnsi="仿宋" w:cs="仿宋" w:eastAsia="仿宋"/>
                      <w:sz w:val="21"/>
                    </w:rPr>
                    <w:t>WIFI</w:t>
                  </w:r>
                  <w:r>
                    <w:rPr>
                      <w:rFonts w:ascii="仿宋" w:hAnsi="仿宋" w:cs="仿宋" w:eastAsia="仿宋"/>
                      <w:sz w:val="21"/>
                    </w:rPr>
                    <w:t>无线连接</w:t>
                  </w:r>
                  <w:r>
                    <w:rPr>
                      <w:rFonts w:ascii="仿宋" w:hAnsi="仿宋" w:cs="仿宋" w:eastAsia="仿宋"/>
                      <w:sz w:val="21"/>
                    </w:rPr>
                    <w:t>；</w:t>
                  </w:r>
                  <w:r>
                    <w:rPr>
                      <w:rFonts w:ascii="仿宋" w:hAnsi="仿宋" w:cs="仿宋" w:eastAsia="仿宋"/>
                      <w:sz w:val="21"/>
                    </w:rPr>
                    <w:t>线缆车到机器人通过两芯线缆进行通讯连接</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3</w:t>
                  </w:r>
                  <w:r>
                    <w:rPr>
                      <w:rFonts w:ascii="仿宋" w:hAnsi="仿宋" w:cs="仿宋" w:eastAsia="仿宋"/>
                      <w:sz w:val="22"/>
                    </w:rPr>
                    <w:t>1</w:t>
                  </w:r>
                </w:p>
              </w:tc>
              <w:tc>
                <w:tcPr>
                  <w:tcW w:type="dxa" w:w="649"/>
                  <w:vMerge/>
                  <w:tcBorders>
                    <w:top w:val="none" w:color="000000" w:sz="4"/>
                    <w:left w:val="single" w:color="000000" w:sz="4"/>
                    <w:bottom w:val="single" w:color="000000" w:sz="4"/>
                    <w:right w:val="single" w:color="000000" w:sz="4"/>
                  </w:tcBorders>
                </w:tcPr>
                <w:p/>
              </w:tc>
              <w:tc>
                <w:tcPr>
                  <w:tcW w:type="dxa" w:w="8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收放线方式</w:t>
                  </w:r>
                </w:p>
              </w:tc>
              <w:tc>
                <w:tcPr>
                  <w:tcW w:type="dxa" w:w="30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具备电动收放线功能，与机器人运行同步。</w:t>
                  </w:r>
                </w:p>
              </w:tc>
              <w:tc>
                <w:tcPr>
                  <w:tcW w:type="dxa" w:w="7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p>
            <w:pPr>
              <w:pStyle w:val="null3"/>
              <w:spacing w:after="120"/>
              <w:ind w:firstLine="480"/>
              <w:jc w:val="both"/>
            </w:pPr>
          </w:p>
        </w:tc>
      </w:tr>
    </w:tbl>
    <w:p>
      <w:pPr>
        <w:pStyle w:val="null3"/>
        <w:jc w:val="left"/>
      </w:pPr>
      <w:r>
        <w:rPr/>
        <w:t>标的名称：全地形管道检测机器人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技术要求名称</w:t>
            </w:r>
          </w:p>
        </w:tc>
        <w:tc>
          <w:tcPr>
            <w:tcW w:type="dxa" w:w="5814"/>
          </w:tcPr>
          <w:p>
            <w:pPr>
              <w:pStyle w:val="null3"/>
              <w:jc w:val="center"/>
            </w:pPr>
            <w:r>
              <w:rPr/>
              <w:t>技术参数与性能指标</w:t>
            </w:r>
          </w:p>
        </w:tc>
      </w:tr>
      <w:tr>
        <w:tc>
          <w:tcPr>
            <w:tcW w:type="dxa" w:w="415"/>
          </w:tcPr>
          <w:p>
            <w:pPr>
              <w:pStyle w:val="null3"/>
              <w:jc w:val="center"/>
            </w:pPr>
            <w:r>
              <w:rPr/>
              <w:t>1</w:t>
            </w:r>
          </w:p>
        </w:tc>
        <w:tc>
          <w:tcPr>
            <w:tcW w:type="dxa" w:w="581"/>
          </w:tcPr>
          <w:p/>
        </w:tc>
        <w:tc>
          <w:tcPr>
            <w:tcW w:type="dxa" w:w="1495"/>
          </w:tcPr>
          <w:p/>
        </w:tc>
        <w:tc>
          <w:tcPr>
            <w:tcW w:type="dxa" w:w="5814"/>
          </w:tcPr>
          <w:tbl>
            <w:tblPr>
              <w:tblBorders>
                <w:top w:val="none" w:color="000000" w:sz="4"/>
                <w:left w:val="none" w:color="000000" w:sz="4"/>
                <w:bottom w:val="none" w:color="000000" w:sz="4"/>
                <w:right w:val="none" w:color="000000" w:sz="4"/>
                <w:insideH w:val="none"/>
                <w:insideV w:val="none"/>
              </w:tblBorders>
            </w:tblPr>
            <w:tblGrid>
              <w:gridCol w:w="400"/>
              <w:gridCol w:w="1257"/>
              <w:gridCol w:w="3256"/>
              <w:gridCol w:w="685"/>
            </w:tblGrid>
            <w:tr>
              <w:tc>
                <w:tcPr>
                  <w:tcW w:type="dxa" w:w="4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序号</w:t>
                  </w:r>
                </w:p>
              </w:tc>
              <w:tc>
                <w:tcPr>
                  <w:tcW w:type="dxa" w:w="1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参数名称</w:t>
                  </w:r>
                </w:p>
              </w:tc>
              <w:tc>
                <w:tcPr>
                  <w:tcW w:type="dxa" w:w="32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参数要求</w:t>
                  </w:r>
                </w:p>
              </w:tc>
              <w:tc>
                <w:tcPr>
                  <w:tcW w:type="dxa" w:w="6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备注</w:t>
                  </w: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螺旋式滚筒底盘</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w:t>
                  </w:r>
                  <w:r>
                    <w:rPr>
                      <w:rFonts w:ascii="仿宋" w:hAnsi="仿宋" w:cs="仿宋" w:eastAsia="仿宋"/>
                      <w:sz w:val="22"/>
                    </w:rPr>
                    <w:t>600mm</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摄像头</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配置</w:t>
                  </w:r>
                  <w:r>
                    <w:rPr>
                      <w:rFonts w:ascii="仿宋" w:hAnsi="仿宋" w:cs="仿宋" w:eastAsia="仿宋"/>
                      <w:sz w:val="22"/>
                    </w:rPr>
                    <w:t>4</w:t>
                  </w:r>
                  <w:r>
                    <w:rPr>
                      <w:rFonts w:ascii="仿宋" w:hAnsi="仿宋" w:cs="仿宋" w:eastAsia="仿宋"/>
                      <w:sz w:val="22"/>
                    </w:rPr>
                    <w:t>个摄像头：观测前行工况的前视摄像头，观测后退工况的后视摄像头，拍摄管道内缺陷的球机摄像头及轮式底盘方型摄像头</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3</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摄像清晰度</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前视≥</w:t>
                  </w:r>
                  <w:r>
                    <w:rPr>
                      <w:rFonts w:ascii="仿宋" w:hAnsi="仿宋" w:cs="仿宋" w:eastAsia="仿宋"/>
                      <w:sz w:val="20"/>
                    </w:rPr>
                    <w:t>210</w:t>
                  </w:r>
                  <w:r>
                    <w:rPr>
                      <w:rFonts w:ascii="仿宋" w:hAnsi="仿宋" w:cs="仿宋" w:eastAsia="仿宋"/>
                      <w:sz w:val="20"/>
                    </w:rPr>
                    <w:t>万像素，后视≥</w:t>
                  </w:r>
                  <w:r>
                    <w:rPr>
                      <w:rFonts w:ascii="仿宋" w:hAnsi="仿宋" w:cs="仿宋" w:eastAsia="仿宋"/>
                      <w:sz w:val="20"/>
                    </w:rPr>
                    <w:t>210</w:t>
                  </w:r>
                  <w:r>
                    <w:rPr>
                      <w:rFonts w:ascii="仿宋" w:hAnsi="仿宋" w:cs="仿宋" w:eastAsia="仿宋"/>
                      <w:sz w:val="20"/>
                    </w:rPr>
                    <w:t>万像素</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4</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防护等级</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w:t>
                  </w:r>
                  <w:r>
                    <w:rPr>
                      <w:rFonts w:ascii="仿宋" w:hAnsi="仿宋" w:cs="仿宋" w:eastAsia="仿宋"/>
                      <w:sz w:val="20"/>
                    </w:rPr>
                    <w:t>IP68</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5</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球机云台旋转角度</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360</w:t>
                  </w:r>
                  <w:r>
                    <w:rPr>
                      <w:rFonts w:ascii="仿宋" w:hAnsi="仿宋" w:cs="仿宋" w:eastAsia="仿宋"/>
                      <w:sz w:val="20"/>
                    </w:rPr>
                    <w:t>°水平旋转，</w:t>
                  </w:r>
                  <w:r>
                    <w:rPr>
                      <w:rFonts w:ascii="仿宋" w:hAnsi="仿宋" w:cs="仿宋" w:eastAsia="仿宋"/>
                      <w:sz w:val="20"/>
                    </w:rPr>
                    <w:t>90</w:t>
                  </w:r>
                  <w:r>
                    <w:rPr>
                      <w:rFonts w:ascii="仿宋" w:hAnsi="仿宋" w:cs="仿宋" w:eastAsia="仿宋"/>
                      <w:sz w:val="20"/>
                    </w:rPr>
                    <w:t>°俯仰，支持一键自动归正</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6</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激光测量</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可测量到管顶或箱涵顶的距离，间接测算水面高度</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7</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轮式灯光结构</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云台下方有</w:t>
                  </w:r>
                  <w:r>
                    <w:rPr>
                      <w:rFonts w:ascii="仿宋" w:hAnsi="仿宋" w:cs="仿宋" w:eastAsia="仿宋"/>
                      <w:sz w:val="20"/>
                    </w:rPr>
                    <w:t>10</w:t>
                  </w:r>
                  <w:r>
                    <w:rPr>
                      <w:rFonts w:ascii="仿宋" w:hAnsi="仿宋" w:cs="仿宋" w:eastAsia="仿宋"/>
                      <w:sz w:val="20"/>
                    </w:rPr>
                    <w:t>颗大灯半圆式环绕结构；螺旋式灯光结构：云台下方左右两侧对称结构</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8</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模块化设计</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采取模块化设计，具备螺旋底盘和轮式底盘两种驱动底盘，主机体、球机云台、电池、底盘等组件可速拆快装</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9</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重量</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w:t>
                  </w:r>
                  <w:r>
                    <w:rPr>
                      <w:rFonts w:ascii="仿宋" w:hAnsi="仿宋" w:cs="仿宋" w:eastAsia="仿宋"/>
                      <w:sz w:val="20"/>
                    </w:rPr>
                    <w:t>16kg</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10</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轮式爬行器</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六轮独立双电机驱动</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11</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电机功率</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w:t>
                  </w:r>
                  <w:r>
                    <w:rPr>
                      <w:rFonts w:ascii="仿宋" w:hAnsi="仿宋" w:cs="仿宋" w:eastAsia="仿宋"/>
                      <w:sz w:val="20"/>
                    </w:rPr>
                    <w:t>150W*2</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12</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静水最大速度</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w:t>
                  </w:r>
                  <w:r>
                    <w:rPr>
                      <w:rFonts w:ascii="仿宋" w:hAnsi="仿宋" w:cs="仿宋" w:eastAsia="仿宋"/>
                      <w:sz w:val="20"/>
                    </w:rPr>
                    <w:t>0.45m/s</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13</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适用逆水速度</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w:t>
                  </w:r>
                  <w:r>
                    <w:rPr>
                      <w:rFonts w:ascii="仿宋" w:hAnsi="仿宋" w:cs="仿宋" w:eastAsia="仿宋"/>
                      <w:sz w:val="20"/>
                    </w:rPr>
                    <w:t>0.3m/s</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14</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姿态传感器</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具备</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15</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轮胎尺寸</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配备不少于</w:t>
                  </w:r>
                  <w:r>
                    <w:rPr>
                      <w:rFonts w:ascii="仿宋" w:hAnsi="仿宋" w:cs="仿宋" w:eastAsia="仿宋"/>
                      <w:sz w:val="21"/>
                    </w:rPr>
                    <w:t>3</w:t>
                  </w:r>
                  <w:r>
                    <w:rPr>
                      <w:rFonts w:ascii="仿宋" w:hAnsi="仿宋" w:cs="仿宋" w:eastAsia="仿宋"/>
                      <w:sz w:val="21"/>
                    </w:rPr>
                    <w:t>组轮胎，适应不同管径</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16</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线缆长度</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按</w:t>
                  </w:r>
                  <w:r>
                    <w:rPr>
                      <w:rFonts w:ascii="仿宋" w:hAnsi="仿宋" w:cs="仿宋" w:eastAsia="仿宋"/>
                      <w:sz w:val="20"/>
                    </w:rPr>
                    <w:t>300</w:t>
                  </w:r>
                  <w:r>
                    <w:rPr>
                      <w:rFonts w:ascii="仿宋" w:hAnsi="仿宋" w:cs="仿宋" w:eastAsia="仿宋"/>
                      <w:sz w:val="20"/>
                    </w:rPr>
                    <w:t>米配置</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17</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电池</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外挂式设计，支持快速更换；与爬行器电池通用，配备不少于</w:t>
                  </w:r>
                  <w:r>
                    <w:rPr>
                      <w:rFonts w:ascii="仿宋" w:hAnsi="仿宋" w:cs="仿宋" w:eastAsia="仿宋"/>
                      <w:sz w:val="20"/>
                    </w:rPr>
                    <w:t>3</w:t>
                  </w:r>
                  <w:r>
                    <w:rPr>
                      <w:rFonts w:ascii="仿宋" w:hAnsi="仿宋" w:cs="仿宋" w:eastAsia="仿宋"/>
                      <w:sz w:val="20"/>
                    </w:rPr>
                    <w:t>块</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18</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线缆材质</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可漂浮专用线缆</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19</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线缆盘</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螺旋底盘、轮式底盘共用一台线缆盘，支持电动收线及自动盘线</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20</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控制终端</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支持平板电脑或手机控制</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21</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连接方式</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控制终端与线缆车支持无线连接，可通过手机</w:t>
                  </w:r>
                  <w:r>
                    <w:rPr>
                      <w:rFonts w:ascii="仿宋" w:hAnsi="仿宋" w:cs="仿宋" w:eastAsia="仿宋"/>
                      <w:sz w:val="20"/>
                    </w:rPr>
                    <w:t>APP</w:t>
                  </w:r>
                  <w:r>
                    <w:rPr>
                      <w:rFonts w:ascii="仿宋" w:hAnsi="仿宋" w:cs="仿宋" w:eastAsia="仿宋"/>
                      <w:sz w:val="20"/>
                    </w:rPr>
                    <w:t>控制</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22</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存储</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标配内置容量不小于</w:t>
                  </w:r>
                  <w:r>
                    <w:rPr>
                      <w:rFonts w:ascii="仿宋" w:hAnsi="仿宋" w:cs="仿宋" w:eastAsia="仿宋"/>
                      <w:sz w:val="21"/>
                    </w:rPr>
                    <w:t>128G</w:t>
                  </w:r>
                  <w:r>
                    <w:rPr>
                      <w:rFonts w:ascii="仿宋" w:hAnsi="仿宋" w:cs="仿宋" w:eastAsia="仿宋"/>
                      <w:sz w:val="21"/>
                    </w:rPr>
                    <w:t>固态硬盘</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4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2"/>
                    </w:rPr>
                    <w:t>23</w:t>
                  </w:r>
                </w:p>
              </w:tc>
              <w:tc>
                <w:tcPr>
                  <w:tcW w:type="dxa" w:w="1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0"/>
                    </w:rPr>
                    <w:t>二维激光</w:t>
                  </w:r>
                </w:p>
              </w:tc>
              <w:tc>
                <w:tcPr>
                  <w:tcW w:type="dxa" w:w="3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 w:hAnsi="仿宋" w:cs="仿宋" w:eastAsia="仿宋"/>
                      <w:sz w:val="21"/>
                    </w:rPr>
                    <w:t>具备</w:t>
                  </w:r>
                </w:p>
              </w:tc>
              <w:tc>
                <w:tcPr>
                  <w:tcW w:type="dxa" w:w="6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left"/>
            </w:pPr>
            <w:r>
              <w:rPr/>
              <w:t xml:space="preserve"> </w:t>
            </w:r>
          </w:p>
          <w:p>
            <w:pPr>
              <w:pStyle w:val="null3"/>
              <w:jc w:val="left"/>
            </w:pPr>
            <w:r>
              <w:rPr/>
              <w:t xml:space="preserve"> </w:t>
            </w:r>
          </w:p>
          <w:p>
            <w:pPr>
              <w:pStyle w:val="null3"/>
              <w:jc w:val="left"/>
            </w:pPr>
            <w:r>
              <w:rPr/>
              <w:t xml:space="preserve"> </w:t>
            </w:r>
          </w:p>
          <w:p>
            <w:pPr>
              <w:pStyle w:val="null3"/>
              <w:jc w:val="left"/>
            </w:pPr>
            <w:r>
              <w:rPr/>
              <w:t xml:space="preserve"> </w:t>
            </w:r>
          </w:p>
        </w:tc>
      </w:tr>
    </w:tbl>
    <w:p>
      <w:pPr>
        <w:pStyle w:val="null3"/>
        <w:jc w:val="left"/>
        <w:outlineLvl w:val="2"/>
      </w:pPr>
      <w:r>
        <w:rPr>
          <w:b/>
          <w:sz w:val="28"/>
        </w:rPr>
        <w:t>3.3.服务要求</w:t>
      </w:r>
    </w:p>
    <w:p>
      <w:pPr>
        <w:pStyle w:val="null3"/>
        <w:jc w:val="left"/>
        <w:outlineLvl w:val="3"/>
      </w:pPr>
      <w:r>
        <w:rPr>
          <w:b/>
          <w:sz w:val="24"/>
        </w:rPr>
        <w:t>3.3.1.服务内容要求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 xml:space="preserve"> 序号</w:t>
            </w:r>
          </w:p>
        </w:tc>
        <w:tc>
          <w:tcPr>
            <w:tcW w:type="dxa" w:w="581"/>
          </w:tcPr>
          <w:p>
            <w:pPr>
              <w:pStyle w:val="null3"/>
              <w:jc w:val="center"/>
            </w:pPr>
            <w:r>
              <w:rPr/>
              <w:t xml:space="preserve"> 符号标识</w:t>
            </w:r>
          </w:p>
        </w:tc>
        <w:tc>
          <w:tcPr>
            <w:tcW w:type="dxa" w:w="1495"/>
          </w:tcPr>
          <w:p>
            <w:pPr>
              <w:pStyle w:val="null3"/>
              <w:jc w:val="center"/>
            </w:pPr>
            <w:r>
              <w:rPr/>
              <w:t xml:space="preserve"> 服务要求名称</w:t>
            </w:r>
          </w:p>
        </w:tc>
        <w:tc>
          <w:tcPr>
            <w:tcW w:type="dxa" w:w="5814"/>
          </w:tcPr>
          <w:p>
            <w:pPr>
              <w:pStyle w:val="null3"/>
              <w:jc w:val="center"/>
            </w:pPr>
            <w:r>
              <w:rPr/>
              <w:t xml:space="preserve"> 服务要求内容</w:t>
            </w:r>
          </w:p>
        </w:tc>
      </w:tr>
      <w:tr>
        <w:tc>
          <w:tcPr>
            <w:tcW w:type="dxa" w:w="415"/>
          </w:tcPr>
          <w:p>
            <w:pPr>
              <w:pStyle w:val="null3"/>
              <w:jc w:val="center"/>
            </w:pPr>
            <w:r>
              <w:rPr/>
              <w:t>1</w:t>
            </w:r>
          </w:p>
        </w:tc>
        <w:tc>
          <w:tcPr>
            <w:tcW w:type="dxa" w:w="581"/>
          </w:tcPr>
          <w:p>
            <w:pPr>
              <w:pStyle w:val="null3"/>
              <w:jc w:val="center"/>
            </w:pPr>
            <w:r>
              <w:rPr/>
              <w:t>★</w:t>
            </w:r>
          </w:p>
        </w:tc>
        <w:tc>
          <w:tcPr>
            <w:tcW w:type="dxa" w:w="1495"/>
          </w:tcPr>
          <w:p>
            <w:pPr>
              <w:pStyle w:val="null3"/>
              <w:jc w:val="left"/>
            </w:pPr>
            <w:r>
              <w:rPr/>
              <w:t>售后服务要求</w:t>
            </w:r>
          </w:p>
        </w:tc>
        <w:tc>
          <w:tcPr>
            <w:tcW w:type="dxa" w:w="5814"/>
          </w:tcPr>
          <w:p>
            <w:pPr>
              <w:pStyle w:val="null3"/>
              <w:jc w:val="left"/>
            </w:pPr>
            <w:r>
              <w:rPr/>
              <w:t>供应商能提供本地化售后服务，在南充市范围内具有售后服务网点（提供相关证明材料）或者承诺中标后能在南充范围内设置售后服务网点（提供承诺）。</w:t>
            </w:r>
          </w:p>
        </w:tc>
      </w:tr>
      <w:tr>
        <w:tc>
          <w:tcPr>
            <w:tcW w:type="dxa" w:w="415"/>
          </w:tcPr>
          <w:p>
            <w:pPr>
              <w:pStyle w:val="null3"/>
              <w:jc w:val="center"/>
            </w:pPr>
            <w:r>
              <w:rPr/>
              <w:t>2</w:t>
            </w:r>
          </w:p>
        </w:tc>
        <w:tc>
          <w:tcPr>
            <w:tcW w:type="dxa" w:w="581"/>
          </w:tcPr>
          <w:p>
            <w:pPr>
              <w:pStyle w:val="null3"/>
              <w:jc w:val="center"/>
            </w:pPr>
            <w:r>
              <w:rPr/>
              <w:t>★</w:t>
            </w:r>
          </w:p>
        </w:tc>
        <w:tc>
          <w:tcPr>
            <w:tcW w:type="dxa" w:w="1495"/>
          </w:tcPr>
          <w:p>
            <w:pPr>
              <w:pStyle w:val="null3"/>
              <w:jc w:val="left"/>
            </w:pPr>
            <w:r>
              <w:rPr/>
              <w:t>交货及相关要求</w:t>
            </w:r>
          </w:p>
        </w:tc>
        <w:tc>
          <w:tcPr>
            <w:tcW w:type="dxa" w:w="5814"/>
          </w:tcPr>
          <w:p>
            <w:pPr>
              <w:pStyle w:val="null3"/>
              <w:jc w:val="left"/>
            </w:pPr>
            <w:r>
              <w:rPr>
                <w:rFonts w:ascii="calibri, sans-serif" w:hAnsi="calibri, sans-serif" w:cs="calibri, sans-serif" w:eastAsia="calibri, sans-serif"/>
                <w:sz w:val="20"/>
              </w:rPr>
              <w:t>1</w:t>
            </w:r>
            <w:r>
              <w:rPr>
                <w:rFonts w:ascii="宋体" w:hAnsi="宋体" w:cs="宋体" w:eastAsia="宋体"/>
                <w:sz w:val="20"/>
              </w:rPr>
              <w:t>、交付的所有货物出厂日期不早于合同签订日期前</w:t>
            </w:r>
            <w:r>
              <w:rPr>
                <w:rFonts w:ascii="calibri, sans-serif" w:hAnsi="calibri, sans-serif" w:cs="calibri, sans-serif" w:eastAsia="calibri, sans-serif"/>
                <w:sz w:val="20"/>
              </w:rPr>
              <w:t>12</w:t>
            </w:r>
            <w:r>
              <w:rPr>
                <w:rFonts w:ascii="宋体" w:hAnsi="宋体" w:cs="宋体" w:eastAsia="宋体"/>
                <w:sz w:val="20"/>
              </w:rPr>
              <w:t>个月。</w:t>
            </w:r>
          </w:p>
          <w:p>
            <w:pPr>
              <w:pStyle w:val="null3"/>
              <w:jc w:val="left"/>
            </w:pPr>
            <w:r>
              <w:rPr>
                <w:rFonts w:ascii="calibri, sans-serif" w:hAnsi="calibri, sans-serif" w:cs="calibri, sans-serif" w:eastAsia="calibri, sans-serif"/>
                <w:sz w:val="20"/>
              </w:rPr>
              <w:t>2</w:t>
            </w:r>
            <w:r>
              <w:rPr>
                <w:rFonts w:ascii="宋体" w:hAnsi="宋体" w:cs="宋体" w:eastAsia="宋体"/>
                <w:sz w:val="20"/>
              </w:rPr>
              <w:t>、交付的车辆车身形象喷涂必须按照</w:t>
            </w:r>
            <w:r>
              <w:rPr>
                <w:rFonts w:ascii="宋体" w:hAnsi="宋体" w:cs="宋体" w:eastAsia="宋体"/>
                <w:sz w:val="20"/>
              </w:rPr>
              <w:t>采购人</w:t>
            </w:r>
            <w:r>
              <w:rPr>
                <w:rFonts w:ascii="宋体" w:hAnsi="宋体" w:cs="宋体" w:eastAsia="宋体"/>
                <w:sz w:val="20"/>
              </w:rPr>
              <w:t>要求喷涂。</w:t>
            </w:r>
          </w:p>
          <w:p>
            <w:pPr>
              <w:pStyle w:val="null3"/>
              <w:jc w:val="left"/>
            </w:pPr>
            <w:r>
              <w:rPr>
                <w:rFonts w:ascii="calibri, sans-serif" w:hAnsi="calibri, sans-serif" w:cs="calibri, sans-serif" w:eastAsia="calibri, sans-serif"/>
                <w:sz w:val="20"/>
              </w:rPr>
              <w:t>3</w:t>
            </w:r>
            <w:r>
              <w:rPr>
                <w:rFonts w:ascii="宋体" w:hAnsi="宋体" w:cs="宋体" w:eastAsia="宋体"/>
                <w:sz w:val="20"/>
              </w:rPr>
              <w:t>、</w:t>
            </w:r>
            <w:r>
              <w:rPr>
                <w:rFonts w:ascii="宋体" w:hAnsi="宋体" w:cs="宋体" w:eastAsia="宋体"/>
                <w:sz w:val="20"/>
              </w:rPr>
              <w:t>采购人</w:t>
            </w:r>
            <w:r>
              <w:rPr>
                <w:rFonts w:ascii="宋体" w:hAnsi="宋体" w:cs="宋体" w:eastAsia="宋体"/>
                <w:sz w:val="20"/>
              </w:rPr>
              <w:t>完成货物的资产划转后，</w:t>
            </w:r>
            <w:r>
              <w:rPr>
                <w:rFonts w:ascii="宋体" w:hAnsi="宋体" w:cs="宋体" w:eastAsia="宋体"/>
                <w:sz w:val="20"/>
              </w:rPr>
              <w:t>供应商</w:t>
            </w:r>
            <w:r>
              <w:rPr>
                <w:rFonts w:ascii="宋体" w:hAnsi="宋体" w:cs="宋体" w:eastAsia="宋体"/>
                <w:sz w:val="20"/>
              </w:rPr>
              <w:t>负责提供车辆上牌的所有资料及手续，并协助</w:t>
            </w:r>
            <w:r>
              <w:rPr>
                <w:rFonts w:ascii="宋体" w:hAnsi="宋体" w:cs="宋体" w:eastAsia="宋体"/>
                <w:sz w:val="20"/>
              </w:rPr>
              <w:t>采购人</w:t>
            </w:r>
            <w:r>
              <w:rPr>
                <w:rFonts w:ascii="宋体" w:hAnsi="宋体" w:cs="宋体" w:eastAsia="宋体"/>
                <w:sz w:val="20"/>
              </w:rPr>
              <w:t>在</w:t>
            </w:r>
            <w:r>
              <w:rPr>
                <w:rFonts w:ascii="calibri, sans-serif" w:hAnsi="calibri, sans-serif" w:cs="calibri, sans-serif" w:eastAsia="calibri, sans-serif"/>
                <w:sz w:val="20"/>
              </w:rPr>
              <w:t>30</w:t>
            </w:r>
            <w:r>
              <w:rPr>
                <w:rFonts w:ascii="宋体" w:hAnsi="宋体" w:cs="宋体" w:eastAsia="宋体"/>
                <w:sz w:val="20"/>
              </w:rPr>
              <w:t>个日历日之内车辆完成上牌。</w:t>
            </w:r>
          </w:p>
          <w:p>
            <w:pPr>
              <w:pStyle w:val="null3"/>
              <w:jc w:val="left"/>
            </w:pPr>
            <w:r>
              <w:rPr>
                <w:rFonts w:ascii="calibri, sans-serif" w:hAnsi="calibri, sans-serif" w:cs="calibri, sans-serif" w:eastAsia="calibri, sans-serif"/>
                <w:sz w:val="20"/>
              </w:rPr>
              <w:t>4</w:t>
            </w:r>
            <w:r>
              <w:rPr>
                <w:rFonts w:ascii="宋体" w:hAnsi="宋体" w:cs="宋体" w:eastAsia="宋体"/>
                <w:sz w:val="20"/>
              </w:rPr>
              <w:t>、交付的车辆由</w:t>
            </w:r>
            <w:r>
              <w:rPr>
                <w:rFonts w:ascii="宋体" w:hAnsi="宋体" w:cs="宋体" w:eastAsia="宋体"/>
                <w:sz w:val="20"/>
              </w:rPr>
              <w:t>供应商</w:t>
            </w:r>
            <w:r>
              <w:rPr>
                <w:rFonts w:ascii="宋体" w:hAnsi="宋体" w:cs="宋体" w:eastAsia="宋体"/>
                <w:sz w:val="20"/>
              </w:rPr>
              <w:t>承担购买首年的交强险（含车船税）及商业险（三者险至少</w:t>
            </w:r>
            <w:r>
              <w:rPr>
                <w:rFonts w:ascii="calibri, sans-serif" w:hAnsi="calibri, sans-serif" w:cs="calibri, sans-serif" w:eastAsia="calibri, sans-serif"/>
                <w:sz w:val="20"/>
              </w:rPr>
              <w:t>300</w:t>
            </w:r>
            <w:r>
              <w:rPr>
                <w:rFonts w:ascii="宋体" w:hAnsi="宋体" w:cs="宋体" w:eastAsia="宋体"/>
                <w:sz w:val="20"/>
              </w:rPr>
              <w:t>万，乘座险每座至少</w:t>
            </w:r>
            <w:r>
              <w:rPr>
                <w:rFonts w:ascii="calibri, sans-serif" w:hAnsi="calibri, sans-serif" w:cs="calibri, sans-serif" w:eastAsia="calibri, sans-serif"/>
                <w:sz w:val="20"/>
              </w:rPr>
              <w:t>1</w:t>
            </w:r>
            <w:r>
              <w:rPr>
                <w:rFonts w:ascii="宋体" w:hAnsi="宋体" w:cs="宋体" w:eastAsia="宋体"/>
                <w:sz w:val="20"/>
              </w:rPr>
              <w:t>万元，车损险等）的费用。其他货物设备如需购买保险的，首年保费、税费、商业险费用须由供应商承担，</w:t>
            </w:r>
          </w:p>
          <w:p>
            <w:pPr>
              <w:pStyle w:val="null3"/>
              <w:jc w:val="left"/>
            </w:pPr>
            <w:r>
              <w:rPr>
                <w:rFonts w:ascii="calibri, sans-serif" w:hAnsi="calibri, sans-serif" w:cs="calibri, sans-serif" w:eastAsia="calibri, sans-serif"/>
                <w:sz w:val="20"/>
              </w:rPr>
              <w:t>5</w:t>
            </w:r>
            <w:r>
              <w:rPr>
                <w:rFonts w:ascii="宋体" w:hAnsi="宋体" w:cs="宋体" w:eastAsia="宋体"/>
                <w:sz w:val="20"/>
              </w:rPr>
              <w:t>、交付的车辆须按</w:t>
            </w:r>
            <w:r>
              <w:rPr>
                <w:rFonts w:ascii="宋体" w:hAnsi="宋体" w:cs="宋体" w:eastAsia="宋体"/>
                <w:sz w:val="20"/>
              </w:rPr>
              <w:t>采购人</w:t>
            </w:r>
            <w:r>
              <w:rPr>
                <w:rFonts w:ascii="宋体" w:hAnsi="宋体" w:cs="宋体" w:eastAsia="宋体"/>
                <w:sz w:val="20"/>
              </w:rPr>
              <w:t>要求安装车辆定位系统。</w:t>
            </w:r>
          </w:p>
          <w:p>
            <w:pPr>
              <w:pStyle w:val="null3"/>
              <w:jc w:val="left"/>
            </w:pPr>
            <w:r>
              <w:rPr>
                <w:rFonts w:ascii="calibri, sans-serif" w:hAnsi="calibri, sans-serif" w:cs="calibri, sans-serif" w:eastAsia="calibri, sans-serif"/>
                <w:sz w:val="20"/>
              </w:rPr>
              <w:t>6</w:t>
            </w:r>
            <w:r>
              <w:rPr>
                <w:rFonts w:ascii="宋体" w:hAnsi="宋体" w:cs="宋体" w:eastAsia="宋体"/>
                <w:sz w:val="20"/>
              </w:rPr>
              <w:t>、本次购买的货物，如有上牌需求的，供应商必须保证所提供的货物能够满足上牌要求。</w:t>
            </w:r>
          </w:p>
          <w:p>
            <w:pPr>
              <w:pStyle w:val="null3"/>
              <w:jc w:val="left"/>
            </w:pPr>
            <w:r>
              <w:rPr>
                <w:rFonts w:ascii="&quot;calibri&quot;, sans-serif" w:hAnsi="&quot;calibri&quot;, sans-serif" w:cs="&quot;calibri&quot;, sans-serif" w:eastAsia="&quot;calibri&quot;, sans-serif"/>
                <w:sz w:val="21"/>
              </w:rPr>
              <w:t>7</w:t>
            </w:r>
            <w:r>
              <w:rPr>
                <w:rFonts w:ascii="宋体" w:hAnsi="宋体" w:cs="宋体" w:eastAsia="宋体"/>
                <w:sz w:val="21"/>
              </w:rPr>
              <w:t>、本合同价格含供应商将全部货物送达采购人指定地点并协助完成安装、上户后交付使用的所有费用，在未增加采购标的的情况下，供应商不得要求采购人支付额外的费用。供应商应全面考虑到货物的货款、购置税、运输费、搬运、安装调试、协助上户上牌、保险、税费、合理利润等本项目所涵盖一切费用。</w:t>
            </w:r>
          </w:p>
        </w:tc>
      </w:tr>
      <w:tr>
        <w:tc>
          <w:tcPr>
            <w:tcW w:type="dxa" w:w="415"/>
          </w:tcPr>
          <w:p>
            <w:pPr>
              <w:pStyle w:val="null3"/>
              <w:jc w:val="center"/>
            </w:pPr>
            <w:r>
              <w:rPr/>
              <w:t>3</w:t>
            </w:r>
          </w:p>
        </w:tc>
        <w:tc>
          <w:tcPr>
            <w:tcW w:type="dxa" w:w="581"/>
          </w:tcPr>
          <w:p>
            <w:pPr>
              <w:pStyle w:val="null3"/>
              <w:jc w:val="center"/>
            </w:pPr>
            <w:r>
              <w:rPr/>
              <w:t>★</w:t>
            </w:r>
          </w:p>
        </w:tc>
        <w:tc>
          <w:tcPr>
            <w:tcW w:type="dxa" w:w="1495"/>
          </w:tcPr>
          <w:p>
            <w:pPr>
              <w:pStyle w:val="null3"/>
              <w:jc w:val="left"/>
            </w:pPr>
            <w:r>
              <w:rPr/>
              <w:t>真实应答要求</w:t>
            </w:r>
          </w:p>
        </w:tc>
        <w:tc>
          <w:tcPr>
            <w:tcW w:type="dxa" w:w="5814"/>
          </w:tcPr>
          <w:p>
            <w:pPr>
              <w:pStyle w:val="null3"/>
              <w:jc w:val="left"/>
            </w:pPr>
            <w:r>
              <w:rPr/>
              <w:t>供应商在投标文件中的所有应答是供应商参与投标的真实表达，并在交货时按要求提供国家认可的第三方检测机构出具的检测报告佐证，如有虚假，供应商接受财政部门按政府采购法及相关法律法规的规定进行处罚。</w:t>
            </w:r>
            <w:r>
              <w:br/>
            </w:r>
            <w:r>
              <w:rPr/>
              <w:t xml:space="preserve">  </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 xml:space="preserve"> 序号</w:t>
            </w:r>
          </w:p>
        </w:tc>
        <w:tc>
          <w:tcPr>
            <w:tcW w:type="dxa" w:w="581"/>
          </w:tcPr>
          <w:p>
            <w:pPr>
              <w:pStyle w:val="null3"/>
              <w:jc w:val="center"/>
            </w:pPr>
            <w:r>
              <w:rPr/>
              <w:t xml:space="preserve"> 符号标识</w:t>
            </w:r>
          </w:p>
        </w:tc>
        <w:tc>
          <w:tcPr>
            <w:tcW w:type="dxa" w:w="1495"/>
          </w:tcPr>
          <w:p>
            <w:pPr>
              <w:pStyle w:val="null3"/>
              <w:jc w:val="center"/>
            </w:pPr>
            <w:r>
              <w:rPr/>
              <w:t xml:space="preserve"> 服务要求名称</w:t>
            </w:r>
          </w:p>
        </w:tc>
        <w:tc>
          <w:tcPr>
            <w:tcW w:type="dxa" w:w="5814"/>
          </w:tcPr>
          <w:p>
            <w:pPr>
              <w:pStyle w:val="null3"/>
              <w:jc w:val="center"/>
            </w:pPr>
            <w:r>
              <w:rPr/>
              <w:t xml:space="preserve"> 服务要求内容</w:t>
            </w:r>
          </w:p>
        </w:tc>
      </w:tr>
      <w:tr>
        <w:tc>
          <w:tcPr>
            <w:tcW w:type="dxa" w:w="415"/>
          </w:tcPr>
          <w:p>
            <w:pPr>
              <w:pStyle w:val="null3"/>
              <w:jc w:val="center"/>
            </w:pPr>
            <w:r>
              <w:rPr/>
              <w:t>1</w:t>
            </w:r>
          </w:p>
        </w:tc>
        <w:tc>
          <w:tcPr>
            <w:tcW w:type="dxa" w:w="581"/>
          </w:tcPr>
          <w:p>
            <w:pPr>
              <w:pStyle w:val="null3"/>
              <w:jc w:val="center"/>
            </w:pPr>
            <w:r>
              <w:rPr/>
              <w:t>★</w:t>
            </w:r>
          </w:p>
        </w:tc>
        <w:tc>
          <w:tcPr>
            <w:tcW w:type="dxa" w:w="1495"/>
          </w:tcPr>
          <w:p>
            <w:pPr>
              <w:pStyle w:val="null3"/>
              <w:jc w:val="left"/>
            </w:pPr>
            <w:r>
              <w:rPr/>
              <w:t>售后服务要求</w:t>
            </w:r>
          </w:p>
        </w:tc>
        <w:tc>
          <w:tcPr>
            <w:tcW w:type="dxa" w:w="5814"/>
          </w:tcPr>
          <w:p>
            <w:pPr>
              <w:pStyle w:val="null3"/>
              <w:jc w:val="left"/>
            </w:pPr>
            <w:r>
              <w:rPr/>
              <w:t>供应商能提供本地化售后服务，在南充市范围内具有售后服务网点（提供相关证明材料）或者承诺中标后能在南充范围内设置售后服务网点（提供承诺）。</w:t>
            </w:r>
          </w:p>
        </w:tc>
      </w:tr>
      <w:tr>
        <w:tc>
          <w:tcPr>
            <w:tcW w:type="dxa" w:w="415"/>
          </w:tcPr>
          <w:p>
            <w:pPr>
              <w:pStyle w:val="null3"/>
              <w:jc w:val="center"/>
            </w:pPr>
            <w:r>
              <w:rPr/>
              <w:t>2</w:t>
            </w:r>
          </w:p>
        </w:tc>
        <w:tc>
          <w:tcPr>
            <w:tcW w:type="dxa" w:w="581"/>
          </w:tcPr>
          <w:p>
            <w:pPr>
              <w:pStyle w:val="null3"/>
              <w:jc w:val="center"/>
            </w:pPr>
            <w:r>
              <w:rPr/>
              <w:t>★</w:t>
            </w:r>
          </w:p>
        </w:tc>
        <w:tc>
          <w:tcPr>
            <w:tcW w:type="dxa" w:w="1495"/>
          </w:tcPr>
          <w:p>
            <w:pPr>
              <w:pStyle w:val="null3"/>
              <w:jc w:val="left"/>
            </w:pPr>
            <w:r>
              <w:rPr/>
              <w:t>交货及相关要求</w:t>
            </w:r>
          </w:p>
        </w:tc>
        <w:tc>
          <w:tcPr>
            <w:tcW w:type="dxa" w:w="5814"/>
          </w:tcPr>
          <w:p>
            <w:pPr>
              <w:pStyle w:val="null3"/>
              <w:jc w:val="left"/>
            </w:pPr>
            <w:r>
              <w:rPr>
                <w:rFonts w:ascii="calibri, sans-serif" w:hAnsi="calibri, sans-serif" w:cs="calibri, sans-serif" w:eastAsia="calibri, sans-serif"/>
                <w:sz w:val="20"/>
              </w:rPr>
              <w:t>1</w:t>
            </w:r>
            <w:r>
              <w:rPr>
                <w:rFonts w:ascii="宋体" w:hAnsi="宋体" w:cs="宋体" w:eastAsia="宋体"/>
                <w:sz w:val="20"/>
              </w:rPr>
              <w:t>、交付的所有货物出厂日期不早于合同签订日期前</w:t>
            </w:r>
            <w:r>
              <w:rPr>
                <w:rFonts w:ascii="calibri, sans-serif" w:hAnsi="calibri, sans-serif" w:cs="calibri, sans-serif" w:eastAsia="calibri, sans-serif"/>
                <w:sz w:val="20"/>
              </w:rPr>
              <w:t>12</w:t>
            </w:r>
            <w:r>
              <w:rPr>
                <w:rFonts w:ascii="宋体" w:hAnsi="宋体" w:cs="宋体" w:eastAsia="宋体"/>
                <w:sz w:val="20"/>
              </w:rPr>
              <w:t>个月。</w:t>
            </w:r>
          </w:p>
          <w:p>
            <w:pPr>
              <w:pStyle w:val="null3"/>
              <w:jc w:val="left"/>
            </w:pPr>
            <w:r>
              <w:rPr>
                <w:rFonts w:ascii="calibri, sans-serif" w:hAnsi="calibri, sans-serif" w:cs="calibri, sans-serif" w:eastAsia="calibri, sans-serif"/>
                <w:sz w:val="20"/>
              </w:rPr>
              <w:t>2</w:t>
            </w:r>
            <w:r>
              <w:rPr>
                <w:rFonts w:ascii="宋体" w:hAnsi="宋体" w:cs="宋体" w:eastAsia="宋体"/>
                <w:sz w:val="20"/>
              </w:rPr>
              <w:t>、交付的车辆车身形象喷涂必须按照</w:t>
            </w:r>
            <w:r>
              <w:rPr>
                <w:rFonts w:ascii="宋体" w:hAnsi="宋体" w:cs="宋体" w:eastAsia="宋体"/>
                <w:sz w:val="20"/>
              </w:rPr>
              <w:t>采购人</w:t>
            </w:r>
            <w:r>
              <w:rPr>
                <w:rFonts w:ascii="宋体" w:hAnsi="宋体" w:cs="宋体" w:eastAsia="宋体"/>
                <w:sz w:val="20"/>
              </w:rPr>
              <w:t>要求喷涂。</w:t>
            </w:r>
          </w:p>
          <w:p>
            <w:pPr>
              <w:pStyle w:val="null3"/>
              <w:jc w:val="left"/>
            </w:pPr>
            <w:r>
              <w:rPr>
                <w:rFonts w:ascii="calibri, sans-serif" w:hAnsi="calibri, sans-serif" w:cs="calibri, sans-serif" w:eastAsia="calibri, sans-serif"/>
                <w:sz w:val="20"/>
              </w:rPr>
              <w:t>3</w:t>
            </w:r>
            <w:r>
              <w:rPr>
                <w:rFonts w:ascii="宋体" w:hAnsi="宋体" w:cs="宋体" w:eastAsia="宋体"/>
                <w:sz w:val="20"/>
              </w:rPr>
              <w:t>、</w:t>
            </w:r>
            <w:r>
              <w:rPr>
                <w:rFonts w:ascii="宋体" w:hAnsi="宋体" w:cs="宋体" w:eastAsia="宋体"/>
                <w:sz w:val="20"/>
              </w:rPr>
              <w:t>采购人</w:t>
            </w:r>
            <w:r>
              <w:rPr>
                <w:rFonts w:ascii="宋体" w:hAnsi="宋体" w:cs="宋体" w:eastAsia="宋体"/>
                <w:sz w:val="20"/>
              </w:rPr>
              <w:t>完成货物的资产划转后，</w:t>
            </w:r>
            <w:r>
              <w:rPr>
                <w:rFonts w:ascii="宋体" w:hAnsi="宋体" w:cs="宋体" w:eastAsia="宋体"/>
                <w:sz w:val="20"/>
              </w:rPr>
              <w:t>供应商</w:t>
            </w:r>
            <w:r>
              <w:rPr>
                <w:rFonts w:ascii="宋体" w:hAnsi="宋体" w:cs="宋体" w:eastAsia="宋体"/>
                <w:sz w:val="20"/>
              </w:rPr>
              <w:t>负责提供车辆上牌的所有资料及手续，并协助</w:t>
            </w:r>
            <w:r>
              <w:rPr>
                <w:rFonts w:ascii="宋体" w:hAnsi="宋体" w:cs="宋体" w:eastAsia="宋体"/>
                <w:sz w:val="20"/>
              </w:rPr>
              <w:t>采购人</w:t>
            </w:r>
            <w:r>
              <w:rPr>
                <w:rFonts w:ascii="宋体" w:hAnsi="宋体" w:cs="宋体" w:eastAsia="宋体"/>
                <w:sz w:val="20"/>
              </w:rPr>
              <w:t>在</w:t>
            </w:r>
            <w:r>
              <w:rPr>
                <w:rFonts w:ascii="calibri, sans-serif" w:hAnsi="calibri, sans-serif" w:cs="calibri, sans-serif" w:eastAsia="calibri, sans-serif"/>
                <w:sz w:val="20"/>
              </w:rPr>
              <w:t>30</w:t>
            </w:r>
            <w:r>
              <w:rPr>
                <w:rFonts w:ascii="宋体" w:hAnsi="宋体" w:cs="宋体" w:eastAsia="宋体"/>
                <w:sz w:val="20"/>
              </w:rPr>
              <w:t>个日历日之内车辆完成上牌。</w:t>
            </w:r>
          </w:p>
          <w:p>
            <w:pPr>
              <w:pStyle w:val="null3"/>
              <w:jc w:val="left"/>
            </w:pPr>
            <w:r>
              <w:rPr>
                <w:rFonts w:ascii="calibri, sans-serif" w:hAnsi="calibri, sans-serif" w:cs="calibri, sans-serif" w:eastAsia="calibri, sans-serif"/>
                <w:sz w:val="20"/>
              </w:rPr>
              <w:t>4</w:t>
            </w:r>
            <w:r>
              <w:rPr>
                <w:rFonts w:ascii="宋体" w:hAnsi="宋体" w:cs="宋体" w:eastAsia="宋体"/>
                <w:sz w:val="20"/>
              </w:rPr>
              <w:t>、交付的车辆由</w:t>
            </w:r>
            <w:r>
              <w:rPr>
                <w:rFonts w:ascii="宋体" w:hAnsi="宋体" w:cs="宋体" w:eastAsia="宋体"/>
                <w:sz w:val="20"/>
              </w:rPr>
              <w:t>供应商</w:t>
            </w:r>
            <w:r>
              <w:rPr>
                <w:rFonts w:ascii="宋体" w:hAnsi="宋体" w:cs="宋体" w:eastAsia="宋体"/>
                <w:sz w:val="20"/>
              </w:rPr>
              <w:t>承担购买首年的交强险（含车船税）及商业险（三者险至少</w:t>
            </w:r>
            <w:r>
              <w:rPr>
                <w:rFonts w:ascii="calibri, sans-serif" w:hAnsi="calibri, sans-serif" w:cs="calibri, sans-serif" w:eastAsia="calibri, sans-serif"/>
                <w:sz w:val="20"/>
              </w:rPr>
              <w:t>300</w:t>
            </w:r>
            <w:r>
              <w:rPr>
                <w:rFonts w:ascii="宋体" w:hAnsi="宋体" w:cs="宋体" w:eastAsia="宋体"/>
                <w:sz w:val="20"/>
              </w:rPr>
              <w:t>万，乘座险每座至少</w:t>
            </w:r>
            <w:r>
              <w:rPr>
                <w:rFonts w:ascii="calibri, sans-serif" w:hAnsi="calibri, sans-serif" w:cs="calibri, sans-serif" w:eastAsia="calibri, sans-serif"/>
                <w:sz w:val="20"/>
              </w:rPr>
              <w:t>1</w:t>
            </w:r>
            <w:r>
              <w:rPr>
                <w:rFonts w:ascii="宋体" w:hAnsi="宋体" w:cs="宋体" w:eastAsia="宋体"/>
                <w:sz w:val="20"/>
              </w:rPr>
              <w:t>万元，车损险等）的费用。其他货物设备如需购买保险的，首年保费、税费、商业险费用须由供应商承担，</w:t>
            </w:r>
          </w:p>
          <w:p>
            <w:pPr>
              <w:pStyle w:val="null3"/>
              <w:jc w:val="left"/>
            </w:pPr>
            <w:r>
              <w:rPr>
                <w:rFonts w:ascii="calibri, sans-serif" w:hAnsi="calibri, sans-serif" w:cs="calibri, sans-serif" w:eastAsia="calibri, sans-serif"/>
                <w:sz w:val="20"/>
              </w:rPr>
              <w:t>5</w:t>
            </w:r>
            <w:r>
              <w:rPr>
                <w:rFonts w:ascii="宋体" w:hAnsi="宋体" w:cs="宋体" w:eastAsia="宋体"/>
                <w:sz w:val="20"/>
              </w:rPr>
              <w:t>、交付的车辆须按</w:t>
            </w:r>
            <w:r>
              <w:rPr>
                <w:rFonts w:ascii="宋体" w:hAnsi="宋体" w:cs="宋体" w:eastAsia="宋体"/>
                <w:sz w:val="20"/>
              </w:rPr>
              <w:t>采购人</w:t>
            </w:r>
            <w:r>
              <w:rPr>
                <w:rFonts w:ascii="宋体" w:hAnsi="宋体" w:cs="宋体" w:eastAsia="宋体"/>
                <w:sz w:val="20"/>
              </w:rPr>
              <w:t>要求安装车辆定位系统。</w:t>
            </w:r>
          </w:p>
          <w:p>
            <w:pPr>
              <w:pStyle w:val="null3"/>
              <w:jc w:val="left"/>
            </w:pPr>
            <w:r>
              <w:rPr>
                <w:rFonts w:ascii="calibri, sans-serif" w:hAnsi="calibri, sans-serif" w:cs="calibri, sans-serif" w:eastAsia="calibri, sans-serif"/>
                <w:sz w:val="20"/>
              </w:rPr>
              <w:t>6</w:t>
            </w:r>
            <w:r>
              <w:rPr>
                <w:rFonts w:ascii="宋体" w:hAnsi="宋体" w:cs="宋体" w:eastAsia="宋体"/>
                <w:sz w:val="20"/>
              </w:rPr>
              <w:t>、本次购买的货物，如有上牌需求的，供应商必须保证所提供的货物能够满足上牌要求。</w:t>
            </w:r>
          </w:p>
          <w:p>
            <w:pPr>
              <w:pStyle w:val="null3"/>
              <w:jc w:val="left"/>
            </w:pPr>
            <w:r>
              <w:rPr>
                <w:rFonts w:ascii="&quot;calibri&quot;, sans-serif" w:hAnsi="&quot;calibri&quot;, sans-serif" w:cs="&quot;calibri&quot;, sans-serif" w:eastAsia="&quot;calibri&quot;, sans-serif"/>
                <w:sz w:val="21"/>
              </w:rPr>
              <w:t>7</w:t>
            </w:r>
            <w:r>
              <w:rPr>
                <w:rFonts w:ascii="宋体" w:hAnsi="宋体" w:cs="宋体" w:eastAsia="宋体"/>
                <w:sz w:val="21"/>
              </w:rPr>
              <w:t>、本合同价格含供应商将全部货物送达采购人指定地点并协助完成安装、上户后交付使用的所有费用，在未增加采购标的的情况下，供应商不得要求采购人支付额外的费用。供应商应全面考虑到货物的货款、购置税、运输费、搬运、安装调试、协助上户上牌、保险、税费、合理利润等本项目所涵盖一切费用。</w:t>
            </w:r>
          </w:p>
        </w:tc>
      </w:tr>
      <w:tr>
        <w:tc>
          <w:tcPr>
            <w:tcW w:type="dxa" w:w="415"/>
          </w:tcPr>
          <w:p>
            <w:pPr>
              <w:pStyle w:val="null3"/>
              <w:jc w:val="center"/>
            </w:pPr>
            <w:r>
              <w:rPr/>
              <w:t>3</w:t>
            </w:r>
          </w:p>
        </w:tc>
        <w:tc>
          <w:tcPr>
            <w:tcW w:type="dxa" w:w="581"/>
          </w:tcPr>
          <w:p>
            <w:pPr>
              <w:pStyle w:val="null3"/>
              <w:jc w:val="center"/>
            </w:pPr>
            <w:r>
              <w:rPr/>
              <w:t>★</w:t>
            </w:r>
          </w:p>
        </w:tc>
        <w:tc>
          <w:tcPr>
            <w:tcW w:type="dxa" w:w="1495"/>
          </w:tcPr>
          <w:p>
            <w:pPr>
              <w:pStyle w:val="null3"/>
              <w:jc w:val="left"/>
            </w:pPr>
            <w:r>
              <w:rPr/>
              <w:t>真实应答要求</w:t>
            </w:r>
          </w:p>
        </w:tc>
        <w:tc>
          <w:tcPr>
            <w:tcW w:type="dxa" w:w="5814"/>
          </w:tcPr>
          <w:p>
            <w:pPr>
              <w:pStyle w:val="null3"/>
              <w:jc w:val="left"/>
            </w:pPr>
            <w:r>
              <w:rPr/>
              <w:t>供应商在投标文件中的所有应答是供应商参与投标的真实表达，并在交货时按要求提供国家认可的第三方检测机构出具的检测报告佐证，如有虚假，供应商接受财政部门按政府采购法及相关法律法规的规定进行处罚。</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 xml:space="preserve"> 序号</w:t>
            </w:r>
          </w:p>
        </w:tc>
        <w:tc>
          <w:tcPr>
            <w:tcW w:type="dxa" w:w="581"/>
          </w:tcPr>
          <w:p>
            <w:pPr>
              <w:pStyle w:val="null3"/>
              <w:jc w:val="center"/>
            </w:pPr>
            <w:r>
              <w:rPr/>
              <w:t xml:space="preserve"> 符号标识</w:t>
            </w:r>
          </w:p>
        </w:tc>
        <w:tc>
          <w:tcPr>
            <w:tcW w:type="dxa" w:w="1495"/>
          </w:tcPr>
          <w:p>
            <w:pPr>
              <w:pStyle w:val="null3"/>
              <w:jc w:val="center"/>
            </w:pPr>
            <w:r>
              <w:rPr/>
              <w:t xml:space="preserve"> 服务要求名称</w:t>
            </w:r>
          </w:p>
        </w:tc>
        <w:tc>
          <w:tcPr>
            <w:tcW w:type="dxa" w:w="5814"/>
          </w:tcPr>
          <w:p>
            <w:pPr>
              <w:pStyle w:val="null3"/>
              <w:jc w:val="center"/>
            </w:pPr>
            <w:r>
              <w:rPr/>
              <w:t xml:space="preserve"> 服务要求内容</w:t>
            </w:r>
          </w:p>
        </w:tc>
      </w:tr>
      <w:tr>
        <w:tc>
          <w:tcPr>
            <w:tcW w:type="dxa" w:w="415"/>
          </w:tcPr>
          <w:p>
            <w:pPr>
              <w:pStyle w:val="null3"/>
              <w:jc w:val="center"/>
            </w:pPr>
            <w:r>
              <w:rPr/>
              <w:t>1</w:t>
            </w:r>
          </w:p>
        </w:tc>
        <w:tc>
          <w:tcPr>
            <w:tcW w:type="dxa" w:w="581"/>
          </w:tcPr>
          <w:p>
            <w:pPr>
              <w:pStyle w:val="null3"/>
              <w:jc w:val="center"/>
            </w:pPr>
            <w:r>
              <w:rPr/>
              <w:t>★</w:t>
            </w:r>
          </w:p>
        </w:tc>
        <w:tc>
          <w:tcPr>
            <w:tcW w:type="dxa" w:w="1495"/>
          </w:tcPr>
          <w:p>
            <w:pPr>
              <w:pStyle w:val="null3"/>
              <w:jc w:val="left"/>
            </w:pPr>
            <w:r>
              <w:rPr/>
              <w:t>售后服务要求</w:t>
            </w:r>
          </w:p>
        </w:tc>
        <w:tc>
          <w:tcPr>
            <w:tcW w:type="dxa" w:w="5814"/>
          </w:tcPr>
          <w:p>
            <w:pPr>
              <w:pStyle w:val="null3"/>
              <w:jc w:val="left"/>
            </w:pPr>
            <w:r>
              <w:rPr/>
              <w:t>供应商能提供本地化售后服务，在南充市范围内具有售后服务网点（提供相关证明材料）或者承诺中标后能在南充范围内设置售后服务网点（提供承诺）。</w:t>
            </w:r>
          </w:p>
        </w:tc>
      </w:tr>
      <w:tr>
        <w:tc>
          <w:tcPr>
            <w:tcW w:type="dxa" w:w="415"/>
          </w:tcPr>
          <w:p>
            <w:pPr>
              <w:pStyle w:val="null3"/>
              <w:jc w:val="center"/>
            </w:pPr>
            <w:r>
              <w:rPr/>
              <w:t>2</w:t>
            </w:r>
          </w:p>
        </w:tc>
        <w:tc>
          <w:tcPr>
            <w:tcW w:type="dxa" w:w="581"/>
          </w:tcPr>
          <w:p>
            <w:pPr>
              <w:pStyle w:val="null3"/>
              <w:jc w:val="center"/>
            </w:pPr>
            <w:r>
              <w:rPr/>
              <w:t>★</w:t>
            </w:r>
          </w:p>
        </w:tc>
        <w:tc>
          <w:tcPr>
            <w:tcW w:type="dxa" w:w="1495"/>
          </w:tcPr>
          <w:p>
            <w:pPr>
              <w:pStyle w:val="null3"/>
              <w:jc w:val="left"/>
            </w:pPr>
            <w:r>
              <w:rPr/>
              <w:t>交货及相关要求</w:t>
            </w:r>
          </w:p>
        </w:tc>
        <w:tc>
          <w:tcPr>
            <w:tcW w:type="dxa" w:w="5814"/>
          </w:tcPr>
          <w:p>
            <w:pPr>
              <w:pStyle w:val="null3"/>
              <w:jc w:val="left"/>
            </w:pPr>
            <w:r>
              <w:rPr>
                <w:rFonts w:ascii="calibri, sans-serif" w:hAnsi="calibri, sans-serif" w:cs="calibri, sans-serif" w:eastAsia="calibri, sans-serif"/>
                <w:sz w:val="20"/>
              </w:rPr>
              <w:t>1</w:t>
            </w:r>
            <w:r>
              <w:rPr>
                <w:rFonts w:ascii="宋体" w:hAnsi="宋体" w:cs="宋体" w:eastAsia="宋体"/>
                <w:sz w:val="20"/>
              </w:rPr>
              <w:t>、交付的所有货物出厂日期不早于合同签订日期前</w:t>
            </w:r>
            <w:r>
              <w:rPr>
                <w:rFonts w:ascii="calibri, sans-serif" w:hAnsi="calibri, sans-serif" w:cs="calibri, sans-serif" w:eastAsia="calibri, sans-serif"/>
                <w:sz w:val="20"/>
              </w:rPr>
              <w:t>12</w:t>
            </w:r>
            <w:r>
              <w:rPr>
                <w:rFonts w:ascii="宋体" w:hAnsi="宋体" w:cs="宋体" w:eastAsia="宋体"/>
                <w:sz w:val="20"/>
              </w:rPr>
              <w:t>个月。</w:t>
            </w:r>
          </w:p>
          <w:p>
            <w:pPr>
              <w:pStyle w:val="null3"/>
              <w:jc w:val="left"/>
            </w:pPr>
            <w:r>
              <w:rPr>
                <w:rFonts w:ascii="calibri, sans-serif" w:hAnsi="calibri, sans-serif" w:cs="calibri, sans-serif" w:eastAsia="calibri, sans-serif"/>
                <w:sz w:val="20"/>
              </w:rPr>
              <w:t>2</w:t>
            </w:r>
            <w:r>
              <w:rPr>
                <w:rFonts w:ascii="宋体" w:hAnsi="宋体" w:cs="宋体" w:eastAsia="宋体"/>
                <w:sz w:val="20"/>
              </w:rPr>
              <w:t>、交付的车辆车身形象喷涂必须按照</w:t>
            </w:r>
            <w:r>
              <w:rPr>
                <w:rFonts w:ascii="宋体" w:hAnsi="宋体" w:cs="宋体" w:eastAsia="宋体"/>
                <w:sz w:val="20"/>
              </w:rPr>
              <w:t>采购人</w:t>
            </w:r>
            <w:r>
              <w:rPr>
                <w:rFonts w:ascii="宋体" w:hAnsi="宋体" w:cs="宋体" w:eastAsia="宋体"/>
                <w:sz w:val="20"/>
              </w:rPr>
              <w:t>要求喷涂。</w:t>
            </w:r>
          </w:p>
          <w:p>
            <w:pPr>
              <w:pStyle w:val="null3"/>
              <w:jc w:val="left"/>
            </w:pPr>
            <w:r>
              <w:rPr>
                <w:rFonts w:ascii="calibri, sans-serif" w:hAnsi="calibri, sans-serif" w:cs="calibri, sans-serif" w:eastAsia="calibri, sans-serif"/>
                <w:sz w:val="20"/>
              </w:rPr>
              <w:t>3</w:t>
            </w:r>
            <w:r>
              <w:rPr>
                <w:rFonts w:ascii="宋体" w:hAnsi="宋体" w:cs="宋体" w:eastAsia="宋体"/>
                <w:sz w:val="20"/>
              </w:rPr>
              <w:t>、</w:t>
            </w:r>
            <w:r>
              <w:rPr>
                <w:rFonts w:ascii="宋体" w:hAnsi="宋体" w:cs="宋体" w:eastAsia="宋体"/>
                <w:sz w:val="20"/>
              </w:rPr>
              <w:t>采购人</w:t>
            </w:r>
            <w:r>
              <w:rPr>
                <w:rFonts w:ascii="宋体" w:hAnsi="宋体" w:cs="宋体" w:eastAsia="宋体"/>
                <w:sz w:val="20"/>
              </w:rPr>
              <w:t>完成货物的资产划转后，</w:t>
            </w:r>
            <w:r>
              <w:rPr>
                <w:rFonts w:ascii="宋体" w:hAnsi="宋体" w:cs="宋体" w:eastAsia="宋体"/>
                <w:sz w:val="20"/>
              </w:rPr>
              <w:t>供应商</w:t>
            </w:r>
            <w:r>
              <w:rPr>
                <w:rFonts w:ascii="宋体" w:hAnsi="宋体" w:cs="宋体" w:eastAsia="宋体"/>
                <w:sz w:val="20"/>
              </w:rPr>
              <w:t>负责提供车辆上牌的所有资料及手续，并协助</w:t>
            </w:r>
            <w:r>
              <w:rPr>
                <w:rFonts w:ascii="宋体" w:hAnsi="宋体" w:cs="宋体" w:eastAsia="宋体"/>
                <w:sz w:val="20"/>
              </w:rPr>
              <w:t>采购人</w:t>
            </w:r>
            <w:r>
              <w:rPr>
                <w:rFonts w:ascii="宋体" w:hAnsi="宋体" w:cs="宋体" w:eastAsia="宋体"/>
                <w:sz w:val="20"/>
              </w:rPr>
              <w:t>在</w:t>
            </w:r>
            <w:r>
              <w:rPr>
                <w:rFonts w:ascii="calibri, sans-serif" w:hAnsi="calibri, sans-serif" w:cs="calibri, sans-serif" w:eastAsia="calibri, sans-serif"/>
                <w:sz w:val="20"/>
              </w:rPr>
              <w:t>30</w:t>
            </w:r>
            <w:r>
              <w:rPr>
                <w:rFonts w:ascii="宋体" w:hAnsi="宋体" w:cs="宋体" w:eastAsia="宋体"/>
                <w:sz w:val="20"/>
              </w:rPr>
              <w:t>个日历日之内车辆完成上牌。</w:t>
            </w:r>
          </w:p>
          <w:p>
            <w:pPr>
              <w:pStyle w:val="null3"/>
              <w:jc w:val="left"/>
            </w:pPr>
            <w:r>
              <w:rPr>
                <w:rFonts w:ascii="calibri, sans-serif" w:hAnsi="calibri, sans-serif" w:cs="calibri, sans-serif" w:eastAsia="calibri, sans-serif"/>
                <w:sz w:val="20"/>
              </w:rPr>
              <w:t>4</w:t>
            </w:r>
            <w:r>
              <w:rPr>
                <w:rFonts w:ascii="宋体" w:hAnsi="宋体" w:cs="宋体" w:eastAsia="宋体"/>
                <w:sz w:val="20"/>
              </w:rPr>
              <w:t>、交付的车辆由</w:t>
            </w:r>
            <w:r>
              <w:rPr>
                <w:rFonts w:ascii="宋体" w:hAnsi="宋体" w:cs="宋体" w:eastAsia="宋体"/>
                <w:sz w:val="20"/>
              </w:rPr>
              <w:t>供应商</w:t>
            </w:r>
            <w:r>
              <w:rPr>
                <w:rFonts w:ascii="宋体" w:hAnsi="宋体" w:cs="宋体" w:eastAsia="宋体"/>
                <w:sz w:val="20"/>
              </w:rPr>
              <w:t>承担购买首年的交强险（含车船税）及商业险（三者险至少</w:t>
            </w:r>
            <w:r>
              <w:rPr>
                <w:rFonts w:ascii="calibri, sans-serif" w:hAnsi="calibri, sans-serif" w:cs="calibri, sans-serif" w:eastAsia="calibri, sans-serif"/>
                <w:sz w:val="20"/>
              </w:rPr>
              <w:t>300</w:t>
            </w:r>
            <w:r>
              <w:rPr>
                <w:rFonts w:ascii="宋体" w:hAnsi="宋体" w:cs="宋体" w:eastAsia="宋体"/>
                <w:sz w:val="20"/>
              </w:rPr>
              <w:t>万，乘座险每座至少</w:t>
            </w:r>
            <w:r>
              <w:rPr>
                <w:rFonts w:ascii="calibri, sans-serif" w:hAnsi="calibri, sans-serif" w:cs="calibri, sans-serif" w:eastAsia="calibri, sans-serif"/>
                <w:sz w:val="20"/>
              </w:rPr>
              <w:t>1</w:t>
            </w:r>
            <w:r>
              <w:rPr>
                <w:rFonts w:ascii="宋体" w:hAnsi="宋体" w:cs="宋体" w:eastAsia="宋体"/>
                <w:sz w:val="20"/>
              </w:rPr>
              <w:t>万元，车损险等）的费用。其他货物设备如需购买保险的，首年保费、税费、商业险费用须由供应商承担，</w:t>
            </w:r>
          </w:p>
          <w:p>
            <w:pPr>
              <w:pStyle w:val="null3"/>
              <w:jc w:val="left"/>
            </w:pPr>
            <w:r>
              <w:rPr>
                <w:rFonts w:ascii="calibri, sans-serif" w:hAnsi="calibri, sans-serif" w:cs="calibri, sans-serif" w:eastAsia="calibri, sans-serif"/>
                <w:sz w:val="20"/>
              </w:rPr>
              <w:t>5</w:t>
            </w:r>
            <w:r>
              <w:rPr>
                <w:rFonts w:ascii="宋体" w:hAnsi="宋体" w:cs="宋体" w:eastAsia="宋体"/>
                <w:sz w:val="20"/>
              </w:rPr>
              <w:t>、交付的车辆须按</w:t>
            </w:r>
            <w:r>
              <w:rPr>
                <w:rFonts w:ascii="宋体" w:hAnsi="宋体" w:cs="宋体" w:eastAsia="宋体"/>
                <w:sz w:val="20"/>
              </w:rPr>
              <w:t>采购人</w:t>
            </w:r>
            <w:r>
              <w:rPr>
                <w:rFonts w:ascii="宋体" w:hAnsi="宋体" w:cs="宋体" w:eastAsia="宋体"/>
                <w:sz w:val="20"/>
              </w:rPr>
              <w:t>要求安装车辆定位系统。</w:t>
            </w:r>
          </w:p>
          <w:p>
            <w:pPr>
              <w:pStyle w:val="null3"/>
              <w:jc w:val="left"/>
            </w:pPr>
            <w:r>
              <w:rPr>
                <w:rFonts w:ascii="calibri, sans-serif" w:hAnsi="calibri, sans-serif" w:cs="calibri, sans-serif" w:eastAsia="calibri, sans-serif"/>
                <w:sz w:val="20"/>
              </w:rPr>
              <w:t>6</w:t>
            </w:r>
            <w:r>
              <w:rPr>
                <w:rFonts w:ascii="宋体" w:hAnsi="宋体" w:cs="宋体" w:eastAsia="宋体"/>
                <w:sz w:val="20"/>
              </w:rPr>
              <w:t>、本次购买的货物，如有上牌需求的，供应商必须保证所提供的货物能够满足上牌要求。</w:t>
            </w:r>
          </w:p>
          <w:p>
            <w:pPr>
              <w:pStyle w:val="null3"/>
              <w:jc w:val="left"/>
            </w:pPr>
            <w:r>
              <w:rPr>
                <w:rFonts w:ascii="&quot;calibri&quot;, sans-serif" w:hAnsi="&quot;calibri&quot;, sans-serif" w:cs="&quot;calibri&quot;, sans-serif" w:eastAsia="&quot;calibri&quot;, sans-serif"/>
                <w:sz w:val="21"/>
              </w:rPr>
              <w:t>7</w:t>
            </w:r>
            <w:r>
              <w:rPr>
                <w:rFonts w:ascii="宋体" w:hAnsi="宋体" w:cs="宋体" w:eastAsia="宋体"/>
                <w:sz w:val="21"/>
              </w:rPr>
              <w:t>、本合同价格含供应商将全部货物送达采购人指定地点并协助完成安装、上户后交付使用的所有费用，在未增加采购标的的情况下，供应商不得要求采购人支付额外的费用。供应商应全面考虑到货物的货款、购置税、运输费、搬运、安装调试、协助上户上牌、保险、税费、合理利润等本项目所涵盖一切费用。</w:t>
            </w:r>
          </w:p>
        </w:tc>
      </w:tr>
      <w:tr>
        <w:tc>
          <w:tcPr>
            <w:tcW w:type="dxa" w:w="415"/>
          </w:tcPr>
          <w:p>
            <w:pPr>
              <w:pStyle w:val="null3"/>
              <w:jc w:val="center"/>
            </w:pPr>
            <w:r>
              <w:rPr/>
              <w:t>3</w:t>
            </w:r>
          </w:p>
        </w:tc>
        <w:tc>
          <w:tcPr>
            <w:tcW w:type="dxa" w:w="581"/>
          </w:tcPr>
          <w:p>
            <w:pPr>
              <w:pStyle w:val="null3"/>
              <w:jc w:val="center"/>
            </w:pPr>
            <w:r>
              <w:rPr/>
              <w:t>★</w:t>
            </w:r>
          </w:p>
        </w:tc>
        <w:tc>
          <w:tcPr>
            <w:tcW w:type="dxa" w:w="1495"/>
          </w:tcPr>
          <w:p>
            <w:pPr>
              <w:pStyle w:val="null3"/>
              <w:jc w:val="left"/>
            </w:pPr>
            <w:r>
              <w:rPr/>
              <w:t>真实应答要求</w:t>
            </w:r>
          </w:p>
        </w:tc>
        <w:tc>
          <w:tcPr>
            <w:tcW w:type="dxa" w:w="5814"/>
          </w:tcPr>
          <w:p>
            <w:pPr>
              <w:pStyle w:val="null3"/>
              <w:jc w:val="left"/>
            </w:pPr>
            <w:r>
              <w:rPr/>
              <w:t>供应商在投标文件中的所有应答是供应商参与投标的真实表达，并在交货时按要求提供国家认可的第三方检测机构出具的检测报告佐证，如有虚假，供应商接受财政部门按政府采购法及相关法律法规的规定进行处罚。</w:t>
            </w:r>
          </w:p>
        </w:tc>
      </w:tr>
    </w:tbl>
    <w:p>
      <w:pPr>
        <w:pStyle w:val="null3"/>
        <w:jc w:val="left"/>
      </w:pPr>
      <w:r>
        <w:rPr/>
        <w:t>采购包4：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 xml:space="preserve"> 序号</w:t>
            </w:r>
          </w:p>
        </w:tc>
        <w:tc>
          <w:tcPr>
            <w:tcW w:type="dxa" w:w="581"/>
          </w:tcPr>
          <w:p>
            <w:pPr>
              <w:pStyle w:val="null3"/>
              <w:jc w:val="center"/>
            </w:pPr>
            <w:r>
              <w:rPr/>
              <w:t xml:space="preserve"> 符号标识</w:t>
            </w:r>
          </w:p>
        </w:tc>
        <w:tc>
          <w:tcPr>
            <w:tcW w:type="dxa" w:w="1495"/>
          </w:tcPr>
          <w:p>
            <w:pPr>
              <w:pStyle w:val="null3"/>
              <w:jc w:val="center"/>
            </w:pPr>
            <w:r>
              <w:rPr/>
              <w:t xml:space="preserve"> 服务要求名称</w:t>
            </w:r>
          </w:p>
        </w:tc>
        <w:tc>
          <w:tcPr>
            <w:tcW w:type="dxa" w:w="5814"/>
          </w:tcPr>
          <w:p>
            <w:pPr>
              <w:pStyle w:val="null3"/>
              <w:jc w:val="center"/>
            </w:pPr>
            <w:r>
              <w:rPr/>
              <w:t xml:space="preserve"> 服务要求内容</w:t>
            </w:r>
          </w:p>
        </w:tc>
      </w:tr>
      <w:tr>
        <w:tc>
          <w:tcPr>
            <w:tcW w:type="dxa" w:w="415"/>
          </w:tcPr>
          <w:p>
            <w:pPr>
              <w:pStyle w:val="null3"/>
              <w:jc w:val="center"/>
            </w:pPr>
            <w:r>
              <w:rPr/>
              <w:t>1</w:t>
            </w:r>
          </w:p>
        </w:tc>
        <w:tc>
          <w:tcPr>
            <w:tcW w:type="dxa" w:w="581"/>
          </w:tcPr>
          <w:p>
            <w:pPr>
              <w:pStyle w:val="null3"/>
              <w:jc w:val="center"/>
            </w:pPr>
            <w:r>
              <w:rPr/>
              <w:t>★</w:t>
            </w:r>
          </w:p>
        </w:tc>
        <w:tc>
          <w:tcPr>
            <w:tcW w:type="dxa" w:w="1495"/>
          </w:tcPr>
          <w:p>
            <w:pPr>
              <w:pStyle w:val="null3"/>
              <w:jc w:val="left"/>
            </w:pPr>
            <w:r>
              <w:rPr/>
              <w:t>售后服务要求</w:t>
            </w:r>
          </w:p>
        </w:tc>
        <w:tc>
          <w:tcPr>
            <w:tcW w:type="dxa" w:w="5814"/>
          </w:tcPr>
          <w:p>
            <w:pPr>
              <w:pStyle w:val="null3"/>
              <w:jc w:val="left"/>
            </w:pPr>
            <w:r>
              <w:rPr/>
              <w:t>供应商能提供本地化售后服务，在南充市范围内具有售后服务网点（提供相关证明材料）或者承诺中标后能在南充范围内设置售后服务网点（提供承诺）。</w:t>
            </w:r>
          </w:p>
        </w:tc>
      </w:tr>
      <w:tr>
        <w:tc>
          <w:tcPr>
            <w:tcW w:type="dxa" w:w="415"/>
          </w:tcPr>
          <w:p>
            <w:pPr>
              <w:pStyle w:val="null3"/>
              <w:jc w:val="center"/>
            </w:pPr>
            <w:r>
              <w:rPr/>
              <w:t>2</w:t>
            </w:r>
          </w:p>
        </w:tc>
        <w:tc>
          <w:tcPr>
            <w:tcW w:type="dxa" w:w="581"/>
          </w:tcPr>
          <w:p>
            <w:pPr>
              <w:pStyle w:val="null3"/>
              <w:jc w:val="center"/>
            </w:pPr>
            <w:r>
              <w:rPr/>
              <w:t>★</w:t>
            </w:r>
          </w:p>
        </w:tc>
        <w:tc>
          <w:tcPr>
            <w:tcW w:type="dxa" w:w="1495"/>
          </w:tcPr>
          <w:p>
            <w:pPr>
              <w:pStyle w:val="null3"/>
              <w:jc w:val="left"/>
            </w:pPr>
            <w:r>
              <w:rPr/>
              <w:t>交货及相关要求</w:t>
            </w:r>
          </w:p>
        </w:tc>
        <w:tc>
          <w:tcPr>
            <w:tcW w:type="dxa" w:w="5814"/>
          </w:tcPr>
          <w:p>
            <w:pPr>
              <w:pStyle w:val="null3"/>
              <w:jc w:val="left"/>
            </w:pPr>
            <w:r>
              <w:rPr>
                <w:rFonts w:ascii="calibri, sans-serif" w:hAnsi="calibri, sans-serif" w:cs="calibri, sans-serif" w:eastAsia="calibri, sans-serif"/>
                <w:sz w:val="20"/>
              </w:rPr>
              <w:t>1</w:t>
            </w:r>
            <w:r>
              <w:rPr>
                <w:rFonts w:ascii="宋体" w:hAnsi="宋体" w:cs="宋体" w:eastAsia="宋体"/>
                <w:sz w:val="20"/>
              </w:rPr>
              <w:t>、交付的所有货物出厂日期不早于合同签订日期前</w:t>
            </w:r>
            <w:r>
              <w:rPr>
                <w:rFonts w:ascii="calibri, sans-serif" w:hAnsi="calibri, sans-serif" w:cs="calibri, sans-serif" w:eastAsia="calibri, sans-serif"/>
                <w:sz w:val="20"/>
              </w:rPr>
              <w:t>12</w:t>
            </w:r>
            <w:r>
              <w:rPr>
                <w:rFonts w:ascii="宋体" w:hAnsi="宋体" w:cs="宋体" w:eastAsia="宋体"/>
                <w:sz w:val="20"/>
              </w:rPr>
              <w:t>个月。</w:t>
            </w:r>
          </w:p>
          <w:p>
            <w:pPr>
              <w:pStyle w:val="null3"/>
              <w:jc w:val="left"/>
            </w:pPr>
            <w:r>
              <w:rPr>
                <w:rFonts w:ascii="calibri, sans-serif" w:hAnsi="calibri, sans-serif" w:cs="calibri, sans-serif" w:eastAsia="calibri, sans-serif"/>
                <w:sz w:val="20"/>
              </w:rPr>
              <w:t>2</w:t>
            </w:r>
            <w:r>
              <w:rPr>
                <w:rFonts w:ascii="宋体" w:hAnsi="宋体" w:cs="宋体" w:eastAsia="宋体"/>
                <w:sz w:val="20"/>
              </w:rPr>
              <w:t>、交付的车辆车身形象喷涂必须按照</w:t>
            </w:r>
            <w:r>
              <w:rPr>
                <w:rFonts w:ascii="宋体" w:hAnsi="宋体" w:cs="宋体" w:eastAsia="宋体"/>
                <w:sz w:val="20"/>
              </w:rPr>
              <w:t>采购人</w:t>
            </w:r>
            <w:r>
              <w:rPr>
                <w:rFonts w:ascii="宋体" w:hAnsi="宋体" w:cs="宋体" w:eastAsia="宋体"/>
                <w:sz w:val="20"/>
              </w:rPr>
              <w:t>要求喷涂。</w:t>
            </w:r>
          </w:p>
          <w:p>
            <w:pPr>
              <w:pStyle w:val="null3"/>
              <w:jc w:val="left"/>
            </w:pPr>
            <w:r>
              <w:rPr>
                <w:rFonts w:ascii="calibri, sans-serif" w:hAnsi="calibri, sans-serif" w:cs="calibri, sans-serif" w:eastAsia="calibri, sans-serif"/>
                <w:sz w:val="20"/>
              </w:rPr>
              <w:t>3</w:t>
            </w:r>
            <w:r>
              <w:rPr>
                <w:rFonts w:ascii="宋体" w:hAnsi="宋体" w:cs="宋体" w:eastAsia="宋体"/>
                <w:sz w:val="20"/>
              </w:rPr>
              <w:t>、</w:t>
            </w:r>
            <w:r>
              <w:rPr>
                <w:rFonts w:ascii="宋体" w:hAnsi="宋体" w:cs="宋体" w:eastAsia="宋体"/>
                <w:sz w:val="20"/>
              </w:rPr>
              <w:t>采购人</w:t>
            </w:r>
            <w:r>
              <w:rPr>
                <w:rFonts w:ascii="宋体" w:hAnsi="宋体" w:cs="宋体" w:eastAsia="宋体"/>
                <w:sz w:val="20"/>
              </w:rPr>
              <w:t>完成货物的资产划转后，</w:t>
            </w:r>
            <w:r>
              <w:rPr>
                <w:rFonts w:ascii="宋体" w:hAnsi="宋体" w:cs="宋体" w:eastAsia="宋体"/>
                <w:sz w:val="20"/>
              </w:rPr>
              <w:t>供应商</w:t>
            </w:r>
            <w:r>
              <w:rPr>
                <w:rFonts w:ascii="宋体" w:hAnsi="宋体" w:cs="宋体" w:eastAsia="宋体"/>
                <w:sz w:val="20"/>
              </w:rPr>
              <w:t>负责提供车辆上牌的所有资料及手续，并协助</w:t>
            </w:r>
            <w:r>
              <w:rPr>
                <w:rFonts w:ascii="宋体" w:hAnsi="宋体" w:cs="宋体" w:eastAsia="宋体"/>
                <w:sz w:val="20"/>
              </w:rPr>
              <w:t>采购人</w:t>
            </w:r>
            <w:r>
              <w:rPr>
                <w:rFonts w:ascii="宋体" w:hAnsi="宋体" w:cs="宋体" w:eastAsia="宋体"/>
                <w:sz w:val="20"/>
              </w:rPr>
              <w:t>在</w:t>
            </w:r>
            <w:r>
              <w:rPr>
                <w:rFonts w:ascii="calibri, sans-serif" w:hAnsi="calibri, sans-serif" w:cs="calibri, sans-serif" w:eastAsia="calibri, sans-serif"/>
                <w:sz w:val="20"/>
              </w:rPr>
              <w:t>30</w:t>
            </w:r>
            <w:r>
              <w:rPr>
                <w:rFonts w:ascii="宋体" w:hAnsi="宋体" w:cs="宋体" w:eastAsia="宋体"/>
                <w:sz w:val="20"/>
              </w:rPr>
              <w:t>个日历日之内车辆完成上牌。</w:t>
            </w:r>
          </w:p>
          <w:p>
            <w:pPr>
              <w:pStyle w:val="null3"/>
              <w:jc w:val="left"/>
            </w:pPr>
            <w:r>
              <w:rPr>
                <w:rFonts w:ascii="calibri, sans-serif" w:hAnsi="calibri, sans-serif" w:cs="calibri, sans-serif" w:eastAsia="calibri, sans-serif"/>
                <w:sz w:val="20"/>
              </w:rPr>
              <w:t>4</w:t>
            </w:r>
            <w:r>
              <w:rPr>
                <w:rFonts w:ascii="宋体" w:hAnsi="宋体" w:cs="宋体" w:eastAsia="宋体"/>
                <w:sz w:val="20"/>
              </w:rPr>
              <w:t>、交付的车辆由</w:t>
            </w:r>
            <w:r>
              <w:rPr>
                <w:rFonts w:ascii="宋体" w:hAnsi="宋体" w:cs="宋体" w:eastAsia="宋体"/>
                <w:sz w:val="20"/>
              </w:rPr>
              <w:t>供应商</w:t>
            </w:r>
            <w:r>
              <w:rPr>
                <w:rFonts w:ascii="宋体" w:hAnsi="宋体" w:cs="宋体" w:eastAsia="宋体"/>
                <w:sz w:val="20"/>
              </w:rPr>
              <w:t>承担购买首年的交强险（含车船税）及商业险（三者险至少</w:t>
            </w:r>
            <w:r>
              <w:rPr>
                <w:rFonts w:ascii="calibri, sans-serif" w:hAnsi="calibri, sans-serif" w:cs="calibri, sans-serif" w:eastAsia="calibri, sans-serif"/>
                <w:sz w:val="20"/>
              </w:rPr>
              <w:t>300</w:t>
            </w:r>
            <w:r>
              <w:rPr>
                <w:rFonts w:ascii="宋体" w:hAnsi="宋体" w:cs="宋体" w:eastAsia="宋体"/>
                <w:sz w:val="20"/>
              </w:rPr>
              <w:t>万，乘座险每座至少</w:t>
            </w:r>
            <w:r>
              <w:rPr>
                <w:rFonts w:ascii="calibri, sans-serif" w:hAnsi="calibri, sans-serif" w:cs="calibri, sans-serif" w:eastAsia="calibri, sans-serif"/>
                <w:sz w:val="20"/>
              </w:rPr>
              <w:t>1</w:t>
            </w:r>
            <w:r>
              <w:rPr>
                <w:rFonts w:ascii="宋体" w:hAnsi="宋体" w:cs="宋体" w:eastAsia="宋体"/>
                <w:sz w:val="20"/>
              </w:rPr>
              <w:t>万元，车损险等）的费用。其他货物设备如需购买保险的，首年保费、税费、商业险费用须由供应商承担，</w:t>
            </w:r>
          </w:p>
          <w:p>
            <w:pPr>
              <w:pStyle w:val="null3"/>
              <w:jc w:val="left"/>
            </w:pPr>
            <w:r>
              <w:rPr>
                <w:rFonts w:ascii="calibri, sans-serif" w:hAnsi="calibri, sans-serif" w:cs="calibri, sans-serif" w:eastAsia="calibri, sans-serif"/>
                <w:sz w:val="20"/>
              </w:rPr>
              <w:t>5</w:t>
            </w:r>
            <w:r>
              <w:rPr>
                <w:rFonts w:ascii="宋体" w:hAnsi="宋体" w:cs="宋体" w:eastAsia="宋体"/>
                <w:sz w:val="20"/>
              </w:rPr>
              <w:t>、交付的车辆须按</w:t>
            </w:r>
            <w:r>
              <w:rPr>
                <w:rFonts w:ascii="宋体" w:hAnsi="宋体" w:cs="宋体" w:eastAsia="宋体"/>
                <w:sz w:val="20"/>
              </w:rPr>
              <w:t>采购人</w:t>
            </w:r>
            <w:r>
              <w:rPr>
                <w:rFonts w:ascii="宋体" w:hAnsi="宋体" w:cs="宋体" w:eastAsia="宋体"/>
                <w:sz w:val="20"/>
              </w:rPr>
              <w:t>要求安装车辆定位系统。</w:t>
            </w:r>
          </w:p>
          <w:p>
            <w:pPr>
              <w:pStyle w:val="null3"/>
              <w:jc w:val="left"/>
            </w:pPr>
            <w:r>
              <w:rPr>
                <w:rFonts w:ascii="calibri, sans-serif" w:hAnsi="calibri, sans-serif" w:cs="calibri, sans-serif" w:eastAsia="calibri, sans-serif"/>
                <w:sz w:val="20"/>
              </w:rPr>
              <w:t>6</w:t>
            </w:r>
            <w:r>
              <w:rPr>
                <w:rFonts w:ascii="宋体" w:hAnsi="宋体" w:cs="宋体" w:eastAsia="宋体"/>
                <w:sz w:val="20"/>
              </w:rPr>
              <w:t>、本次购买的货物，如有上牌需求的，供应商必须保证所提供的货物能够满足上牌要求。</w:t>
            </w:r>
          </w:p>
          <w:p>
            <w:pPr>
              <w:pStyle w:val="null3"/>
              <w:jc w:val="left"/>
            </w:pPr>
            <w:r>
              <w:rPr>
                <w:rFonts w:ascii="&quot;calibri&quot;, sans-serif" w:hAnsi="&quot;calibri&quot;, sans-serif" w:cs="&quot;calibri&quot;, sans-serif" w:eastAsia="&quot;calibri&quot;, sans-serif"/>
                <w:sz w:val="21"/>
              </w:rPr>
              <w:t>7</w:t>
            </w:r>
            <w:r>
              <w:rPr>
                <w:rFonts w:ascii="宋体" w:hAnsi="宋体" w:cs="宋体" w:eastAsia="宋体"/>
                <w:sz w:val="21"/>
              </w:rPr>
              <w:t>、本合同价格含供应商将全部货物送达采购人指定地点并协助完成安装、上户后交付使用的所有费用，在未增加采购标的的情况下，供应商不得要求采购人支付额外的费用。供应商应全面考虑到货物的货款、购置税、运输费、搬运、安装调试、协助上户上牌、保险、税费、合理利润等本项目所涵盖一切费用。</w:t>
            </w:r>
          </w:p>
        </w:tc>
      </w:tr>
      <w:tr>
        <w:tc>
          <w:tcPr>
            <w:tcW w:type="dxa" w:w="415"/>
          </w:tcPr>
          <w:p>
            <w:pPr>
              <w:pStyle w:val="null3"/>
              <w:jc w:val="center"/>
            </w:pPr>
            <w:r>
              <w:rPr/>
              <w:t>3</w:t>
            </w:r>
          </w:p>
        </w:tc>
        <w:tc>
          <w:tcPr>
            <w:tcW w:type="dxa" w:w="581"/>
          </w:tcPr>
          <w:p>
            <w:pPr>
              <w:pStyle w:val="null3"/>
              <w:jc w:val="center"/>
            </w:pPr>
            <w:r>
              <w:rPr/>
              <w:t>★</w:t>
            </w:r>
          </w:p>
        </w:tc>
        <w:tc>
          <w:tcPr>
            <w:tcW w:type="dxa" w:w="1495"/>
          </w:tcPr>
          <w:p>
            <w:pPr>
              <w:pStyle w:val="null3"/>
              <w:jc w:val="left"/>
            </w:pPr>
            <w:r>
              <w:rPr/>
              <w:t>真实应答要求</w:t>
            </w:r>
          </w:p>
        </w:tc>
        <w:tc>
          <w:tcPr>
            <w:tcW w:type="dxa" w:w="5814"/>
          </w:tcPr>
          <w:p>
            <w:pPr>
              <w:pStyle w:val="null3"/>
              <w:jc w:val="left"/>
            </w:pPr>
            <w:r>
              <w:rPr/>
              <w:t>供应商在投标文件中的所有应答是供应商参与投标的真实表达，并在交货时按要求提供国家认可的第三方检测机构出具的检测报告佐证，如有虚假，供应商接受财政部门按政府采购法及相关法律法规的规定进行处罚。</w:t>
            </w:r>
          </w:p>
        </w:tc>
      </w:tr>
    </w:tbl>
    <w:p>
      <w:pPr>
        <w:pStyle w:val="null3"/>
        <w:jc w:val="left"/>
        <w:outlineLvl w:val="3"/>
      </w:pPr>
      <w:r>
        <w:rPr>
          <w:b/>
          <w:sz w:val="24"/>
        </w:rPr>
        <w:t>3.3.2.商务要求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商务要求名称</w:t>
            </w:r>
          </w:p>
        </w:tc>
        <w:tc>
          <w:tcPr>
            <w:tcW w:type="dxa" w:w="5814"/>
          </w:tcPr>
          <w:p>
            <w:pPr>
              <w:pStyle w:val="null3"/>
              <w:jc w:val="center"/>
            </w:pPr>
            <w:r>
              <w:rPr/>
              <w:t>商务要求内容</w:t>
            </w:r>
          </w:p>
        </w:tc>
      </w:tr>
      <w:tr>
        <w:tc>
          <w:tcPr>
            <w:tcW w:type="dxa" w:w="415"/>
          </w:tcPr>
          <w:p>
            <w:pPr>
              <w:pStyle w:val="null3"/>
              <w:jc w:val="center"/>
            </w:pPr>
            <w:r>
              <w:rPr/>
              <w:t>1</w:t>
            </w:r>
          </w:p>
        </w:tc>
        <w:tc>
          <w:tcPr>
            <w:tcW w:type="dxa" w:w="581"/>
          </w:tcPr>
          <w:p>
            <w:pPr>
              <w:pStyle w:val="null3"/>
              <w:jc w:val="center"/>
            </w:pPr>
            <w:r>
              <w:rPr/>
              <w:t>★</w:t>
            </w:r>
          </w:p>
        </w:tc>
        <w:tc>
          <w:tcPr>
            <w:tcW w:type="dxa" w:w="1495"/>
          </w:tcPr>
          <w:p>
            <w:pPr>
              <w:pStyle w:val="null3"/>
              <w:jc w:val="left"/>
            </w:pPr>
            <w:r>
              <w:rPr/>
              <w:t>交货时间</w:t>
            </w:r>
          </w:p>
        </w:tc>
        <w:tc>
          <w:tcPr>
            <w:tcW w:type="dxa" w:w="5814"/>
          </w:tcPr>
          <w:p>
            <w:pPr>
              <w:pStyle w:val="null3"/>
              <w:jc w:val="left"/>
            </w:pPr>
            <w:r>
              <w:rPr/>
              <w:t>自合同签订之日起90日</w:t>
            </w:r>
          </w:p>
        </w:tc>
      </w:tr>
      <w:tr>
        <w:tc>
          <w:tcPr>
            <w:tcW w:type="dxa" w:w="415"/>
          </w:tcPr>
          <w:p>
            <w:pPr>
              <w:pStyle w:val="null3"/>
              <w:jc w:val="center"/>
            </w:pPr>
            <w:r>
              <w:rPr/>
              <w:t>2</w:t>
            </w:r>
          </w:p>
        </w:tc>
        <w:tc>
          <w:tcPr>
            <w:tcW w:type="dxa" w:w="581"/>
          </w:tcPr>
          <w:p>
            <w:pPr>
              <w:pStyle w:val="null3"/>
              <w:jc w:val="center"/>
            </w:pPr>
            <w:r>
              <w:rPr/>
              <w:t>★</w:t>
            </w:r>
          </w:p>
        </w:tc>
        <w:tc>
          <w:tcPr>
            <w:tcW w:type="dxa" w:w="1495"/>
          </w:tcPr>
          <w:p>
            <w:pPr>
              <w:pStyle w:val="null3"/>
              <w:jc w:val="left"/>
            </w:pPr>
            <w:r>
              <w:rPr/>
              <w:t>交货地点</w:t>
            </w:r>
          </w:p>
        </w:tc>
        <w:tc>
          <w:tcPr>
            <w:tcW w:type="dxa" w:w="5814"/>
          </w:tcPr>
          <w:p>
            <w:pPr>
              <w:pStyle w:val="null3"/>
              <w:jc w:val="left"/>
            </w:pPr>
            <w:r>
              <w:rPr/>
              <w:t>采购人指定地点</w:t>
            </w:r>
          </w:p>
        </w:tc>
      </w:tr>
      <w:tr>
        <w:tc>
          <w:tcPr>
            <w:tcW w:type="dxa" w:w="415"/>
          </w:tcPr>
          <w:p>
            <w:pPr>
              <w:pStyle w:val="null3"/>
              <w:jc w:val="center"/>
            </w:pPr>
            <w:r>
              <w:rPr/>
              <w:t>3</w:t>
            </w:r>
          </w:p>
        </w:tc>
        <w:tc>
          <w:tcPr>
            <w:tcW w:type="dxa" w:w="581"/>
          </w:tcPr>
          <w:p>
            <w:pPr>
              <w:pStyle w:val="null3"/>
              <w:jc w:val="center"/>
            </w:pPr>
            <w:r>
              <w:rPr/>
              <w:t>★</w:t>
            </w:r>
          </w:p>
        </w:tc>
        <w:tc>
          <w:tcPr>
            <w:tcW w:type="dxa" w:w="1495"/>
          </w:tcPr>
          <w:p>
            <w:pPr>
              <w:pStyle w:val="null3"/>
              <w:jc w:val="left"/>
            </w:pPr>
            <w:r>
              <w:rPr/>
              <w:t>支付方式</w:t>
            </w:r>
          </w:p>
        </w:tc>
        <w:tc>
          <w:tcPr>
            <w:tcW w:type="dxa" w:w="5814"/>
          </w:tcPr>
          <w:p>
            <w:pPr>
              <w:pStyle w:val="null3"/>
              <w:jc w:val="left"/>
            </w:pPr>
            <w:r>
              <w:rPr/>
              <w:t>分期付款</w:t>
            </w:r>
          </w:p>
        </w:tc>
      </w:tr>
      <w:tr>
        <w:tc>
          <w:tcPr>
            <w:tcW w:type="dxa" w:w="415"/>
          </w:tcPr>
          <w:p>
            <w:pPr>
              <w:pStyle w:val="null3"/>
              <w:jc w:val="center"/>
            </w:pPr>
            <w:r>
              <w:rPr/>
              <w:t>4</w:t>
            </w:r>
          </w:p>
        </w:tc>
        <w:tc>
          <w:tcPr>
            <w:tcW w:type="dxa" w:w="581"/>
          </w:tcPr>
          <w:p>
            <w:pPr>
              <w:pStyle w:val="null3"/>
              <w:jc w:val="center"/>
            </w:pPr>
            <w:r>
              <w:rPr/>
              <w:t>★</w:t>
            </w:r>
          </w:p>
        </w:tc>
        <w:tc>
          <w:tcPr>
            <w:tcW w:type="dxa" w:w="1495"/>
          </w:tcPr>
          <w:p>
            <w:pPr>
              <w:pStyle w:val="null3"/>
              <w:jc w:val="left"/>
            </w:pPr>
            <w:r>
              <w:rPr/>
              <w:t>付款进度安排</w:t>
            </w:r>
          </w:p>
        </w:tc>
        <w:tc>
          <w:tcPr>
            <w:tcW w:type="dxa" w:w="5814"/>
          </w:tcPr>
          <w:p>
            <w:pPr>
              <w:pStyle w:val="null3"/>
              <w:jc w:val="left"/>
            </w:pPr>
            <w:r>
              <w:rPr/>
              <w:t>1、合同签订后支付预付款，达到付款条件起30日内，支付合同总金额的40.00%</w:t>
            </w:r>
          </w:p>
          <w:p>
            <w:pPr>
              <w:pStyle w:val="null3"/>
              <w:jc w:val="left"/>
            </w:pPr>
            <w:r>
              <w:rPr/>
              <w:t>2、全部货物验收合格，达到付款条件起30日内，支付合同总金额的60.00%</w:t>
            </w:r>
          </w:p>
        </w:tc>
      </w:tr>
      <w:tr>
        <w:tc>
          <w:tcPr>
            <w:tcW w:type="dxa" w:w="415"/>
          </w:tcPr>
          <w:p>
            <w:pPr>
              <w:pStyle w:val="null3"/>
              <w:jc w:val="center"/>
            </w:pPr>
            <w:r>
              <w:rPr/>
              <w:t>5</w:t>
            </w:r>
          </w:p>
        </w:tc>
        <w:tc>
          <w:tcPr>
            <w:tcW w:type="dxa" w:w="581"/>
          </w:tcPr>
          <w:p>
            <w:pPr>
              <w:pStyle w:val="null3"/>
              <w:jc w:val="center"/>
            </w:pPr>
            <w:r>
              <w:rPr/>
              <w:t>★</w:t>
            </w:r>
          </w:p>
        </w:tc>
        <w:tc>
          <w:tcPr>
            <w:tcW w:type="dxa" w:w="1495"/>
          </w:tcPr>
          <w:p>
            <w:pPr>
              <w:pStyle w:val="null3"/>
              <w:jc w:val="left"/>
            </w:pPr>
            <w:r>
              <w:rPr/>
              <w:t>验收、交付标准和方法</w:t>
            </w:r>
          </w:p>
        </w:tc>
        <w:tc>
          <w:tcPr>
            <w:tcW w:type="dxa" w:w="5814"/>
          </w:tcPr>
          <w:p>
            <w:pPr>
              <w:pStyle w:val="null3"/>
              <w:jc w:val="left"/>
            </w:pPr>
            <w:r>
              <w:rPr/>
              <w:t>（1）验收标准：招标、投标文件中有明确约定的，必须完全满足；招标、投标文件中未明确约定的，以国家或行业标准或四川省地方标准规定的验收标准为准。否则视为供应商违约。 （2）验收时以招标文件、供应商的投标文件、合同及相关检测报告为验收依据，采购人应做出详尽的现场记录，或由采购人与中标人双方签署备忘录，此现场记录或备忘录可用作补充、缺失和更换损坏部件的有效证据，由此产生的时间延误与有关费用由中标人承担。 (3)验收时如发现所交付的货物有短装、次品、损坏或其它不符合标准及合同规定之情形者，采购人应做出详尽的现场记录，或由采购人与供应商双方签署备忘录，此现场记录或备忘录可用作补充、缺失和更换损坏部件的有效证据，由此产生的时间延误与有关费用由供应商承担，验收期限相应顺延。 (4)供应商应将所提供货物的清单、配件、随机工具、用户使用手册、原厂保修卡等资料交付给采购人，供应商不能完整交付货物及本款规定的单证和工具的，须负责补齐，否则视为未按合同约定交货。 （5）供应商交付产品如涉及国家强制认证（CCC认证）或前置许可、认证的，在供货时应一并提供相关许可、认证材料。 （6）其他未尽事宜应严格按照《财政部关于进一步加强政府采购需求和履约验收管理的指导意见》（财库〔2016〕205号）、《政府采购需求管理办法》（财库〔2021〕22号）的要求进行验收。 注：采购人收货时将对产品的技术参数进行逐条验收，供应商应对所投产品技术参数的真实性负责，如出现虚假应标将按法律法规的相关规定处理。</w:t>
            </w:r>
          </w:p>
        </w:tc>
      </w:tr>
      <w:tr>
        <w:tc>
          <w:tcPr>
            <w:tcW w:type="dxa" w:w="415"/>
          </w:tcPr>
          <w:p>
            <w:pPr>
              <w:pStyle w:val="null3"/>
              <w:jc w:val="center"/>
            </w:pPr>
            <w:r>
              <w:rPr/>
              <w:t>6</w:t>
            </w:r>
          </w:p>
        </w:tc>
        <w:tc>
          <w:tcPr>
            <w:tcW w:type="dxa" w:w="581"/>
          </w:tcPr>
          <w:p>
            <w:pPr>
              <w:pStyle w:val="null3"/>
              <w:jc w:val="center"/>
            </w:pPr>
            <w:r>
              <w:rPr/>
              <w:t>★</w:t>
            </w:r>
          </w:p>
        </w:tc>
        <w:tc>
          <w:tcPr>
            <w:tcW w:type="dxa" w:w="1495"/>
          </w:tcPr>
          <w:p>
            <w:pPr>
              <w:pStyle w:val="null3"/>
              <w:jc w:val="left"/>
            </w:pPr>
            <w:r>
              <w:rPr/>
              <w:t>质量保修范围和保修期</w:t>
            </w:r>
          </w:p>
        </w:tc>
        <w:tc>
          <w:tcPr>
            <w:tcW w:type="dxa" w:w="5814"/>
          </w:tcPr>
          <w:p>
            <w:pPr>
              <w:pStyle w:val="null3"/>
              <w:jc w:val="left"/>
            </w:pPr>
            <w:r>
              <w:rPr/>
              <w:t>质保要求：车辆整车质保2年，发电机组系统发动机质保2年，水泵质保5年，其他部件、构件质保期按国家或行业相关标准执行。质保期内供应商在接到采购人售后服务需求时应在30分钟内响应，需要到现场协助解决问题时应在2小时内到达现场。</w:t>
            </w:r>
          </w:p>
        </w:tc>
      </w:tr>
      <w:tr>
        <w:tc>
          <w:tcPr>
            <w:tcW w:type="dxa" w:w="415"/>
          </w:tcPr>
          <w:p>
            <w:pPr>
              <w:pStyle w:val="null3"/>
              <w:jc w:val="center"/>
            </w:pPr>
            <w:r>
              <w:rPr/>
              <w:t>7</w:t>
            </w:r>
          </w:p>
        </w:tc>
        <w:tc>
          <w:tcPr>
            <w:tcW w:type="dxa" w:w="581"/>
          </w:tcPr>
          <w:p>
            <w:pPr>
              <w:pStyle w:val="null3"/>
              <w:jc w:val="center"/>
            </w:pPr>
            <w:r>
              <w:rPr/>
              <w:t>★</w:t>
            </w:r>
          </w:p>
        </w:tc>
        <w:tc>
          <w:tcPr>
            <w:tcW w:type="dxa" w:w="1495"/>
          </w:tcPr>
          <w:p>
            <w:pPr>
              <w:pStyle w:val="null3"/>
              <w:jc w:val="left"/>
            </w:pPr>
            <w:r>
              <w:rPr/>
              <w:t>违约责任与解决争议的方法</w:t>
            </w:r>
          </w:p>
        </w:tc>
        <w:tc>
          <w:tcPr>
            <w:tcW w:type="dxa" w:w="5814"/>
          </w:tcPr>
          <w:p>
            <w:pPr>
              <w:pStyle w:val="null3"/>
              <w:jc w:val="left"/>
            </w:pPr>
            <w:r>
              <w:rPr/>
              <w:t>违约责任：1、交货时供应商未按照招标文件和合同约定提供相关证明材料或提供的货物达不到验收标准要求或产品质量不合格的，采购人有权要求供应商在 15天内整改或更换新产品，如逾期整改不合格或不能更换合格的货物，视为供应商严重违约，采购人除上报财政部门处罚外，供应商应按合同总额的 10 %向采购人支付违约金。甲乙双方在验收过程如对产品质量有争议，双方均可申请国家认可的第三方检测机构进行检测，最终结论以检测机构认定为准。 2、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3、若采购人未按照合同约定逾期向供应商支付货物费用，每逾期一天，按应支付金额的万分之三作为违约金支付给供应商，直至实际支付之日。 4、若供应商未在规定时限内完成交货，每延迟一天交付扣除合同总额千分之三的违约金，扣完为止。 5、因采购人原因导致变更、中止或者终止政府采购合同的，应对供应商受到的损失予以赔偿或者补偿。 争议解决办法：因合同履行发生争议，可协商或由有关部门调解解决；30日内协商或调解不成的，由当事人依法向采购人所在地仲裁委员会申请仲裁。</w:t>
            </w:r>
          </w:p>
        </w:tc>
      </w:tr>
      <w:tr>
        <w:tc>
          <w:tcPr>
            <w:tcW w:type="dxa" w:w="415"/>
          </w:tcPr>
          <w:p>
            <w:pPr>
              <w:pStyle w:val="null3"/>
              <w:jc w:val="center"/>
            </w:pPr>
            <w:r>
              <w:rPr/>
              <w:t>8</w:t>
            </w:r>
          </w:p>
        </w:tc>
        <w:tc>
          <w:tcPr>
            <w:tcW w:type="dxa" w:w="581"/>
          </w:tcPr>
          <w:p>
            <w:pPr>
              <w:pStyle w:val="null3"/>
              <w:jc w:val="center"/>
            </w:pPr>
            <w:r>
              <w:rPr/>
              <w:t>★</w:t>
            </w:r>
          </w:p>
        </w:tc>
        <w:tc>
          <w:tcPr>
            <w:tcW w:type="dxa" w:w="1495"/>
          </w:tcPr>
          <w:p>
            <w:pPr>
              <w:pStyle w:val="null3"/>
              <w:jc w:val="left"/>
            </w:pPr>
            <w:r>
              <w:rPr/>
              <w:t>包装方式及运输</w:t>
            </w:r>
          </w:p>
        </w:tc>
        <w:tc>
          <w:tcPr>
            <w:tcW w:type="dxa" w:w="5814"/>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商务要求名称</w:t>
            </w:r>
          </w:p>
        </w:tc>
        <w:tc>
          <w:tcPr>
            <w:tcW w:type="dxa" w:w="5814"/>
          </w:tcPr>
          <w:p>
            <w:pPr>
              <w:pStyle w:val="null3"/>
              <w:jc w:val="center"/>
            </w:pPr>
            <w:r>
              <w:rPr/>
              <w:t>商务要求内容</w:t>
            </w:r>
          </w:p>
        </w:tc>
      </w:tr>
      <w:tr>
        <w:tc>
          <w:tcPr>
            <w:tcW w:type="dxa" w:w="415"/>
          </w:tcPr>
          <w:p>
            <w:pPr>
              <w:pStyle w:val="null3"/>
              <w:jc w:val="center"/>
            </w:pPr>
            <w:r>
              <w:rPr/>
              <w:t>1</w:t>
            </w:r>
          </w:p>
        </w:tc>
        <w:tc>
          <w:tcPr>
            <w:tcW w:type="dxa" w:w="581"/>
          </w:tcPr>
          <w:p>
            <w:pPr>
              <w:pStyle w:val="null3"/>
              <w:jc w:val="center"/>
            </w:pPr>
            <w:r>
              <w:rPr/>
              <w:t>★</w:t>
            </w:r>
          </w:p>
        </w:tc>
        <w:tc>
          <w:tcPr>
            <w:tcW w:type="dxa" w:w="1495"/>
          </w:tcPr>
          <w:p>
            <w:pPr>
              <w:pStyle w:val="null3"/>
              <w:jc w:val="left"/>
            </w:pPr>
            <w:r>
              <w:rPr/>
              <w:t>交货时间</w:t>
            </w:r>
          </w:p>
        </w:tc>
        <w:tc>
          <w:tcPr>
            <w:tcW w:type="dxa" w:w="5814"/>
          </w:tcPr>
          <w:p>
            <w:pPr>
              <w:pStyle w:val="null3"/>
              <w:jc w:val="left"/>
            </w:pPr>
            <w:r>
              <w:rPr/>
              <w:t>自合同签订之日起90日</w:t>
            </w:r>
          </w:p>
        </w:tc>
      </w:tr>
      <w:tr>
        <w:tc>
          <w:tcPr>
            <w:tcW w:type="dxa" w:w="415"/>
          </w:tcPr>
          <w:p>
            <w:pPr>
              <w:pStyle w:val="null3"/>
              <w:jc w:val="center"/>
            </w:pPr>
            <w:r>
              <w:rPr/>
              <w:t>2</w:t>
            </w:r>
          </w:p>
        </w:tc>
        <w:tc>
          <w:tcPr>
            <w:tcW w:type="dxa" w:w="581"/>
          </w:tcPr>
          <w:p>
            <w:pPr>
              <w:pStyle w:val="null3"/>
              <w:jc w:val="center"/>
            </w:pPr>
            <w:r>
              <w:rPr/>
              <w:t>★</w:t>
            </w:r>
          </w:p>
        </w:tc>
        <w:tc>
          <w:tcPr>
            <w:tcW w:type="dxa" w:w="1495"/>
          </w:tcPr>
          <w:p>
            <w:pPr>
              <w:pStyle w:val="null3"/>
              <w:jc w:val="left"/>
            </w:pPr>
            <w:r>
              <w:rPr/>
              <w:t>交货地点</w:t>
            </w:r>
          </w:p>
        </w:tc>
        <w:tc>
          <w:tcPr>
            <w:tcW w:type="dxa" w:w="5814"/>
          </w:tcPr>
          <w:p>
            <w:pPr>
              <w:pStyle w:val="null3"/>
              <w:jc w:val="left"/>
            </w:pPr>
            <w:r>
              <w:rPr/>
              <w:t>采购人指定地点</w:t>
            </w:r>
          </w:p>
        </w:tc>
      </w:tr>
      <w:tr>
        <w:tc>
          <w:tcPr>
            <w:tcW w:type="dxa" w:w="415"/>
          </w:tcPr>
          <w:p>
            <w:pPr>
              <w:pStyle w:val="null3"/>
              <w:jc w:val="center"/>
            </w:pPr>
            <w:r>
              <w:rPr/>
              <w:t>3</w:t>
            </w:r>
          </w:p>
        </w:tc>
        <w:tc>
          <w:tcPr>
            <w:tcW w:type="dxa" w:w="581"/>
          </w:tcPr>
          <w:p>
            <w:pPr>
              <w:pStyle w:val="null3"/>
              <w:jc w:val="center"/>
            </w:pPr>
            <w:r>
              <w:rPr/>
              <w:t>★</w:t>
            </w:r>
          </w:p>
        </w:tc>
        <w:tc>
          <w:tcPr>
            <w:tcW w:type="dxa" w:w="1495"/>
          </w:tcPr>
          <w:p>
            <w:pPr>
              <w:pStyle w:val="null3"/>
              <w:jc w:val="left"/>
            </w:pPr>
            <w:r>
              <w:rPr/>
              <w:t>支付方式</w:t>
            </w:r>
          </w:p>
        </w:tc>
        <w:tc>
          <w:tcPr>
            <w:tcW w:type="dxa" w:w="5814"/>
          </w:tcPr>
          <w:p>
            <w:pPr>
              <w:pStyle w:val="null3"/>
              <w:jc w:val="left"/>
            </w:pPr>
            <w:r>
              <w:rPr/>
              <w:t>分期付款</w:t>
            </w:r>
          </w:p>
        </w:tc>
      </w:tr>
      <w:tr>
        <w:tc>
          <w:tcPr>
            <w:tcW w:type="dxa" w:w="415"/>
          </w:tcPr>
          <w:p>
            <w:pPr>
              <w:pStyle w:val="null3"/>
              <w:jc w:val="center"/>
            </w:pPr>
            <w:r>
              <w:rPr/>
              <w:t>4</w:t>
            </w:r>
          </w:p>
        </w:tc>
        <w:tc>
          <w:tcPr>
            <w:tcW w:type="dxa" w:w="581"/>
          </w:tcPr>
          <w:p>
            <w:pPr>
              <w:pStyle w:val="null3"/>
              <w:jc w:val="center"/>
            </w:pPr>
            <w:r>
              <w:rPr/>
              <w:t>★</w:t>
            </w:r>
          </w:p>
        </w:tc>
        <w:tc>
          <w:tcPr>
            <w:tcW w:type="dxa" w:w="1495"/>
          </w:tcPr>
          <w:p>
            <w:pPr>
              <w:pStyle w:val="null3"/>
              <w:jc w:val="left"/>
            </w:pPr>
            <w:r>
              <w:rPr/>
              <w:t>付款进度安排</w:t>
            </w:r>
          </w:p>
        </w:tc>
        <w:tc>
          <w:tcPr>
            <w:tcW w:type="dxa" w:w="5814"/>
          </w:tcPr>
          <w:p>
            <w:pPr>
              <w:pStyle w:val="null3"/>
              <w:jc w:val="left"/>
            </w:pPr>
            <w:r>
              <w:rPr/>
              <w:t>1、合同签订后支付预付款，达到付款条件起30日内，支付合同总金额的40.00%</w:t>
            </w:r>
          </w:p>
          <w:p>
            <w:pPr>
              <w:pStyle w:val="null3"/>
              <w:jc w:val="left"/>
            </w:pPr>
            <w:r>
              <w:rPr/>
              <w:t>2、全部货物验收合格，达到付款条件起30日内，支付合同总金额的60.00%</w:t>
            </w:r>
          </w:p>
        </w:tc>
      </w:tr>
      <w:tr>
        <w:tc>
          <w:tcPr>
            <w:tcW w:type="dxa" w:w="415"/>
          </w:tcPr>
          <w:p>
            <w:pPr>
              <w:pStyle w:val="null3"/>
              <w:jc w:val="center"/>
            </w:pPr>
            <w:r>
              <w:rPr/>
              <w:t>5</w:t>
            </w:r>
          </w:p>
        </w:tc>
        <w:tc>
          <w:tcPr>
            <w:tcW w:type="dxa" w:w="581"/>
          </w:tcPr>
          <w:p>
            <w:pPr>
              <w:pStyle w:val="null3"/>
              <w:jc w:val="center"/>
            </w:pPr>
            <w:r>
              <w:rPr/>
              <w:t>★</w:t>
            </w:r>
          </w:p>
        </w:tc>
        <w:tc>
          <w:tcPr>
            <w:tcW w:type="dxa" w:w="1495"/>
          </w:tcPr>
          <w:p>
            <w:pPr>
              <w:pStyle w:val="null3"/>
              <w:jc w:val="left"/>
            </w:pPr>
            <w:r>
              <w:rPr/>
              <w:t>验收、交付标准和方法</w:t>
            </w:r>
          </w:p>
        </w:tc>
        <w:tc>
          <w:tcPr>
            <w:tcW w:type="dxa" w:w="5814"/>
          </w:tcPr>
          <w:p>
            <w:pPr>
              <w:pStyle w:val="null3"/>
              <w:jc w:val="left"/>
            </w:pPr>
            <w:r>
              <w:rPr/>
              <w:t>（1）验收标准：招标、投标文件中有明确约定的，必须完全满足；招标、投标文件中未明确约定的，以国家或行业标准或四川省地方标准规定的验收标准为准。否则视为供应商违约。 （2）验收时以招标文件、供应商的投标文件、合同及相关检测报告为验收依据，采购人应做出详尽的现场记录，或由采购人与中标人双方签署备忘录，此现场记录或备忘录可用作补充、缺失和更换损坏部件的有效证据，由此产生的时间延误与有关费用由中标人承担。 (3)验收时如发现所交付的货物有短装、次品、损坏或其它不符合标准及合同规定之情形者，采购人应做出详尽的现场记录，或由采购人与供应商双方签署备忘录，此现场记录或备忘录可用作补充、缺失和更换损坏部件的有效证据，由此产生的时间延误与有关费用由供应商承担，验收期限相应顺延。 (4)供应商应将所提供货物的清单、配件、随机工具、用户使用手册、原厂保修卡等资料交付给采购人，供应商不能完整交付货物及本款规定的单证和工具的，须负责补齐，否则视为未按合同约定交货。 （5）供应商交付产品如涉及国家强制认证（CCC认证）或前置许可、认证的，在供货时应一并提供相关许可、认证材料。 （6）其他未尽事宜应严格按照《财政部关于进一步加强政府采购需求和履约验收管理的指导意见》（财库〔2016〕205号）、《政府采购需求管理办法》（财库〔2021〕22号）的要求进行验收。 注：采购人收货时将对产品的技术参数进行逐条验收，供应商应对所投产品技术参数的真实性负责，如出现虚假应标将按法律法规的相关规定处理。</w:t>
            </w:r>
          </w:p>
        </w:tc>
      </w:tr>
      <w:tr>
        <w:tc>
          <w:tcPr>
            <w:tcW w:type="dxa" w:w="415"/>
          </w:tcPr>
          <w:p>
            <w:pPr>
              <w:pStyle w:val="null3"/>
              <w:jc w:val="center"/>
            </w:pPr>
            <w:r>
              <w:rPr/>
              <w:t>6</w:t>
            </w:r>
          </w:p>
        </w:tc>
        <w:tc>
          <w:tcPr>
            <w:tcW w:type="dxa" w:w="581"/>
          </w:tcPr>
          <w:p>
            <w:pPr>
              <w:pStyle w:val="null3"/>
              <w:jc w:val="center"/>
            </w:pPr>
            <w:r>
              <w:rPr/>
              <w:t>★</w:t>
            </w:r>
          </w:p>
        </w:tc>
        <w:tc>
          <w:tcPr>
            <w:tcW w:type="dxa" w:w="1495"/>
          </w:tcPr>
          <w:p>
            <w:pPr>
              <w:pStyle w:val="null3"/>
              <w:jc w:val="left"/>
            </w:pPr>
            <w:r>
              <w:rPr/>
              <w:t>质量保修范围和保修期</w:t>
            </w:r>
          </w:p>
        </w:tc>
        <w:tc>
          <w:tcPr>
            <w:tcW w:type="dxa" w:w="5814"/>
          </w:tcPr>
          <w:p>
            <w:pPr>
              <w:pStyle w:val="null3"/>
              <w:jc w:val="left"/>
            </w:pPr>
            <w:r>
              <w:rPr/>
              <w:t>质保要求：水泵质保5年，其他部件、构件质保期按国家或行业相关标准执行。质保期内供应商在接到采购人售后服务需求时应在30分钟内响应，需要到现场协助解决问题时应在2小时内到达现场。</w:t>
            </w:r>
          </w:p>
        </w:tc>
      </w:tr>
      <w:tr>
        <w:tc>
          <w:tcPr>
            <w:tcW w:type="dxa" w:w="415"/>
          </w:tcPr>
          <w:p>
            <w:pPr>
              <w:pStyle w:val="null3"/>
              <w:jc w:val="center"/>
            </w:pPr>
            <w:r>
              <w:rPr/>
              <w:t>7</w:t>
            </w:r>
          </w:p>
        </w:tc>
        <w:tc>
          <w:tcPr>
            <w:tcW w:type="dxa" w:w="581"/>
          </w:tcPr>
          <w:p>
            <w:pPr>
              <w:pStyle w:val="null3"/>
              <w:jc w:val="center"/>
            </w:pPr>
            <w:r>
              <w:rPr/>
              <w:t>★</w:t>
            </w:r>
          </w:p>
        </w:tc>
        <w:tc>
          <w:tcPr>
            <w:tcW w:type="dxa" w:w="1495"/>
          </w:tcPr>
          <w:p>
            <w:pPr>
              <w:pStyle w:val="null3"/>
              <w:jc w:val="left"/>
            </w:pPr>
            <w:r>
              <w:rPr/>
              <w:t>违约责任与解决争议的方法</w:t>
            </w:r>
          </w:p>
        </w:tc>
        <w:tc>
          <w:tcPr>
            <w:tcW w:type="dxa" w:w="5814"/>
          </w:tcPr>
          <w:p>
            <w:pPr>
              <w:pStyle w:val="null3"/>
              <w:jc w:val="left"/>
            </w:pPr>
            <w:r>
              <w:rPr/>
              <w:t>违约责任：1、交货时供应商未按照招标文件和合同约定提供相关证明材料或提供的货物达不到验收标准要求或产品质量不合格的，采购人有权要求供应商在 15天内整改或更换新产品，如逾期整改不合格或不能更换合格的货物，视为供应商严重违约，采购人除上报财政部门处罚外，供应商应按合同总额的 10 %向采购人支付违约金。甲乙双方在验收过程如对产品质量有争议，双方均可申请国家认可的第三方检测机构进行检测，最终结论以检测机构认定为准。 2、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3、若采购人未按照合同约定逾期向供应商支付货物费用，每逾期一天，按应支付金额的万分之三作为违约金支付给供应商，直至实际支付之日。 4、若供应商未在规定时限内完成交货，每延迟一天交付扣除合同总额千分之三的违约金，扣完为止。 5、因采购人原因导致变更、中止或者终止政府采购合同的，应对供应商受到的损失予以赔偿或者补偿。 争议解决办法：因合同履行发生争议，可协商或由有关部门调解解决；30日内协商或调解不成的，由当事人依法向采购人所在地仲裁委员会申请仲裁</w:t>
            </w:r>
          </w:p>
        </w:tc>
      </w:tr>
      <w:tr>
        <w:tc>
          <w:tcPr>
            <w:tcW w:type="dxa" w:w="415"/>
          </w:tcPr>
          <w:p>
            <w:pPr>
              <w:pStyle w:val="null3"/>
              <w:jc w:val="center"/>
            </w:pPr>
            <w:r>
              <w:rPr/>
              <w:t>8</w:t>
            </w:r>
          </w:p>
        </w:tc>
        <w:tc>
          <w:tcPr>
            <w:tcW w:type="dxa" w:w="581"/>
          </w:tcPr>
          <w:p>
            <w:pPr>
              <w:pStyle w:val="null3"/>
              <w:jc w:val="center"/>
            </w:pPr>
            <w:r>
              <w:rPr/>
              <w:t>★</w:t>
            </w:r>
          </w:p>
        </w:tc>
        <w:tc>
          <w:tcPr>
            <w:tcW w:type="dxa" w:w="1495"/>
          </w:tcPr>
          <w:p>
            <w:pPr>
              <w:pStyle w:val="null3"/>
              <w:jc w:val="left"/>
            </w:pPr>
            <w:r>
              <w:rPr/>
              <w:t>包装方式及运输</w:t>
            </w:r>
          </w:p>
        </w:tc>
        <w:tc>
          <w:tcPr>
            <w:tcW w:type="dxa" w:w="5814"/>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商务要求名称</w:t>
            </w:r>
          </w:p>
        </w:tc>
        <w:tc>
          <w:tcPr>
            <w:tcW w:type="dxa" w:w="5814"/>
          </w:tcPr>
          <w:p>
            <w:pPr>
              <w:pStyle w:val="null3"/>
              <w:jc w:val="center"/>
            </w:pPr>
            <w:r>
              <w:rPr/>
              <w:t>商务要求内容</w:t>
            </w:r>
          </w:p>
        </w:tc>
      </w:tr>
      <w:tr>
        <w:tc>
          <w:tcPr>
            <w:tcW w:type="dxa" w:w="415"/>
          </w:tcPr>
          <w:p>
            <w:pPr>
              <w:pStyle w:val="null3"/>
              <w:jc w:val="center"/>
            </w:pPr>
            <w:r>
              <w:rPr/>
              <w:t>1</w:t>
            </w:r>
          </w:p>
        </w:tc>
        <w:tc>
          <w:tcPr>
            <w:tcW w:type="dxa" w:w="581"/>
          </w:tcPr>
          <w:p>
            <w:pPr>
              <w:pStyle w:val="null3"/>
              <w:jc w:val="center"/>
            </w:pPr>
            <w:r>
              <w:rPr/>
              <w:t>★</w:t>
            </w:r>
          </w:p>
        </w:tc>
        <w:tc>
          <w:tcPr>
            <w:tcW w:type="dxa" w:w="1495"/>
          </w:tcPr>
          <w:p>
            <w:pPr>
              <w:pStyle w:val="null3"/>
              <w:jc w:val="left"/>
            </w:pPr>
            <w:r>
              <w:rPr/>
              <w:t>交货时间</w:t>
            </w:r>
          </w:p>
        </w:tc>
        <w:tc>
          <w:tcPr>
            <w:tcW w:type="dxa" w:w="5814"/>
          </w:tcPr>
          <w:p>
            <w:pPr>
              <w:pStyle w:val="null3"/>
              <w:jc w:val="left"/>
            </w:pPr>
            <w:r>
              <w:rPr/>
              <w:t>自合同签订之日起90日</w:t>
            </w:r>
          </w:p>
        </w:tc>
      </w:tr>
      <w:tr>
        <w:tc>
          <w:tcPr>
            <w:tcW w:type="dxa" w:w="415"/>
          </w:tcPr>
          <w:p>
            <w:pPr>
              <w:pStyle w:val="null3"/>
              <w:jc w:val="center"/>
            </w:pPr>
            <w:r>
              <w:rPr/>
              <w:t>2</w:t>
            </w:r>
          </w:p>
        </w:tc>
        <w:tc>
          <w:tcPr>
            <w:tcW w:type="dxa" w:w="581"/>
          </w:tcPr>
          <w:p>
            <w:pPr>
              <w:pStyle w:val="null3"/>
              <w:jc w:val="center"/>
            </w:pPr>
            <w:r>
              <w:rPr/>
              <w:t>★</w:t>
            </w:r>
          </w:p>
        </w:tc>
        <w:tc>
          <w:tcPr>
            <w:tcW w:type="dxa" w:w="1495"/>
          </w:tcPr>
          <w:p>
            <w:pPr>
              <w:pStyle w:val="null3"/>
              <w:jc w:val="left"/>
            </w:pPr>
            <w:r>
              <w:rPr/>
              <w:t>交货地点</w:t>
            </w:r>
          </w:p>
        </w:tc>
        <w:tc>
          <w:tcPr>
            <w:tcW w:type="dxa" w:w="5814"/>
          </w:tcPr>
          <w:p>
            <w:pPr>
              <w:pStyle w:val="null3"/>
              <w:jc w:val="left"/>
            </w:pPr>
            <w:r>
              <w:rPr/>
              <w:t>采购人指定地点</w:t>
            </w:r>
          </w:p>
        </w:tc>
      </w:tr>
      <w:tr>
        <w:tc>
          <w:tcPr>
            <w:tcW w:type="dxa" w:w="415"/>
          </w:tcPr>
          <w:p>
            <w:pPr>
              <w:pStyle w:val="null3"/>
              <w:jc w:val="center"/>
            </w:pPr>
            <w:r>
              <w:rPr/>
              <w:t>3</w:t>
            </w:r>
          </w:p>
        </w:tc>
        <w:tc>
          <w:tcPr>
            <w:tcW w:type="dxa" w:w="581"/>
          </w:tcPr>
          <w:p>
            <w:pPr>
              <w:pStyle w:val="null3"/>
              <w:jc w:val="center"/>
            </w:pPr>
            <w:r>
              <w:rPr/>
              <w:t>★</w:t>
            </w:r>
          </w:p>
        </w:tc>
        <w:tc>
          <w:tcPr>
            <w:tcW w:type="dxa" w:w="1495"/>
          </w:tcPr>
          <w:p>
            <w:pPr>
              <w:pStyle w:val="null3"/>
              <w:jc w:val="left"/>
            </w:pPr>
            <w:r>
              <w:rPr/>
              <w:t>支付方式</w:t>
            </w:r>
          </w:p>
        </w:tc>
        <w:tc>
          <w:tcPr>
            <w:tcW w:type="dxa" w:w="5814"/>
          </w:tcPr>
          <w:p>
            <w:pPr>
              <w:pStyle w:val="null3"/>
              <w:jc w:val="left"/>
            </w:pPr>
            <w:r>
              <w:rPr/>
              <w:t>分期付款</w:t>
            </w:r>
          </w:p>
        </w:tc>
      </w:tr>
      <w:tr>
        <w:tc>
          <w:tcPr>
            <w:tcW w:type="dxa" w:w="415"/>
          </w:tcPr>
          <w:p>
            <w:pPr>
              <w:pStyle w:val="null3"/>
              <w:jc w:val="center"/>
            </w:pPr>
            <w:r>
              <w:rPr/>
              <w:t>4</w:t>
            </w:r>
          </w:p>
        </w:tc>
        <w:tc>
          <w:tcPr>
            <w:tcW w:type="dxa" w:w="581"/>
          </w:tcPr>
          <w:p>
            <w:pPr>
              <w:pStyle w:val="null3"/>
              <w:jc w:val="center"/>
            </w:pPr>
            <w:r>
              <w:rPr/>
              <w:t>★</w:t>
            </w:r>
          </w:p>
        </w:tc>
        <w:tc>
          <w:tcPr>
            <w:tcW w:type="dxa" w:w="1495"/>
          </w:tcPr>
          <w:p>
            <w:pPr>
              <w:pStyle w:val="null3"/>
              <w:jc w:val="left"/>
            </w:pPr>
            <w:r>
              <w:rPr/>
              <w:t>付款进度安排</w:t>
            </w:r>
          </w:p>
        </w:tc>
        <w:tc>
          <w:tcPr>
            <w:tcW w:type="dxa" w:w="5814"/>
          </w:tcPr>
          <w:p>
            <w:pPr>
              <w:pStyle w:val="null3"/>
              <w:jc w:val="left"/>
            </w:pPr>
            <w:r>
              <w:rPr/>
              <w:t>1、合同签订后支付预付款，达到付款条件起30日内，支付合同总金额的40.00%</w:t>
            </w:r>
          </w:p>
          <w:p>
            <w:pPr>
              <w:pStyle w:val="null3"/>
              <w:jc w:val="left"/>
            </w:pPr>
            <w:r>
              <w:rPr/>
              <w:t>2、全部货物验收合格，达到付款条件起30日内，支付合同总金额的60.00%</w:t>
            </w:r>
          </w:p>
        </w:tc>
      </w:tr>
      <w:tr>
        <w:tc>
          <w:tcPr>
            <w:tcW w:type="dxa" w:w="415"/>
          </w:tcPr>
          <w:p>
            <w:pPr>
              <w:pStyle w:val="null3"/>
              <w:jc w:val="center"/>
            </w:pPr>
            <w:r>
              <w:rPr/>
              <w:t>5</w:t>
            </w:r>
          </w:p>
        </w:tc>
        <w:tc>
          <w:tcPr>
            <w:tcW w:type="dxa" w:w="581"/>
          </w:tcPr>
          <w:p>
            <w:pPr>
              <w:pStyle w:val="null3"/>
              <w:jc w:val="center"/>
            </w:pPr>
            <w:r>
              <w:rPr/>
              <w:t>★</w:t>
            </w:r>
          </w:p>
        </w:tc>
        <w:tc>
          <w:tcPr>
            <w:tcW w:type="dxa" w:w="1495"/>
          </w:tcPr>
          <w:p>
            <w:pPr>
              <w:pStyle w:val="null3"/>
              <w:jc w:val="left"/>
            </w:pPr>
            <w:r>
              <w:rPr/>
              <w:t>验收、交付标准和方法</w:t>
            </w:r>
          </w:p>
        </w:tc>
        <w:tc>
          <w:tcPr>
            <w:tcW w:type="dxa" w:w="5814"/>
          </w:tcPr>
          <w:p>
            <w:pPr>
              <w:pStyle w:val="null3"/>
              <w:jc w:val="left"/>
            </w:pPr>
            <w:r>
              <w:rPr/>
              <w:t>（1）验收标准：招标、投标文件中有明确约定的，必须完全满足；招标、投标文件中未明确约定的，以国家或行业标准或四川省地方标准规定的验收标准为准。否则视为供应商违约。 （2）验收时以招标文件、供应商的投标文件、合同及相关检测报告为验收依据，采购人应做出详尽的现场记录，或由采购人与中标人双方签署备忘录，此现场记录或备忘录可用作补充、缺失和更换损坏部件的有效证据，由此产生的时间延误与有关费用由中标人承担。 (3)验收时如发现所交付的货物有短装、次品、损坏或其它不符合标准及合同规定之情形者，采购人应做出详尽的现场记录，或由采购人与供应商双方签署备忘录，此现场记录或备忘录可用作补充、缺失和更换损坏部件的有效证据，由此产生的时间延误与有关费用由供应商承担，验收期限相应顺延。 (4)供应商应将所提供货物的清单、配件、随机工具、用户使用手册、原厂保修卡等资料交付给采购人，供应商不能完整交付货物及本款规定的单证和工具的，须负责补齐，否则视为未按合同约定交货。 （5）供应商交付产品如涉及国家强制认证（CCC认证）或前置许可、认证的，在供货时应一并提供相关许可、认证材料。 （6）其他未尽事宜应严格按照《财政部关于进一步加强政府采购需求和履约验收管理的指导意见》（财库〔2016〕205号）、《政府采购需求管理办法》（财库〔2021〕22号）的要求进行验收。 注：采购人收货时将对产品的技术参数进行逐条验收，供应商应对所投产品技术参数的真实性负责，如出现虚假应标将按法律法规的相关规定处理。</w:t>
            </w:r>
          </w:p>
        </w:tc>
      </w:tr>
      <w:tr>
        <w:tc>
          <w:tcPr>
            <w:tcW w:type="dxa" w:w="415"/>
          </w:tcPr>
          <w:p>
            <w:pPr>
              <w:pStyle w:val="null3"/>
              <w:jc w:val="center"/>
            </w:pPr>
            <w:r>
              <w:rPr/>
              <w:t>6</w:t>
            </w:r>
          </w:p>
        </w:tc>
        <w:tc>
          <w:tcPr>
            <w:tcW w:type="dxa" w:w="581"/>
          </w:tcPr>
          <w:p>
            <w:pPr>
              <w:pStyle w:val="null3"/>
              <w:jc w:val="center"/>
            </w:pPr>
            <w:r>
              <w:rPr/>
              <w:t>★</w:t>
            </w:r>
          </w:p>
        </w:tc>
        <w:tc>
          <w:tcPr>
            <w:tcW w:type="dxa" w:w="1495"/>
          </w:tcPr>
          <w:p>
            <w:pPr>
              <w:pStyle w:val="null3"/>
              <w:jc w:val="left"/>
            </w:pPr>
            <w:r>
              <w:rPr/>
              <w:t>质量保修范围和保修期</w:t>
            </w:r>
          </w:p>
        </w:tc>
        <w:tc>
          <w:tcPr>
            <w:tcW w:type="dxa" w:w="5814"/>
          </w:tcPr>
          <w:p>
            <w:pPr>
              <w:pStyle w:val="null3"/>
              <w:jc w:val="left"/>
            </w:pPr>
            <w:r>
              <w:rPr/>
              <w:t>质保要求：车辆整车质保2年，发电机组系统发动机质保2年，其他部件、构件质保期按国家或行业相关标准执行。质保期内供应商在接到采购人售后服务需求时应在30分钟内响应，需要到现场协助解决问题时应在2小时内到达现场。</w:t>
            </w:r>
          </w:p>
        </w:tc>
      </w:tr>
      <w:tr>
        <w:tc>
          <w:tcPr>
            <w:tcW w:type="dxa" w:w="415"/>
          </w:tcPr>
          <w:p>
            <w:pPr>
              <w:pStyle w:val="null3"/>
              <w:jc w:val="center"/>
            </w:pPr>
            <w:r>
              <w:rPr/>
              <w:t>7</w:t>
            </w:r>
          </w:p>
        </w:tc>
        <w:tc>
          <w:tcPr>
            <w:tcW w:type="dxa" w:w="581"/>
          </w:tcPr>
          <w:p>
            <w:pPr>
              <w:pStyle w:val="null3"/>
              <w:jc w:val="center"/>
            </w:pPr>
            <w:r>
              <w:rPr/>
              <w:t>★</w:t>
            </w:r>
          </w:p>
        </w:tc>
        <w:tc>
          <w:tcPr>
            <w:tcW w:type="dxa" w:w="1495"/>
          </w:tcPr>
          <w:p>
            <w:pPr>
              <w:pStyle w:val="null3"/>
              <w:jc w:val="left"/>
            </w:pPr>
            <w:r>
              <w:rPr/>
              <w:t>违约责任与解决争议的方法</w:t>
            </w:r>
          </w:p>
        </w:tc>
        <w:tc>
          <w:tcPr>
            <w:tcW w:type="dxa" w:w="5814"/>
          </w:tcPr>
          <w:p>
            <w:pPr>
              <w:pStyle w:val="null3"/>
              <w:jc w:val="left"/>
            </w:pPr>
            <w:r>
              <w:rPr/>
              <w:t>违约责任：1、交货时供应商未按照招标文件和合同约定提供相关证明材料或提供的货物达不到验收标准要求或产品质量不合格的，采购人有权要求供应商在 15天内整改或更换新产品，如逾期整改不合格或不能更换合格的货物，视为供应商严重违约，采购人除上报财政部门处罚外，供应商应按合同总额的 10 %向采购人支付违约金。甲乙双方在验收过程如对产品质量有争议，双方均可申请国家认可的第三方检测机构进行检测，最终结论以检测机构认定为准。 2、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3、若采购人未按照合同约定逾期向供应商支付货物费用，每逾期一天，按应支付金额的万分之三作为违约金支付给供应商，直至实际支付之日。 4、若供应商未在规定时限内完成交货，每延迟一天交付扣除合同总额千分之三的违约金，扣完为止。 5、因采购人原因导致变更、中止或者终止政府采购合同的，应对供应商受到的损失予以赔偿或者补偿。 争议解决办法：因合同履行发生争议，可协商或由有关部门调解解决；30日内协商或调解不成的，由当事人依法向采购人所在地仲裁委员会申请仲裁</w:t>
            </w:r>
          </w:p>
        </w:tc>
      </w:tr>
      <w:tr>
        <w:tc>
          <w:tcPr>
            <w:tcW w:type="dxa" w:w="415"/>
          </w:tcPr>
          <w:p>
            <w:pPr>
              <w:pStyle w:val="null3"/>
              <w:jc w:val="center"/>
            </w:pPr>
            <w:r>
              <w:rPr/>
              <w:t>8</w:t>
            </w:r>
          </w:p>
        </w:tc>
        <w:tc>
          <w:tcPr>
            <w:tcW w:type="dxa" w:w="581"/>
          </w:tcPr>
          <w:p>
            <w:pPr>
              <w:pStyle w:val="null3"/>
              <w:jc w:val="center"/>
            </w:pPr>
            <w:r>
              <w:rPr/>
              <w:t>★</w:t>
            </w:r>
          </w:p>
        </w:tc>
        <w:tc>
          <w:tcPr>
            <w:tcW w:type="dxa" w:w="1495"/>
          </w:tcPr>
          <w:p>
            <w:pPr>
              <w:pStyle w:val="null3"/>
              <w:jc w:val="left"/>
            </w:pPr>
            <w:r>
              <w:rPr/>
              <w:t>包装方式及运输</w:t>
            </w:r>
          </w:p>
        </w:tc>
        <w:tc>
          <w:tcPr>
            <w:tcW w:type="dxa" w:w="5814"/>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pPr>
      <w:r>
        <w:rPr/>
        <w:t>采购包4：</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t>序号</w:t>
            </w:r>
          </w:p>
        </w:tc>
        <w:tc>
          <w:tcPr>
            <w:tcW w:type="dxa" w:w="581"/>
          </w:tcPr>
          <w:p>
            <w:pPr>
              <w:pStyle w:val="null3"/>
              <w:jc w:val="center"/>
            </w:pPr>
            <w:r>
              <w:rPr/>
              <w:t>符号标识</w:t>
            </w:r>
          </w:p>
        </w:tc>
        <w:tc>
          <w:tcPr>
            <w:tcW w:type="dxa" w:w="1495"/>
          </w:tcPr>
          <w:p>
            <w:pPr>
              <w:pStyle w:val="null3"/>
              <w:jc w:val="center"/>
            </w:pPr>
            <w:r>
              <w:rPr/>
              <w:t>商务要求名称</w:t>
            </w:r>
          </w:p>
        </w:tc>
        <w:tc>
          <w:tcPr>
            <w:tcW w:type="dxa" w:w="5814"/>
          </w:tcPr>
          <w:p>
            <w:pPr>
              <w:pStyle w:val="null3"/>
              <w:jc w:val="center"/>
            </w:pPr>
            <w:r>
              <w:rPr/>
              <w:t>商务要求内容</w:t>
            </w:r>
          </w:p>
        </w:tc>
      </w:tr>
      <w:tr>
        <w:tc>
          <w:tcPr>
            <w:tcW w:type="dxa" w:w="415"/>
          </w:tcPr>
          <w:p>
            <w:pPr>
              <w:pStyle w:val="null3"/>
              <w:jc w:val="center"/>
            </w:pPr>
            <w:r>
              <w:rPr/>
              <w:t>1</w:t>
            </w:r>
          </w:p>
        </w:tc>
        <w:tc>
          <w:tcPr>
            <w:tcW w:type="dxa" w:w="581"/>
          </w:tcPr>
          <w:p>
            <w:pPr>
              <w:pStyle w:val="null3"/>
              <w:jc w:val="center"/>
            </w:pPr>
            <w:r>
              <w:rPr/>
              <w:t>★</w:t>
            </w:r>
          </w:p>
        </w:tc>
        <w:tc>
          <w:tcPr>
            <w:tcW w:type="dxa" w:w="1495"/>
          </w:tcPr>
          <w:p>
            <w:pPr>
              <w:pStyle w:val="null3"/>
              <w:jc w:val="left"/>
            </w:pPr>
            <w:r>
              <w:rPr/>
              <w:t>交货时间</w:t>
            </w:r>
          </w:p>
        </w:tc>
        <w:tc>
          <w:tcPr>
            <w:tcW w:type="dxa" w:w="5814"/>
          </w:tcPr>
          <w:p>
            <w:pPr>
              <w:pStyle w:val="null3"/>
              <w:jc w:val="left"/>
            </w:pPr>
            <w:r>
              <w:rPr/>
              <w:t>自合同签订之日起90日</w:t>
            </w:r>
          </w:p>
        </w:tc>
      </w:tr>
      <w:tr>
        <w:tc>
          <w:tcPr>
            <w:tcW w:type="dxa" w:w="415"/>
          </w:tcPr>
          <w:p>
            <w:pPr>
              <w:pStyle w:val="null3"/>
              <w:jc w:val="center"/>
            </w:pPr>
            <w:r>
              <w:rPr/>
              <w:t>2</w:t>
            </w:r>
          </w:p>
        </w:tc>
        <w:tc>
          <w:tcPr>
            <w:tcW w:type="dxa" w:w="581"/>
          </w:tcPr>
          <w:p>
            <w:pPr>
              <w:pStyle w:val="null3"/>
              <w:jc w:val="center"/>
            </w:pPr>
            <w:r>
              <w:rPr/>
              <w:t>★</w:t>
            </w:r>
          </w:p>
        </w:tc>
        <w:tc>
          <w:tcPr>
            <w:tcW w:type="dxa" w:w="1495"/>
          </w:tcPr>
          <w:p>
            <w:pPr>
              <w:pStyle w:val="null3"/>
              <w:jc w:val="left"/>
            </w:pPr>
            <w:r>
              <w:rPr/>
              <w:t>交货地点</w:t>
            </w:r>
          </w:p>
        </w:tc>
        <w:tc>
          <w:tcPr>
            <w:tcW w:type="dxa" w:w="5814"/>
          </w:tcPr>
          <w:p>
            <w:pPr>
              <w:pStyle w:val="null3"/>
              <w:jc w:val="left"/>
            </w:pPr>
            <w:r>
              <w:rPr/>
              <w:t>采购人指定地点</w:t>
            </w:r>
          </w:p>
        </w:tc>
      </w:tr>
      <w:tr>
        <w:tc>
          <w:tcPr>
            <w:tcW w:type="dxa" w:w="415"/>
          </w:tcPr>
          <w:p>
            <w:pPr>
              <w:pStyle w:val="null3"/>
              <w:jc w:val="center"/>
            </w:pPr>
            <w:r>
              <w:rPr/>
              <w:t>3</w:t>
            </w:r>
          </w:p>
        </w:tc>
        <w:tc>
          <w:tcPr>
            <w:tcW w:type="dxa" w:w="581"/>
          </w:tcPr>
          <w:p>
            <w:pPr>
              <w:pStyle w:val="null3"/>
              <w:jc w:val="center"/>
            </w:pPr>
            <w:r>
              <w:rPr/>
              <w:t>★</w:t>
            </w:r>
          </w:p>
        </w:tc>
        <w:tc>
          <w:tcPr>
            <w:tcW w:type="dxa" w:w="1495"/>
          </w:tcPr>
          <w:p>
            <w:pPr>
              <w:pStyle w:val="null3"/>
              <w:jc w:val="left"/>
            </w:pPr>
            <w:r>
              <w:rPr/>
              <w:t>支付方式</w:t>
            </w:r>
          </w:p>
        </w:tc>
        <w:tc>
          <w:tcPr>
            <w:tcW w:type="dxa" w:w="5814"/>
          </w:tcPr>
          <w:p>
            <w:pPr>
              <w:pStyle w:val="null3"/>
              <w:jc w:val="left"/>
            </w:pPr>
            <w:r>
              <w:rPr/>
              <w:t>分期付款</w:t>
            </w:r>
          </w:p>
        </w:tc>
      </w:tr>
      <w:tr>
        <w:tc>
          <w:tcPr>
            <w:tcW w:type="dxa" w:w="415"/>
          </w:tcPr>
          <w:p>
            <w:pPr>
              <w:pStyle w:val="null3"/>
              <w:jc w:val="center"/>
            </w:pPr>
            <w:r>
              <w:rPr/>
              <w:t>4</w:t>
            </w:r>
          </w:p>
        </w:tc>
        <w:tc>
          <w:tcPr>
            <w:tcW w:type="dxa" w:w="581"/>
          </w:tcPr>
          <w:p>
            <w:pPr>
              <w:pStyle w:val="null3"/>
              <w:jc w:val="center"/>
            </w:pPr>
            <w:r>
              <w:rPr/>
              <w:t>★</w:t>
            </w:r>
          </w:p>
        </w:tc>
        <w:tc>
          <w:tcPr>
            <w:tcW w:type="dxa" w:w="1495"/>
          </w:tcPr>
          <w:p>
            <w:pPr>
              <w:pStyle w:val="null3"/>
              <w:jc w:val="left"/>
            </w:pPr>
            <w:r>
              <w:rPr/>
              <w:t>付款进度安排</w:t>
            </w:r>
          </w:p>
        </w:tc>
        <w:tc>
          <w:tcPr>
            <w:tcW w:type="dxa" w:w="5814"/>
          </w:tcPr>
          <w:p>
            <w:pPr>
              <w:pStyle w:val="null3"/>
              <w:jc w:val="left"/>
            </w:pPr>
            <w:r>
              <w:rPr/>
              <w:t>1、合同签订后支付预付款，达到付款条件起30日内，支付合同总金额的40.00%</w:t>
            </w:r>
          </w:p>
          <w:p>
            <w:pPr>
              <w:pStyle w:val="null3"/>
              <w:jc w:val="left"/>
            </w:pPr>
            <w:r>
              <w:rPr/>
              <w:t>2、全部货物验收合格 ，达到付款条件起30日内，支付合同总金额的60.00%</w:t>
            </w:r>
          </w:p>
        </w:tc>
      </w:tr>
      <w:tr>
        <w:tc>
          <w:tcPr>
            <w:tcW w:type="dxa" w:w="415"/>
          </w:tcPr>
          <w:p>
            <w:pPr>
              <w:pStyle w:val="null3"/>
              <w:jc w:val="center"/>
            </w:pPr>
            <w:r>
              <w:rPr/>
              <w:t>5</w:t>
            </w:r>
          </w:p>
        </w:tc>
        <w:tc>
          <w:tcPr>
            <w:tcW w:type="dxa" w:w="581"/>
          </w:tcPr>
          <w:p>
            <w:pPr>
              <w:pStyle w:val="null3"/>
              <w:jc w:val="center"/>
            </w:pPr>
            <w:r>
              <w:rPr/>
              <w:t>★</w:t>
            </w:r>
          </w:p>
        </w:tc>
        <w:tc>
          <w:tcPr>
            <w:tcW w:type="dxa" w:w="1495"/>
          </w:tcPr>
          <w:p>
            <w:pPr>
              <w:pStyle w:val="null3"/>
              <w:jc w:val="left"/>
            </w:pPr>
            <w:r>
              <w:rPr/>
              <w:t>验收、交付标准和方法</w:t>
            </w:r>
          </w:p>
        </w:tc>
        <w:tc>
          <w:tcPr>
            <w:tcW w:type="dxa" w:w="5814"/>
          </w:tcPr>
          <w:p>
            <w:pPr>
              <w:pStyle w:val="null3"/>
              <w:jc w:val="left"/>
            </w:pPr>
            <w:r>
              <w:rPr/>
              <w:t>（1）验收标准：招标、投标文件中有明确约定的，必须完全满足；招标、投标文件中未明确约定的，以国家或行业标准或四川省地方标准规定的验收标准为准。否则视为供应商违约。 （2）验收时以招标文件、供应商的投标文件、合同及相关检测报告为验收依据，采购人应做出详尽的现场记录，或由采购人与中标人双方签署备忘录，此现场记录或备忘录可用作补充、缺失和更换损坏部件的有效证据，由此产生的时间延误与有关费用由中标人承担。 (3)验收时如发现所交付的货物有短装、次品、损坏或其它不符合标准及合同规定之情形者，采购人应做出详尽的现场记录，或由采购人与供应商双方签署备忘录，此现场记录或备忘录可用作补充、缺失和更换损坏部件的有效证据，由此产生的时间延误与有关费用由供应商承担，验收期限相应顺延。 (4)供应商应将所提供货物的清单、配件、随机工具、用户使用手册、原厂保修卡等资料交付给采购人，供应商不能完整交付货物及本款规定的单证和工具的，须负责补齐，否则视为未按合同约定交货。 （5）供应商交付产品如涉及国家强制认证（CCC认证）或前置许可、认证的，在供货时应一并提供相关许可、认证材料。 （6）其他未尽事宜应严格按照《财政部关于进一步加强政府采购需求和履约验收管理的指导意见》（财库〔2016〕205号）、《政府采购需求管理办法》（财库〔2021〕22号）的要求进行验收。 注：采购人收货时将对产品的技术参数进行逐条验收，供应商应对所投产品技术参数的真实性负责，如出现虚假应标将按法律法规的相关规定处理。</w:t>
            </w:r>
          </w:p>
        </w:tc>
      </w:tr>
      <w:tr>
        <w:tc>
          <w:tcPr>
            <w:tcW w:type="dxa" w:w="415"/>
          </w:tcPr>
          <w:p>
            <w:pPr>
              <w:pStyle w:val="null3"/>
              <w:jc w:val="center"/>
            </w:pPr>
            <w:r>
              <w:rPr/>
              <w:t>6</w:t>
            </w:r>
          </w:p>
        </w:tc>
        <w:tc>
          <w:tcPr>
            <w:tcW w:type="dxa" w:w="581"/>
          </w:tcPr>
          <w:p>
            <w:pPr>
              <w:pStyle w:val="null3"/>
              <w:jc w:val="center"/>
            </w:pPr>
            <w:r>
              <w:rPr/>
              <w:t>★</w:t>
            </w:r>
          </w:p>
        </w:tc>
        <w:tc>
          <w:tcPr>
            <w:tcW w:type="dxa" w:w="1495"/>
          </w:tcPr>
          <w:p>
            <w:pPr>
              <w:pStyle w:val="null3"/>
              <w:jc w:val="left"/>
            </w:pPr>
            <w:r>
              <w:rPr/>
              <w:t>质量保修范围和保修期</w:t>
            </w:r>
          </w:p>
        </w:tc>
        <w:tc>
          <w:tcPr>
            <w:tcW w:type="dxa" w:w="5814"/>
          </w:tcPr>
          <w:p>
            <w:pPr>
              <w:pStyle w:val="null3"/>
              <w:jc w:val="left"/>
            </w:pPr>
            <w:r>
              <w:rPr/>
              <w:t>质保要求：车辆整车质保2年。其他设备类质保期按国家或行业相关标准执行。质保期内供应商在接到采购人售后服务需求时应在30分钟内响应，需要到现场协助解决问题时应在2小时内到达现场。</w:t>
            </w:r>
          </w:p>
        </w:tc>
      </w:tr>
      <w:tr>
        <w:tc>
          <w:tcPr>
            <w:tcW w:type="dxa" w:w="415"/>
          </w:tcPr>
          <w:p>
            <w:pPr>
              <w:pStyle w:val="null3"/>
              <w:jc w:val="center"/>
            </w:pPr>
            <w:r>
              <w:rPr/>
              <w:t>7</w:t>
            </w:r>
          </w:p>
        </w:tc>
        <w:tc>
          <w:tcPr>
            <w:tcW w:type="dxa" w:w="581"/>
          </w:tcPr>
          <w:p>
            <w:pPr>
              <w:pStyle w:val="null3"/>
              <w:jc w:val="center"/>
            </w:pPr>
            <w:r>
              <w:rPr/>
              <w:t>★</w:t>
            </w:r>
          </w:p>
        </w:tc>
        <w:tc>
          <w:tcPr>
            <w:tcW w:type="dxa" w:w="1495"/>
          </w:tcPr>
          <w:p>
            <w:pPr>
              <w:pStyle w:val="null3"/>
              <w:jc w:val="left"/>
            </w:pPr>
            <w:r>
              <w:rPr/>
              <w:t>违约责任与解决争议的方法</w:t>
            </w:r>
          </w:p>
        </w:tc>
        <w:tc>
          <w:tcPr>
            <w:tcW w:type="dxa" w:w="5814"/>
          </w:tcPr>
          <w:p>
            <w:pPr>
              <w:pStyle w:val="null3"/>
              <w:jc w:val="left"/>
            </w:pPr>
            <w:r>
              <w:rPr/>
              <w:t>违约责任：1、交货时供应商未按照招标文件和合同约定提供相关证明材料或提供的货物达不到验收标准要求或产品质量不合格的，采购人有权要求供应商在 15天内整改或更换新产品，如逾期整改不合格或不能更换合格的货物，视为供应商严重违约，采购人除上报财政部门处罚外，供应商应按合同总额的 10 %向采购人支付违约金。甲乙双方在验收过程如对产品质量有争议，双方均可申请国家认可的第三方检测机构进行检测，最终结论以检测机构认定为准。 2、如因供应商工作人员在履行职务过程中的疏忽、失职、过错等故意或者过失原因给采购人造成损失或侵害，包括但不限于采购人本身的财产损失、由此而导致的采购人对任何第三方的法律责任等，供应商对此均应承担全部的赔偿责任。 3、若采购人未按照合同约定逾期向供应商支付货物费用，每逾期一天，按应支付金额的万分之三作为违约金支付给供应商，直至实际支付之日。 4、若供应商未在规定时限内完成交货，每延迟一天交付扣除合同总额千分之三的违约金，扣完为止。 5、因采购人原因导致变更、中止或者终止政府采购合同的，应对供应商受到的损失予以赔偿或者补偿。 争议解决办法：因合同履行发生争议，可协商或由有关部门调解解决；30日内协商或调解不成的，由当事人依法向采购人所在地仲裁委员会申请仲裁</w:t>
            </w:r>
          </w:p>
        </w:tc>
      </w:tr>
      <w:tr>
        <w:tc>
          <w:tcPr>
            <w:tcW w:type="dxa" w:w="415"/>
          </w:tcPr>
          <w:p>
            <w:pPr>
              <w:pStyle w:val="null3"/>
              <w:jc w:val="center"/>
            </w:pPr>
            <w:r>
              <w:rPr/>
              <w:t>8</w:t>
            </w:r>
          </w:p>
        </w:tc>
        <w:tc>
          <w:tcPr>
            <w:tcW w:type="dxa" w:w="581"/>
          </w:tcPr>
          <w:p>
            <w:pPr>
              <w:pStyle w:val="null3"/>
              <w:jc w:val="center"/>
            </w:pPr>
            <w:r>
              <w:rPr/>
              <w:t>★</w:t>
            </w:r>
          </w:p>
        </w:tc>
        <w:tc>
          <w:tcPr>
            <w:tcW w:type="dxa" w:w="1495"/>
          </w:tcPr>
          <w:p>
            <w:pPr>
              <w:pStyle w:val="null3"/>
              <w:jc w:val="left"/>
            </w:pPr>
            <w:r>
              <w:rPr/>
              <w:t>包装方式及运输</w:t>
            </w:r>
          </w:p>
        </w:tc>
        <w:tc>
          <w:tcPr>
            <w:tcW w:type="dxa" w:w="5814"/>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b/>
          <w:sz w:val="28"/>
        </w:rPr>
        <w:t>3.4.其他要求</w:t>
      </w:r>
    </w:p>
    <w:p>
      <w:pPr>
        <w:pStyle w:val="null3"/>
        <w:jc w:val="left"/>
      </w:pPr>
      <w:r>
        <w:rPr/>
        <w:t>①产品其他部件、构件满足产品正常使用要求及国家、行业相关标准要求。 ②带“★”的参数需求为实质性要求，供应商必须响应并满足，否则按无效投标处理；带“▲”号的参数需求为允许负偏离的重要参数需求，若未响应或者不满足，将在综合评审中作扣分处理。 ③参数中有要求提供证明材料的，投标人须按照相关要求提供证明材料，否则视为负偏离。 ④文件中要求交货时提供的佐证材料投标响应文件中可不提供，若随货没有按要求提供相关材料的按虚假响应处理。</w:t>
      </w:r>
    </w:p>
    <w:p>
      <w:pPr>
        <w:pStyle w:val="null3"/>
      </w:pPr>
      <w:r>
        <w:rPr/>
        <w:t xml:space="preserve"> </w:t>
        <w:br/>
        <w:br w:type="page"/>
      </w:r>
    </w:p>
    <w:p>
      <w:pPr>
        <w:pStyle w:val="null3"/>
        <w:jc w:val="center"/>
        <w:outlineLvl w:val="1"/>
      </w:pPr>
      <w:r>
        <w:rPr>
          <w:b/>
          <w:sz w:val="36"/>
        </w:rPr>
        <w:t>第四章 资格审查</w:t>
      </w:r>
    </w:p>
    <w:p>
      <w:pPr>
        <w:pStyle w:val="null3"/>
        <w:ind w:firstLine="480"/>
        <w:jc w:val="left"/>
      </w:pPr>
      <w:r>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b/>
          <w:sz w:val="28"/>
        </w:rPr>
        <w:t>4.1.一般资格审查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企业法人： 提交“统一社会信用代码的营业执照”未换证的提交“营业执照、组织机构代码证、税务登记证”（均为扫描件）； 事业法人： 提交：“统一社会信用代码的事业单位法人证书”未换证的提交“事业单位法人证书或组织机构代码证”（均为扫描件）； 其他组织： 提交“统一社会信用代码的社会团体法人登记证书”或“统一社会信用代码的民办非企业单位登记证书”或“统一社会信用代码的基金会法人登记证书”，未换证的提交：“社会团体法人登记证书”或“民办非企业单位登记证书”或“基金会法人登记证书”和“组织机构代码证”（均为扫描件）； 个体工商户： 提交“统一社会信用代码的营业执照”或“营业执照、税务登记证”（均为扫描件）； 自然人： 提供身份证扫描件。 供应商需在项目电子化交易系统中按上述要求提供相关证明材料并进行电子签章。</w:t>
            </w:r>
          </w:p>
        </w:tc>
        <w:tc>
          <w:tcPr>
            <w:tcW w:type="dxa" w:w="1910"/>
          </w:tcPr>
          <w:p>
            <w:pPr>
              <w:pStyle w:val="null3"/>
              <w:jc w:val="left"/>
            </w:pPr>
            <w:r>
              <w:rPr/>
              <w:t>投标人应提交的相关证明材料</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具有健全的财务会计制度，提供以下任意一项： ① 提供投标截止时间前上一年度经审计的财务报告（包含审计报告和审计报告中所涉及的财务报表和报表附注）扫描件。 ② 供应商注册时间至递交响应文件截止之日不足一年的提供基本账户开户银行出具的资信证明或者在行政主管部门备案的公司章程（扫描件）。 供应商需在项目电子化交易系统中按上述要求上传相应证明文件并进行电子签章。</w:t>
            </w:r>
          </w:p>
        </w:tc>
        <w:tc>
          <w:tcPr>
            <w:tcW w:type="dxa" w:w="1910"/>
          </w:tcPr>
          <w:p>
            <w:pPr>
              <w:pStyle w:val="null3"/>
              <w:jc w:val="left"/>
            </w:pPr>
            <w:r>
              <w:rPr/>
              <w:t>投标人应提交的相关证明材料</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不属于为本项目提供整体设计、规范编制或者项目管理、监理、检测等服务的投标人。</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企业法人： 提交“统一社会信用代码的营业执照”未换证的提交“营业执照、组织机构代码证、税务登记证”（均为扫描件）； 事业法人： 提交：“统一社会信用代码的事业单位法人证书”未换证的提交“事业单位法人证书或组织机构代码证”（均为扫描件）； 其他组织： 提交“统一社会信用代码的社会团体法人登记证书”或“统一社会信用代码的民办非企业单位登记证书”或“统一社会信用代码的基金会法人登记证书”，未换证的提交：“社会团体法人登记证书”或“民办非企业单位登记证书”或“基金会法人登记证书”和“组织机构代码证”（均为扫描件）； 个体工商户： 提交“统一社会信用代码的营业执照”或“营业执照、税务登记证”（均为扫描件）； 自然人： 提供身份证扫描件。 供应商需在项目电子化交易系统中按上述要求提供相关证明材料并进行电子签章。</w:t>
            </w:r>
          </w:p>
        </w:tc>
        <w:tc>
          <w:tcPr>
            <w:tcW w:type="dxa" w:w="1910"/>
          </w:tcPr>
          <w:p>
            <w:pPr>
              <w:pStyle w:val="null3"/>
              <w:jc w:val="left"/>
            </w:pPr>
            <w:r>
              <w:rPr/>
              <w:t>投标人应提交的相关证明材料</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具有健全的财务会计制度，提供以下任意一项： ① 提供投标截止时间前上一年度经审计的财务报告（包含审计报告和审计报告中所涉及的财务报表和报表附注）扫描件。 ② 供应商注册时间至递交响应文件截止之日不足一年的提供基本账户开户银行出具的资信证明或者在行政主管部门备案的公司章程（扫描件）。 供应商需在项目电子化交易系统中按上述要求上传相应证明文件并进行电子签章。</w:t>
            </w:r>
          </w:p>
        </w:tc>
        <w:tc>
          <w:tcPr>
            <w:tcW w:type="dxa" w:w="1910"/>
          </w:tcPr>
          <w:p>
            <w:pPr>
              <w:pStyle w:val="null3"/>
              <w:jc w:val="left"/>
            </w:pPr>
            <w:r>
              <w:rPr/>
              <w:t>投标人应提交的相关证明材料</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不属于为本项目提供整体设计、规范编制或者项目管理、监理、检测等服务的投标人。</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企业法人： 提交“统一社会信用代码的营业执照”未换证的提交“营业执照、组织机构代码证、税务登记证”（均为扫描件）； 事业法人： 提交：“统一社会信用代码的事业单位法人证书”未换证的提交“事业单位法人证书或组织机构代码证”（均为扫描件）； 其他组织： 提交“统一社会信用代码的社会团体法人登记证书”或“统一社会信用代码的民办非企业单位登记证书”或“统一社会信用代码的基金会法人登记证书”，未换证的提交：“社会团体法人登记证书”或“民办非企业单位登记证书”或“基金会法人登记证书”和“组织机构代码证”（均为扫描件）； 个体工商户： 提交“统一社会信用代码的营业执照”或“营业执照、税务登记证”（均为扫描件）； 自然人： 提供身份证扫描件。 供应商需在项目电子化交易系统中按上述要求提供相关证明材料并进行电子签章。</w:t>
            </w:r>
          </w:p>
        </w:tc>
        <w:tc>
          <w:tcPr>
            <w:tcW w:type="dxa" w:w="1910"/>
          </w:tcPr>
          <w:p>
            <w:pPr>
              <w:pStyle w:val="null3"/>
              <w:jc w:val="left"/>
            </w:pPr>
            <w:r>
              <w:rPr/>
              <w:t>投标人应提交的相关证明材料</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具有健全的财务会计制度，提供以下任意一项： ① 提供投标截止时间前上一年度经审计的财务报告（包含审计报告和审计报告中所涉及的财务报表和报表附注）扫描件。 ② 供应商注册时间至递交响应文件截止之日不足一年的提供基本账户开户银行出具的资信证明或者在行政主管部门备案的公司章程（扫描件）。 供应商需在项目电子化交易系统中按上述要求上传相应证明文件并进行电子签章。</w:t>
            </w:r>
          </w:p>
        </w:tc>
        <w:tc>
          <w:tcPr>
            <w:tcW w:type="dxa" w:w="1910"/>
          </w:tcPr>
          <w:p>
            <w:pPr>
              <w:pStyle w:val="null3"/>
              <w:jc w:val="left"/>
            </w:pPr>
            <w:r>
              <w:rPr/>
              <w:t>投标人应提交的相关证明材料</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不属于为本项目提供整体设计、规范编制或者项目管理、监理、检测等服务的投标人。</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bl>
    <w:p>
      <w:pPr>
        <w:pStyle w:val="null3"/>
        <w:jc w:val="left"/>
      </w:pPr>
      <w:r>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企业法人： 提交“统一社会信用代码的营业执照”未换证的提交“营业执照、组织机构代码证、税务登记证”（均为扫描件）； 事业法人： 提交：“统一社会信用代码的事业单位法人证书”未换证的提交“事业单位法人证书或组织机构代码证”（均为扫描件）； 其他组织： 提交“统一社会信用代码的社会团体法人登记证书”或“统一社会信用代码的民办非企业单位登记证书”或“统一社会信用代码的基金会法人登记证书”，未换证的提交：“社会团体法人登记证书”或“民办非企业单位登记证书”或“基金会法人登记证书”和“组织机构代码证”（均为扫描件）； 个体工商户： 提交“统一社会信用代码的营业执照”或“营业执照、税务登记证”（均为扫描件）； 自然人： 提供身份证扫描件。 供应商需在项目电子化交易系统中按上述要求提供相关证明材料并进行电子签章。</w:t>
            </w:r>
          </w:p>
        </w:tc>
        <w:tc>
          <w:tcPr>
            <w:tcW w:type="dxa" w:w="1910"/>
          </w:tcPr>
          <w:p>
            <w:pPr>
              <w:pStyle w:val="null3"/>
              <w:jc w:val="left"/>
            </w:pPr>
            <w:r>
              <w:rPr/>
              <w:t>投标人应提交的相关证明材料</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具有健全的财务会计制度，提供以下任意一项： ① 提供投标截止时间前上一年度经审计的财务报告（包含审计报告和审计报告中所涉及的财务报表和报表附注）扫描件。 ② 供应商注册时间至递交响应文件截止之日不足一年的提供基本账户开户银行出具的资信证明或者在行政主管部门备案的公司章程（扫描件）。 供应商需在项目电子化交易系统中按上述要求上传相应证明文件并进行电子签章。</w:t>
            </w:r>
          </w:p>
        </w:tc>
        <w:tc>
          <w:tcPr>
            <w:tcW w:type="dxa" w:w="1910"/>
          </w:tcPr>
          <w:p>
            <w:pPr>
              <w:pStyle w:val="null3"/>
              <w:jc w:val="left"/>
            </w:pPr>
            <w:r>
              <w:rPr/>
              <w:t>投标人应提交的相关证明材料</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不存在与单位负责人为同一人或者存在直接控股、管理关系的不同供应商不得参加同一合同项下的政府采购活动的行为。</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不属于为本项目提供整体设计、规范编制或者项目管理、监理、检测等服务的投标人。</w:t>
            </w:r>
          </w:p>
        </w:tc>
        <w:tc>
          <w:tcPr>
            <w:tcW w:type="dxa" w:w="3322"/>
          </w:tcPr>
          <w:p>
            <w:pPr>
              <w:pStyle w:val="null3"/>
              <w:jc w:val="left"/>
            </w:pPr>
            <w:r>
              <w:rPr/>
              <w:t>投标人需在使用投标(响应)客户端编制投标文件时，按要求填写《投标（响应）函》完成承诺并进行电子签章。</w:t>
            </w:r>
          </w:p>
        </w:tc>
        <w:tc>
          <w:tcPr>
            <w:tcW w:type="dxa" w:w="1910"/>
          </w:tcPr>
          <w:p>
            <w:pPr>
              <w:pStyle w:val="null3"/>
              <w:jc w:val="left"/>
            </w:pPr>
            <w:r>
              <w:rPr/>
              <w:t>投标（响应）函</w:t>
            </w:r>
          </w:p>
        </w:tc>
      </w:tr>
    </w:tbl>
    <w:p>
      <w:pPr>
        <w:pStyle w:val="null3"/>
        <w:jc w:val="left"/>
        <w:outlineLvl w:val="2"/>
      </w:pPr>
      <w:r>
        <w:rPr>
          <w:b/>
          <w:sz w:val="28"/>
        </w:rPr>
        <w:t>4.2.落实政府采购政策资格审查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8305"/>
            <w:gridSpan w:val="4"/>
          </w:tcPr>
          <w:p>
            <w:pPr>
              <w:pStyle w:val="null3"/>
              <w:jc w:val="left"/>
            </w:pPr>
            <w:r>
              <w:rPr/>
              <w:t xml:space="preserve"> 无</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8305"/>
            <w:gridSpan w:val="4"/>
          </w:tcPr>
          <w:p>
            <w:pPr>
              <w:pStyle w:val="null3"/>
              <w:jc w:val="left"/>
            </w:pPr>
            <w:r>
              <w:rPr/>
              <w:t xml:space="preserve"> 无</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8305"/>
            <w:gridSpan w:val="4"/>
          </w:tcPr>
          <w:p>
            <w:pPr>
              <w:pStyle w:val="null3"/>
              <w:jc w:val="left"/>
            </w:pPr>
            <w:r>
              <w:rPr/>
              <w:t xml:space="preserve"> 无</w:t>
            </w:r>
          </w:p>
        </w:tc>
      </w:tr>
    </w:tbl>
    <w:p>
      <w:pPr>
        <w:pStyle w:val="null3"/>
        <w:jc w:val="left"/>
      </w:pPr>
      <w:r>
        <w:rPr/>
        <w:t>采购包4：</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8305"/>
            <w:gridSpan w:val="4"/>
          </w:tcPr>
          <w:p>
            <w:pPr>
              <w:pStyle w:val="null3"/>
              <w:jc w:val="left"/>
            </w:pPr>
            <w:r>
              <w:rPr/>
              <w:t xml:space="preserve"> 无</w:t>
            </w:r>
          </w:p>
        </w:tc>
      </w:tr>
    </w:tbl>
    <w:p>
      <w:pPr>
        <w:pStyle w:val="null3"/>
        <w:jc w:val="left"/>
        <w:outlineLvl w:val="2"/>
      </w:pPr>
      <w:r>
        <w:rPr>
          <w:b/>
          <w:sz w:val="28"/>
        </w:rPr>
        <w:t>4.3.特定资格审查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接受联合体投标</w:t>
            </w:r>
          </w:p>
        </w:tc>
        <w:tc>
          <w:tcPr>
            <w:tcW w:type="dxa" w:w="3322"/>
          </w:tcPr>
          <w:p>
            <w:pPr>
              <w:pStyle w:val="null3"/>
              <w:jc w:val="left"/>
            </w:pPr>
            <w:r>
              <w:rPr/>
              <w:t>以联合体投标的应当在投标文件中提交联合协议，载明联合体各方承担的工作和义务。</w:t>
            </w:r>
          </w:p>
        </w:tc>
        <w:tc>
          <w:tcPr>
            <w:tcW w:type="dxa" w:w="1910"/>
          </w:tcPr>
          <w:p>
            <w:pPr>
              <w:pStyle w:val="null3"/>
              <w:jc w:val="left"/>
            </w:pPr>
            <w:r>
              <w:rPr/>
              <w:t>投标人应提交的相关证明材料</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接受联合体投标</w:t>
            </w:r>
          </w:p>
        </w:tc>
        <w:tc>
          <w:tcPr>
            <w:tcW w:type="dxa" w:w="3322"/>
          </w:tcPr>
          <w:p>
            <w:pPr>
              <w:pStyle w:val="null3"/>
              <w:jc w:val="left"/>
            </w:pPr>
            <w:r>
              <w:rPr/>
              <w:t>以联合体投标的应当在投标文件中提交联合协议，载明联合体各方承担的工作和义务。</w:t>
            </w:r>
          </w:p>
        </w:tc>
        <w:tc>
          <w:tcPr>
            <w:tcW w:type="dxa" w:w="1910"/>
          </w:tcPr>
          <w:p>
            <w:pPr>
              <w:pStyle w:val="null3"/>
              <w:jc w:val="left"/>
            </w:pPr>
            <w:r>
              <w:rPr/>
              <w:t>投标人应提交的相关证明材料</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接受联合体投标</w:t>
            </w:r>
          </w:p>
        </w:tc>
        <w:tc>
          <w:tcPr>
            <w:tcW w:type="dxa" w:w="3322"/>
          </w:tcPr>
          <w:p>
            <w:pPr>
              <w:pStyle w:val="null3"/>
              <w:jc w:val="left"/>
            </w:pPr>
            <w:r>
              <w:rPr/>
              <w:t>以联合体投标的应当在投标文件中提交联合协议，载明联合体各方承担的工作和义务。</w:t>
            </w:r>
          </w:p>
        </w:tc>
        <w:tc>
          <w:tcPr>
            <w:tcW w:type="dxa" w:w="1910"/>
          </w:tcPr>
          <w:p>
            <w:pPr>
              <w:pStyle w:val="null3"/>
              <w:jc w:val="left"/>
            </w:pPr>
            <w:r>
              <w:rPr/>
              <w:t>投标人应提交的相关证明材料</w:t>
            </w:r>
          </w:p>
        </w:tc>
      </w:tr>
    </w:tbl>
    <w:p>
      <w:pPr>
        <w:pStyle w:val="null3"/>
        <w:jc w:val="left"/>
      </w:pPr>
      <w:r>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接受联合体投标</w:t>
            </w:r>
          </w:p>
        </w:tc>
        <w:tc>
          <w:tcPr>
            <w:tcW w:type="dxa" w:w="3322"/>
          </w:tcPr>
          <w:p>
            <w:pPr>
              <w:pStyle w:val="null3"/>
              <w:jc w:val="left"/>
            </w:pPr>
            <w:r>
              <w:rPr/>
              <w:t>以联合体投标的应当在投标文件中提交联合协议，载明联合体各方承担的工作和义务。</w:t>
            </w:r>
          </w:p>
        </w:tc>
        <w:tc>
          <w:tcPr>
            <w:tcW w:type="dxa" w:w="1910"/>
          </w:tcPr>
          <w:p>
            <w:pPr>
              <w:pStyle w:val="null3"/>
              <w:jc w:val="left"/>
            </w:pPr>
            <w:r>
              <w:rPr/>
              <w:t>投标人应提交的相关证明材料</w:t>
            </w:r>
          </w:p>
        </w:tc>
      </w:tr>
    </w:tbl>
    <w:p>
      <w:pPr>
        <w:pStyle w:val="null3"/>
      </w:pPr>
      <w:r>
        <w:rPr/>
        <w:t xml:space="preserve"> </w:t>
        <w:br/>
        <w:br w:type="page"/>
      </w:r>
    </w:p>
    <w:p>
      <w:pPr>
        <w:pStyle w:val="null3"/>
        <w:jc w:val="center"/>
        <w:outlineLvl w:val="1"/>
      </w:pPr>
      <w:r>
        <w:rPr>
          <w:b/>
          <w:sz w:val="36"/>
        </w:rPr>
        <w:t>第五章 评标办法</w:t>
      </w:r>
    </w:p>
    <w:p>
      <w:pPr>
        <w:pStyle w:val="null3"/>
        <w:jc w:val="left"/>
        <w:outlineLvl w:val="2"/>
      </w:pPr>
      <w:r>
        <w:rPr>
          <w:b/>
          <w:sz w:val="28"/>
        </w:rPr>
        <w:t>5.1.总则</w:t>
      </w:r>
    </w:p>
    <w:p>
      <w:pPr>
        <w:pStyle w:val="null3"/>
        <w:ind w:firstLine="480"/>
        <w:jc w:val="left"/>
      </w:pPr>
      <w:r>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t>二、评标工作由代理机构负责组织，具体评标事务由依法组建的评标委员会负责。评标委员会由采购人代表和评审专家组成。</w:t>
      </w:r>
    </w:p>
    <w:p>
      <w:pPr>
        <w:pStyle w:val="null3"/>
        <w:ind w:firstLine="480"/>
        <w:jc w:val="left"/>
      </w:pPr>
      <w:r>
        <w:rPr/>
        <w:t>三、评标工作应遵循客观、公正、审慎的原则，根据招标文件规定的评标程序、评标方法和评标标准进行独立评标。</w:t>
      </w:r>
    </w:p>
    <w:p>
      <w:pPr>
        <w:pStyle w:val="null3"/>
        <w:ind w:firstLine="480"/>
        <w:jc w:val="left"/>
      </w:pPr>
      <w:r>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b/>
          <w:sz w:val="28"/>
        </w:rPr>
        <w:t>5.2.评标委员会</w:t>
      </w:r>
    </w:p>
    <w:p>
      <w:pPr>
        <w:pStyle w:val="null3"/>
        <w:ind w:firstLine="480"/>
        <w:jc w:val="left"/>
      </w:pPr>
      <w:r>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t>四、评标委员会应当履行下列职责：</w:t>
      </w:r>
    </w:p>
    <w:p>
      <w:pPr>
        <w:pStyle w:val="null3"/>
        <w:ind w:firstLine="480"/>
        <w:jc w:val="left"/>
      </w:pPr>
      <w:r>
        <w:rPr/>
        <w:t>（一）熟悉和理解招标文件；</w:t>
      </w:r>
    </w:p>
    <w:p>
      <w:pPr>
        <w:pStyle w:val="null3"/>
        <w:ind w:firstLine="480"/>
        <w:jc w:val="left"/>
      </w:pPr>
      <w:r>
        <w:rPr/>
        <w:t>（二）审查、评价投标文件是否符合招标文件的商务、技术等实质性要求；</w:t>
      </w:r>
    </w:p>
    <w:p>
      <w:pPr>
        <w:pStyle w:val="null3"/>
        <w:ind w:firstLine="480"/>
        <w:jc w:val="left"/>
      </w:pPr>
      <w:r>
        <w:rPr/>
        <w:t>（三）对投标文件进行比较和评价；</w:t>
      </w:r>
    </w:p>
    <w:p>
      <w:pPr>
        <w:pStyle w:val="null3"/>
        <w:ind w:firstLine="480"/>
        <w:jc w:val="left"/>
      </w:pPr>
      <w:r>
        <w:rPr/>
        <w:t>（四）根据需要要求采购人、代理机构对招标文件作出解释；根据需要要求投标人对投标文件有关事项作出澄清、说明或者补正；</w:t>
      </w:r>
    </w:p>
    <w:p>
      <w:pPr>
        <w:pStyle w:val="null3"/>
        <w:ind w:firstLine="480"/>
        <w:jc w:val="left"/>
      </w:pPr>
      <w:r>
        <w:rPr/>
        <w:t>（五）确定中标候选人名单，以及根据采购人委托直接确定中标人；</w:t>
      </w:r>
    </w:p>
    <w:p>
      <w:pPr>
        <w:pStyle w:val="null3"/>
        <w:ind w:firstLine="480"/>
        <w:jc w:val="left"/>
      </w:pPr>
      <w:r>
        <w:rPr/>
        <w:t>（六）起草评标报告并进行签署；</w:t>
      </w:r>
    </w:p>
    <w:p>
      <w:pPr>
        <w:pStyle w:val="null3"/>
        <w:ind w:firstLine="480"/>
        <w:jc w:val="left"/>
      </w:pPr>
      <w:r>
        <w:rPr/>
        <w:t>（七）向采购人、代理机构或者有关部门报告评标中发现的违法行为；</w:t>
      </w:r>
    </w:p>
    <w:p>
      <w:pPr>
        <w:pStyle w:val="null3"/>
        <w:ind w:firstLine="480"/>
        <w:jc w:val="left"/>
      </w:pPr>
      <w:r>
        <w:rPr/>
        <w:t>（八）法律、法规和规章规定的其他职责。</w:t>
      </w:r>
    </w:p>
    <w:p>
      <w:pPr>
        <w:pStyle w:val="null3"/>
        <w:jc w:val="left"/>
        <w:outlineLvl w:val="2"/>
      </w:pPr>
      <w:r>
        <w:rPr>
          <w:b/>
          <w:sz w:val="28"/>
        </w:rPr>
        <w:t>5.3.评标程序</w:t>
      </w:r>
    </w:p>
    <w:p>
      <w:pPr>
        <w:pStyle w:val="null3"/>
        <w:jc w:val="left"/>
        <w:outlineLvl w:val="3"/>
      </w:pPr>
      <w:r>
        <w:rPr>
          <w:b/>
          <w:sz w:val="24"/>
        </w:rPr>
        <w:t>5.3.1.熟悉和理解招标文件</w:t>
      </w:r>
    </w:p>
    <w:p>
      <w:pPr>
        <w:pStyle w:val="null3"/>
        <w:ind w:firstLine="480"/>
        <w:jc w:val="left"/>
      </w:pPr>
      <w:r>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b/>
          <w:sz w:val="24"/>
        </w:rPr>
        <w:t>5.3.2.停止评标的情形</w:t>
      </w:r>
    </w:p>
    <w:p>
      <w:pPr>
        <w:pStyle w:val="null3"/>
        <w:ind w:firstLine="480"/>
        <w:jc w:val="left"/>
      </w:pPr>
      <w:r>
        <w:rPr/>
        <w:t>本招标文件有下列情形之一的，评标委员会应当停止评标：</w:t>
      </w:r>
    </w:p>
    <w:p>
      <w:pPr>
        <w:pStyle w:val="null3"/>
        <w:ind w:firstLine="480"/>
        <w:jc w:val="left"/>
      </w:pPr>
      <w:r>
        <w:rPr/>
        <w:t>一、招标文件的规定存在歧义、重大缺陷，导致评标工作无法进行的；</w:t>
      </w:r>
    </w:p>
    <w:p>
      <w:pPr>
        <w:pStyle w:val="null3"/>
        <w:ind w:firstLine="480"/>
        <w:jc w:val="left"/>
      </w:pPr>
      <w:r>
        <w:rPr/>
        <w:t>二、招标文件明显以不合理条件对投标人实行差别待遇或者歧视待遇的；</w:t>
      </w:r>
    </w:p>
    <w:p>
      <w:pPr>
        <w:pStyle w:val="null3"/>
        <w:ind w:firstLine="480"/>
        <w:jc w:val="left"/>
      </w:pPr>
      <w:r>
        <w:rPr/>
        <w:t>三、采购项目属于国家规定的优先、强制采购范围，但是招标文件未依法体现优先、强制采购相关规定的；</w:t>
      </w:r>
    </w:p>
    <w:p>
      <w:pPr>
        <w:pStyle w:val="null3"/>
        <w:ind w:firstLine="480"/>
        <w:jc w:val="left"/>
      </w:pPr>
      <w:r>
        <w:rPr/>
        <w:t>四、采购项目属于政府采购促进中小企业发展的范围，但是招标文件未依法体现促进中小企业发展相关规定的；</w:t>
      </w:r>
    </w:p>
    <w:p>
      <w:pPr>
        <w:pStyle w:val="null3"/>
        <w:ind w:firstLine="480"/>
        <w:jc w:val="left"/>
      </w:pPr>
      <w:r>
        <w:rPr/>
        <w:t>五、招标文件规定的评标方法是综合评分法、最低评标价法之外的评标方法，或者虽然名称为综合评分法、最低评标价法，但实际上不符合国家规定的；</w:t>
      </w:r>
    </w:p>
    <w:p>
      <w:pPr>
        <w:pStyle w:val="null3"/>
        <w:ind w:firstLine="480"/>
        <w:jc w:val="left"/>
      </w:pPr>
      <w:r>
        <w:rPr/>
        <w:t>六、招标文件将投标人的资格条件列为评分因素的；</w:t>
      </w:r>
    </w:p>
    <w:p>
      <w:pPr>
        <w:pStyle w:val="null3"/>
        <w:ind w:firstLine="480"/>
        <w:jc w:val="left"/>
      </w:pPr>
      <w:r>
        <w:rPr/>
        <w:t>七、招标文件有违反国家其他有关强制性规定的情形。</w:t>
      </w:r>
    </w:p>
    <w:p>
      <w:pPr>
        <w:pStyle w:val="null3"/>
        <w:ind w:firstLine="480"/>
        <w:jc w:val="left"/>
      </w:pPr>
      <w:r>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b/>
          <w:sz w:val="24"/>
        </w:rPr>
        <w:t>5.3.3.符合性审查</w:t>
      </w:r>
    </w:p>
    <w:p>
      <w:pPr>
        <w:pStyle w:val="null3"/>
        <w:ind w:firstLine="480"/>
        <w:jc w:val="left"/>
      </w:pPr>
      <w:r>
        <w:rPr/>
        <w:t>评标委员会依据本招标文件的符合性审查要求，对符合资格要求投标人的投标文件进行符合性审查。</w:t>
      </w:r>
    </w:p>
    <w:p>
      <w:pPr>
        <w:pStyle w:val="null3"/>
        <w:ind w:firstLine="480"/>
        <w:jc w:val="left"/>
      </w:pPr>
      <w:r>
        <w:rPr/>
        <w:t>在符合性审查过程中，如果出现评标委员会成员意见不一致的情况，按照少数服从多数的原则确定，但不得违反政府采购基本原则和招标文件规定。</w:t>
      </w:r>
    </w:p>
    <w:p>
      <w:pPr>
        <w:pStyle w:val="null3"/>
        <w:ind w:firstLine="480"/>
        <w:jc w:val="left"/>
      </w:pPr>
      <w:r>
        <w:rPr/>
        <w:t>符合性审查标准见下表：</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需要投标人进行承诺的实质性要求。</w:t>
            </w:r>
          </w:p>
        </w:tc>
        <w:tc>
          <w:tcPr>
            <w:tcW w:type="dxa" w:w="3322"/>
          </w:tcPr>
          <w:p>
            <w:pPr>
              <w:pStyle w:val="null3"/>
              <w:jc w:val="left"/>
            </w:pPr>
            <w:r>
              <w:rPr/>
              <w:t>无需投标人单独提供材料进行响应，只需投标人承诺严格遵守并执行的相关实质性要求。</w:t>
            </w:r>
          </w:p>
        </w:tc>
        <w:tc>
          <w:tcPr>
            <w:tcW w:type="dxa" w:w="1910"/>
          </w:tcPr>
          <w:p>
            <w:pPr>
              <w:pStyle w:val="null3"/>
              <w:jc w:val="left"/>
            </w:pPr>
            <w:r>
              <w:rPr/>
              <w:t>投标文件封面 投标（响应）函</w:t>
            </w:r>
          </w:p>
        </w:tc>
      </w:tr>
      <w:tr>
        <w:tc>
          <w:tcPr>
            <w:tcW w:type="dxa" w:w="581"/>
          </w:tcPr>
          <w:p>
            <w:pPr>
              <w:pStyle w:val="null3"/>
              <w:jc w:val="center"/>
            </w:pPr>
            <w:r>
              <w:rPr/>
              <w:t>2</w:t>
            </w:r>
          </w:p>
        </w:tc>
        <w:tc>
          <w:tcPr>
            <w:tcW w:type="dxa" w:w="2492"/>
          </w:tcPr>
          <w:p>
            <w:pPr>
              <w:pStyle w:val="null3"/>
              <w:jc w:val="left"/>
            </w:pPr>
            <w:r>
              <w:rPr/>
              <w:t>技术要求中的实质性要求</w:t>
            </w:r>
          </w:p>
        </w:tc>
        <w:tc>
          <w:tcPr>
            <w:tcW w:type="dxa" w:w="3322"/>
          </w:tcPr>
          <w:p>
            <w:pPr>
              <w:pStyle w:val="null3"/>
              <w:jc w:val="left"/>
            </w:pPr>
            <w:r>
              <w:rPr/>
              <w:t>供应商完全响应并满足招标文件“3.2技术要求”中带“★”的要求，否则作无效投标处理。</w:t>
            </w:r>
          </w:p>
        </w:tc>
        <w:tc>
          <w:tcPr>
            <w:tcW w:type="dxa" w:w="1910"/>
          </w:tcPr>
          <w:p>
            <w:pPr>
              <w:pStyle w:val="null3"/>
              <w:jc w:val="left"/>
            </w:pPr>
            <w:r>
              <w:rPr/>
              <w:t>产品技术参数响应表</w:t>
            </w:r>
          </w:p>
        </w:tc>
      </w:tr>
      <w:tr>
        <w:tc>
          <w:tcPr>
            <w:tcW w:type="dxa" w:w="581"/>
          </w:tcPr>
          <w:p>
            <w:pPr>
              <w:pStyle w:val="null3"/>
              <w:jc w:val="center"/>
            </w:pPr>
            <w:r>
              <w:rPr/>
              <w:t>3</w:t>
            </w:r>
          </w:p>
        </w:tc>
        <w:tc>
          <w:tcPr>
            <w:tcW w:type="dxa" w:w="2492"/>
          </w:tcPr>
          <w:p>
            <w:pPr>
              <w:pStyle w:val="null3"/>
              <w:jc w:val="left"/>
            </w:pPr>
            <w:r>
              <w:rPr/>
              <w:t>服务要求中的实质性要求</w:t>
            </w:r>
          </w:p>
        </w:tc>
        <w:tc>
          <w:tcPr>
            <w:tcW w:type="dxa" w:w="3322"/>
          </w:tcPr>
          <w:p>
            <w:pPr>
              <w:pStyle w:val="null3"/>
              <w:jc w:val="left"/>
            </w:pPr>
            <w:r>
              <w:rPr/>
              <w:t>供应商完全响应并满足招标文件“3.3服务要求”中带“★”的要求，否则作无效投标处理。</w:t>
            </w:r>
          </w:p>
        </w:tc>
        <w:tc>
          <w:tcPr>
            <w:tcW w:type="dxa" w:w="1910"/>
          </w:tcPr>
          <w:p>
            <w:pPr>
              <w:pStyle w:val="null3"/>
              <w:jc w:val="left"/>
            </w:pPr>
            <w:r>
              <w:rPr/>
              <w:t>服务应答表</w:t>
            </w:r>
          </w:p>
        </w:tc>
      </w:tr>
      <w:tr>
        <w:tc>
          <w:tcPr>
            <w:tcW w:type="dxa" w:w="581"/>
          </w:tcPr>
          <w:p>
            <w:pPr>
              <w:pStyle w:val="null3"/>
              <w:jc w:val="center"/>
            </w:pPr>
            <w:r>
              <w:rPr/>
              <w:t>4</w:t>
            </w:r>
          </w:p>
        </w:tc>
        <w:tc>
          <w:tcPr>
            <w:tcW w:type="dxa" w:w="2492"/>
          </w:tcPr>
          <w:p>
            <w:pPr>
              <w:pStyle w:val="null3"/>
              <w:jc w:val="left"/>
            </w:pPr>
            <w:r>
              <w:rPr/>
              <w:t>不正当竞争预防措施</w:t>
            </w:r>
          </w:p>
        </w:tc>
        <w:tc>
          <w:tcPr>
            <w:tcW w:type="dxa" w:w="3322"/>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t>报价表</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需要投标人进行承诺的实质性要求。</w:t>
            </w:r>
          </w:p>
        </w:tc>
        <w:tc>
          <w:tcPr>
            <w:tcW w:type="dxa" w:w="3322"/>
          </w:tcPr>
          <w:p>
            <w:pPr>
              <w:pStyle w:val="null3"/>
              <w:jc w:val="left"/>
            </w:pPr>
            <w:r>
              <w:rPr/>
              <w:t>无需投标人单独提供材料进行响应，只需投标人承诺严格遵守并执行的相关实质性要求。</w:t>
            </w:r>
          </w:p>
        </w:tc>
        <w:tc>
          <w:tcPr>
            <w:tcW w:type="dxa" w:w="1910"/>
          </w:tcPr>
          <w:p>
            <w:pPr>
              <w:pStyle w:val="null3"/>
              <w:jc w:val="left"/>
            </w:pPr>
            <w:r>
              <w:rPr/>
              <w:t>投标文件封面 投标（响应）函</w:t>
            </w:r>
          </w:p>
        </w:tc>
      </w:tr>
      <w:tr>
        <w:tc>
          <w:tcPr>
            <w:tcW w:type="dxa" w:w="581"/>
          </w:tcPr>
          <w:p>
            <w:pPr>
              <w:pStyle w:val="null3"/>
              <w:jc w:val="center"/>
            </w:pPr>
            <w:r>
              <w:rPr/>
              <w:t>2</w:t>
            </w:r>
          </w:p>
        </w:tc>
        <w:tc>
          <w:tcPr>
            <w:tcW w:type="dxa" w:w="2492"/>
          </w:tcPr>
          <w:p>
            <w:pPr>
              <w:pStyle w:val="null3"/>
              <w:jc w:val="left"/>
            </w:pPr>
            <w:r>
              <w:rPr/>
              <w:t>技术要求中的实质性要求</w:t>
            </w:r>
          </w:p>
        </w:tc>
        <w:tc>
          <w:tcPr>
            <w:tcW w:type="dxa" w:w="3322"/>
          </w:tcPr>
          <w:p>
            <w:pPr>
              <w:pStyle w:val="null3"/>
              <w:jc w:val="left"/>
            </w:pPr>
            <w:r>
              <w:rPr/>
              <w:t>供应商完全响应并满足招标文件“3.2技术要求”中带“★”的要求，否则作无效投标处理。</w:t>
            </w:r>
          </w:p>
        </w:tc>
        <w:tc>
          <w:tcPr>
            <w:tcW w:type="dxa" w:w="1910"/>
          </w:tcPr>
          <w:p>
            <w:pPr>
              <w:pStyle w:val="null3"/>
              <w:jc w:val="left"/>
            </w:pPr>
            <w:r>
              <w:rPr/>
              <w:t>产品技术参数响应表</w:t>
            </w:r>
          </w:p>
        </w:tc>
      </w:tr>
      <w:tr>
        <w:tc>
          <w:tcPr>
            <w:tcW w:type="dxa" w:w="581"/>
          </w:tcPr>
          <w:p>
            <w:pPr>
              <w:pStyle w:val="null3"/>
              <w:jc w:val="center"/>
            </w:pPr>
            <w:r>
              <w:rPr/>
              <w:t>3</w:t>
            </w:r>
          </w:p>
        </w:tc>
        <w:tc>
          <w:tcPr>
            <w:tcW w:type="dxa" w:w="2492"/>
          </w:tcPr>
          <w:p>
            <w:pPr>
              <w:pStyle w:val="null3"/>
              <w:jc w:val="left"/>
            </w:pPr>
            <w:r>
              <w:rPr/>
              <w:t>服务要求中的实质性要求</w:t>
            </w:r>
          </w:p>
        </w:tc>
        <w:tc>
          <w:tcPr>
            <w:tcW w:type="dxa" w:w="3322"/>
          </w:tcPr>
          <w:p>
            <w:pPr>
              <w:pStyle w:val="null3"/>
              <w:jc w:val="left"/>
            </w:pPr>
            <w:r>
              <w:rPr/>
              <w:t>供应商完全响应并满足招标文件“3.3服务要求”中带“★”的要求，否则作无效投标处理。</w:t>
            </w:r>
          </w:p>
        </w:tc>
        <w:tc>
          <w:tcPr>
            <w:tcW w:type="dxa" w:w="1910"/>
          </w:tcPr>
          <w:p>
            <w:pPr>
              <w:pStyle w:val="null3"/>
              <w:jc w:val="left"/>
            </w:pPr>
            <w:r>
              <w:rPr/>
              <w:t>服务应答表</w:t>
            </w:r>
          </w:p>
        </w:tc>
      </w:tr>
      <w:tr>
        <w:tc>
          <w:tcPr>
            <w:tcW w:type="dxa" w:w="581"/>
          </w:tcPr>
          <w:p>
            <w:pPr>
              <w:pStyle w:val="null3"/>
              <w:jc w:val="center"/>
            </w:pPr>
            <w:r>
              <w:rPr/>
              <w:t>4</w:t>
            </w:r>
          </w:p>
        </w:tc>
        <w:tc>
          <w:tcPr>
            <w:tcW w:type="dxa" w:w="2492"/>
          </w:tcPr>
          <w:p>
            <w:pPr>
              <w:pStyle w:val="null3"/>
              <w:jc w:val="left"/>
            </w:pPr>
            <w:r>
              <w:rPr/>
              <w:t>不正当竞争预防措施</w:t>
            </w:r>
          </w:p>
        </w:tc>
        <w:tc>
          <w:tcPr>
            <w:tcW w:type="dxa" w:w="3322"/>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t>报价表</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需要投标人进行承诺的实质性要求。</w:t>
            </w:r>
          </w:p>
        </w:tc>
        <w:tc>
          <w:tcPr>
            <w:tcW w:type="dxa" w:w="3322"/>
          </w:tcPr>
          <w:p>
            <w:pPr>
              <w:pStyle w:val="null3"/>
              <w:jc w:val="left"/>
            </w:pPr>
            <w:r>
              <w:rPr/>
              <w:t>无需投标人单独提供材料进行响应，只需投标人承诺严格遵守并执行的相关实质性要求。</w:t>
            </w:r>
          </w:p>
        </w:tc>
        <w:tc>
          <w:tcPr>
            <w:tcW w:type="dxa" w:w="1910"/>
          </w:tcPr>
          <w:p>
            <w:pPr>
              <w:pStyle w:val="null3"/>
              <w:jc w:val="left"/>
            </w:pPr>
            <w:r>
              <w:rPr/>
              <w:t>投标文件封面 投标（响应）函</w:t>
            </w:r>
          </w:p>
        </w:tc>
      </w:tr>
      <w:tr>
        <w:tc>
          <w:tcPr>
            <w:tcW w:type="dxa" w:w="581"/>
          </w:tcPr>
          <w:p>
            <w:pPr>
              <w:pStyle w:val="null3"/>
              <w:jc w:val="center"/>
            </w:pPr>
            <w:r>
              <w:rPr/>
              <w:t>2</w:t>
            </w:r>
          </w:p>
        </w:tc>
        <w:tc>
          <w:tcPr>
            <w:tcW w:type="dxa" w:w="2492"/>
          </w:tcPr>
          <w:p>
            <w:pPr>
              <w:pStyle w:val="null3"/>
              <w:jc w:val="left"/>
            </w:pPr>
            <w:r>
              <w:rPr/>
              <w:t>技术要求中的实质性要求</w:t>
            </w:r>
          </w:p>
        </w:tc>
        <w:tc>
          <w:tcPr>
            <w:tcW w:type="dxa" w:w="3322"/>
          </w:tcPr>
          <w:p>
            <w:pPr>
              <w:pStyle w:val="null3"/>
              <w:jc w:val="left"/>
            </w:pPr>
            <w:r>
              <w:rPr/>
              <w:t>供应商完全响应并满足招标文件“3.2技术要求”中带“★”的要求，否则作无效投标处理。</w:t>
            </w:r>
          </w:p>
        </w:tc>
        <w:tc>
          <w:tcPr>
            <w:tcW w:type="dxa" w:w="1910"/>
          </w:tcPr>
          <w:p>
            <w:pPr>
              <w:pStyle w:val="null3"/>
              <w:jc w:val="left"/>
            </w:pPr>
            <w:r>
              <w:rPr/>
              <w:t>产品技术参数响应表</w:t>
            </w:r>
          </w:p>
        </w:tc>
      </w:tr>
      <w:tr>
        <w:tc>
          <w:tcPr>
            <w:tcW w:type="dxa" w:w="581"/>
          </w:tcPr>
          <w:p>
            <w:pPr>
              <w:pStyle w:val="null3"/>
              <w:jc w:val="center"/>
            </w:pPr>
            <w:r>
              <w:rPr/>
              <w:t>3</w:t>
            </w:r>
          </w:p>
        </w:tc>
        <w:tc>
          <w:tcPr>
            <w:tcW w:type="dxa" w:w="2492"/>
          </w:tcPr>
          <w:p>
            <w:pPr>
              <w:pStyle w:val="null3"/>
              <w:jc w:val="left"/>
            </w:pPr>
            <w:r>
              <w:rPr/>
              <w:t>服务要求中的实质性要求</w:t>
            </w:r>
          </w:p>
        </w:tc>
        <w:tc>
          <w:tcPr>
            <w:tcW w:type="dxa" w:w="3322"/>
          </w:tcPr>
          <w:p>
            <w:pPr>
              <w:pStyle w:val="null3"/>
              <w:jc w:val="left"/>
            </w:pPr>
            <w:r>
              <w:rPr/>
              <w:t>供应商完全响应并满足招标文件“3.3服务要求”中带“★”的要求，否则作无效投标处理。</w:t>
            </w:r>
          </w:p>
        </w:tc>
        <w:tc>
          <w:tcPr>
            <w:tcW w:type="dxa" w:w="1910"/>
          </w:tcPr>
          <w:p>
            <w:pPr>
              <w:pStyle w:val="null3"/>
              <w:jc w:val="left"/>
            </w:pPr>
            <w:r>
              <w:rPr/>
              <w:t>服务应答表</w:t>
            </w:r>
          </w:p>
        </w:tc>
      </w:tr>
      <w:tr>
        <w:tc>
          <w:tcPr>
            <w:tcW w:type="dxa" w:w="581"/>
          </w:tcPr>
          <w:p>
            <w:pPr>
              <w:pStyle w:val="null3"/>
              <w:jc w:val="center"/>
            </w:pPr>
            <w:r>
              <w:rPr/>
              <w:t>4</w:t>
            </w:r>
          </w:p>
        </w:tc>
        <w:tc>
          <w:tcPr>
            <w:tcW w:type="dxa" w:w="2492"/>
          </w:tcPr>
          <w:p>
            <w:pPr>
              <w:pStyle w:val="null3"/>
              <w:jc w:val="left"/>
            </w:pPr>
            <w:r>
              <w:rPr/>
              <w:t>不正当竞争预防措施</w:t>
            </w:r>
          </w:p>
        </w:tc>
        <w:tc>
          <w:tcPr>
            <w:tcW w:type="dxa" w:w="3322"/>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t>报价表</w:t>
            </w:r>
          </w:p>
        </w:tc>
      </w:tr>
    </w:tbl>
    <w:p>
      <w:pPr>
        <w:pStyle w:val="null3"/>
        <w:jc w:val="left"/>
      </w:pPr>
      <w:r>
        <w:rPr/>
        <w:t>采购包4：</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需要投标人进行承诺的实质性要求。</w:t>
            </w:r>
          </w:p>
        </w:tc>
        <w:tc>
          <w:tcPr>
            <w:tcW w:type="dxa" w:w="3322"/>
          </w:tcPr>
          <w:p>
            <w:pPr>
              <w:pStyle w:val="null3"/>
              <w:jc w:val="left"/>
            </w:pPr>
            <w:r>
              <w:rPr/>
              <w:t>无需投标人单独提供材料进行响应，只需投标人承诺严格遵守并执行的相关实质性要求。</w:t>
            </w:r>
          </w:p>
        </w:tc>
        <w:tc>
          <w:tcPr>
            <w:tcW w:type="dxa" w:w="1910"/>
          </w:tcPr>
          <w:p>
            <w:pPr>
              <w:pStyle w:val="null3"/>
              <w:jc w:val="left"/>
            </w:pPr>
            <w:r>
              <w:rPr/>
              <w:t>投标文件封面 投标（响应）函</w:t>
            </w:r>
          </w:p>
        </w:tc>
      </w:tr>
      <w:tr>
        <w:tc>
          <w:tcPr>
            <w:tcW w:type="dxa" w:w="581"/>
          </w:tcPr>
          <w:p>
            <w:pPr>
              <w:pStyle w:val="null3"/>
              <w:jc w:val="center"/>
            </w:pPr>
            <w:r>
              <w:rPr/>
              <w:t>2</w:t>
            </w:r>
          </w:p>
        </w:tc>
        <w:tc>
          <w:tcPr>
            <w:tcW w:type="dxa" w:w="2492"/>
          </w:tcPr>
          <w:p>
            <w:pPr>
              <w:pStyle w:val="null3"/>
              <w:jc w:val="left"/>
            </w:pPr>
            <w:r>
              <w:rPr/>
              <w:t>技术要求中的实质性要求</w:t>
            </w:r>
          </w:p>
        </w:tc>
        <w:tc>
          <w:tcPr>
            <w:tcW w:type="dxa" w:w="3322"/>
          </w:tcPr>
          <w:p>
            <w:pPr>
              <w:pStyle w:val="null3"/>
              <w:jc w:val="left"/>
            </w:pPr>
            <w:r>
              <w:rPr/>
              <w:t>供应商完全响应并满足招标文件“3.2技术要求”中带“★”的要求，否则作无效投标处理。</w:t>
            </w:r>
          </w:p>
        </w:tc>
        <w:tc>
          <w:tcPr>
            <w:tcW w:type="dxa" w:w="1910"/>
          </w:tcPr>
          <w:p>
            <w:pPr>
              <w:pStyle w:val="null3"/>
              <w:jc w:val="left"/>
            </w:pPr>
            <w:r>
              <w:rPr/>
              <w:t>产品技术参数响应表</w:t>
            </w:r>
          </w:p>
        </w:tc>
      </w:tr>
      <w:tr>
        <w:tc>
          <w:tcPr>
            <w:tcW w:type="dxa" w:w="581"/>
          </w:tcPr>
          <w:p>
            <w:pPr>
              <w:pStyle w:val="null3"/>
              <w:jc w:val="center"/>
            </w:pPr>
            <w:r>
              <w:rPr/>
              <w:t>3</w:t>
            </w:r>
          </w:p>
        </w:tc>
        <w:tc>
          <w:tcPr>
            <w:tcW w:type="dxa" w:w="2492"/>
          </w:tcPr>
          <w:p>
            <w:pPr>
              <w:pStyle w:val="null3"/>
              <w:jc w:val="left"/>
            </w:pPr>
            <w:r>
              <w:rPr/>
              <w:t>服务要求中的实质性要求</w:t>
            </w:r>
          </w:p>
        </w:tc>
        <w:tc>
          <w:tcPr>
            <w:tcW w:type="dxa" w:w="3322"/>
          </w:tcPr>
          <w:p>
            <w:pPr>
              <w:pStyle w:val="null3"/>
              <w:jc w:val="left"/>
            </w:pPr>
            <w:r>
              <w:rPr/>
              <w:t>供应商完全响应并满足招标文件“3.3服务要求”中带“★”的要求，否则作无效投标处理。</w:t>
            </w:r>
          </w:p>
        </w:tc>
        <w:tc>
          <w:tcPr>
            <w:tcW w:type="dxa" w:w="1910"/>
          </w:tcPr>
          <w:p>
            <w:pPr>
              <w:pStyle w:val="null3"/>
              <w:jc w:val="left"/>
            </w:pPr>
            <w:r>
              <w:rPr/>
              <w:t>服务应答表</w:t>
            </w:r>
          </w:p>
        </w:tc>
      </w:tr>
      <w:tr>
        <w:tc>
          <w:tcPr>
            <w:tcW w:type="dxa" w:w="581"/>
          </w:tcPr>
          <w:p>
            <w:pPr>
              <w:pStyle w:val="null3"/>
              <w:jc w:val="center"/>
            </w:pPr>
            <w:r>
              <w:rPr/>
              <w:t>4</w:t>
            </w:r>
          </w:p>
        </w:tc>
        <w:tc>
          <w:tcPr>
            <w:tcW w:type="dxa" w:w="2492"/>
          </w:tcPr>
          <w:p>
            <w:pPr>
              <w:pStyle w:val="null3"/>
              <w:jc w:val="left"/>
            </w:pPr>
            <w:r>
              <w:rPr/>
              <w:t>不正当竞争预防措施</w:t>
            </w:r>
          </w:p>
        </w:tc>
        <w:tc>
          <w:tcPr>
            <w:tcW w:type="dxa" w:w="3322"/>
          </w:tcPr>
          <w:p>
            <w:pPr>
              <w:pStyle w:val="null3"/>
              <w:jc w:val="left"/>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t>报价表</w:t>
            </w:r>
          </w:p>
        </w:tc>
      </w:tr>
    </w:tbl>
    <w:p>
      <w:pPr>
        <w:pStyle w:val="null3"/>
        <w:ind w:firstLine="480"/>
        <w:jc w:val="left"/>
      </w:pPr>
      <w:r>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b/>
          <w:sz w:val="24"/>
        </w:rPr>
        <w:t>5.3.4解释、澄清、说明有关问题</w:t>
      </w:r>
    </w:p>
    <w:p>
      <w:pPr>
        <w:pStyle w:val="null3"/>
        <w:ind w:firstLine="480"/>
        <w:jc w:val="left"/>
      </w:pPr>
      <w:r>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t>三、投标文件报价出现前后不一致的，除招标文件另有规定外，按照下列规定修正：</w:t>
      </w:r>
    </w:p>
    <w:p>
      <w:pPr>
        <w:pStyle w:val="null3"/>
        <w:ind w:firstLine="480"/>
        <w:jc w:val="left"/>
      </w:pPr>
      <w:r>
        <w:rPr/>
        <w:t>（一）投标文件中报价表内容与投标文件中相应内容不一致的，以报价表为准；</w:t>
      </w:r>
    </w:p>
    <w:p>
      <w:pPr>
        <w:pStyle w:val="null3"/>
        <w:ind w:firstLine="480"/>
        <w:jc w:val="left"/>
      </w:pPr>
      <w:r>
        <w:rPr/>
        <w:t>（二）大写金额和小写金额不一致的，以大写金额为准；</w:t>
      </w:r>
    </w:p>
    <w:p>
      <w:pPr>
        <w:pStyle w:val="null3"/>
        <w:ind w:firstLine="480"/>
        <w:jc w:val="left"/>
      </w:pPr>
      <w:r>
        <w:rPr/>
        <w:t>（三）单价金额小数点或者百分比有明显错位的，以报价表总价为准，并修改单价；</w:t>
      </w:r>
    </w:p>
    <w:p>
      <w:pPr>
        <w:pStyle w:val="null3"/>
        <w:ind w:firstLine="480"/>
        <w:jc w:val="left"/>
      </w:pPr>
      <w:r>
        <w:rPr/>
        <w:t>（四）总价金额与按单价汇总金额不一致的，以单价金额计算结果为准。</w:t>
      </w:r>
    </w:p>
    <w:p>
      <w:pPr>
        <w:pStyle w:val="null3"/>
        <w:ind w:firstLine="480"/>
        <w:jc w:val="left"/>
      </w:pPr>
      <w:r>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t>四、对不同语言文本投标文件的解释发生异议的，以中文文本为准。</w:t>
      </w:r>
    </w:p>
    <w:p>
      <w:pPr>
        <w:pStyle w:val="null3"/>
        <w:ind w:firstLine="480"/>
        <w:jc w:val="left"/>
      </w:pPr>
      <w:r>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b/>
          <w:sz w:val="24"/>
        </w:rPr>
        <w:t>5.3.5.比较与评价</w:t>
      </w:r>
    </w:p>
    <w:p>
      <w:pPr>
        <w:pStyle w:val="null3"/>
        <w:ind w:firstLine="480"/>
        <w:jc w:val="left"/>
      </w:pPr>
      <w:r>
        <w:rPr/>
        <w:t>评标委员会应当按照招标文件规定的评标细则及标准，对符合性审查合格的投标文件进行商务和技术评估，综合比较和评价。</w:t>
      </w:r>
    </w:p>
    <w:p>
      <w:pPr>
        <w:pStyle w:val="null3"/>
        <w:jc w:val="left"/>
        <w:outlineLvl w:val="3"/>
      </w:pPr>
      <w:r>
        <w:rPr>
          <w:b/>
          <w:sz w:val="24"/>
        </w:rPr>
        <w:t>5.3.6.评标委员会复核</w:t>
      </w:r>
    </w:p>
    <w:p>
      <w:pPr>
        <w:pStyle w:val="null3"/>
        <w:ind w:firstLine="480"/>
        <w:jc w:val="left"/>
      </w:pPr>
      <w:r>
        <w:rPr/>
        <w:t>评分汇总结束后，评标委员会应当进行复核，对拟推荐为中标候选人的、报价最低的、投标文件被认定为无效的进行重点复核。</w:t>
      </w:r>
    </w:p>
    <w:p>
      <w:pPr>
        <w:pStyle w:val="null3"/>
        <w:jc w:val="left"/>
        <w:outlineLvl w:val="3"/>
      </w:pPr>
      <w:r>
        <w:rPr>
          <w:b/>
          <w:sz w:val="24"/>
        </w:rPr>
        <w:t>5.3.7.代理机构现场复核评审结果</w:t>
      </w:r>
    </w:p>
    <w:p>
      <w:pPr>
        <w:pStyle w:val="null3"/>
        <w:ind w:firstLine="480"/>
        <w:jc w:val="left"/>
      </w:pPr>
      <w:r>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t>（一）分值汇总计算错误的；</w:t>
      </w:r>
    </w:p>
    <w:p>
      <w:pPr>
        <w:pStyle w:val="null3"/>
        <w:ind w:firstLine="480"/>
        <w:jc w:val="left"/>
      </w:pPr>
      <w:r>
        <w:rPr/>
        <w:t>（二）分项评分超出评分标准范围的；</w:t>
      </w:r>
    </w:p>
    <w:p>
      <w:pPr>
        <w:pStyle w:val="null3"/>
        <w:ind w:firstLine="480"/>
        <w:jc w:val="left"/>
      </w:pPr>
      <w:r>
        <w:rPr/>
        <w:t>（三）评标委员会成员对客观评审因素评分不一致的；</w:t>
      </w:r>
    </w:p>
    <w:p>
      <w:pPr>
        <w:pStyle w:val="null3"/>
        <w:ind w:firstLine="480"/>
        <w:jc w:val="left"/>
      </w:pPr>
      <w:r>
        <w:rPr/>
        <w:t>（四）经评标委员会认定评分畸高、畸低的。</w:t>
      </w:r>
    </w:p>
    <w:p>
      <w:pPr>
        <w:pStyle w:val="null3"/>
        <w:ind w:firstLine="480"/>
        <w:jc w:val="left"/>
      </w:pPr>
      <w:r>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t>三、代理机构复核过程中，评标委员会成员不得离开评审现场。</w:t>
      </w:r>
    </w:p>
    <w:p>
      <w:pPr>
        <w:pStyle w:val="null3"/>
        <w:jc w:val="left"/>
        <w:outlineLvl w:val="3"/>
      </w:pPr>
      <w:r>
        <w:rPr>
          <w:b/>
          <w:sz w:val="24"/>
        </w:rPr>
        <w:t>5.3.8.确定中标候选人名单</w:t>
      </w:r>
    </w:p>
    <w:p>
      <w:pPr>
        <w:pStyle w:val="null3"/>
        <w:jc w:val="left"/>
      </w:pPr>
      <w:r>
        <w:rPr/>
        <w:t>采购包1：</w:t>
      </w:r>
      <w:r>
        <w:rPr/>
        <w:t>确定3名中标候选人。</w:t>
      </w:r>
    </w:p>
    <w:p>
      <w:pPr>
        <w:pStyle w:val="null3"/>
        <w:jc w:val="left"/>
      </w:pPr>
      <w:r>
        <w:rPr/>
        <w:t>采购包2：</w:t>
      </w:r>
      <w:r>
        <w:rPr/>
        <w:t>确定3名中标候选人。</w:t>
      </w:r>
    </w:p>
    <w:p>
      <w:pPr>
        <w:pStyle w:val="null3"/>
        <w:jc w:val="left"/>
      </w:pPr>
      <w:r>
        <w:rPr/>
        <w:t>采购包3：</w:t>
      </w:r>
      <w:r>
        <w:rPr/>
        <w:t>确定3名中标候选人。</w:t>
      </w:r>
    </w:p>
    <w:p>
      <w:pPr>
        <w:pStyle w:val="null3"/>
        <w:jc w:val="left"/>
      </w:pPr>
      <w:r>
        <w:rPr/>
        <w:t>采购包4：</w:t>
      </w:r>
      <w:r>
        <w:rPr/>
        <w:t>确定3名中标候选人。</w:t>
      </w:r>
    </w:p>
    <w:p>
      <w:pPr>
        <w:pStyle w:val="null3"/>
        <w:ind w:firstLine="480"/>
        <w:jc w:val="left"/>
      </w:pPr>
      <w:r>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b/>
          <w:sz w:val="24"/>
        </w:rPr>
        <w:t>5.3.9.出具评标报告</w:t>
      </w:r>
    </w:p>
    <w:p>
      <w:pPr>
        <w:pStyle w:val="null3"/>
        <w:ind w:firstLine="480"/>
        <w:jc w:val="left"/>
      </w:pPr>
      <w:r>
        <w:rPr/>
        <w:t>评标报告是评标委员会根据全体评标成员签署的评标记录和评标结果编写的报告，其主要内容包括：</w:t>
      </w:r>
    </w:p>
    <w:p>
      <w:pPr>
        <w:pStyle w:val="null3"/>
        <w:ind w:firstLine="480"/>
        <w:jc w:val="left"/>
      </w:pPr>
      <w:r>
        <w:rPr/>
        <w:t>一、招标公告刊登的媒体名称、开标日期和地点；</w:t>
      </w:r>
    </w:p>
    <w:p>
      <w:pPr>
        <w:pStyle w:val="null3"/>
        <w:ind w:firstLine="480"/>
        <w:jc w:val="left"/>
      </w:pPr>
      <w:r>
        <w:rPr/>
        <w:t>二、投标人名单和评标委员会成员名单；</w:t>
      </w:r>
    </w:p>
    <w:p>
      <w:pPr>
        <w:pStyle w:val="null3"/>
        <w:ind w:firstLine="480"/>
        <w:jc w:val="left"/>
      </w:pPr>
      <w:r>
        <w:rPr/>
        <w:t>三、评标方法和标准；</w:t>
      </w:r>
    </w:p>
    <w:p>
      <w:pPr>
        <w:pStyle w:val="null3"/>
        <w:ind w:firstLine="480"/>
        <w:jc w:val="left"/>
      </w:pPr>
      <w:r>
        <w:rPr/>
        <w:t>四、开标记录和评标情况及说明，包括投标无效投标人名单及原因；</w:t>
      </w:r>
    </w:p>
    <w:p>
      <w:pPr>
        <w:pStyle w:val="null3"/>
        <w:ind w:firstLine="480"/>
        <w:jc w:val="left"/>
      </w:pPr>
      <w:r>
        <w:rPr/>
        <w:t>五、评标结果，确定的中标候选人名单或者经采购人委托直接确定的中标人；</w:t>
      </w:r>
    </w:p>
    <w:p>
      <w:pPr>
        <w:pStyle w:val="null3"/>
        <w:ind w:firstLine="480"/>
        <w:jc w:val="left"/>
      </w:pPr>
      <w:r>
        <w:rPr/>
        <w:t>六、其他需要说明的情况，包括评标过程中投标人根据评标委员会要求进行的澄清、说明或者补正，评标委员会成员的更换等；</w:t>
      </w:r>
    </w:p>
    <w:p>
      <w:pPr>
        <w:pStyle w:val="null3"/>
        <w:ind w:firstLine="480"/>
        <w:jc w:val="left"/>
      </w:pPr>
      <w:r>
        <w:rPr/>
        <w:t>七、报价最高的投标人为中标候选人的，评标委员会应当对其报价的合理性予以特别说明。</w:t>
      </w:r>
    </w:p>
    <w:p>
      <w:pPr>
        <w:pStyle w:val="null3"/>
        <w:ind w:firstLine="480"/>
        <w:jc w:val="left"/>
      </w:pPr>
      <w:r>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b/>
          <w:sz w:val="24"/>
        </w:rPr>
        <w:t>5.3.10.评标争议处理规则</w:t>
      </w:r>
    </w:p>
    <w:p>
      <w:pPr>
        <w:pStyle w:val="null3"/>
        <w:ind w:firstLine="480"/>
        <w:jc w:val="left"/>
      </w:pPr>
      <w:r>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b/>
          <w:sz w:val="28"/>
        </w:rPr>
        <w:t>5.4.评标方法、细则及标准</w:t>
      </w:r>
    </w:p>
    <w:p>
      <w:pPr>
        <w:pStyle w:val="null3"/>
        <w:jc w:val="left"/>
        <w:outlineLvl w:val="3"/>
      </w:pPr>
      <w:r>
        <w:rPr>
          <w:b/>
          <w:sz w:val="24"/>
        </w:rPr>
        <w:t>5.4.1.评分办法</w:t>
      </w:r>
    </w:p>
    <w:p>
      <w:pPr>
        <w:pStyle w:val="null3"/>
        <w:ind w:firstLine="480"/>
        <w:jc w:val="left"/>
      </w:pPr>
      <w:r>
        <w:rPr/>
        <w:t>（一）若采用综合评分法的，由评标委员会各成员对通过资格审查和符合性审查的投标人的投标文件进行独立评标。</w:t>
      </w:r>
    </w:p>
    <w:p>
      <w:pPr>
        <w:pStyle w:val="null3"/>
        <w:ind w:firstLine="960"/>
        <w:jc w:val="left"/>
      </w:pPr>
      <w:r>
        <w:rPr/>
        <w:t>投标报价得分=(评标基准价／投标报价)×100</w:t>
      </w:r>
    </w:p>
    <w:p>
      <w:pPr>
        <w:pStyle w:val="null3"/>
        <w:ind w:firstLine="960"/>
        <w:jc w:val="left"/>
      </w:pPr>
      <w:r>
        <w:rPr/>
        <w:t>评标总得分＝F1×A1＋F2×A2＋……＋Fn×An</w:t>
      </w:r>
    </w:p>
    <w:p>
      <w:pPr>
        <w:pStyle w:val="null3"/>
        <w:ind w:firstLine="960"/>
        <w:jc w:val="left"/>
      </w:pPr>
      <w:r>
        <w:rPr/>
        <w:t>F1、F2……Fn分别为各项评审因素的得分；</w:t>
      </w:r>
    </w:p>
    <w:p>
      <w:pPr>
        <w:pStyle w:val="null3"/>
        <w:ind w:firstLine="960"/>
        <w:jc w:val="left"/>
      </w:pPr>
      <w:r>
        <w:rPr/>
        <w:t>A1、A2、……An 分别为各项评审因素所占的权重（A1＋A2＋……＋An＝1）。</w:t>
      </w:r>
    </w:p>
    <w:p>
      <w:pPr>
        <w:pStyle w:val="null3"/>
        <w:ind w:firstLine="480"/>
        <w:jc w:val="left"/>
      </w:pPr>
      <w:r>
        <w:rPr/>
        <w:t>评标过程中，不得去掉报价中的最高报价和最低报价。</w:t>
      </w:r>
    </w:p>
    <w:p>
      <w:pPr>
        <w:pStyle w:val="null3"/>
        <w:ind w:firstLine="480"/>
        <w:jc w:val="left"/>
      </w:pPr>
      <w:r>
        <w:rPr/>
        <w:t>说明：</w:t>
      </w:r>
    </w:p>
    <w:p>
      <w:pPr>
        <w:pStyle w:val="null3"/>
        <w:ind w:firstLine="480"/>
        <w:jc w:val="left"/>
      </w:pPr>
      <w:r>
        <w:rPr/>
        <w:t>1.评分的取值按四舍五入法，保留小数点后两位；</w:t>
      </w:r>
    </w:p>
    <w:p>
      <w:pPr>
        <w:pStyle w:val="null3"/>
        <w:ind w:firstLine="480"/>
        <w:jc w:val="left"/>
      </w:pPr>
      <w:r>
        <w:rPr/>
        <w:t>2.评分标准中要求提供的证明材料须清晰可辨。</w:t>
      </w:r>
    </w:p>
    <w:p>
      <w:pPr>
        <w:pStyle w:val="null3"/>
        <w:ind w:firstLine="480"/>
        <w:jc w:val="left"/>
      </w:pPr>
      <w:r>
        <w:rPr/>
        <w:t>因落实政府采购政策进行价格调整的，以调整后的价格计算评标基准价和投标报价。</w:t>
      </w:r>
    </w:p>
    <w:p>
      <w:pPr>
        <w:pStyle w:val="null3"/>
        <w:ind w:firstLine="480"/>
        <w:jc w:val="left"/>
      </w:pPr>
      <w:r>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b/>
          <w:sz w:val="24"/>
        </w:rPr>
        <w:t>5.4.2.评标细则及标准</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jc w:val="left"/>
            </w:pPr>
            <w:r>
              <w:rPr/>
              <w:t>详细评审50.00分</w:t>
            </w:r>
          </w:p>
          <w:p>
            <w:pPr>
              <w:pStyle w:val="null3"/>
              <w:jc w:val="left"/>
            </w:pPr>
            <w:r>
              <w:rPr/>
              <w:t>报价得分50.00分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评审内容</w:t>
            </w:r>
          </w:p>
        </w:tc>
        <w:tc>
          <w:tcPr>
            <w:tcW w:type="dxa" w:w="2575"/>
          </w:tcPr>
          <w:p>
            <w:pPr>
              <w:pStyle w:val="null3"/>
              <w:jc w:val="center"/>
            </w:pPr>
            <w:r>
              <w:rPr/>
              <w:t xml:space="preserve"> 具体标准和要求</w:t>
            </w:r>
          </w:p>
        </w:tc>
        <w:tc>
          <w:tcPr>
            <w:tcW w:type="dxa" w:w="831"/>
          </w:tcPr>
          <w:p>
            <w:pPr>
              <w:pStyle w:val="null3"/>
              <w:jc w:val="center"/>
            </w:pPr>
            <w:r>
              <w:rPr>
                <w:b/>
              </w:rPr>
              <w:t xml:space="preserve"> 评标分值</w:t>
            </w:r>
          </w:p>
        </w:tc>
        <w:tc>
          <w:tcPr>
            <w:tcW w:type="dxa" w:w="748"/>
          </w:tcPr>
          <w:p>
            <w:pPr>
              <w:pStyle w:val="null3"/>
              <w:jc w:val="center"/>
            </w:pPr>
            <w:r>
              <w:rPr/>
              <w:t xml:space="preserve"> 客观/主观</w:t>
            </w:r>
          </w:p>
        </w:tc>
        <w:tc>
          <w:tcPr>
            <w:tcW w:type="dxa" w:w="1661"/>
          </w:tcPr>
          <w:p>
            <w:pPr>
              <w:pStyle w:val="null3"/>
              <w:jc w:val="center"/>
            </w:pPr>
            <w:r>
              <w:rPr>
                <w:b/>
              </w:rPr>
              <w:t xml:space="preserve"> 关联投标文件格式文本</w:t>
            </w:r>
          </w:p>
        </w:tc>
      </w:tr>
      <w:tr>
        <w:tc>
          <w:tcPr>
            <w:tcW w:type="dxa" w:w="831"/>
            <w:vMerge w:val="restart"/>
          </w:tcPr>
          <w:p>
            <w:pPr>
              <w:pStyle w:val="null3"/>
              <w:jc w:val="left"/>
            </w:pPr>
            <w:r>
              <w:rPr/>
              <w:t>详细评审</w:t>
            </w:r>
          </w:p>
        </w:tc>
        <w:tc>
          <w:tcPr>
            <w:tcW w:type="dxa" w:w="1661"/>
          </w:tcPr>
          <w:p>
            <w:pPr>
              <w:pStyle w:val="null3"/>
              <w:jc w:val="left"/>
            </w:pPr>
            <w:r>
              <w:rPr/>
              <w:t>技术要求</w:t>
            </w:r>
          </w:p>
        </w:tc>
        <w:tc>
          <w:tcPr>
            <w:tcW w:type="dxa" w:w="2575"/>
          </w:tcPr>
          <w:p>
            <w:pPr>
              <w:pStyle w:val="null3"/>
              <w:jc w:val="left"/>
            </w:pPr>
            <w:r>
              <w:rPr/>
              <w:t>根据投标人所投产品的技术指标响应情况进行评分： 1、带▲的参数：投标产品技术指标完全满足（或符合）招标文件带▲的参数要求的得15分，如有负偏离，按以下公式计取分值：得分=无负偏离项数量÷带▲的参数总数量×15。 2、非带▲的参数：投标产品技术指标完全满足（或符合）招标文件非带★、▲的参数要求的得12分，如有负偏离，按以下公式计取分值：得分=无负偏离项数量÷非带★、▲的参数总数量×12。 注：①本项所述的条款数量按以下原则计算：无子项的条款：以每项条款为1项进行计算；有子项的条款：以最末级的子项为1项进行计算。 ②带“★”号的参数必须满足，否则视为无效响应。</w:t>
            </w:r>
          </w:p>
        </w:tc>
        <w:tc>
          <w:tcPr>
            <w:tcW w:type="dxa" w:w="831"/>
          </w:tcPr>
          <w:p>
            <w:pPr>
              <w:pStyle w:val="null3"/>
              <w:jc w:val="center"/>
            </w:pPr>
            <w:r>
              <w:rPr/>
              <w:t>27.00</w:t>
            </w:r>
          </w:p>
        </w:tc>
        <w:tc>
          <w:tcPr>
            <w:tcW w:type="dxa" w:w="748"/>
          </w:tcPr>
          <w:p>
            <w:pPr>
              <w:pStyle w:val="null3"/>
              <w:jc w:val="center"/>
            </w:pPr>
            <w:r>
              <w:rPr/>
              <w:t>客观</w:t>
            </w:r>
          </w:p>
        </w:tc>
        <w:tc>
          <w:tcPr>
            <w:tcW w:type="dxa" w:w="1661"/>
          </w:tcPr>
          <w:p>
            <w:pPr>
              <w:pStyle w:val="null3"/>
              <w:jc w:val="left"/>
            </w:pPr>
            <w:r>
              <w:rPr/>
              <w:t>产品技术参数响应表</w:t>
            </w:r>
          </w:p>
        </w:tc>
      </w:tr>
      <w:tr>
        <w:tc>
          <w:tcPr>
            <w:tcW w:type="dxa" w:w="831"/>
            <w:vMerge/>
          </w:tcPr>
          <w:p/>
        </w:tc>
        <w:tc>
          <w:tcPr>
            <w:tcW w:type="dxa" w:w="1661"/>
          </w:tcPr>
          <w:p>
            <w:pPr>
              <w:pStyle w:val="null3"/>
              <w:jc w:val="left"/>
            </w:pPr>
            <w:r>
              <w:rPr/>
              <w:t>项目实施方案</w:t>
            </w:r>
          </w:p>
        </w:tc>
        <w:tc>
          <w:tcPr>
            <w:tcW w:type="dxa" w:w="2575"/>
          </w:tcPr>
          <w:p>
            <w:pPr>
              <w:pStyle w:val="null3"/>
              <w:jc w:val="left"/>
            </w:pPr>
            <w:r>
              <w:rPr/>
              <w:t>投标人针对本项目的实际情况制定的详细的项目管理方案，内容应包含①组织机构及人员配置；②应急方案；③运输方案；④交货期限安排；⑤交货进度保障措施；⑥快速的退换货机制及货物溯源保障措施等，项目管理方案总内容完全满足采购需求且符合项目实际的得12分，每有一项内容缺失扣2分，每有一处内容有缺陷（缺陷是指：方案内容有前后不一致，涉及的规范或标准错误，实施地点与本项目不一致，方案内容不适用本项目，方案实际内容与标题无关，错字漏字等语句不通顺，表述有歧义）的扣0.5分，扣完为止。</w:t>
            </w:r>
          </w:p>
        </w:tc>
        <w:tc>
          <w:tcPr>
            <w:tcW w:type="dxa" w:w="831"/>
          </w:tcPr>
          <w:p>
            <w:pPr>
              <w:pStyle w:val="null3"/>
              <w:jc w:val="center"/>
            </w:pPr>
            <w:r>
              <w:rPr/>
              <w:t>12.00</w:t>
            </w:r>
          </w:p>
        </w:tc>
        <w:tc>
          <w:tcPr>
            <w:tcW w:type="dxa" w:w="748"/>
          </w:tcPr>
          <w:p>
            <w:pPr>
              <w:pStyle w:val="null3"/>
              <w:jc w:val="center"/>
            </w:pPr>
            <w:r>
              <w:rPr/>
              <w:t>客观</w:t>
            </w:r>
          </w:p>
        </w:tc>
        <w:tc>
          <w:tcPr>
            <w:tcW w:type="dxa" w:w="1661"/>
          </w:tcPr>
          <w:p>
            <w:pPr>
              <w:pStyle w:val="null3"/>
              <w:jc w:val="left"/>
            </w:pPr>
            <w:r>
              <w:rPr/>
              <w:t>评分所需相关证明材料</w:t>
            </w:r>
          </w:p>
        </w:tc>
      </w:tr>
      <w:tr>
        <w:tc>
          <w:tcPr>
            <w:tcW w:type="dxa" w:w="831"/>
            <w:vMerge/>
          </w:tcPr>
          <w:p/>
        </w:tc>
        <w:tc>
          <w:tcPr>
            <w:tcW w:type="dxa" w:w="1661"/>
          </w:tcPr>
          <w:p>
            <w:pPr>
              <w:pStyle w:val="null3"/>
              <w:jc w:val="left"/>
            </w:pPr>
            <w:r>
              <w:rPr/>
              <w:t>售后服务</w:t>
            </w:r>
          </w:p>
        </w:tc>
        <w:tc>
          <w:tcPr>
            <w:tcW w:type="dxa" w:w="2575"/>
          </w:tcPr>
          <w:p>
            <w:pPr>
              <w:pStyle w:val="null3"/>
              <w:jc w:val="left"/>
            </w:pPr>
            <w:r>
              <w:rPr/>
              <w:t>投标人针对本项目编制的售后服务方案，内容应包含：①售后服务内容；②售后服务具体措施；③售后服务应急保障；④培训及技术支持。售后服务方案内容完全满足采购需求且符合项目实际的得8分;每有一项内容缺失扣2分，每有一处内容有缺陷（缺陷是指：方案内容有前后不一致，涉及的规范或标准错误，实施地点与本项目不一致，方案内容不适用本项目，方案实际内容与标题无关，错字漏字等语句不通顺，表述有歧义）的扣0.5分，扣完为止。</w:t>
            </w:r>
          </w:p>
        </w:tc>
        <w:tc>
          <w:tcPr>
            <w:tcW w:type="dxa" w:w="831"/>
          </w:tcPr>
          <w:p>
            <w:pPr>
              <w:pStyle w:val="null3"/>
              <w:jc w:val="center"/>
            </w:pPr>
            <w:r>
              <w:rPr/>
              <w:t>8.00</w:t>
            </w:r>
          </w:p>
        </w:tc>
        <w:tc>
          <w:tcPr>
            <w:tcW w:type="dxa" w:w="748"/>
          </w:tcPr>
          <w:p>
            <w:pPr>
              <w:pStyle w:val="null3"/>
              <w:jc w:val="center"/>
            </w:pPr>
            <w:r>
              <w:rPr/>
              <w:t>客观</w:t>
            </w:r>
          </w:p>
        </w:tc>
        <w:tc>
          <w:tcPr>
            <w:tcW w:type="dxa" w:w="1661"/>
          </w:tcPr>
          <w:p>
            <w:pPr>
              <w:pStyle w:val="null3"/>
              <w:jc w:val="left"/>
            </w:pPr>
            <w:r>
              <w:rPr/>
              <w:t>评分所需相关证明材料</w:t>
            </w:r>
          </w:p>
        </w:tc>
      </w:tr>
      <w:tr>
        <w:tc>
          <w:tcPr>
            <w:tcW w:type="dxa" w:w="831"/>
            <w:vMerge/>
          </w:tcPr>
          <w:p/>
        </w:tc>
        <w:tc>
          <w:tcPr>
            <w:tcW w:type="dxa" w:w="1661"/>
          </w:tcPr>
          <w:p>
            <w:pPr>
              <w:pStyle w:val="null3"/>
              <w:jc w:val="left"/>
            </w:pPr>
            <w:r>
              <w:rPr/>
              <w:t>节能环保</w:t>
            </w:r>
          </w:p>
        </w:tc>
        <w:tc>
          <w:tcPr>
            <w:tcW w:type="dxa" w:w="2575"/>
          </w:tcPr>
          <w:p>
            <w:pPr>
              <w:pStyle w:val="null3"/>
              <w:jc w:val="left"/>
            </w:pPr>
            <w:r>
              <w:rPr/>
              <w:t>供应商提供的投标产品属于政府采购优先节能产品、环境标志产品政府采购品目清单中的每有一项得1分，最多得2 分。需提供国家确定的认证机构出具的、处于有效期之内的认证证书复印件并加盖供应商单位公章，不提供的不得分。</w:t>
            </w:r>
          </w:p>
        </w:tc>
        <w:tc>
          <w:tcPr>
            <w:tcW w:type="dxa" w:w="831"/>
          </w:tcPr>
          <w:p>
            <w:pPr>
              <w:pStyle w:val="null3"/>
              <w:jc w:val="center"/>
            </w:pPr>
            <w:r>
              <w:rPr/>
              <w:t>2.00</w:t>
            </w:r>
          </w:p>
        </w:tc>
        <w:tc>
          <w:tcPr>
            <w:tcW w:type="dxa" w:w="748"/>
          </w:tcPr>
          <w:p>
            <w:pPr>
              <w:pStyle w:val="null3"/>
              <w:jc w:val="center"/>
            </w:pPr>
            <w:r>
              <w:rPr/>
              <w:t>客观</w:t>
            </w:r>
          </w:p>
        </w:tc>
        <w:tc>
          <w:tcPr>
            <w:tcW w:type="dxa" w:w="1661"/>
          </w:tcPr>
          <w:p>
            <w:pPr>
              <w:pStyle w:val="null3"/>
              <w:jc w:val="left"/>
            </w:pPr>
            <w:r>
              <w:rPr/>
              <w:t>评分所需相关证明材料</w:t>
            </w:r>
          </w:p>
        </w:tc>
      </w:tr>
      <w:tr>
        <w:tc>
          <w:tcPr>
            <w:tcW w:type="dxa" w:w="831"/>
            <w:vMerge/>
          </w:tcPr>
          <w:p/>
        </w:tc>
        <w:tc>
          <w:tcPr>
            <w:tcW w:type="dxa" w:w="1661"/>
          </w:tcPr>
          <w:p>
            <w:pPr>
              <w:pStyle w:val="null3"/>
              <w:jc w:val="left"/>
            </w:pPr>
            <w:r>
              <w:rPr/>
              <w:t>履约经验</w:t>
            </w:r>
          </w:p>
        </w:tc>
        <w:tc>
          <w:tcPr>
            <w:tcW w:type="dxa" w:w="2575"/>
          </w:tcPr>
          <w:p>
            <w:pPr>
              <w:pStyle w:val="null3"/>
              <w:jc w:val="left"/>
            </w:pPr>
            <w:r>
              <w:rPr/>
              <w:t>供应商具有类似项目业绩的，每一个得0.5分，最多得1分（提供中标(成交)通知书或合同复印件并加盖投标人鲜章）。</w:t>
            </w:r>
          </w:p>
        </w:tc>
        <w:tc>
          <w:tcPr>
            <w:tcW w:type="dxa" w:w="831"/>
          </w:tcPr>
          <w:p>
            <w:pPr>
              <w:pStyle w:val="null3"/>
              <w:jc w:val="center"/>
            </w:pPr>
            <w:r>
              <w:rPr/>
              <w:t>1.00</w:t>
            </w:r>
          </w:p>
        </w:tc>
        <w:tc>
          <w:tcPr>
            <w:tcW w:type="dxa" w:w="748"/>
          </w:tcPr>
          <w:p>
            <w:pPr>
              <w:pStyle w:val="null3"/>
              <w:jc w:val="center"/>
            </w:pPr>
            <w:r>
              <w:rPr/>
              <w:t>客观</w:t>
            </w:r>
          </w:p>
        </w:tc>
        <w:tc>
          <w:tcPr>
            <w:tcW w:type="dxa" w:w="1661"/>
          </w:tcPr>
          <w:p>
            <w:pPr>
              <w:pStyle w:val="null3"/>
              <w:jc w:val="left"/>
            </w:pPr>
            <w:r>
              <w:rPr/>
              <w:t>评分所需相关证明材料</w:t>
            </w:r>
          </w:p>
        </w:tc>
      </w:tr>
      <w:tr>
        <w:tc>
          <w:tcPr>
            <w:tcW w:type="dxa" w:w="831"/>
          </w:tcPr>
          <w:p>
            <w:pPr>
              <w:pStyle w:val="null3"/>
              <w:jc w:val="left"/>
            </w:pPr>
            <w:r>
              <w:rPr/>
              <w:t>价格分</w:t>
            </w:r>
          </w:p>
        </w:tc>
        <w:tc>
          <w:tcPr>
            <w:tcW w:type="dxa" w:w="1661"/>
          </w:tcPr>
          <w:p>
            <w:pPr>
              <w:pStyle w:val="null3"/>
              <w:jc w:val="left"/>
            </w:pPr>
            <w:r>
              <w:rPr/>
              <w:t>合计</w:t>
            </w:r>
          </w:p>
        </w:tc>
        <w:tc>
          <w:tcPr>
            <w:tcW w:type="dxa" w:w="2575"/>
          </w:tcPr>
          <w:p>
            <w:pPr>
              <w:pStyle w:val="null3"/>
              <w:jc w:val="left"/>
            </w:pPr>
            <w:r>
              <w:rPr/>
              <w:t>满足招标文件要求且报价最低的为评标基准价，价格得分=（评标基准价/报价）×分值</w:t>
            </w:r>
          </w:p>
        </w:tc>
        <w:tc>
          <w:tcPr>
            <w:tcW w:type="dxa" w:w="831"/>
          </w:tcPr>
          <w:p>
            <w:pPr>
              <w:pStyle w:val="null3"/>
              <w:jc w:val="center"/>
            </w:pPr>
            <w:r>
              <w:rPr/>
              <w:t>50.00</w:t>
            </w:r>
          </w:p>
        </w:tc>
        <w:tc>
          <w:tcPr>
            <w:tcW w:type="dxa" w:w="748"/>
          </w:tcPr>
          <w:p>
            <w:pPr>
              <w:pStyle w:val="null3"/>
              <w:jc w:val="center"/>
            </w:pPr>
            <w:r>
              <w:rPr/>
              <w:t>客观</w:t>
            </w:r>
          </w:p>
        </w:tc>
        <w:tc>
          <w:tcPr>
            <w:tcW w:type="dxa" w:w="1661"/>
          </w:tcPr>
          <w:p>
            <w:pPr>
              <w:pStyle w:val="null3"/>
              <w:jc w:val="left"/>
            </w:pPr>
            <w:r>
              <w:rPr/>
              <w:t>报价表</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jc w:val="left"/>
            </w:pPr>
            <w:r>
              <w:rPr/>
              <w:t>详细评审50.00分</w:t>
            </w:r>
          </w:p>
          <w:p>
            <w:pPr>
              <w:pStyle w:val="null3"/>
              <w:jc w:val="left"/>
            </w:pPr>
            <w:r>
              <w:rPr/>
              <w:t>报价得分50.00分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评审内容</w:t>
            </w:r>
          </w:p>
        </w:tc>
        <w:tc>
          <w:tcPr>
            <w:tcW w:type="dxa" w:w="2575"/>
          </w:tcPr>
          <w:p>
            <w:pPr>
              <w:pStyle w:val="null3"/>
              <w:jc w:val="center"/>
            </w:pPr>
            <w:r>
              <w:rPr/>
              <w:t xml:space="preserve"> 具体标准和要求</w:t>
            </w:r>
          </w:p>
        </w:tc>
        <w:tc>
          <w:tcPr>
            <w:tcW w:type="dxa" w:w="831"/>
          </w:tcPr>
          <w:p>
            <w:pPr>
              <w:pStyle w:val="null3"/>
              <w:jc w:val="center"/>
            </w:pPr>
            <w:r>
              <w:rPr>
                <w:b/>
              </w:rPr>
              <w:t xml:space="preserve"> 评标分值</w:t>
            </w:r>
          </w:p>
        </w:tc>
        <w:tc>
          <w:tcPr>
            <w:tcW w:type="dxa" w:w="748"/>
          </w:tcPr>
          <w:p>
            <w:pPr>
              <w:pStyle w:val="null3"/>
              <w:jc w:val="center"/>
            </w:pPr>
            <w:r>
              <w:rPr/>
              <w:t xml:space="preserve"> 客观/主观</w:t>
            </w:r>
          </w:p>
        </w:tc>
        <w:tc>
          <w:tcPr>
            <w:tcW w:type="dxa" w:w="1661"/>
          </w:tcPr>
          <w:p>
            <w:pPr>
              <w:pStyle w:val="null3"/>
              <w:jc w:val="center"/>
            </w:pPr>
            <w:r>
              <w:rPr>
                <w:b/>
              </w:rPr>
              <w:t xml:space="preserve"> 关联投标文件格式文本</w:t>
            </w:r>
          </w:p>
        </w:tc>
      </w:tr>
      <w:tr>
        <w:tc>
          <w:tcPr>
            <w:tcW w:type="dxa" w:w="831"/>
            <w:vMerge w:val="restart"/>
          </w:tcPr>
          <w:p>
            <w:pPr>
              <w:pStyle w:val="null3"/>
              <w:jc w:val="left"/>
            </w:pPr>
            <w:r>
              <w:rPr/>
              <w:t>详细评审</w:t>
            </w:r>
          </w:p>
        </w:tc>
        <w:tc>
          <w:tcPr>
            <w:tcW w:type="dxa" w:w="1661"/>
          </w:tcPr>
          <w:p>
            <w:pPr>
              <w:pStyle w:val="null3"/>
              <w:jc w:val="left"/>
            </w:pPr>
            <w:r>
              <w:rPr/>
              <w:t>技术要求</w:t>
            </w:r>
          </w:p>
        </w:tc>
        <w:tc>
          <w:tcPr>
            <w:tcW w:type="dxa" w:w="2575"/>
          </w:tcPr>
          <w:p>
            <w:pPr>
              <w:pStyle w:val="null3"/>
              <w:jc w:val="left"/>
            </w:pPr>
            <w:r>
              <w:rPr/>
              <w:t>根据投标人所投产品的技术指标响应情况进行评分： 1、带▲的参数：投标产品技术指标完全满足（或符合）招标文件带▲的参数要求的得15分，如有负偏离，按以下公式计取分值：得分=无负偏离项数量÷带▲的参数总数量×15。 2、非带▲的参数：投标产品技术指标完全满足（或符合）招标文件非带★、▲的参数要求的得12分，如有负偏离，按以下公式计取分值：得分=无负偏离项数量÷非带★、▲的参数总数量×12。 注：①本项所述的条款数量按以下原则计算：无子项的条款：以每项条款为1项进行计算；有子项的条款：以最末级的子项为1项进行计算。 ②带“★”号的参数必须满足，否则视为无效响应。</w:t>
            </w:r>
          </w:p>
        </w:tc>
        <w:tc>
          <w:tcPr>
            <w:tcW w:type="dxa" w:w="831"/>
          </w:tcPr>
          <w:p>
            <w:pPr>
              <w:pStyle w:val="null3"/>
              <w:jc w:val="center"/>
            </w:pPr>
            <w:r>
              <w:rPr/>
              <w:t>27.00</w:t>
            </w:r>
          </w:p>
        </w:tc>
        <w:tc>
          <w:tcPr>
            <w:tcW w:type="dxa" w:w="748"/>
          </w:tcPr>
          <w:p>
            <w:pPr>
              <w:pStyle w:val="null3"/>
              <w:jc w:val="center"/>
            </w:pPr>
            <w:r>
              <w:rPr/>
              <w:t>客观</w:t>
            </w:r>
          </w:p>
        </w:tc>
        <w:tc>
          <w:tcPr>
            <w:tcW w:type="dxa" w:w="1661"/>
          </w:tcPr>
          <w:p>
            <w:pPr>
              <w:pStyle w:val="null3"/>
              <w:jc w:val="left"/>
            </w:pPr>
            <w:r>
              <w:rPr/>
              <w:t>产品技术参数响应表</w:t>
            </w:r>
          </w:p>
        </w:tc>
      </w:tr>
      <w:tr>
        <w:tc>
          <w:tcPr>
            <w:tcW w:type="dxa" w:w="831"/>
            <w:vMerge/>
          </w:tcPr>
          <w:p/>
        </w:tc>
        <w:tc>
          <w:tcPr>
            <w:tcW w:type="dxa" w:w="1661"/>
          </w:tcPr>
          <w:p>
            <w:pPr>
              <w:pStyle w:val="null3"/>
              <w:jc w:val="left"/>
            </w:pPr>
            <w:r>
              <w:rPr/>
              <w:t>项目实施方案</w:t>
            </w:r>
          </w:p>
        </w:tc>
        <w:tc>
          <w:tcPr>
            <w:tcW w:type="dxa" w:w="2575"/>
          </w:tcPr>
          <w:p>
            <w:pPr>
              <w:pStyle w:val="null3"/>
              <w:jc w:val="left"/>
            </w:pPr>
            <w:r>
              <w:rPr/>
              <w:t>投标人针对本项目的实际情况制定的详细的项目管理方案，内容应包含①组织机构及人员配置；②应急方案；③运输方案；④交货期限安排；⑤交货进度保障措施；⑥快速的退换货机制及货物溯源保障措施等，项目管理方案总内容完全满足采购需求且符合项目实际的得12分，每有一项内容缺失扣2分，每有一处内容有缺陷（缺陷是指：方案内容有前后不一致，涉及的规范或标准错误，实施地点与本项目不一致，方案内容不适用本项目，方案实际内容与标题无关，错字漏字等语句不通顺，表述有歧义）的扣0.5分，扣完为止。</w:t>
            </w:r>
          </w:p>
        </w:tc>
        <w:tc>
          <w:tcPr>
            <w:tcW w:type="dxa" w:w="831"/>
          </w:tcPr>
          <w:p>
            <w:pPr>
              <w:pStyle w:val="null3"/>
              <w:jc w:val="center"/>
            </w:pPr>
            <w:r>
              <w:rPr/>
              <w:t>12.00</w:t>
            </w:r>
          </w:p>
        </w:tc>
        <w:tc>
          <w:tcPr>
            <w:tcW w:type="dxa" w:w="748"/>
          </w:tcPr>
          <w:p>
            <w:pPr>
              <w:pStyle w:val="null3"/>
              <w:jc w:val="center"/>
            </w:pPr>
            <w:r>
              <w:rPr/>
              <w:t>客观</w:t>
            </w:r>
          </w:p>
        </w:tc>
        <w:tc>
          <w:tcPr>
            <w:tcW w:type="dxa" w:w="1661"/>
          </w:tcPr>
          <w:p>
            <w:pPr>
              <w:pStyle w:val="null3"/>
              <w:jc w:val="left"/>
            </w:pPr>
            <w:r>
              <w:rPr/>
              <w:t>评分所需相关证明材料</w:t>
            </w:r>
          </w:p>
        </w:tc>
      </w:tr>
      <w:tr>
        <w:tc>
          <w:tcPr>
            <w:tcW w:type="dxa" w:w="831"/>
            <w:vMerge/>
          </w:tcPr>
          <w:p/>
        </w:tc>
        <w:tc>
          <w:tcPr>
            <w:tcW w:type="dxa" w:w="1661"/>
          </w:tcPr>
          <w:p>
            <w:pPr>
              <w:pStyle w:val="null3"/>
              <w:jc w:val="left"/>
            </w:pPr>
            <w:r>
              <w:rPr/>
              <w:t>售后服务</w:t>
            </w:r>
          </w:p>
        </w:tc>
        <w:tc>
          <w:tcPr>
            <w:tcW w:type="dxa" w:w="2575"/>
          </w:tcPr>
          <w:p>
            <w:pPr>
              <w:pStyle w:val="null3"/>
              <w:jc w:val="left"/>
            </w:pPr>
            <w:r>
              <w:rPr/>
              <w:t>投标人针对本项目编制的售后服务方案，内容应包含：①售后服务内容；②售后服务具体措施；③售后服务应急保障；④培训及技术支持。售后服务方案内容完全满足采购需求且符合项目实际的得8分;每有一项内容缺失扣2分，每有一处内容有缺陷（缺陷是指：方案内容有前后不一致，涉及的规范或标准错误，实施地点与本项目不一致，方案内容不适用本项目，方案实际内容与标题无关，错字漏字等语句不通顺，表述有歧义）的扣0.5分，扣完为止。</w:t>
            </w:r>
          </w:p>
        </w:tc>
        <w:tc>
          <w:tcPr>
            <w:tcW w:type="dxa" w:w="831"/>
          </w:tcPr>
          <w:p>
            <w:pPr>
              <w:pStyle w:val="null3"/>
              <w:jc w:val="center"/>
            </w:pPr>
            <w:r>
              <w:rPr/>
              <w:t>8.00</w:t>
            </w:r>
          </w:p>
        </w:tc>
        <w:tc>
          <w:tcPr>
            <w:tcW w:type="dxa" w:w="748"/>
          </w:tcPr>
          <w:p>
            <w:pPr>
              <w:pStyle w:val="null3"/>
              <w:jc w:val="center"/>
            </w:pPr>
            <w:r>
              <w:rPr/>
              <w:t>客观</w:t>
            </w:r>
          </w:p>
        </w:tc>
        <w:tc>
          <w:tcPr>
            <w:tcW w:type="dxa" w:w="1661"/>
          </w:tcPr>
          <w:p>
            <w:pPr>
              <w:pStyle w:val="null3"/>
              <w:jc w:val="left"/>
            </w:pPr>
            <w:r>
              <w:rPr/>
              <w:t>评分所需相关证明材料</w:t>
            </w:r>
          </w:p>
        </w:tc>
      </w:tr>
      <w:tr>
        <w:tc>
          <w:tcPr>
            <w:tcW w:type="dxa" w:w="831"/>
            <w:vMerge/>
          </w:tcPr>
          <w:p/>
        </w:tc>
        <w:tc>
          <w:tcPr>
            <w:tcW w:type="dxa" w:w="1661"/>
          </w:tcPr>
          <w:p>
            <w:pPr>
              <w:pStyle w:val="null3"/>
              <w:jc w:val="left"/>
            </w:pPr>
            <w:r>
              <w:rPr/>
              <w:t>节能环保</w:t>
            </w:r>
          </w:p>
        </w:tc>
        <w:tc>
          <w:tcPr>
            <w:tcW w:type="dxa" w:w="2575"/>
          </w:tcPr>
          <w:p>
            <w:pPr>
              <w:pStyle w:val="null3"/>
              <w:jc w:val="left"/>
            </w:pPr>
            <w:r>
              <w:rPr/>
              <w:t>供应商提供的投标产品属于政府采购优先节能产品、环境标志产品政府采购品目清单中的每有一项得1分，最多得2 分。需提供国家确定的认证机构出具的、处于有效期之内的认证证书复印件并加盖供应商单位公章，不提供的不得分。</w:t>
            </w:r>
          </w:p>
        </w:tc>
        <w:tc>
          <w:tcPr>
            <w:tcW w:type="dxa" w:w="831"/>
          </w:tcPr>
          <w:p>
            <w:pPr>
              <w:pStyle w:val="null3"/>
              <w:jc w:val="center"/>
            </w:pPr>
            <w:r>
              <w:rPr/>
              <w:t>2.00</w:t>
            </w:r>
          </w:p>
        </w:tc>
        <w:tc>
          <w:tcPr>
            <w:tcW w:type="dxa" w:w="748"/>
          </w:tcPr>
          <w:p>
            <w:pPr>
              <w:pStyle w:val="null3"/>
              <w:jc w:val="center"/>
            </w:pPr>
            <w:r>
              <w:rPr/>
              <w:t>客观</w:t>
            </w:r>
          </w:p>
        </w:tc>
        <w:tc>
          <w:tcPr>
            <w:tcW w:type="dxa" w:w="1661"/>
          </w:tcPr>
          <w:p>
            <w:pPr>
              <w:pStyle w:val="null3"/>
              <w:jc w:val="left"/>
            </w:pPr>
            <w:r>
              <w:rPr/>
              <w:t>评分所需相关证明材料</w:t>
            </w:r>
          </w:p>
        </w:tc>
      </w:tr>
      <w:tr>
        <w:tc>
          <w:tcPr>
            <w:tcW w:type="dxa" w:w="831"/>
            <w:vMerge/>
          </w:tcPr>
          <w:p/>
        </w:tc>
        <w:tc>
          <w:tcPr>
            <w:tcW w:type="dxa" w:w="1661"/>
          </w:tcPr>
          <w:p>
            <w:pPr>
              <w:pStyle w:val="null3"/>
              <w:jc w:val="left"/>
            </w:pPr>
            <w:r>
              <w:rPr/>
              <w:t>履约经验</w:t>
            </w:r>
          </w:p>
        </w:tc>
        <w:tc>
          <w:tcPr>
            <w:tcW w:type="dxa" w:w="2575"/>
          </w:tcPr>
          <w:p>
            <w:pPr>
              <w:pStyle w:val="null3"/>
              <w:jc w:val="left"/>
            </w:pPr>
            <w:r>
              <w:rPr/>
              <w:t>供应商具有类似项目业绩的，每一个得0.5分，最多得1分（提供中标(成交)通知书或合同复印件并加盖投标人鲜章）。</w:t>
            </w:r>
          </w:p>
        </w:tc>
        <w:tc>
          <w:tcPr>
            <w:tcW w:type="dxa" w:w="831"/>
          </w:tcPr>
          <w:p>
            <w:pPr>
              <w:pStyle w:val="null3"/>
              <w:jc w:val="center"/>
            </w:pPr>
            <w:r>
              <w:rPr/>
              <w:t>1.00</w:t>
            </w:r>
          </w:p>
        </w:tc>
        <w:tc>
          <w:tcPr>
            <w:tcW w:type="dxa" w:w="748"/>
          </w:tcPr>
          <w:p>
            <w:pPr>
              <w:pStyle w:val="null3"/>
              <w:jc w:val="center"/>
            </w:pPr>
            <w:r>
              <w:rPr/>
              <w:t>客观</w:t>
            </w:r>
          </w:p>
        </w:tc>
        <w:tc>
          <w:tcPr>
            <w:tcW w:type="dxa" w:w="1661"/>
          </w:tcPr>
          <w:p>
            <w:pPr>
              <w:pStyle w:val="null3"/>
              <w:jc w:val="left"/>
            </w:pPr>
            <w:r>
              <w:rPr/>
              <w:t>评分所需相关证明材料</w:t>
            </w:r>
          </w:p>
        </w:tc>
      </w:tr>
      <w:tr>
        <w:tc>
          <w:tcPr>
            <w:tcW w:type="dxa" w:w="831"/>
          </w:tcPr>
          <w:p>
            <w:pPr>
              <w:pStyle w:val="null3"/>
              <w:jc w:val="left"/>
            </w:pPr>
            <w:r>
              <w:rPr/>
              <w:t>价格分</w:t>
            </w:r>
          </w:p>
        </w:tc>
        <w:tc>
          <w:tcPr>
            <w:tcW w:type="dxa" w:w="1661"/>
          </w:tcPr>
          <w:p>
            <w:pPr>
              <w:pStyle w:val="null3"/>
              <w:jc w:val="left"/>
            </w:pPr>
            <w:r>
              <w:rPr/>
              <w:t>合计</w:t>
            </w:r>
          </w:p>
        </w:tc>
        <w:tc>
          <w:tcPr>
            <w:tcW w:type="dxa" w:w="2575"/>
          </w:tcPr>
          <w:p>
            <w:pPr>
              <w:pStyle w:val="null3"/>
              <w:jc w:val="left"/>
            </w:pPr>
            <w:r>
              <w:rPr/>
              <w:t>满足招标文件要求且报价最低的为评标基准价，价格得分=（评标基准价/报价）×分值</w:t>
            </w:r>
          </w:p>
        </w:tc>
        <w:tc>
          <w:tcPr>
            <w:tcW w:type="dxa" w:w="831"/>
          </w:tcPr>
          <w:p>
            <w:pPr>
              <w:pStyle w:val="null3"/>
              <w:jc w:val="center"/>
            </w:pPr>
            <w:r>
              <w:rPr/>
              <w:t>50.00</w:t>
            </w:r>
          </w:p>
        </w:tc>
        <w:tc>
          <w:tcPr>
            <w:tcW w:type="dxa" w:w="748"/>
          </w:tcPr>
          <w:p>
            <w:pPr>
              <w:pStyle w:val="null3"/>
              <w:jc w:val="center"/>
            </w:pPr>
            <w:r>
              <w:rPr/>
              <w:t>客观</w:t>
            </w:r>
          </w:p>
        </w:tc>
        <w:tc>
          <w:tcPr>
            <w:tcW w:type="dxa" w:w="1661"/>
          </w:tcPr>
          <w:p>
            <w:pPr>
              <w:pStyle w:val="null3"/>
              <w:jc w:val="left"/>
            </w:pPr>
            <w:r>
              <w:rPr/>
              <w:t>报价表</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jc w:val="left"/>
            </w:pPr>
            <w:r>
              <w:rPr/>
              <w:t>详细评审50.00分</w:t>
            </w:r>
          </w:p>
          <w:p>
            <w:pPr>
              <w:pStyle w:val="null3"/>
              <w:jc w:val="left"/>
            </w:pPr>
            <w:r>
              <w:rPr/>
              <w:t>报价得分50.00分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评审内容</w:t>
            </w:r>
          </w:p>
        </w:tc>
        <w:tc>
          <w:tcPr>
            <w:tcW w:type="dxa" w:w="2575"/>
          </w:tcPr>
          <w:p>
            <w:pPr>
              <w:pStyle w:val="null3"/>
              <w:jc w:val="center"/>
            </w:pPr>
            <w:r>
              <w:rPr/>
              <w:t xml:space="preserve"> 具体标准和要求</w:t>
            </w:r>
          </w:p>
        </w:tc>
        <w:tc>
          <w:tcPr>
            <w:tcW w:type="dxa" w:w="831"/>
          </w:tcPr>
          <w:p>
            <w:pPr>
              <w:pStyle w:val="null3"/>
              <w:jc w:val="center"/>
            </w:pPr>
            <w:r>
              <w:rPr>
                <w:b/>
              </w:rPr>
              <w:t xml:space="preserve"> 评标分值</w:t>
            </w:r>
          </w:p>
        </w:tc>
        <w:tc>
          <w:tcPr>
            <w:tcW w:type="dxa" w:w="748"/>
          </w:tcPr>
          <w:p>
            <w:pPr>
              <w:pStyle w:val="null3"/>
              <w:jc w:val="center"/>
            </w:pPr>
            <w:r>
              <w:rPr/>
              <w:t xml:space="preserve"> 客观/主观</w:t>
            </w:r>
          </w:p>
        </w:tc>
        <w:tc>
          <w:tcPr>
            <w:tcW w:type="dxa" w:w="1661"/>
          </w:tcPr>
          <w:p>
            <w:pPr>
              <w:pStyle w:val="null3"/>
              <w:jc w:val="center"/>
            </w:pPr>
            <w:r>
              <w:rPr>
                <w:b/>
              </w:rPr>
              <w:t xml:space="preserve"> 关联投标文件格式文本</w:t>
            </w:r>
          </w:p>
        </w:tc>
      </w:tr>
      <w:tr>
        <w:tc>
          <w:tcPr>
            <w:tcW w:type="dxa" w:w="831"/>
            <w:vMerge w:val="restart"/>
          </w:tcPr>
          <w:p>
            <w:pPr>
              <w:pStyle w:val="null3"/>
              <w:jc w:val="left"/>
            </w:pPr>
            <w:r>
              <w:rPr/>
              <w:t>详细评审</w:t>
            </w:r>
          </w:p>
        </w:tc>
        <w:tc>
          <w:tcPr>
            <w:tcW w:type="dxa" w:w="1661"/>
          </w:tcPr>
          <w:p>
            <w:pPr>
              <w:pStyle w:val="null3"/>
              <w:jc w:val="left"/>
            </w:pPr>
            <w:r>
              <w:rPr/>
              <w:t>技术要求</w:t>
            </w:r>
          </w:p>
        </w:tc>
        <w:tc>
          <w:tcPr>
            <w:tcW w:type="dxa" w:w="2575"/>
          </w:tcPr>
          <w:p>
            <w:pPr>
              <w:pStyle w:val="null3"/>
              <w:jc w:val="left"/>
            </w:pPr>
            <w:r>
              <w:rPr/>
              <w:t>根据投标人所投产品的技术指标响应情况进行评分： 1、带▲的参数：投标产品技术指标完全满足（或符合）招标文件带▲的参数要求的得15分，如有负偏离，按以下公式计取分值：得分=无负偏离项数量÷带▲的参数总数量×15。 2、非带▲的参数：投标产品技术指标完全满足（或符合）招标文件非带★、▲的参数要求的得12分，如有负偏离，按以下公式计取分值：得分=无负偏离项数量÷非带★、▲的参数总数量×12。 注：①本项所述的条款数量按以下原则计算：无子项的条款：以每项条款为1项进行计算；有子项的条款：以最末级的子项为1项进行计算。 ②带“★”号的参数必须满足，否则视为无效响应。</w:t>
            </w:r>
          </w:p>
        </w:tc>
        <w:tc>
          <w:tcPr>
            <w:tcW w:type="dxa" w:w="831"/>
          </w:tcPr>
          <w:p>
            <w:pPr>
              <w:pStyle w:val="null3"/>
              <w:jc w:val="center"/>
            </w:pPr>
            <w:r>
              <w:rPr/>
              <w:t>27.00</w:t>
            </w:r>
          </w:p>
        </w:tc>
        <w:tc>
          <w:tcPr>
            <w:tcW w:type="dxa" w:w="748"/>
          </w:tcPr>
          <w:p>
            <w:pPr>
              <w:pStyle w:val="null3"/>
              <w:jc w:val="center"/>
            </w:pPr>
            <w:r>
              <w:rPr/>
              <w:t>客观</w:t>
            </w:r>
          </w:p>
        </w:tc>
        <w:tc>
          <w:tcPr>
            <w:tcW w:type="dxa" w:w="1661"/>
          </w:tcPr>
          <w:p>
            <w:pPr>
              <w:pStyle w:val="null3"/>
              <w:jc w:val="left"/>
            </w:pPr>
            <w:r>
              <w:rPr/>
              <w:t>产品技术参数响应表</w:t>
            </w:r>
          </w:p>
        </w:tc>
      </w:tr>
      <w:tr>
        <w:tc>
          <w:tcPr>
            <w:tcW w:type="dxa" w:w="831"/>
            <w:vMerge/>
          </w:tcPr>
          <w:p/>
        </w:tc>
        <w:tc>
          <w:tcPr>
            <w:tcW w:type="dxa" w:w="1661"/>
          </w:tcPr>
          <w:p>
            <w:pPr>
              <w:pStyle w:val="null3"/>
              <w:jc w:val="left"/>
            </w:pPr>
            <w:r>
              <w:rPr/>
              <w:t>项目实施方案</w:t>
            </w:r>
          </w:p>
        </w:tc>
        <w:tc>
          <w:tcPr>
            <w:tcW w:type="dxa" w:w="2575"/>
          </w:tcPr>
          <w:p>
            <w:pPr>
              <w:pStyle w:val="null3"/>
              <w:jc w:val="left"/>
            </w:pPr>
            <w:r>
              <w:rPr/>
              <w:t>投标人针对本项目的实际情况制定的详细的项目管理方案，内容应包含①组织机构及人员配置；②应急方案；③运输方案；④交货期限安排；⑤交货进度保障措施；⑥快速的退换货机制及货物溯源保障措施等，项目管理方案总内容完全满足采购需求且符合项目实际的得12分，每有一项内容缺失扣2分，每有一处内容有缺陷（缺陷是指：方案内容有前后不一致，涉及的规范或标准错误，实施地点与本项目不一致，方案内容不适用本项目，方案实际内容与标题无关，错字漏字等语句不通顺，表述有歧义）的扣0.5分，扣完为止。</w:t>
            </w:r>
          </w:p>
        </w:tc>
        <w:tc>
          <w:tcPr>
            <w:tcW w:type="dxa" w:w="831"/>
          </w:tcPr>
          <w:p>
            <w:pPr>
              <w:pStyle w:val="null3"/>
              <w:jc w:val="center"/>
            </w:pPr>
            <w:r>
              <w:rPr/>
              <w:t>12.00</w:t>
            </w:r>
          </w:p>
        </w:tc>
        <w:tc>
          <w:tcPr>
            <w:tcW w:type="dxa" w:w="748"/>
          </w:tcPr>
          <w:p>
            <w:pPr>
              <w:pStyle w:val="null3"/>
              <w:jc w:val="center"/>
            </w:pPr>
            <w:r>
              <w:rPr/>
              <w:t>客观</w:t>
            </w:r>
          </w:p>
        </w:tc>
        <w:tc>
          <w:tcPr>
            <w:tcW w:type="dxa" w:w="1661"/>
          </w:tcPr>
          <w:p>
            <w:pPr>
              <w:pStyle w:val="null3"/>
              <w:jc w:val="left"/>
            </w:pPr>
            <w:r>
              <w:rPr/>
              <w:t>评分所需相关证明材料</w:t>
            </w:r>
          </w:p>
        </w:tc>
      </w:tr>
      <w:tr>
        <w:tc>
          <w:tcPr>
            <w:tcW w:type="dxa" w:w="831"/>
            <w:vMerge/>
          </w:tcPr>
          <w:p/>
        </w:tc>
        <w:tc>
          <w:tcPr>
            <w:tcW w:type="dxa" w:w="1661"/>
          </w:tcPr>
          <w:p>
            <w:pPr>
              <w:pStyle w:val="null3"/>
              <w:jc w:val="left"/>
            </w:pPr>
            <w:r>
              <w:rPr/>
              <w:t>售后服务</w:t>
            </w:r>
          </w:p>
        </w:tc>
        <w:tc>
          <w:tcPr>
            <w:tcW w:type="dxa" w:w="2575"/>
          </w:tcPr>
          <w:p>
            <w:pPr>
              <w:pStyle w:val="null3"/>
              <w:jc w:val="left"/>
            </w:pPr>
            <w:r>
              <w:rPr/>
              <w:t>投标人针对本项目编制的售后服务方案，内容应包含：①售后服务内容；②售后服务具体措施；③售后服务应急保障；④培训及技术支持。售后服务方案内容完全满足采购需求且符合项目实际的得8分;每有一项内容缺失扣2分，每有一处内容有缺陷（缺陷是指：方案内容有前后不一致，涉及的规范或标准错误，实施地点与本项目不一致，方案内容不适用本项目，方案实际内容与标题无关，错字漏字等语句不通顺，表述有歧义）的扣0.5分，扣完为止。</w:t>
            </w:r>
          </w:p>
        </w:tc>
        <w:tc>
          <w:tcPr>
            <w:tcW w:type="dxa" w:w="831"/>
          </w:tcPr>
          <w:p>
            <w:pPr>
              <w:pStyle w:val="null3"/>
              <w:jc w:val="center"/>
            </w:pPr>
            <w:r>
              <w:rPr/>
              <w:t>8.00</w:t>
            </w:r>
          </w:p>
        </w:tc>
        <w:tc>
          <w:tcPr>
            <w:tcW w:type="dxa" w:w="748"/>
          </w:tcPr>
          <w:p>
            <w:pPr>
              <w:pStyle w:val="null3"/>
              <w:jc w:val="center"/>
            </w:pPr>
            <w:r>
              <w:rPr/>
              <w:t>客观</w:t>
            </w:r>
          </w:p>
        </w:tc>
        <w:tc>
          <w:tcPr>
            <w:tcW w:type="dxa" w:w="1661"/>
          </w:tcPr>
          <w:p>
            <w:pPr>
              <w:pStyle w:val="null3"/>
              <w:jc w:val="left"/>
            </w:pPr>
            <w:r>
              <w:rPr/>
              <w:t>评分所需相关证明材料</w:t>
            </w:r>
          </w:p>
        </w:tc>
      </w:tr>
      <w:tr>
        <w:tc>
          <w:tcPr>
            <w:tcW w:type="dxa" w:w="831"/>
            <w:vMerge/>
          </w:tcPr>
          <w:p/>
        </w:tc>
        <w:tc>
          <w:tcPr>
            <w:tcW w:type="dxa" w:w="1661"/>
          </w:tcPr>
          <w:p>
            <w:pPr>
              <w:pStyle w:val="null3"/>
              <w:jc w:val="left"/>
            </w:pPr>
            <w:r>
              <w:rPr/>
              <w:t>节能环保</w:t>
            </w:r>
          </w:p>
        </w:tc>
        <w:tc>
          <w:tcPr>
            <w:tcW w:type="dxa" w:w="2575"/>
          </w:tcPr>
          <w:p>
            <w:pPr>
              <w:pStyle w:val="null3"/>
              <w:jc w:val="left"/>
            </w:pPr>
            <w:r>
              <w:rPr/>
              <w:t>供应商提供的投标产品属于政府采购优先节能产品、环境标志产品政府采购品目清单中的每有一项得1分，最多得2 分。需提供国家确定的认证机构出具的、处于有效期之内的认证证书复印件并加盖供应商单位公章，不提供的不得分。</w:t>
            </w:r>
          </w:p>
        </w:tc>
        <w:tc>
          <w:tcPr>
            <w:tcW w:type="dxa" w:w="831"/>
          </w:tcPr>
          <w:p>
            <w:pPr>
              <w:pStyle w:val="null3"/>
              <w:jc w:val="center"/>
            </w:pPr>
            <w:r>
              <w:rPr/>
              <w:t>2.00</w:t>
            </w:r>
          </w:p>
        </w:tc>
        <w:tc>
          <w:tcPr>
            <w:tcW w:type="dxa" w:w="748"/>
          </w:tcPr>
          <w:p>
            <w:pPr>
              <w:pStyle w:val="null3"/>
              <w:jc w:val="center"/>
            </w:pPr>
            <w:r>
              <w:rPr/>
              <w:t>客观</w:t>
            </w:r>
          </w:p>
        </w:tc>
        <w:tc>
          <w:tcPr>
            <w:tcW w:type="dxa" w:w="1661"/>
          </w:tcPr>
          <w:p>
            <w:pPr>
              <w:pStyle w:val="null3"/>
              <w:jc w:val="left"/>
            </w:pPr>
            <w:r>
              <w:rPr/>
              <w:t>评分所需相关证明材料</w:t>
            </w:r>
          </w:p>
        </w:tc>
      </w:tr>
      <w:tr>
        <w:tc>
          <w:tcPr>
            <w:tcW w:type="dxa" w:w="831"/>
            <w:vMerge/>
          </w:tcPr>
          <w:p/>
        </w:tc>
        <w:tc>
          <w:tcPr>
            <w:tcW w:type="dxa" w:w="1661"/>
          </w:tcPr>
          <w:p>
            <w:pPr>
              <w:pStyle w:val="null3"/>
              <w:jc w:val="left"/>
            </w:pPr>
            <w:r>
              <w:rPr/>
              <w:t>履约经验</w:t>
            </w:r>
          </w:p>
        </w:tc>
        <w:tc>
          <w:tcPr>
            <w:tcW w:type="dxa" w:w="2575"/>
          </w:tcPr>
          <w:p>
            <w:pPr>
              <w:pStyle w:val="null3"/>
              <w:jc w:val="left"/>
            </w:pPr>
            <w:r>
              <w:rPr/>
              <w:t>供应商具有类似项目业绩的，每一个得0.5分，最多得1分（提供中标(成交)通知书或合同复印件并加盖投标人鲜章）。</w:t>
            </w:r>
          </w:p>
        </w:tc>
        <w:tc>
          <w:tcPr>
            <w:tcW w:type="dxa" w:w="831"/>
          </w:tcPr>
          <w:p>
            <w:pPr>
              <w:pStyle w:val="null3"/>
              <w:jc w:val="center"/>
            </w:pPr>
            <w:r>
              <w:rPr/>
              <w:t>1.00</w:t>
            </w:r>
          </w:p>
        </w:tc>
        <w:tc>
          <w:tcPr>
            <w:tcW w:type="dxa" w:w="748"/>
          </w:tcPr>
          <w:p>
            <w:pPr>
              <w:pStyle w:val="null3"/>
              <w:jc w:val="center"/>
            </w:pPr>
            <w:r>
              <w:rPr/>
              <w:t>客观</w:t>
            </w:r>
          </w:p>
        </w:tc>
        <w:tc>
          <w:tcPr>
            <w:tcW w:type="dxa" w:w="1661"/>
          </w:tcPr>
          <w:p>
            <w:pPr>
              <w:pStyle w:val="null3"/>
              <w:jc w:val="left"/>
            </w:pPr>
            <w:r>
              <w:rPr/>
              <w:t>评分所需相关证明材料</w:t>
            </w:r>
          </w:p>
        </w:tc>
      </w:tr>
      <w:tr>
        <w:tc>
          <w:tcPr>
            <w:tcW w:type="dxa" w:w="831"/>
          </w:tcPr>
          <w:p>
            <w:pPr>
              <w:pStyle w:val="null3"/>
              <w:jc w:val="left"/>
            </w:pPr>
            <w:r>
              <w:rPr/>
              <w:t>价格分</w:t>
            </w:r>
          </w:p>
        </w:tc>
        <w:tc>
          <w:tcPr>
            <w:tcW w:type="dxa" w:w="1661"/>
          </w:tcPr>
          <w:p>
            <w:pPr>
              <w:pStyle w:val="null3"/>
              <w:jc w:val="left"/>
            </w:pPr>
            <w:r>
              <w:rPr/>
              <w:t>合计</w:t>
            </w:r>
          </w:p>
        </w:tc>
        <w:tc>
          <w:tcPr>
            <w:tcW w:type="dxa" w:w="2575"/>
          </w:tcPr>
          <w:p>
            <w:pPr>
              <w:pStyle w:val="null3"/>
              <w:jc w:val="left"/>
            </w:pPr>
            <w:r>
              <w:rPr/>
              <w:t>满足招标文件要求且报价最低的为评标基准价，价格得分=（评标基准价/报价）×分值</w:t>
            </w:r>
          </w:p>
        </w:tc>
        <w:tc>
          <w:tcPr>
            <w:tcW w:type="dxa" w:w="831"/>
          </w:tcPr>
          <w:p>
            <w:pPr>
              <w:pStyle w:val="null3"/>
              <w:jc w:val="center"/>
            </w:pPr>
            <w:r>
              <w:rPr/>
              <w:t>50.00</w:t>
            </w:r>
          </w:p>
        </w:tc>
        <w:tc>
          <w:tcPr>
            <w:tcW w:type="dxa" w:w="748"/>
          </w:tcPr>
          <w:p>
            <w:pPr>
              <w:pStyle w:val="null3"/>
              <w:jc w:val="center"/>
            </w:pPr>
            <w:r>
              <w:rPr/>
              <w:t>客观</w:t>
            </w:r>
          </w:p>
        </w:tc>
        <w:tc>
          <w:tcPr>
            <w:tcW w:type="dxa" w:w="1661"/>
          </w:tcPr>
          <w:p>
            <w:pPr>
              <w:pStyle w:val="null3"/>
              <w:jc w:val="left"/>
            </w:pPr>
            <w:r>
              <w:rPr/>
              <w:t>报价表</w:t>
            </w:r>
          </w:p>
        </w:tc>
      </w:tr>
    </w:tbl>
    <w:p>
      <w:pPr>
        <w:pStyle w:val="null3"/>
        <w:jc w:val="left"/>
      </w:pPr>
      <w:r>
        <w:rPr/>
        <w:t>采购包4：</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jc w:val="left"/>
            </w:pPr>
            <w:r>
              <w:rPr/>
              <w:t>详细评审50.00分</w:t>
            </w:r>
          </w:p>
          <w:p>
            <w:pPr>
              <w:pStyle w:val="null3"/>
              <w:jc w:val="left"/>
            </w:pPr>
            <w:r>
              <w:rPr/>
              <w:t>报价得分50.00分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评审内容</w:t>
            </w:r>
          </w:p>
        </w:tc>
        <w:tc>
          <w:tcPr>
            <w:tcW w:type="dxa" w:w="2575"/>
          </w:tcPr>
          <w:p>
            <w:pPr>
              <w:pStyle w:val="null3"/>
              <w:jc w:val="center"/>
            </w:pPr>
            <w:r>
              <w:rPr/>
              <w:t xml:space="preserve"> 具体标准和要求</w:t>
            </w:r>
          </w:p>
        </w:tc>
        <w:tc>
          <w:tcPr>
            <w:tcW w:type="dxa" w:w="831"/>
          </w:tcPr>
          <w:p>
            <w:pPr>
              <w:pStyle w:val="null3"/>
              <w:jc w:val="center"/>
            </w:pPr>
            <w:r>
              <w:rPr>
                <w:b/>
              </w:rPr>
              <w:t xml:space="preserve"> 评标分值</w:t>
            </w:r>
          </w:p>
        </w:tc>
        <w:tc>
          <w:tcPr>
            <w:tcW w:type="dxa" w:w="748"/>
          </w:tcPr>
          <w:p>
            <w:pPr>
              <w:pStyle w:val="null3"/>
              <w:jc w:val="center"/>
            </w:pPr>
            <w:r>
              <w:rPr/>
              <w:t xml:space="preserve"> 客观/主观</w:t>
            </w:r>
          </w:p>
        </w:tc>
        <w:tc>
          <w:tcPr>
            <w:tcW w:type="dxa" w:w="1661"/>
          </w:tcPr>
          <w:p>
            <w:pPr>
              <w:pStyle w:val="null3"/>
              <w:jc w:val="center"/>
            </w:pPr>
            <w:r>
              <w:rPr>
                <w:b/>
              </w:rPr>
              <w:t xml:space="preserve"> 关联投标文件格式文本</w:t>
            </w:r>
          </w:p>
        </w:tc>
      </w:tr>
      <w:tr>
        <w:tc>
          <w:tcPr>
            <w:tcW w:type="dxa" w:w="831"/>
            <w:vMerge w:val="restart"/>
          </w:tcPr>
          <w:p>
            <w:pPr>
              <w:pStyle w:val="null3"/>
              <w:jc w:val="left"/>
            </w:pPr>
            <w:r>
              <w:rPr/>
              <w:t>详细评审</w:t>
            </w:r>
          </w:p>
        </w:tc>
        <w:tc>
          <w:tcPr>
            <w:tcW w:type="dxa" w:w="1661"/>
          </w:tcPr>
          <w:p>
            <w:pPr>
              <w:pStyle w:val="null3"/>
              <w:jc w:val="left"/>
            </w:pPr>
            <w:r>
              <w:rPr/>
              <w:t>技术要求</w:t>
            </w:r>
          </w:p>
        </w:tc>
        <w:tc>
          <w:tcPr>
            <w:tcW w:type="dxa" w:w="2575"/>
          </w:tcPr>
          <w:p>
            <w:pPr>
              <w:pStyle w:val="null3"/>
              <w:jc w:val="left"/>
            </w:pPr>
            <w:r>
              <w:rPr/>
              <w:t>根据投标人所投产品的技术指标响应情况进行评分： 1、带▲的参数：投标产品技术指标完全满足（或符合）招标文件带▲的参数要求的得15分，如有负偏离，按以下公式计取分值：得分=无负偏离项数量÷带▲的参数总数量×15。 2、非带▲的参数：投标产品技术指标完全满足（或符合）招标文件非带★、▲的参数要求的得12分，如有负偏离，按以下公式计取分值：得分=无负偏离项数量÷非带★、▲的参数总数量×12。 注：①本项所述的条款数量按以下原则计算：无子项的条款：以每项条款为1项进行计算；有子项的条款：以最末级的子项为1项进行计算。 ②带“★”号的参数必须满足，否则视为无效响应。</w:t>
            </w:r>
          </w:p>
        </w:tc>
        <w:tc>
          <w:tcPr>
            <w:tcW w:type="dxa" w:w="831"/>
          </w:tcPr>
          <w:p>
            <w:pPr>
              <w:pStyle w:val="null3"/>
              <w:jc w:val="center"/>
            </w:pPr>
            <w:r>
              <w:rPr/>
              <w:t>27.00</w:t>
            </w:r>
          </w:p>
        </w:tc>
        <w:tc>
          <w:tcPr>
            <w:tcW w:type="dxa" w:w="748"/>
          </w:tcPr>
          <w:p>
            <w:pPr>
              <w:pStyle w:val="null3"/>
              <w:jc w:val="center"/>
            </w:pPr>
            <w:r>
              <w:rPr/>
              <w:t>客观</w:t>
            </w:r>
          </w:p>
        </w:tc>
        <w:tc>
          <w:tcPr>
            <w:tcW w:type="dxa" w:w="1661"/>
          </w:tcPr>
          <w:p>
            <w:pPr>
              <w:pStyle w:val="null3"/>
              <w:jc w:val="left"/>
            </w:pPr>
            <w:r>
              <w:rPr/>
              <w:t>产品技术参数响应表</w:t>
            </w:r>
          </w:p>
        </w:tc>
      </w:tr>
      <w:tr>
        <w:tc>
          <w:tcPr>
            <w:tcW w:type="dxa" w:w="831"/>
            <w:vMerge/>
          </w:tcPr>
          <w:p/>
        </w:tc>
        <w:tc>
          <w:tcPr>
            <w:tcW w:type="dxa" w:w="1661"/>
          </w:tcPr>
          <w:p>
            <w:pPr>
              <w:pStyle w:val="null3"/>
              <w:jc w:val="left"/>
            </w:pPr>
            <w:r>
              <w:rPr/>
              <w:t>项目实施方案</w:t>
            </w:r>
          </w:p>
        </w:tc>
        <w:tc>
          <w:tcPr>
            <w:tcW w:type="dxa" w:w="2575"/>
          </w:tcPr>
          <w:p>
            <w:pPr>
              <w:pStyle w:val="null3"/>
              <w:jc w:val="left"/>
            </w:pPr>
            <w:r>
              <w:rPr/>
              <w:t>投标人针对本项目的实际情况制定的详细的项目管理方案，内容应包含①组织机构及人员配置；②应急方案；③运输方案；④交货期限安排；⑤交货进度保障措施；⑥快速的退换货机制及货物溯源保障措施等，项目管理方案总内容完全满足采购需求且符合项目实际的得12分，每有一项内容缺失扣2分，每有一处内容有缺陷（缺陷是指：方案内容有前后不一致，涉及的规范或标准错误，实施地点与本项目不一致，方案内容不适用本项目，方案实际内容与标题无关，错字漏字等语句不通顺，表述有歧义）的扣0.5分，扣完为止。</w:t>
            </w:r>
          </w:p>
        </w:tc>
        <w:tc>
          <w:tcPr>
            <w:tcW w:type="dxa" w:w="831"/>
          </w:tcPr>
          <w:p>
            <w:pPr>
              <w:pStyle w:val="null3"/>
              <w:jc w:val="center"/>
            </w:pPr>
            <w:r>
              <w:rPr/>
              <w:t>12.00</w:t>
            </w:r>
          </w:p>
        </w:tc>
        <w:tc>
          <w:tcPr>
            <w:tcW w:type="dxa" w:w="748"/>
          </w:tcPr>
          <w:p>
            <w:pPr>
              <w:pStyle w:val="null3"/>
              <w:jc w:val="center"/>
            </w:pPr>
            <w:r>
              <w:rPr/>
              <w:t>客观</w:t>
            </w:r>
          </w:p>
        </w:tc>
        <w:tc>
          <w:tcPr>
            <w:tcW w:type="dxa" w:w="1661"/>
          </w:tcPr>
          <w:p>
            <w:pPr>
              <w:pStyle w:val="null3"/>
              <w:jc w:val="left"/>
            </w:pPr>
            <w:r>
              <w:rPr/>
              <w:t>评分所需相关证明材料</w:t>
            </w:r>
          </w:p>
        </w:tc>
      </w:tr>
      <w:tr>
        <w:tc>
          <w:tcPr>
            <w:tcW w:type="dxa" w:w="831"/>
            <w:vMerge/>
          </w:tcPr>
          <w:p/>
        </w:tc>
        <w:tc>
          <w:tcPr>
            <w:tcW w:type="dxa" w:w="1661"/>
          </w:tcPr>
          <w:p>
            <w:pPr>
              <w:pStyle w:val="null3"/>
              <w:jc w:val="left"/>
            </w:pPr>
            <w:r>
              <w:rPr/>
              <w:t>售后服务</w:t>
            </w:r>
          </w:p>
        </w:tc>
        <w:tc>
          <w:tcPr>
            <w:tcW w:type="dxa" w:w="2575"/>
          </w:tcPr>
          <w:p>
            <w:pPr>
              <w:pStyle w:val="null3"/>
              <w:jc w:val="left"/>
            </w:pPr>
            <w:r>
              <w:rPr/>
              <w:t>投标人针对本项目编制的售后服务方案，内容应包含：①售后服务内容；②售后服务具体措施；③售后服务应急保障；④培训及技术支持。售后服务方案内容完全满足采购需求且符合项目实际的得8分;每有一项内容缺失扣2分，每有一处内容有缺陷（缺陷是指：方案内容有前后不一致，涉及的规范或标准错误，实施地点与本项目不一致，方案内容不适用本项目，方案实际内容与标题无关，错字漏字等语句不通顺，表述有歧义）的扣0.5分，扣完为止。</w:t>
            </w:r>
          </w:p>
        </w:tc>
        <w:tc>
          <w:tcPr>
            <w:tcW w:type="dxa" w:w="831"/>
          </w:tcPr>
          <w:p>
            <w:pPr>
              <w:pStyle w:val="null3"/>
              <w:jc w:val="center"/>
            </w:pPr>
            <w:r>
              <w:rPr/>
              <w:t>8.00</w:t>
            </w:r>
          </w:p>
        </w:tc>
        <w:tc>
          <w:tcPr>
            <w:tcW w:type="dxa" w:w="748"/>
          </w:tcPr>
          <w:p>
            <w:pPr>
              <w:pStyle w:val="null3"/>
              <w:jc w:val="center"/>
            </w:pPr>
            <w:r>
              <w:rPr/>
              <w:t>客观</w:t>
            </w:r>
          </w:p>
        </w:tc>
        <w:tc>
          <w:tcPr>
            <w:tcW w:type="dxa" w:w="1661"/>
          </w:tcPr>
          <w:p>
            <w:pPr>
              <w:pStyle w:val="null3"/>
              <w:jc w:val="left"/>
            </w:pPr>
            <w:r>
              <w:rPr/>
              <w:t>评分所需相关证明材料</w:t>
            </w:r>
          </w:p>
        </w:tc>
      </w:tr>
      <w:tr>
        <w:tc>
          <w:tcPr>
            <w:tcW w:type="dxa" w:w="831"/>
            <w:vMerge/>
          </w:tcPr>
          <w:p/>
        </w:tc>
        <w:tc>
          <w:tcPr>
            <w:tcW w:type="dxa" w:w="1661"/>
          </w:tcPr>
          <w:p>
            <w:pPr>
              <w:pStyle w:val="null3"/>
              <w:jc w:val="left"/>
            </w:pPr>
            <w:r>
              <w:rPr/>
              <w:t>节能环保</w:t>
            </w:r>
          </w:p>
        </w:tc>
        <w:tc>
          <w:tcPr>
            <w:tcW w:type="dxa" w:w="2575"/>
          </w:tcPr>
          <w:p>
            <w:pPr>
              <w:pStyle w:val="null3"/>
              <w:jc w:val="left"/>
            </w:pPr>
            <w:r>
              <w:rPr/>
              <w:t>供应商提供的投标产品属于政府采购优先节能产品、环境标志产品政府采购品目清单中的每有一项得1分，最多得2 分。需提供国家确定的认证机构出具的、处于有效期之内的认证证书复印件并加盖供应商单位公章，不提供的不得分。</w:t>
            </w:r>
          </w:p>
        </w:tc>
        <w:tc>
          <w:tcPr>
            <w:tcW w:type="dxa" w:w="831"/>
          </w:tcPr>
          <w:p>
            <w:pPr>
              <w:pStyle w:val="null3"/>
              <w:jc w:val="center"/>
            </w:pPr>
            <w:r>
              <w:rPr/>
              <w:t>2.00</w:t>
            </w:r>
          </w:p>
        </w:tc>
        <w:tc>
          <w:tcPr>
            <w:tcW w:type="dxa" w:w="748"/>
          </w:tcPr>
          <w:p>
            <w:pPr>
              <w:pStyle w:val="null3"/>
              <w:jc w:val="center"/>
            </w:pPr>
            <w:r>
              <w:rPr/>
              <w:t>客观</w:t>
            </w:r>
          </w:p>
        </w:tc>
        <w:tc>
          <w:tcPr>
            <w:tcW w:type="dxa" w:w="1661"/>
          </w:tcPr>
          <w:p>
            <w:pPr>
              <w:pStyle w:val="null3"/>
              <w:jc w:val="left"/>
            </w:pPr>
            <w:r>
              <w:rPr/>
              <w:t>评分所需相关证明材料</w:t>
            </w:r>
          </w:p>
        </w:tc>
      </w:tr>
      <w:tr>
        <w:tc>
          <w:tcPr>
            <w:tcW w:type="dxa" w:w="831"/>
            <w:vMerge/>
          </w:tcPr>
          <w:p/>
        </w:tc>
        <w:tc>
          <w:tcPr>
            <w:tcW w:type="dxa" w:w="1661"/>
          </w:tcPr>
          <w:p>
            <w:pPr>
              <w:pStyle w:val="null3"/>
              <w:jc w:val="left"/>
            </w:pPr>
            <w:r>
              <w:rPr/>
              <w:t>履约经验</w:t>
            </w:r>
          </w:p>
        </w:tc>
        <w:tc>
          <w:tcPr>
            <w:tcW w:type="dxa" w:w="2575"/>
          </w:tcPr>
          <w:p>
            <w:pPr>
              <w:pStyle w:val="null3"/>
              <w:jc w:val="left"/>
            </w:pPr>
            <w:r>
              <w:rPr/>
              <w:t>供应商具有类似项目业绩的，每一个得0.5分，最多得1分（提供中标(成交)通知书或合同复印件并加盖投标人鲜章）。</w:t>
            </w:r>
          </w:p>
        </w:tc>
        <w:tc>
          <w:tcPr>
            <w:tcW w:type="dxa" w:w="831"/>
          </w:tcPr>
          <w:p>
            <w:pPr>
              <w:pStyle w:val="null3"/>
              <w:jc w:val="center"/>
            </w:pPr>
            <w:r>
              <w:rPr/>
              <w:t>1.00</w:t>
            </w:r>
          </w:p>
        </w:tc>
        <w:tc>
          <w:tcPr>
            <w:tcW w:type="dxa" w:w="748"/>
          </w:tcPr>
          <w:p>
            <w:pPr>
              <w:pStyle w:val="null3"/>
              <w:jc w:val="center"/>
            </w:pPr>
            <w:r>
              <w:rPr/>
              <w:t>客观</w:t>
            </w:r>
          </w:p>
        </w:tc>
        <w:tc>
          <w:tcPr>
            <w:tcW w:type="dxa" w:w="1661"/>
          </w:tcPr>
          <w:p>
            <w:pPr>
              <w:pStyle w:val="null3"/>
              <w:jc w:val="left"/>
            </w:pPr>
            <w:r>
              <w:rPr/>
              <w:t>评分所需相关证明材料</w:t>
            </w:r>
          </w:p>
        </w:tc>
      </w:tr>
      <w:tr>
        <w:tc>
          <w:tcPr>
            <w:tcW w:type="dxa" w:w="831"/>
          </w:tcPr>
          <w:p>
            <w:pPr>
              <w:pStyle w:val="null3"/>
              <w:jc w:val="left"/>
            </w:pPr>
            <w:r>
              <w:rPr/>
              <w:t>价格分</w:t>
            </w:r>
          </w:p>
        </w:tc>
        <w:tc>
          <w:tcPr>
            <w:tcW w:type="dxa" w:w="1661"/>
          </w:tcPr>
          <w:p>
            <w:pPr>
              <w:pStyle w:val="null3"/>
              <w:jc w:val="left"/>
            </w:pPr>
            <w:r>
              <w:rPr/>
              <w:t>合计</w:t>
            </w:r>
          </w:p>
        </w:tc>
        <w:tc>
          <w:tcPr>
            <w:tcW w:type="dxa" w:w="2575"/>
          </w:tcPr>
          <w:p>
            <w:pPr>
              <w:pStyle w:val="null3"/>
              <w:jc w:val="left"/>
            </w:pPr>
            <w:r>
              <w:rPr/>
              <w:t>满足招标文件要求且报价最低的为评标基准价，价格得分=（评标基准价/报价）×分值</w:t>
            </w:r>
          </w:p>
        </w:tc>
        <w:tc>
          <w:tcPr>
            <w:tcW w:type="dxa" w:w="831"/>
          </w:tcPr>
          <w:p>
            <w:pPr>
              <w:pStyle w:val="null3"/>
              <w:jc w:val="center"/>
            </w:pPr>
            <w:r>
              <w:rPr/>
              <w:t>50.00</w:t>
            </w:r>
          </w:p>
        </w:tc>
        <w:tc>
          <w:tcPr>
            <w:tcW w:type="dxa" w:w="748"/>
          </w:tcPr>
          <w:p>
            <w:pPr>
              <w:pStyle w:val="null3"/>
              <w:jc w:val="center"/>
            </w:pPr>
            <w:r>
              <w:rPr/>
              <w:t>客观</w:t>
            </w:r>
          </w:p>
        </w:tc>
        <w:tc>
          <w:tcPr>
            <w:tcW w:type="dxa" w:w="1661"/>
          </w:tcPr>
          <w:p>
            <w:pPr>
              <w:pStyle w:val="null3"/>
              <w:jc w:val="left"/>
            </w:pPr>
            <w:r>
              <w:rPr/>
              <w:t>报价表</w:t>
            </w:r>
          </w:p>
        </w:tc>
      </w:tr>
    </w:tbl>
    <w:p>
      <w:pPr>
        <w:pStyle w:val="null3"/>
        <w:jc w:val="left"/>
        <w:outlineLvl w:val="3"/>
      </w:pPr>
      <w:r>
        <w:rPr>
          <w:b/>
          <w:sz w:val="24"/>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left"/>
            </w:pPr>
            <w:r>
              <w:rPr/>
              <w:t>1</w:t>
            </w:r>
          </w:p>
        </w:tc>
        <w:tc>
          <w:tcPr>
            <w:tcW w:type="dxa" w:w="1661"/>
          </w:tcPr>
          <w:p>
            <w:pPr>
              <w:pStyle w:val="null3"/>
              <w:jc w:val="left"/>
            </w:pPr>
            <w:r>
              <w:rPr/>
              <w:t>落实支持中小企业发展政策</w:t>
            </w:r>
          </w:p>
        </w:tc>
        <w:tc>
          <w:tcPr>
            <w:tcW w:type="dxa" w:w="1661"/>
          </w:tcPr>
          <w:p>
            <w:pPr>
              <w:pStyle w:val="null3"/>
              <w:jc w:val="left"/>
            </w:pPr>
            <w:r>
              <w:rPr/>
              <w:t>符合《政府采购促进中小企业发展管理办法》（财库〔2020〕46号）规定的小微企业报价给予扣除，用扣除后的价格参加评审。</w:t>
            </w:r>
          </w:p>
        </w:tc>
        <w:tc>
          <w:tcPr>
            <w:tcW w:type="dxa" w:w="831"/>
          </w:tcPr>
          <w:p>
            <w:pPr>
              <w:pStyle w:val="null3"/>
              <w:jc w:val="right"/>
            </w:pPr>
            <w:r>
              <w:rPr/>
              <w:t>20.00%</w:t>
            </w:r>
          </w:p>
        </w:tc>
        <w:tc>
          <w:tcPr>
            <w:tcW w:type="dxa" w:w="1661"/>
          </w:tcPr>
          <w:p>
            <w:pPr>
              <w:pStyle w:val="null3"/>
              <w:jc w:val="left"/>
            </w:pPr>
            <w:r>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中小企业声明函 残疾人福利性单位声明函 报价表 监狱企业的证明文件</w:t>
            </w:r>
          </w:p>
        </w:tc>
      </w:tr>
      <w:tr>
        <w:tc>
          <w:tcPr>
            <w:tcW w:type="dxa" w:w="581"/>
          </w:tcPr>
          <w:p>
            <w:pPr>
              <w:pStyle w:val="null3"/>
              <w:jc w:val="left"/>
            </w:pPr>
            <w:r>
              <w:rPr/>
              <w:t>2</w:t>
            </w:r>
          </w:p>
        </w:tc>
        <w:tc>
          <w:tcPr>
            <w:tcW w:type="dxa" w:w="1661"/>
          </w:tcPr>
          <w:p>
            <w:pPr>
              <w:pStyle w:val="null3"/>
              <w:jc w:val="left"/>
            </w:pPr>
            <w:r>
              <w:rPr/>
              <w:t>落实支持中小企业发展政策</w:t>
            </w:r>
          </w:p>
        </w:tc>
        <w:tc>
          <w:tcPr>
            <w:tcW w:type="dxa" w:w="1661"/>
          </w:tcPr>
          <w:p>
            <w:pPr>
              <w:pStyle w:val="null3"/>
              <w:jc w:val="left"/>
            </w:pPr>
            <w:r>
              <w:rPr/>
              <w:t>本采购包接受大中型企业与小微企业组成联合体，对联合协议约定小微企业的合同份额占到合同总金额30%以上的，对联合体的报价给予扣除，用扣除后的价格参加评审。组成联合体的小微企业与联合体内其他企业之间存在直接控股、管理关系的，不享受价格扣除优惠政策。</w:t>
            </w:r>
          </w:p>
        </w:tc>
        <w:tc>
          <w:tcPr>
            <w:tcW w:type="dxa" w:w="831"/>
          </w:tcPr>
          <w:p>
            <w:pPr>
              <w:pStyle w:val="null3"/>
              <w:jc w:val="right"/>
            </w:pPr>
            <w:r>
              <w:rPr/>
              <w:t>6.00%</w:t>
            </w:r>
          </w:p>
        </w:tc>
        <w:tc>
          <w:tcPr>
            <w:tcW w:type="dxa" w:w="1661"/>
          </w:tcPr>
          <w:p>
            <w:pPr>
              <w:pStyle w:val="null3"/>
              <w:jc w:val="left"/>
            </w:pPr>
            <w:r>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中小企业声明函 残疾人福利性单位声明函 报价表 监狱企业的证明文件</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left"/>
            </w:pPr>
            <w:r>
              <w:rPr/>
              <w:t>1</w:t>
            </w:r>
          </w:p>
        </w:tc>
        <w:tc>
          <w:tcPr>
            <w:tcW w:type="dxa" w:w="1661"/>
          </w:tcPr>
          <w:p>
            <w:pPr>
              <w:pStyle w:val="null3"/>
              <w:jc w:val="left"/>
            </w:pPr>
            <w:r>
              <w:rPr/>
              <w:t>落实支持中小企业发展政策</w:t>
            </w:r>
          </w:p>
        </w:tc>
        <w:tc>
          <w:tcPr>
            <w:tcW w:type="dxa" w:w="1661"/>
          </w:tcPr>
          <w:p>
            <w:pPr>
              <w:pStyle w:val="null3"/>
              <w:jc w:val="left"/>
            </w:pPr>
            <w:r>
              <w:rPr/>
              <w:t>符合《政府采购促进中小企业发展管理办法》（财库〔2020〕46号）规定的小微企业报价给予扣除，用扣除后的价格参加评审。</w:t>
            </w:r>
          </w:p>
        </w:tc>
        <w:tc>
          <w:tcPr>
            <w:tcW w:type="dxa" w:w="831"/>
          </w:tcPr>
          <w:p>
            <w:pPr>
              <w:pStyle w:val="null3"/>
              <w:jc w:val="right"/>
            </w:pPr>
            <w:r>
              <w:rPr/>
              <w:t>20.00%</w:t>
            </w:r>
          </w:p>
        </w:tc>
        <w:tc>
          <w:tcPr>
            <w:tcW w:type="dxa" w:w="1661"/>
          </w:tcPr>
          <w:p>
            <w:pPr>
              <w:pStyle w:val="null3"/>
              <w:jc w:val="left"/>
            </w:pPr>
            <w:r>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中小企业声明函 残疾人福利性单位声明函 报价表 监狱企业的证明文件</w:t>
            </w:r>
          </w:p>
        </w:tc>
      </w:tr>
      <w:tr>
        <w:tc>
          <w:tcPr>
            <w:tcW w:type="dxa" w:w="581"/>
          </w:tcPr>
          <w:p>
            <w:pPr>
              <w:pStyle w:val="null3"/>
              <w:jc w:val="left"/>
            </w:pPr>
            <w:r>
              <w:rPr/>
              <w:t>2</w:t>
            </w:r>
          </w:p>
        </w:tc>
        <w:tc>
          <w:tcPr>
            <w:tcW w:type="dxa" w:w="1661"/>
          </w:tcPr>
          <w:p>
            <w:pPr>
              <w:pStyle w:val="null3"/>
              <w:jc w:val="left"/>
            </w:pPr>
            <w:r>
              <w:rPr/>
              <w:t>落实支持中小企业发展政策</w:t>
            </w:r>
          </w:p>
        </w:tc>
        <w:tc>
          <w:tcPr>
            <w:tcW w:type="dxa" w:w="1661"/>
          </w:tcPr>
          <w:p>
            <w:pPr>
              <w:pStyle w:val="null3"/>
              <w:jc w:val="left"/>
            </w:pPr>
            <w:r>
              <w:rPr/>
              <w:t>本采购包接受大中型企业与小微企业组成联合体，对联合协议约定小微企业的合同份额占到合同总金额30%以上的，对联合体的报价给予扣除，用扣除后的价格参加评审。组成联合体的小微企业与联合体内其他企业之间存在直接控股、管理关系的，不享受价格扣除优惠政策。</w:t>
            </w:r>
          </w:p>
        </w:tc>
        <w:tc>
          <w:tcPr>
            <w:tcW w:type="dxa" w:w="831"/>
          </w:tcPr>
          <w:p>
            <w:pPr>
              <w:pStyle w:val="null3"/>
              <w:jc w:val="right"/>
            </w:pPr>
            <w:r>
              <w:rPr/>
              <w:t>6.00%</w:t>
            </w:r>
          </w:p>
        </w:tc>
        <w:tc>
          <w:tcPr>
            <w:tcW w:type="dxa" w:w="1661"/>
          </w:tcPr>
          <w:p>
            <w:pPr>
              <w:pStyle w:val="null3"/>
              <w:jc w:val="left"/>
            </w:pPr>
            <w:r>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中小企业声明函 残疾人福利性单位声明函 报价表 监狱企业的证明文件</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left"/>
            </w:pPr>
            <w:r>
              <w:rPr/>
              <w:t>1</w:t>
            </w:r>
          </w:p>
        </w:tc>
        <w:tc>
          <w:tcPr>
            <w:tcW w:type="dxa" w:w="1661"/>
          </w:tcPr>
          <w:p>
            <w:pPr>
              <w:pStyle w:val="null3"/>
              <w:jc w:val="left"/>
            </w:pPr>
            <w:r>
              <w:rPr/>
              <w:t>落实支持中小企业发展政策</w:t>
            </w:r>
          </w:p>
        </w:tc>
        <w:tc>
          <w:tcPr>
            <w:tcW w:type="dxa" w:w="1661"/>
          </w:tcPr>
          <w:p>
            <w:pPr>
              <w:pStyle w:val="null3"/>
              <w:jc w:val="left"/>
            </w:pPr>
            <w:r>
              <w:rPr/>
              <w:t>符合《政府采购促进中小企业发展管理办法》（财库〔2020〕46号）规定的小微企业报价给予扣除，用扣除后的价格参加评审。</w:t>
            </w:r>
          </w:p>
        </w:tc>
        <w:tc>
          <w:tcPr>
            <w:tcW w:type="dxa" w:w="831"/>
          </w:tcPr>
          <w:p>
            <w:pPr>
              <w:pStyle w:val="null3"/>
              <w:jc w:val="right"/>
            </w:pPr>
            <w:r>
              <w:rPr/>
              <w:t>20.00%</w:t>
            </w:r>
          </w:p>
        </w:tc>
        <w:tc>
          <w:tcPr>
            <w:tcW w:type="dxa" w:w="1661"/>
          </w:tcPr>
          <w:p>
            <w:pPr>
              <w:pStyle w:val="null3"/>
              <w:jc w:val="left"/>
            </w:pPr>
            <w:r>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中小企业声明函 残疾人福利性单位声明函 报价表 监狱企业的证明文件</w:t>
            </w:r>
          </w:p>
        </w:tc>
      </w:tr>
      <w:tr>
        <w:tc>
          <w:tcPr>
            <w:tcW w:type="dxa" w:w="581"/>
          </w:tcPr>
          <w:p>
            <w:pPr>
              <w:pStyle w:val="null3"/>
              <w:jc w:val="left"/>
            </w:pPr>
            <w:r>
              <w:rPr/>
              <w:t>2</w:t>
            </w:r>
          </w:p>
        </w:tc>
        <w:tc>
          <w:tcPr>
            <w:tcW w:type="dxa" w:w="1661"/>
          </w:tcPr>
          <w:p>
            <w:pPr>
              <w:pStyle w:val="null3"/>
              <w:jc w:val="left"/>
            </w:pPr>
            <w:r>
              <w:rPr/>
              <w:t>落实支持中小企业发展政策</w:t>
            </w:r>
          </w:p>
        </w:tc>
        <w:tc>
          <w:tcPr>
            <w:tcW w:type="dxa" w:w="1661"/>
          </w:tcPr>
          <w:p>
            <w:pPr>
              <w:pStyle w:val="null3"/>
              <w:jc w:val="left"/>
            </w:pPr>
            <w:r>
              <w:rPr/>
              <w:t>本采购包接受大中型企业与小微企业组成联合体，对联合协议约定小微企业的合同份额占到合同总金额30%以上的，对联合体的报价给予扣除，用扣除后的价格参加评审。组成联合体的小微企业与联合体内其他企业之间存在直接控股、管理关系的，不享受价格扣除优惠政策。</w:t>
            </w:r>
          </w:p>
        </w:tc>
        <w:tc>
          <w:tcPr>
            <w:tcW w:type="dxa" w:w="831"/>
          </w:tcPr>
          <w:p>
            <w:pPr>
              <w:pStyle w:val="null3"/>
              <w:jc w:val="right"/>
            </w:pPr>
            <w:r>
              <w:rPr/>
              <w:t>6.00%</w:t>
            </w:r>
          </w:p>
        </w:tc>
        <w:tc>
          <w:tcPr>
            <w:tcW w:type="dxa" w:w="1661"/>
          </w:tcPr>
          <w:p>
            <w:pPr>
              <w:pStyle w:val="null3"/>
              <w:jc w:val="left"/>
            </w:pPr>
            <w:r>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中小企业声明函 残疾人福利性单位声明函 报价表 监狱企业的证明文件</w:t>
            </w:r>
          </w:p>
        </w:tc>
      </w:tr>
    </w:tbl>
    <w:p>
      <w:pPr>
        <w:pStyle w:val="null3"/>
        <w:jc w:val="left"/>
      </w:pPr>
      <w:r>
        <w:rPr/>
        <w:t>采购包4：</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left"/>
            </w:pPr>
            <w:r>
              <w:rPr/>
              <w:t>1</w:t>
            </w:r>
          </w:p>
        </w:tc>
        <w:tc>
          <w:tcPr>
            <w:tcW w:type="dxa" w:w="1661"/>
          </w:tcPr>
          <w:p>
            <w:pPr>
              <w:pStyle w:val="null3"/>
              <w:jc w:val="left"/>
            </w:pPr>
            <w:r>
              <w:rPr/>
              <w:t>落实支持中小企业发展政策</w:t>
            </w:r>
          </w:p>
        </w:tc>
        <w:tc>
          <w:tcPr>
            <w:tcW w:type="dxa" w:w="1661"/>
          </w:tcPr>
          <w:p>
            <w:pPr>
              <w:pStyle w:val="null3"/>
              <w:jc w:val="left"/>
            </w:pPr>
            <w:r>
              <w:rPr/>
              <w:t>符合《政府采购促进中小企业发展管理办法》（财库〔2020〕46号）规定的小微企业报价给予扣除，用扣除后的价格参加评审。</w:t>
            </w:r>
          </w:p>
        </w:tc>
        <w:tc>
          <w:tcPr>
            <w:tcW w:type="dxa" w:w="831"/>
          </w:tcPr>
          <w:p>
            <w:pPr>
              <w:pStyle w:val="null3"/>
              <w:jc w:val="right"/>
            </w:pPr>
            <w:r>
              <w:rPr/>
              <w:t>20.00%</w:t>
            </w:r>
          </w:p>
        </w:tc>
        <w:tc>
          <w:tcPr>
            <w:tcW w:type="dxa" w:w="1661"/>
          </w:tcPr>
          <w:p>
            <w:pPr>
              <w:pStyle w:val="null3"/>
              <w:jc w:val="left"/>
            </w:pPr>
            <w:r>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中小企业声明函 残疾人福利性单位声明函 报价表 监狱企业的证明文件</w:t>
            </w:r>
          </w:p>
        </w:tc>
      </w:tr>
      <w:tr>
        <w:tc>
          <w:tcPr>
            <w:tcW w:type="dxa" w:w="581"/>
          </w:tcPr>
          <w:p>
            <w:pPr>
              <w:pStyle w:val="null3"/>
              <w:jc w:val="left"/>
            </w:pPr>
            <w:r>
              <w:rPr/>
              <w:t>2</w:t>
            </w:r>
          </w:p>
        </w:tc>
        <w:tc>
          <w:tcPr>
            <w:tcW w:type="dxa" w:w="1661"/>
          </w:tcPr>
          <w:p>
            <w:pPr>
              <w:pStyle w:val="null3"/>
              <w:jc w:val="left"/>
            </w:pPr>
            <w:r>
              <w:rPr/>
              <w:t>落实支持中小企业发展政策</w:t>
            </w:r>
          </w:p>
        </w:tc>
        <w:tc>
          <w:tcPr>
            <w:tcW w:type="dxa" w:w="1661"/>
          </w:tcPr>
          <w:p>
            <w:pPr>
              <w:pStyle w:val="null3"/>
              <w:jc w:val="left"/>
            </w:pPr>
            <w:r>
              <w:rPr/>
              <w:t>本采购包接受大中型企业与小微企业组成联合体，对联合协议约定小微企业的合同份额占到合同总金额30%以上的，对联合体的报价给予扣除，用扣除后的价格参加评审。组成联合体的小微企业与联合体内其他企业之间存在直接控股、管理关系的，不享受价格扣除优惠政策。</w:t>
            </w:r>
          </w:p>
        </w:tc>
        <w:tc>
          <w:tcPr>
            <w:tcW w:type="dxa" w:w="831"/>
          </w:tcPr>
          <w:p>
            <w:pPr>
              <w:pStyle w:val="null3"/>
              <w:jc w:val="right"/>
            </w:pPr>
            <w:r>
              <w:rPr/>
              <w:t>6.00%</w:t>
            </w:r>
          </w:p>
        </w:tc>
        <w:tc>
          <w:tcPr>
            <w:tcW w:type="dxa" w:w="1661"/>
          </w:tcPr>
          <w:p>
            <w:pPr>
              <w:pStyle w:val="null3"/>
              <w:jc w:val="left"/>
            </w:pPr>
            <w:r>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中小企业声明函 残疾人福利性单位声明函 报价表 监狱企业的证明文件</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关联投标文件格式文本</w:t>
            </w:r>
          </w:p>
        </w:tc>
      </w:tr>
      <w:tr>
        <w:tc>
          <w:tcPr>
            <w:tcW w:type="dxa" w:w="8306"/>
            <w:gridSpan w:val="4"/>
          </w:tcPr>
          <w:p>
            <w:pPr>
              <w:pStyle w:val="null3"/>
              <w:jc w:val="left"/>
            </w:pPr>
            <w:r>
              <w:rPr/>
              <w:t>无</w:t>
            </w:r>
          </w:p>
        </w:tc>
      </w:tr>
    </w:tbl>
    <w:p>
      <w:pPr>
        <w:pStyle w:val="null3"/>
        <w:jc w:val="left"/>
      </w:pPr>
      <w:r>
        <w:rPr/>
        <w:t>采购包2：</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关联投标文件格式文本</w:t>
            </w:r>
          </w:p>
        </w:tc>
      </w:tr>
      <w:tr>
        <w:tc>
          <w:tcPr>
            <w:tcW w:type="dxa" w:w="8306"/>
            <w:gridSpan w:val="4"/>
          </w:tcPr>
          <w:p>
            <w:pPr>
              <w:pStyle w:val="null3"/>
              <w:jc w:val="left"/>
            </w:pPr>
            <w:r>
              <w:rPr/>
              <w:t>无</w:t>
            </w:r>
          </w:p>
        </w:tc>
      </w:tr>
    </w:tbl>
    <w:p>
      <w:pPr>
        <w:pStyle w:val="null3"/>
        <w:jc w:val="left"/>
      </w:pPr>
      <w:r>
        <w:rPr/>
        <w:t>采购包3：</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关联投标文件格式文本</w:t>
            </w:r>
          </w:p>
        </w:tc>
      </w:tr>
      <w:tr>
        <w:tc>
          <w:tcPr>
            <w:tcW w:type="dxa" w:w="8306"/>
            <w:gridSpan w:val="4"/>
          </w:tcPr>
          <w:p>
            <w:pPr>
              <w:pStyle w:val="null3"/>
              <w:jc w:val="left"/>
            </w:pPr>
            <w:r>
              <w:rPr/>
              <w:t>无</w:t>
            </w:r>
          </w:p>
        </w:tc>
      </w:tr>
    </w:tbl>
    <w:p>
      <w:pPr>
        <w:pStyle w:val="null3"/>
        <w:jc w:val="left"/>
      </w:pPr>
      <w:r>
        <w:rPr/>
        <w:t>采购包4：</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关联投标文件格式文本</w:t>
            </w:r>
          </w:p>
        </w:tc>
      </w:tr>
      <w:tr>
        <w:tc>
          <w:tcPr>
            <w:tcW w:type="dxa" w:w="8306"/>
            <w:gridSpan w:val="4"/>
          </w:tcPr>
          <w:p>
            <w:pPr>
              <w:pStyle w:val="null3"/>
              <w:jc w:val="left"/>
            </w:pPr>
            <w:r>
              <w:rPr/>
              <w:t>无</w:t>
            </w:r>
          </w:p>
        </w:tc>
      </w:tr>
    </w:tbl>
    <w:p>
      <w:pPr>
        <w:pStyle w:val="null3"/>
        <w:jc w:val="left"/>
        <w:outlineLvl w:val="2"/>
      </w:pPr>
      <w:r>
        <w:rPr>
          <w:b/>
          <w:sz w:val="28"/>
        </w:rPr>
        <w:t>5.5.废标</w:t>
      </w:r>
    </w:p>
    <w:p>
      <w:pPr>
        <w:pStyle w:val="null3"/>
        <w:ind w:firstLine="480"/>
        <w:jc w:val="left"/>
      </w:pPr>
      <w:r>
        <w:rPr/>
        <w:t>本次政府采购活动中，出现下列情形之一的，予以废标：</w:t>
      </w:r>
    </w:p>
    <w:p>
      <w:pPr>
        <w:pStyle w:val="null3"/>
        <w:ind w:firstLine="480"/>
        <w:jc w:val="left"/>
      </w:pPr>
      <w:r>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t>二、出现影响采购公正的违法、违规行为的；</w:t>
      </w:r>
    </w:p>
    <w:p>
      <w:pPr>
        <w:pStyle w:val="null3"/>
        <w:ind w:firstLine="480"/>
        <w:jc w:val="left"/>
      </w:pPr>
      <w:r>
        <w:rPr/>
        <w:t>三、投标人的报价均超过了采购预算，采购人不能支付的；</w:t>
      </w:r>
    </w:p>
    <w:p>
      <w:pPr>
        <w:pStyle w:val="null3"/>
        <w:ind w:firstLine="480"/>
        <w:jc w:val="left"/>
      </w:pPr>
      <w:r>
        <w:rPr/>
        <w:t>四、因重大变故，采购任务取消的；</w:t>
      </w:r>
    </w:p>
    <w:p>
      <w:pPr>
        <w:pStyle w:val="null3"/>
        <w:ind w:firstLine="480"/>
        <w:jc w:val="left"/>
      </w:pPr>
      <w:r>
        <w:rPr/>
        <w:t>废标后，代理机构将在四川政府采购网上公告。</w:t>
      </w:r>
    </w:p>
    <w:p>
      <w:pPr>
        <w:pStyle w:val="null3"/>
        <w:jc w:val="left"/>
        <w:outlineLvl w:val="2"/>
      </w:pPr>
      <w:r>
        <w:rPr>
          <w:b/>
          <w:sz w:val="28"/>
        </w:rPr>
        <w:t>5.6.定标</w:t>
      </w:r>
    </w:p>
    <w:p>
      <w:pPr>
        <w:pStyle w:val="null3"/>
        <w:jc w:val="left"/>
      </w:pPr>
      <w:r>
        <w:rPr/>
        <w:t>采购人在评标报告确定的中标候选人名单中按顺序确定中标人。</w:t>
      </w:r>
    </w:p>
    <w:p>
      <w:pPr>
        <w:pStyle w:val="null3"/>
        <w:jc w:val="left"/>
      </w:pPr>
      <w:r>
        <w:rPr/>
        <w:t>一、代理机构应当在评标结束后2个工作日内将评标报告送采购人。</w:t>
      </w:r>
    </w:p>
    <w:p>
      <w:pPr>
        <w:pStyle w:val="null3"/>
        <w:jc w:val="left"/>
      </w:pPr>
      <w:r>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t>三、采购人或者代理机构应当自中标人确定之日起 2 个工作日内，在四川政府采购网公告中标结果，招标文件应当随中标结果同时公告。</w:t>
      </w:r>
    </w:p>
    <w:p>
      <w:pPr>
        <w:pStyle w:val="null3"/>
        <w:jc w:val="left"/>
        <w:outlineLvl w:val="2"/>
      </w:pPr>
      <w:r>
        <w:rPr>
          <w:b/>
          <w:sz w:val="28"/>
        </w:rPr>
        <w:t>5.7.评标委员会义务</w:t>
      </w:r>
    </w:p>
    <w:p>
      <w:pPr>
        <w:pStyle w:val="null3"/>
        <w:ind w:firstLine="480"/>
        <w:jc w:val="left"/>
      </w:pPr>
      <w:r>
        <w:rPr/>
        <w:t>评标委员会在政府采购活动中应当履行下列义务：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二、按照客观、公正、审慎的原则，根据招标文件规定的评审程序、评审方法和评审标准进行独立评审；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5.8.评标委员会成员工作纪律</w:t>
      </w:r>
    </w:p>
    <w:p>
      <w:pPr>
        <w:pStyle w:val="null3"/>
        <w:ind w:firstLine="480"/>
        <w:jc w:val="left"/>
      </w:pPr>
      <w:r>
        <w:rPr/>
        <w:t>评标委员会成员在政府采购活动中应当遵守以下工作纪律：</w:t>
      </w:r>
    </w:p>
    <w:p>
      <w:pPr>
        <w:pStyle w:val="null3"/>
        <w:ind w:firstLine="480"/>
        <w:jc w:val="left"/>
      </w:pPr>
      <w:r>
        <w:rPr/>
        <w:t>一、严格遵守政府采购法律制度关于评标委员会成员回避的规定。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七、遵守有关廉洁自律规定，不得私下接触投标人，不得收受投标人及有关业务单位和个人的财物或好处，不得接受采购人、代理机构的请托。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第六章 投标文件格式</w:t>
      </w:r>
    </w:p>
    <w:p>
      <w:pPr>
        <w:pStyle w:val="null3"/>
        <w:jc w:val="left"/>
      </w:pPr>
      <w:r>
        <w:rPr/>
        <w:t>采购包1：</w:t>
      </w:r>
    </w:p>
    <w:p>
      <w:pPr>
        <w:pStyle w:val="null3"/>
        <w:jc w:val="left"/>
      </w:pPr>
      <w:r>
        <w:rPr/>
        <w:t>分册名称：投标响应文件分册</w:t>
      </w:r>
    </w:p>
    <w:p>
      <w:pPr>
        <w:pStyle w:val="null3"/>
        <w:ind w:firstLine="960"/>
        <w:jc w:val="left"/>
      </w:pPr>
      <w:r>
        <w:rPr/>
        <w:t>详见附件：投标文件封面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详见附件：投标人应提交的相关证明材料</w:t>
      </w:r>
    </w:p>
    <w:p>
      <w:pPr>
        <w:pStyle w:val="null3"/>
        <w:ind w:firstLine="960"/>
        <w:jc w:val="left"/>
      </w:pPr>
      <w:r>
        <w:rPr/>
        <w:t>详见附件：产品技术参数响应表</w:t>
      </w:r>
    </w:p>
    <w:p>
      <w:pPr>
        <w:pStyle w:val="null3"/>
        <w:ind w:firstLine="960"/>
        <w:jc w:val="left"/>
      </w:pPr>
      <w:r>
        <w:rPr/>
        <w:t>详见附件：服务应答表</w:t>
      </w:r>
    </w:p>
    <w:p>
      <w:pPr>
        <w:pStyle w:val="null3"/>
        <w:ind w:firstLine="960"/>
        <w:jc w:val="left"/>
      </w:pPr>
      <w:r>
        <w:rPr/>
        <w:t>详见附件：报价表</w:t>
      </w:r>
    </w:p>
    <w:p>
      <w:pPr>
        <w:pStyle w:val="null3"/>
        <w:ind w:firstLine="960"/>
        <w:jc w:val="left"/>
      </w:pPr>
      <w:r>
        <w:rPr/>
        <w:t>详见附件：评分所需相关证明材料</w:t>
      </w:r>
    </w:p>
    <w:p>
      <w:pPr>
        <w:pStyle w:val="null3"/>
        <w:jc w:val="left"/>
      </w:pPr>
      <w:r>
        <w:rPr/>
        <w:t>采购包2：</w:t>
      </w:r>
    </w:p>
    <w:p>
      <w:pPr>
        <w:pStyle w:val="null3"/>
        <w:jc w:val="left"/>
      </w:pPr>
      <w:r>
        <w:rPr/>
        <w:t>分册名称：投标响应文件分册</w:t>
      </w:r>
    </w:p>
    <w:p>
      <w:pPr>
        <w:pStyle w:val="null3"/>
        <w:ind w:firstLine="960"/>
        <w:jc w:val="left"/>
      </w:pPr>
      <w:r>
        <w:rPr/>
        <w:t>详见附件：投标文件封面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详见附件：投标人应提交的相关证明材料</w:t>
      </w:r>
    </w:p>
    <w:p>
      <w:pPr>
        <w:pStyle w:val="null3"/>
        <w:ind w:firstLine="960"/>
        <w:jc w:val="left"/>
      </w:pPr>
      <w:r>
        <w:rPr/>
        <w:t>详见附件：产品技术参数响应表</w:t>
      </w:r>
    </w:p>
    <w:p>
      <w:pPr>
        <w:pStyle w:val="null3"/>
        <w:ind w:firstLine="960"/>
        <w:jc w:val="left"/>
      </w:pPr>
      <w:r>
        <w:rPr/>
        <w:t>详见附件：服务应答表</w:t>
      </w:r>
    </w:p>
    <w:p>
      <w:pPr>
        <w:pStyle w:val="null3"/>
        <w:ind w:firstLine="960"/>
        <w:jc w:val="left"/>
      </w:pPr>
      <w:r>
        <w:rPr/>
        <w:t>详见附件：报价表</w:t>
      </w:r>
    </w:p>
    <w:p>
      <w:pPr>
        <w:pStyle w:val="null3"/>
        <w:ind w:firstLine="960"/>
        <w:jc w:val="left"/>
      </w:pPr>
      <w:r>
        <w:rPr/>
        <w:t>详见附件：评分所需相关证明材料</w:t>
      </w:r>
    </w:p>
    <w:p>
      <w:pPr>
        <w:pStyle w:val="null3"/>
        <w:jc w:val="left"/>
      </w:pPr>
      <w:r>
        <w:rPr/>
        <w:t>采购包3：</w:t>
      </w:r>
    </w:p>
    <w:p>
      <w:pPr>
        <w:pStyle w:val="null3"/>
        <w:jc w:val="left"/>
      </w:pPr>
      <w:r>
        <w:rPr/>
        <w:t>分册名称：投标响应文件分册</w:t>
      </w:r>
    </w:p>
    <w:p>
      <w:pPr>
        <w:pStyle w:val="null3"/>
        <w:ind w:firstLine="960"/>
        <w:jc w:val="left"/>
      </w:pPr>
      <w:r>
        <w:rPr/>
        <w:t>详见附件：投标文件封面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详见附件：投标人应提交的相关证明材料</w:t>
      </w:r>
    </w:p>
    <w:p>
      <w:pPr>
        <w:pStyle w:val="null3"/>
        <w:ind w:firstLine="960"/>
        <w:jc w:val="left"/>
      </w:pPr>
      <w:r>
        <w:rPr/>
        <w:t>详见附件：产品技术参数响应表</w:t>
      </w:r>
    </w:p>
    <w:p>
      <w:pPr>
        <w:pStyle w:val="null3"/>
        <w:ind w:firstLine="960"/>
        <w:jc w:val="left"/>
      </w:pPr>
      <w:r>
        <w:rPr/>
        <w:t>详见附件：服务应答表</w:t>
      </w:r>
    </w:p>
    <w:p>
      <w:pPr>
        <w:pStyle w:val="null3"/>
        <w:ind w:firstLine="960"/>
        <w:jc w:val="left"/>
      </w:pPr>
      <w:r>
        <w:rPr/>
        <w:t>详见附件：报价表</w:t>
      </w:r>
    </w:p>
    <w:p>
      <w:pPr>
        <w:pStyle w:val="null3"/>
        <w:ind w:firstLine="960"/>
        <w:jc w:val="left"/>
      </w:pPr>
      <w:r>
        <w:rPr/>
        <w:t>详见附件：评分所需相关证明材料</w:t>
      </w:r>
    </w:p>
    <w:p>
      <w:pPr>
        <w:pStyle w:val="null3"/>
        <w:jc w:val="left"/>
      </w:pPr>
      <w:r>
        <w:rPr/>
        <w:t>采购包4：</w:t>
      </w:r>
    </w:p>
    <w:p>
      <w:pPr>
        <w:pStyle w:val="null3"/>
        <w:jc w:val="left"/>
      </w:pPr>
      <w:r>
        <w:rPr/>
        <w:t>分册名称：投标响应文件分册</w:t>
      </w:r>
    </w:p>
    <w:p>
      <w:pPr>
        <w:pStyle w:val="null3"/>
        <w:ind w:firstLine="960"/>
        <w:jc w:val="left"/>
      </w:pPr>
      <w:r>
        <w:rPr/>
        <w:t>详见附件：投标文件封面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详见附件：投标人应提交的相关证明材料</w:t>
      </w:r>
    </w:p>
    <w:p>
      <w:pPr>
        <w:pStyle w:val="null3"/>
        <w:ind w:firstLine="960"/>
        <w:jc w:val="left"/>
      </w:pPr>
      <w:r>
        <w:rPr/>
        <w:t>详见附件：产品技术参数响应表</w:t>
      </w:r>
    </w:p>
    <w:p>
      <w:pPr>
        <w:pStyle w:val="null3"/>
        <w:ind w:firstLine="960"/>
        <w:jc w:val="left"/>
      </w:pPr>
      <w:r>
        <w:rPr/>
        <w:t>详见附件：服务应答表</w:t>
      </w:r>
    </w:p>
    <w:p>
      <w:pPr>
        <w:pStyle w:val="null3"/>
        <w:ind w:firstLine="960"/>
        <w:jc w:val="left"/>
      </w:pPr>
      <w:r>
        <w:rPr/>
        <w:t>详见附件：报价表</w:t>
      </w:r>
    </w:p>
    <w:p>
      <w:pPr>
        <w:pStyle w:val="null3"/>
        <w:ind w:firstLine="960"/>
        <w:jc w:val="left"/>
      </w:pPr>
      <w:r>
        <w:rPr/>
        <w:t>详见附件：评分所需相关证明材料</w:t>
      </w:r>
    </w:p>
    <w:p>
      <w:pPr>
        <w:pStyle w:val="null3"/>
      </w:pPr>
      <w:r>
        <w:rPr/>
        <w:t xml:space="preserve"> </w:t>
        <w:br/>
        <w:br w:type="page"/>
      </w:r>
    </w:p>
    <w:p>
      <w:pPr>
        <w:pStyle w:val="null3"/>
        <w:jc w:val="center"/>
        <w:outlineLvl w:val="1"/>
      </w:pPr>
      <w:r>
        <w:rPr>
          <w:b/>
          <w:sz w:val="36"/>
        </w:rPr>
        <w:t>第七章 拟签订合同文本</w:t>
      </w:r>
    </w:p>
    <w:p>
      <w:pPr>
        <w:pStyle w:val="null3"/>
        <w:jc w:val="left"/>
        <w:outlineLvl w:val="0"/>
      </w:pPr>
      <w:r>
        <w:rPr>
          <w:b/>
          <w:sz w:val="48"/>
        </w:rPr>
        <w:t xml:space="preserve"> 政府采购合同</w:t>
      </w:r>
    </w:p>
    <w:p>
      <w:pPr>
        <w:pStyle w:val="null3"/>
        <w:jc w:val="center"/>
        <w:outlineLvl w:val="0"/>
      </w:pPr>
      <w:r>
        <w:rPr>
          <w:b/>
          <w:sz w:val="48"/>
        </w:rPr>
        <w:t xml:space="preserve"> （货物类）</w:t>
      </w:r>
      <w:r>
        <w:br/>
      </w:r>
      <w:r>
        <w:br/>
      </w:r>
      <w:r>
        <w:br/>
      </w:r>
      <w:r>
        <w:br/>
      </w:r>
      <w:r>
        <w:br/>
      </w:r>
    </w:p>
    <w:p>
      <w:pPr>
        <w:pStyle w:val="null3"/>
        <w:ind w:left="1800"/>
        <w:jc w:val="left"/>
      </w:pPr>
      <w:r>
        <w:rPr>
          <w:b/>
          <w:sz w:val="27"/>
        </w:rPr>
        <w:t xml:space="preserve"> 政府采购合同编号：</w:t>
      </w:r>
      <w:r>
        <w:rPr>
          <w:b/>
          <w:sz w:val="27"/>
        </w:rPr>
        <w:t>__________________</w:t>
      </w:r>
    </w:p>
    <w:p>
      <w:pPr>
        <w:pStyle w:val="null3"/>
        <w:jc w:val="left"/>
      </w:pPr>
      <w:r>
        <w:rPr>
          <w:b/>
          <w:sz w:val="27"/>
        </w:rPr>
        <w:t xml:space="preserve"> 履约地点：</w:t>
      </w:r>
      <w:r>
        <w:rPr>
          <w:b/>
          <w:sz w:val="27"/>
        </w:rPr>
        <w:t>__________________</w:t>
      </w:r>
    </w:p>
    <w:p>
      <w:pPr>
        <w:pStyle w:val="null3"/>
        <w:jc w:val="left"/>
      </w:pPr>
      <w:r>
        <w:rPr>
          <w:b/>
          <w:sz w:val="27"/>
        </w:rPr>
        <w:t xml:space="preserve"> 签订地点：</w:t>
      </w:r>
      <w:r>
        <w:rPr>
          <w:b/>
          <w:sz w:val="27"/>
        </w:rPr>
        <w:t>__________________</w:t>
      </w:r>
    </w:p>
    <w:p>
      <w:pPr>
        <w:pStyle w:val="null3"/>
        <w:jc w:val="left"/>
      </w:pPr>
      <w:r>
        <w:rPr>
          <w:b/>
          <w:sz w:val="27"/>
        </w:rPr>
        <w:t xml:space="preserve"> 签订时间：</w:t>
      </w:r>
      <w:r>
        <w:rPr>
          <w:b/>
          <w:sz w:val="27"/>
        </w:rPr>
        <w:t>20___年___月___日</w:t>
      </w:r>
    </w:p>
    <w:p>
      <w:pPr>
        <w:pStyle w:val="null3"/>
        <w:jc w:val="left"/>
      </w:pPr>
      <w:r>
        <w:rPr>
          <w:b/>
          <w:sz w:val="27"/>
        </w:rPr>
        <w:t xml:space="preserve"> 采购人（甲方）：</w:t>
      </w:r>
      <w:r>
        <w:rPr>
          <w:b/>
          <w:sz w:val="27"/>
        </w:rPr>
        <w:t>__________________</w:t>
      </w:r>
    </w:p>
    <w:p>
      <w:pPr>
        <w:pStyle w:val="null3"/>
        <w:jc w:val="left"/>
      </w:pPr>
      <w:r>
        <w:rPr>
          <w:b/>
          <w:sz w:val="27"/>
        </w:rPr>
        <w:t xml:space="preserve"> 采购人地址：</w:t>
      </w:r>
      <w:r>
        <w:rPr>
          <w:b/>
          <w:sz w:val="27"/>
        </w:rPr>
        <w:t>__________________</w:t>
      </w:r>
    </w:p>
    <w:p>
      <w:pPr>
        <w:pStyle w:val="null3"/>
        <w:jc w:val="left"/>
      </w:pPr>
      <w:r>
        <w:rPr>
          <w:b/>
          <w:sz w:val="27"/>
        </w:rPr>
        <w:t xml:space="preserve"> 供应商(乙方)：__________________</w:t>
      </w:r>
    </w:p>
    <w:p>
      <w:pPr>
        <w:pStyle w:val="null3"/>
        <w:jc w:val="left"/>
      </w:pPr>
      <w:r>
        <w:rPr>
          <w:b/>
          <w:sz w:val="27"/>
        </w:rPr>
        <w:t xml:space="preserve"> 供应商地址：__________________</w:t>
      </w:r>
    </w:p>
    <w:p>
      <w:pPr>
        <w:pStyle w:val="null3"/>
        <w:jc w:val="left"/>
      </w:pPr>
      <w:r>
        <w:rPr/>
        <w:t xml:space="preserve"> </w:t>
      </w:r>
    </w:p>
    <w:p>
      <w:pPr>
        <w:pStyle w:val="null3"/>
        <w:jc w:val="left"/>
      </w:pPr>
      <w:r>
        <w:rPr/>
        <w:t xml:space="preserve"> 依据《中华人民共和国民法典》 《中华人民共和国政府采购法》与项目行业有关的法律法规，以及</w:t>
      </w:r>
      <w:r>
        <w:rPr/>
        <w:t>________</w:t>
      </w:r>
      <w:r>
        <w:rPr/>
        <w:t xml:space="preserve">采购项目的 </w:t>
      </w:r>
      <w:r>
        <w:rPr/>
        <w:t>《采购文件》</w:t>
      </w:r>
      <w:r>
        <w:rPr/>
        <w:t xml:space="preserve"> ，乙方的《投标（响应）文件》及《中标（成交）通知书》，甲乙双方同意签订本合同。具体情况及要求如下：</w:t>
      </w:r>
    </w:p>
    <w:p>
      <w:pPr>
        <w:pStyle w:val="null3"/>
        <w:jc w:val="left"/>
        <w:outlineLvl w:val="2"/>
      </w:pPr>
      <w:r>
        <w:rPr>
          <w:b/>
          <w:sz w:val="28"/>
        </w:rPr>
        <w:t xml:space="preserve"> 一、标的信息</w:t>
      </w:r>
    </w:p>
    <w:p>
      <w:pPr>
        <w:pStyle w:val="null3"/>
        <w:jc w:val="left"/>
      </w:pPr>
      <w:r>
        <w:br/>
      </w:r>
    </w:p>
    <w:p>
      <w:pPr>
        <w:pStyle w:val="null3"/>
        <w:jc w:val="left"/>
        <w:outlineLvl w:val="2"/>
      </w:pPr>
      <w:r>
        <w:rPr>
          <w:b/>
          <w:sz w:val="28"/>
        </w:rPr>
        <w:t xml:space="preserve"> 二、货物要求</w:t>
      </w:r>
    </w:p>
    <w:p>
      <w:pPr>
        <w:pStyle w:val="null3"/>
        <w:jc w:val="left"/>
      </w:pPr>
      <w:r>
        <w:rPr/>
        <w:t>1.供应商为本项目提供的所有货物、辅材中属于《国家强制性货物认证目录》范围内货物的，均通过国家强制性货物认证并取得认证证书。供应商为本项目提供的所有货物、辅材符合现行的强制性国家相关标准、行业标准。</w:t>
      </w:r>
    </w:p>
    <w:p>
      <w:pPr>
        <w:pStyle w:val="null3"/>
        <w:jc w:val="left"/>
      </w:pPr>
      <w:r>
        <w:rPr/>
        <w:t>2.包装方式</w:t>
      </w:r>
    </w:p>
    <w:p>
      <w:pPr>
        <w:pStyle w:val="null3"/>
        <w:jc w:val="left"/>
      </w:pPr>
      <w:r>
        <w:rPr/>
        <w:t>3.质量保修范围和保修期</w:t>
      </w:r>
    </w:p>
    <w:p>
      <w:pPr>
        <w:pStyle w:val="null3"/>
        <w:jc w:val="left"/>
      </w:pPr>
      <w:r>
        <w:rPr/>
        <w:t>4. 其他要求</w:t>
      </w:r>
    </w:p>
    <w:p>
      <w:pPr>
        <w:pStyle w:val="null3"/>
        <w:jc w:val="left"/>
        <w:outlineLvl w:val="2"/>
      </w:pPr>
      <w:r>
        <w:rPr>
          <w:b/>
          <w:sz w:val="28"/>
        </w:rPr>
        <w:t xml:space="preserve"> 三、合同定价方式、付款进度和支付方式 </w:t>
      </w:r>
      <w:r>
        <w:rPr/>
        <w:t xml:space="preserve"> 合同定价方式：</w:t>
      </w:r>
    </w:p>
    <w:p>
      <w:pPr>
        <w:pStyle w:val="null3"/>
        <w:jc w:val="left"/>
      </w:pPr>
      <w:r>
        <w:br/>
      </w:r>
    </w:p>
    <w:p>
      <w:pPr>
        <w:pStyle w:val="null3"/>
        <w:jc w:val="left"/>
        <w:outlineLvl w:val="2"/>
      </w:pPr>
      <w:r>
        <w:rPr>
          <w:b/>
          <w:sz w:val="28"/>
        </w:rPr>
        <w:t xml:space="preserve"> 四、交货时间、地点和方式</w:t>
      </w:r>
    </w:p>
    <w:p>
      <w:pPr>
        <w:pStyle w:val="null3"/>
        <w:jc w:val="left"/>
      </w:pPr>
      <w:r>
        <w:br/>
      </w:r>
    </w:p>
    <w:p>
      <w:pPr>
        <w:pStyle w:val="null3"/>
        <w:jc w:val="left"/>
        <w:outlineLvl w:val="2"/>
      </w:pPr>
      <w:r>
        <w:rPr>
          <w:b/>
          <w:sz w:val="28"/>
        </w:rPr>
        <w:t xml:space="preserve"> 五、履约保证金</w:t>
      </w:r>
    </w:p>
    <w:p>
      <w:pPr>
        <w:pStyle w:val="null3"/>
        <w:jc w:val="left"/>
      </w:pPr>
      <w:r>
        <w:br/>
      </w:r>
    </w:p>
    <w:p>
      <w:pPr>
        <w:pStyle w:val="null3"/>
        <w:jc w:val="left"/>
        <w:outlineLvl w:val="2"/>
      </w:pPr>
      <w:r>
        <w:rPr>
          <w:b/>
          <w:sz w:val="28"/>
        </w:rPr>
        <w:t xml:space="preserve"> 六、验收标准和方法</w:t>
      </w:r>
    </w:p>
    <w:p>
      <w:pPr>
        <w:pStyle w:val="null3"/>
        <w:jc w:val="left"/>
      </w:pPr>
      <w:r>
        <w:br/>
      </w:r>
    </w:p>
    <w:p>
      <w:pPr>
        <w:pStyle w:val="null3"/>
        <w:jc w:val="left"/>
        <w:outlineLvl w:val="2"/>
      </w:pPr>
      <w:r>
        <w:rPr>
          <w:b/>
          <w:sz w:val="28"/>
        </w:rPr>
        <w:t xml:space="preserve"> 七、甲方的权利和义务</w:t>
      </w:r>
    </w:p>
    <w:p>
      <w:pPr>
        <w:pStyle w:val="null3"/>
        <w:jc w:val="left"/>
      </w:pPr>
      <w:r>
        <w:rPr/>
        <w:t>1.甲方有权依据双方签订的合同对乙方提供的货物进行验收。当验收结果未达到标准时，有权依据合同约定对乙方......</w:t>
      </w:r>
    </w:p>
    <w:p>
      <w:pPr>
        <w:pStyle w:val="null3"/>
        <w:jc w:val="left"/>
      </w:pPr>
      <w:r>
        <w:rPr/>
        <w:t>2.根据本合同规定，按时向乙方支付应付货物费用。</w:t>
      </w:r>
    </w:p>
    <w:p>
      <w:pPr>
        <w:pStyle w:val="null3"/>
        <w:jc w:val="left"/>
      </w:pPr>
      <w:r>
        <w:rPr/>
        <w:t>3.国家法律、法规所规定由甲方承担的其它责任。</w:t>
      </w:r>
    </w:p>
    <w:p>
      <w:pPr>
        <w:pStyle w:val="null3"/>
        <w:jc w:val="left"/>
        <w:outlineLvl w:val="2"/>
      </w:pPr>
      <w:r>
        <w:rPr>
          <w:b/>
          <w:sz w:val="28"/>
        </w:rPr>
        <w:t xml:space="preserve"> 八、乙方的权利和义务</w:t>
      </w:r>
    </w:p>
    <w:p>
      <w:pPr>
        <w:pStyle w:val="null3"/>
        <w:jc w:val="left"/>
      </w:pPr>
      <w:r>
        <w:rPr/>
        <w:t>1.根据本合同的规定向甲方收取相关货物费用。</w:t>
      </w:r>
    </w:p>
    <w:p>
      <w:pPr>
        <w:pStyle w:val="null3"/>
        <w:jc w:val="left"/>
      </w:pPr>
      <w:r>
        <w:rPr/>
        <w:t>2.接受项目行业管理部门及政府有关部门的指导，接受甲方的监督。</w:t>
      </w:r>
    </w:p>
    <w:p>
      <w:pPr>
        <w:pStyle w:val="null3"/>
        <w:jc w:val="left"/>
      </w:pPr>
      <w:r>
        <w:rPr/>
        <w:t>3.乙方承诺遵守《中华人民共和国劳动合同法》有关规定和《中华人民共和国妇女权益保障法》中关于“劳动和社会保障权益”的有关要求。</w:t>
      </w:r>
    </w:p>
    <w:p>
      <w:pPr>
        <w:pStyle w:val="null3"/>
        <w:jc w:val="left"/>
      </w:pPr>
      <w:r>
        <w:rPr/>
        <w:t>4.国家法律、法规所规定由乙方承担的其它责任。</w:t>
      </w:r>
    </w:p>
    <w:p>
      <w:pPr>
        <w:pStyle w:val="null3"/>
        <w:jc w:val="left"/>
        <w:outlineLvl w:val="2"/>
      </w:pPr>
      <w:r>
        <w:rPr>
          <w:b/>
          <w:sz w:val="28"/>
        </w:rPr>
        <w:t xml:space="preserve"> 九、违约责任</w:t>
      </w:r>
    </w:p>
    <w:p>
      <w:pPr>
        <w:pStyle w:val="null3"/>
        <w:jc w:val="left"/>
      </w:pPr>
      <w:r>
        <w:br/>
      </w:r>
    </w:p>
    <w:p>
      <w:pPr>
        <w:pStyle w:val="null3"/>
        <w:jc w:val="left"/>
        <w:outlineLvl w:val="2"/>
      </w:pPr>
      <w:r>
        <w:rPr>
          <w:b/>
          <w:sz w:val="28"/>
        </w:rPr>
        <w:t xml:space="preserve"> 十、不可抗事件处理</w:t>
      </w:r>
    </w:p>
    <w:p>
      <w:pPr>
        <w:pStyle w:val="null3"/>
        <w:jc w:val="left"/>
      </w:pPr>
      <w:r>
        <w:rPr/>
        <w:t>1.在合同有效期内，任何一方因战争、洪灾、台风、地震等不可抗力事件导致不能履行合同，则合同履行期可延长，其延长期与不可抗力事件影响期相同。</w:t>
      </w:r>
    </w:p>
    <w:p>
      <w:pPr>
        <w:pStyle w:val="null3"/>
        <w:jc w:val="left"/>
      </w:pPr>
      <w:r>
        <w:rPr/>
        <w:t>2.受阻一方应在不可抗事件发生后尽快用电话通知对方并于事故发生后XX天内将有关部门出具的证明文件等用特快专递或挂号信寄给对方审阅确认。</w:t>
      </w:r>
    </w:p>
    <w:p>
      <w:pPr>
        <w:pStyle w:val="null3"/>
        <w:jc w:val="left"/>
      </w:pPr>
      <w:r>
        <w:rPr/>
        <w:t>3.不可抗事件延续XX天以上，双方应通过友好协商，确定是否继续履行合同。</w:t>
      </w:r>
    </w:p>
    <w:p>
      <w:pPr>
        <w:pStyle w:val="null3"/>
        <w:jc w:val="left"/>
        <w:outlineLvl w:val="2"/>
      </w:pPr>
      <w:r>
        <w:rPr>
          <w:b/>
          <w:sz w:val="28"/>
        </w:rPr>
        <w:t xml:space="preserve"> 十一、解决合同纠纷的方式</w:t>
      </w:r>
    </w:p>
    <w:p>
      <w:pPr>
        <w:pStyle w:val="null3"/>
        <w:jc w:val="left"/>
      </w:pPr>
      <w:r>
        <w:br/>
      </w:r>
    </w:p>
    <w:p>
      <w:pPr>
        <w:pStyle w:val="null3"/>
        <w:jc w:val="left"/>
        <w:outlineLvl w:val="2"/>
      </w:pPr>
      <w:r>
        <w:rPr>
          <w:b/>
          <w:sz w:val="28"/>
        </w:rPr>
        <w:t xml:space="preserve"> 十二、合同生效及其他</w:t>
      </w:r>
    </w:p>
    <w:p>
      <w:pPr>
        <w:pStyle w:val="null3"/>
        <w:jc w:val="left"/>
      </w:pPr>
      <w:r>
        <w:rPr/>
        <w:t>1.合同经双方法定代表人（或主要负责人）或授权委托代理人签字并加盖公章后生效。</w:t>
      </w:r>
    </w:p>
    <w:p>
      <w:pPr>
        <w:pStyle w:val="null3"/>
        <w:jc w:val="left"/>
      </w:pPr>
      <w:r>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t xml:space="preserve"> 甲方： （盖章）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r>
        <w:rPr/>
        <w:t xml:space="preserve"> 乙方：(盖章）</w:t>
      </w:r>
    </w:p>
    <w:p>
      <w:pPr>
        <w:pStyle w:val="null3"/>
        <w:jc w:val="left"/>
      </w:pPr>
      <w:r>
        <w:rPr/>
        <w:t xml:space="preserve"> 法定代表人或主要负责人（授权代表）：</w:t>
      </w:r>
    </w:p>
    <w:p>
      <w:pPr>
        <w:pStyle w:val="null3"/>
        <w:jc w:val="left"/>
      </w:pPr>
      <w:r>
        <w:rPr/>
        <w:t xml:space="preserve"> 地 址：</w:t>
      </w:r>
    </w:p>
    <w:p>
      <w:pPr>
        <w:pStyle w:val="null3"/>
        <w:jc w:val="left"/>
      </w:pPr>
      <w:r>
        <w:rPr/>
        <w:t xml:space="preserve"> 开户银行：</w:t>
      </w:r>
    </w:p>
    <w:p>
      <w:pPr>
        <w:pStyle w:val="null3"/>
        <w:jc w:val="left"/>
      </w:pPr>
      <w:r>
        <w:rPr/>
        <w:t xml:space="preserve"> 账号：</w:t>
      </w:r>
    </w:p>
    <w:p>
      <w:pPr>
        <w:pStyle w:val="null3"/>
        <w:jc w:val="left"/>
      </w:pPr>
      <w:r>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