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合同草案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 xml:space="preserve">合同编号：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签订地点：</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签订时间： 年 月 日</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lang w:eastAsia="zh-CN"/>
        </w:rPr>
        <w:t>甲方</w:t>
      </w:r>
      <w:r>
        <w:rPr>
          <w:rFonts w:hint="eastAsia" w:ascii="仿宋" w:hAnsi="仿宋" w:eastAsia="仿宋" w:cs="仿宋"/>
          <w:i w:val="0"/>
          <w:iCs w:val="0"/>
          <w:color w:val="auto"/>
          <w:sz w:val="24"/>
          <w:szCs w:val="24"/>
          <w:highlight w:val="none"/>
        </w:rPr>
        <w:t xml:space="preserve">（甲方）：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lang w:eastAsia="zh-CN"/>
        </w:rPr>
        <w:t>乙方</w:t>
      </w:r>
      <w:r>
        <w:rPr>
          <w:rFonts w:hint="eastAsia" w:ascii="仿宋" w:hAnsi="仿宋" w:eastAsia="仿宋" w:cs="仿宋"/>
          <w:i w:val="0"/>
          <w:iCs w:val="0"/>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根据《中华人民共和国政府采购法》、《中华人民共和国民法典》</w:t>
      </w:r>
      <w:r>
        <w:rPr>
          <w:rFonts w:hint="eastAsia" w:ascii="仿宋" w:hAnsi="仿宋" w:eastAsia="仿宋" w:cs="仿宋"/>
          <w:i w:val="0"/>
          <w:iCs w:val="0"/>
          <w:color w:val="auto"/>
          <w:sz w:val="24"/>
          <w:szCs w:val="24"/>
          <w:highlight w:val="none"/>
          <w:lang w:val="en-US" w:eastAsia="zh-CN"/>
        </w:rPr>
        <w:t>及</w:t>
      </w:r>
      <w:r>
        <w:rPr>
          <w:rFonts w:hint="eastAsia" w:ascii="仿宋" w:hAnsi="仿宋" w:eastAsia="仿宋" w:cs="仿宋"/>
          <w:i w:val="0"/>
          <w:iCs w:val="0"/>
          <w:color w:val="auto"/>
          <w:sz w:val="24"/>
          <w:szCs w:val="24"/>
          <w:highlight w:val="none"/>
        </w:rPr>
        <w:t>“成都市公安局新都区分局案管中心应急电源（二）采购项目”（项目编号：</w:t>
      </w:r>
      <w:r>
        <w:rPr>
          <w:rFonts w:hint="eastAsia" w:ascii="仿宋" w:hAnsi="仿宋" w:eastAsia="仿宋" w:cs="仿宋"/>
          <w:i w:val="0"/>
          <w:iCs w:val="0"/>
          <w:color w:val="auto"/>
          <w:sz w:val="24"/>
          <w:szCs w:val="24"/>
          <w:highlight w:val="none"/>
          <w:lang w:val="en-US" w:eastAsia="zh-CN"/>
        </w:rPr>
        <w:t xml:space="preserve">                </w:t>
      </w:r>
      <w:r>
        <w:rPr>
          <w:rFonts w:hint="eastAsia" w:ascii="仿宋" w:hAnsi="仿宋" w:eastAsia="仿宋" w:cs="仿宋"/>
          <w:i w:val="0"/>
          <w:iCs w:val="0"/>
          <w:color w:val="auto"/>
          <w:sz w:val="24"/>
          <w:szCs w:val="24"/>
          <w:highlight w:val="none"/>
        </w:rPr>
        <w:t>）的《</w:t>
      </w:r>
      <w:r>
        <w:rPr>
          <w:rFonts w:hint="eastAsia" w:ascii="仿宋" w:hAnsi="仿宋" w:eastAsia="仿宋" w:cs="仿宋"/>
          <w:i w:val="0"/>
          <w:iCs w:val="0"/>
          <w:color w:val="auto"/>
          <w:sz w:val="24"/>
          <w:szCs w:val="24"/>
          <w:highlight w:val="none"/>
          <w:lang w:val="en-US" w:eastAsia="zh-CN"/>
        </w:rPr>
        <w:t>询价通知书</w:t>
      </w:r>
      <w:r>
        <w:rPr>
          <w:rFonts w:hint="eastAsia" w:ascii="仿宋" w:hAnsi="仿宋" w:eastAsia="仿宋" w:cs="仿宋"/>
          <w:i w:val="0"/>
          <w:iCs w:val="0"/>
          <w:color w:val="auto"/>
          <w:sz w:val="24"/>
          <w:szCs w:val="24"/>
          <w:highlight w:val="none"/>
        </w:rPr>
        <w:t>》、乙方的《</w:t>
      </w:r>
      <w:r>
        <w:rPr>
          <w:rFonts w:hint="eastAsia" w:ascii="仿宋" w:hAnsi="仿宋" w:eastAsia="仿宋" w:cs="仿宋"/>
          <w:i w:val="0"/>
          <w:iCs w:val="0"/>
          <w:color w:val="auto"/>
          <w:sz w:val="24"/>
          <w:szCs w:val="24"/>
          <w:highlight w:val="none"/>
          <w:lang w:val="en-US" w:eastAsia="zh-CN"/>
        </w:rPr>
        <w:t>响应</w:t>
      </w:r>
      <w:r>
        <w:rPr>
          <w:rFonts w:hint="eastAsia" w:ascii="仿宋" w:hAnsi="仿宋" w:eastAsia="仿宋" w:cs="仿宋"/>
          <w:i w:val="0"/>
          <w:iCs w:val="0"/>
          <w:color w:val="auto"/>
          <w:sz w:val="24"/>
          <w:szCs w:val="24"/>
          <w:highlight w:val="none"/>
        </w:rPr>
        <w:t>文件》及《</w:t>
      </w:r>
      <w:r>
        <w:rPr>
          <w:rFonts w:hint="eastAsia" w:ascii="仿宋" w:hAnsi="仿宋" w:eastAsia="仿宋" w:cs="仿宋"/>
          <w:i w:val="0"/>
          <w:iCs w:val="0"/>
          <w:color w:val="auto"/>
          <w:sz w:val="24"/>
          <w:szCs w:val="24"/>
          <w:highlight w:val="none"/>
          <w:lang w:val="en-US" w:eastAsia="zh-CN"/>
        </w:rPr>
        <w:t>成交</w:t>
      </w:r>
      <w:r>
        <w:rPr>
          <w:rFonts w:hint="eastAsia" w:ascii="仿宋" w:hAnsi="仿宋" w:eastAsia="仿宋" w:cs="仿宋"/>
          <w:i w:val="0"/>
          <w:iCs w:val="0"/>
          <w:color w:val="auto"/>
          <w:sz w:val="24"/>
          <w:szCs w:val="24"/>
          <w:highlight w:val="none"/>
        </w:rPr>
        <w:t>通知书》，甲、乙双方同意签订本合同</w:t>
      </w:r>
      <w:r>
        <w:rPr>
          <w:rFonts w:hint="eastAsia" w:ascii="仿宋" w:hAnsi="仿宋" w:eastAsia="仿宋" w:cs="仿宋"/>
          <w:i w:val="0"/>
          <w:iCs w:val="0"/>
          <w:color w:val="auto"/>
          <w:sz w:val="24"/>
          <w:szCs w:val="24"/>
          <w:highlight w:val="none"/>
          <w:lang w:eastAsia="zh-CN"/>
        </w:rPr>
        <w:t>。</w:t>
      </w:r>
      <w:r>
        <w:rPr>
          <w:rFonts w:hint="eastAsia" w:ascii="仿宋" w:hAnsi="仿宋" w:eastAsia="仿宋" w:cs="仿宋"/>
          <w:i w:val="0"/>
          <w:iCs w:val="0"/>
          <w:color w:val="auto"/>
          <w:sz w:val="24"/>
          <w:szCs w:val="24"/>
          <w:highlight w:val="none"/>
        </w:rPr>
        <w:t>详细技术说明及其他有关合同项目的特定信息由合同附件予以说明，合同附件及本项目的</w:t>
      </w:r>
      <w:r>
        <w:rPr>
          <w:rFonts w:hint="eastAsia" w:ascii="仿宋" w:hAnsi="仿宋" w:eastAsia="仿宋" w:cs="仿宋"/>
          <w:i w:val="0"/>
          <w:iCs w:val="0"/>
          <w:color w:val="auto"/>
          <w:sz w:val="24"/>
          <w:szCs w:val="24"/>
          <w:highlight w:val="none"/>
          <w:lang w:val="en-US" w:eastAsia="zh-CN"/>
        </w:rPr>
        <w:t>询价通知书</w:t>
      </w:r>
      <w:r>
        <w:rPr>
          <w:rFonts w:hint="eastAsia" w:ascii="仿宋" w:hAnsi="仿宋" w:eastAsia="仿宋" w:cs="仿宋"/>
          <w:i w:val="0"/>
          <w:iCs w:val="0"/>
          <w:color w:val="auto"/>
          <w:sz w:val="24"/>
          <w:szCs w:val="24"/>
          <w:highlight w:val="none"/>
        </w:rPr>
        <w:t>、</w:t>
      </w:r>
      <w:r>
        <w:rPr>
          <w:rFonts w:hint="eastAsia" w:ascii="仿宋" w:hAnsi="仿宋" w:eastAsia="仿宋" w:cs="仿宋"/>
          <w:i w:val="0"/>
          <w:iCs w:val="0"/>
          <w:color w:val="auto"/>
          <w:sz w:val="24"/>
          <w:szCs w:val="24"/>
          <w:highlight w:val="none"/>
          <w:lang w:val="en-US" w:eastAsia="zh-CN"/>
        </w:rPr>
        <w:t>响应</w:t>
      </w:r>
      <w:r>
        <w:rPr>
          <w:rFonts w:hint="eastAsia" w:ascii="仿宋" w:hAnsi="仿宋" w:eastAsia="仿宋" w:cs="仿宋"/>
          <w:i w:val="0"/>
          <w:iCs w:val="0"/>
          <w:color w:val="auto"/>
          <w:sz w:val="24"/>
          <w:szCs w:val="24"/>
          <w:highlight w:val="none"/>
        </w:rPr>
        <w:t>文件、</w:t>
      </w:r>
      <w:r>
        <w:rPr>
          <w:rFonts w:hint="eastAsia" w:ascii="仿宋" w:hAnsi="仿宋" w:eastAsia="仿宋" w:cs="仿宋"/>
          <w:i w:val="0"/>
          <w:iCs w:val="0"/>
          <w:color w:val="auto"/>
          <w:sz w:val="24"/>
          <w:szCs w:val="24"/>
          <w:highlight w:val="none"/>
          <w:lang w:val="en-US" w:eastAsia="zh-CN"/>
        </w:rPr>
        <w:t>成交</w:t>
      </w:r>
      <w:r>
        <w:rPr>
          <w:rFonts w:hint="eastAsia" w:ascii="仿宋" w:hAnsi="仿宋" w:eastAsia="仿宋" w:cs="仿宋"/>
          <w:i w:val="0"/>
          <w:iCs w:val="0"/>
          <w:color w:val="auto"/>
          <w:sz w:val="24"/>
          <w:szCs w:val="24"/>
          <w:highlight w:val="none"/>
        </w:rPr>
        <w:t>通知书等均为本合同不可分割的部分</w:t>
      </w:r>
      <w:r>
        <w:rPr>
          <w:rFonts w:hint="eastAsia" w:ascii="仿宋" w:hAnsi="仿宋" w:eastAsia="仿宋" w:cs="仿宋"/>
          <w:i w:val="0"/>
          <w:iCs w:val="0"/>
          <w:color w:val="auto"/>
          <w:sz w:val="24"/>
          <w:szCs w:val="24"/>
          <w:highlight w:val="none"/>
          <w:lang w:eastAsia="zh-CN"/>
        </w:rPr>
        <w:t>。</w:t>
      </w:r>
      <w:r>
        <w:rPr>
          <w:rFonts w:hint="eastAsia" w:ascii="仿宋" w:hAnsi="仿宋" w:eastAsia="仿宋" w:cs="仿宋"/>
          <w:i w:val="0"/>
          <w:iCs w:val="0"/>
          <w:color w:val="auto"/>
          <w:sz w:val="24"/>
          <w:szCs w:val="24"/>
          <w:highlight w:val="none"/>
        </w:rPr>
        <w:t>双方同意共同遵守如下条款：</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lang w:val="en-US" w:eastAsia="zh-CN"/>
        </w:rPr>
      </w:pPr>
      <w:bookmarkStart w:id="0" w:name="_Toc22049"/>
      <w:bookmarkStart w:id="1" w:name="_Toc9841"/>
      <w:bookmarkStart w:id="2" w:name="_Toc217446107"/>
      <w:r>
        <w:rPr>
          <w:rFonts w:hint="eastAsia" w:ascii="仿宋" w:hAnsi="仿宋" w:eastAsia="仿宋" w:cs="仿宋"/>
          <w:b/>
          <w:bCs/>
          <w:i w:val="0"/>
          <w:iCs w:val="0"/>
          <w:color w:val="auto"/>
          <w:sz w:val="24"/>
          <w:szCs w:val="24"/>
          <w:highlight w:val="none"/>
          <w:lang w:val="en-US" w:eastAsia="zh-CN"/>
        </w:rPr>
        <w:t>一、合同货物</w:t>
      </w:r>
      <w:bookmarkEnd w:id="0"/>
      <w:bookmarkEnd w:id="1"/>
      <w:bookmarkEnd w:id="2"/>
    </w:p>
    <w:tbl>
      <w:tblPr>
        <w:tblStyle w:val="4"/>
        <w:tblW w:w="7516"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1"/>
        <w:gridCol w:w="953"/>
        <w:gridCol w:w="1049"/>
        <w:gridCol w:w="832"/>
        <w:gridCol w:w="832"/>
        <w:gridCol w:w="953"/>
        <w:gridCol w:w="965"/>
        <w:gridCol w:w="96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62"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货物</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品名</w:t>
            </w: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品牌</w:t>
            </w:r>
          </w:p>
        </w:tc>
        <w:tc>
          <w:tcPr>
            <w:tcW w:w="10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规格</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型号</w:t>
            </w: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单位</w:t>
            </w: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数量</w:t>
            </w: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单价</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（元）</w:t>
            </w:r>
          </w:p>
        </w:tc>
        <w:tc>
          <w:tcPr>
            <w:tcW w:w="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总价</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（元）</w:t>
            </w:r>
          </w:p>
        </w:tc>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交货期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44"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5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i w:val="0"/>
                <w:iCs w:val="0"/>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lang w:val="en-US" w:eastAsia="zh-CN"/>
        </w:rPr>
      </w:pPr>
      <w:bookmarkStart w:id="3" w:name="_Toc28073"/>
      <w:bookmarkStart w:id="4" w:name="_Toc217446108"/>
      <w:bookmarkStart w:id="5" w:name="_Toc22673"/>
      <w:r>
        <w:rPr>
          <w:rFonts w:hint="eastAsia" w:ascii="仿宋" w:hAnsi="仿宋" w:eastAsia="仿宋" w:cs="仿宋"/>
          <w:b/>
          <w:bCs/>
          <w:i w:val="0"/>
          <w:iCs w:val="0"/>
          <w:color w:val="auto"/>
          <w:sz w:val="24"/>
          <w:szCs w:val="24"/>
          <w:highlight w:val="none"/>
          <w:lang w:val="en-US" w:eastAsia="zh-CN"/>
        </w:rPr>
        <w:t>二、合同总价</w:t>
      </w:r>
      <w:bookmarkEnd w:id="3"/>
      <w:bookmarkEnd w:id="4"/>
      <w:bookmarkEnd w:id="5"/>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合同金额</w:t>
      </w:r>
      <w:r>
        <w:rPr>
          <w:rFonts w:hint="eastAsia" w:ascii="仿宋" w:hAnsi="仿宋" w:eastAsia="仿宋" w:cs="仿宋"/>
          <w:i w:val="0"/>
          <w:iCs w:val="0"/>
          <w:color w:val="auto"/>
          <w:sz w:val="24"/>
          <w:szCs w:val="24"/>
          <w:highlight w:val="none"/>
        </w:rPr>
        <w:t>：</w:t>
      </w:r>
      <w:r>
        <w:rPr>
          <w:rFonts w:hint="eastAsia" w:ascii="仿宋" w:hAnsi="仿宋" w:eastAsia="仿宋" w:cs="仿宋"/>
          <w:i w:val="0"/>
          <w:iCs w:val="0"/>
          <w:color w:val="auto"/>
          <w:sz w:val="24"/>
          <w:szCs w:val="24"/>
          <w:highlight w:val="none"/>
          <w:u w:val="single"/>
        </w:rPr>
        <w:t xml:space="preserve">    </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single"/>
        </w:rPr>
        <w:t xml:space="preserve">  </w:t>
      </w:r>
      <w:r>
        <w:rPr>
          <w:rFonts w:hint="eastAsia" w:ascii="仿宋" w:hAnsi="仿宋" w:eastAsia="仿宋" w:cs="仿宋"/>
          <w:i w:val="0"/>
          <w:iCs w:val="0"/>
          <w:color w:val="auto"/>
          <w:sz w:val="24"/>
          <w:szCs w:val="24"/>
          <w:highlight w:val="none"/>
          <w:u w:val="none"/>
          <w:lang w:val="en-US" w:eastAsia="zh-CN"/>
        </w:rPr>
        <w:t>元（大写：</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rPr>
      </w:pPr>
      <w:bookmarkStart w:id="6" w:name="_Toc24394"/>
      <w:bookmarkStart w:id="7" w:name="_Toc217446109"/>
      <w:bookmarkStart w:id="8" w:name="_Toc22755"/>
      <w:r>
        <w:rPr>
          <w:rFonts w:hint="eastAsia" w:ascii="仿宋" w:hAnsi="仿宋" w:eastAsia="仿宋" w:cs="仿宋"/>
          <w:b/>
          <w:bCs/>
          <w:i w:val="0"/>
          <w:iCs w:val="0"/>
          <w:color w:val="auto"/>
          <w:sz w:val="24"/>
          <w:szCs w:val="24"/>
          <w:highlight w:val="none"/>
          <w:lang w:val="en-US" w:eastAsia="zh-CN"/>
        </w:rPr>
        <w:t>三、</w:t>
      </w:r>
      <w:bookmarkEnd w:id="6"/>
      <w:bookmarkEnd w:id="7"/>
      <w:bookmarkEnd w:id="8"/>
      <w:r>
        <w:rPr>
          <w:rFonts w:hint="eastAsia" w:ascii="仿宋" w:hAnsi="仿宋" w:eastAsia="仿宋" w:cs="仿宋"/>
          <w:b/>
          <w:bCs/>
          <w:i w:val="0"/>
          <w:iCs w:val="0"/>
          <w:color w:val="auto"/>
          <w:sz w:val="24"/>
          <w:szCs w:val="24"/>
          <w:highlight w:val="none"/>
          <w:lang w:val="en-US" w:eastAsia="zh-CN"/>
        </w:rPr>
        <w:t>质量要求</w:t>
      </w:r>
    </w:p>
    <w:p>
      <w:pPr>
        <w:pageBreakBefore w:val="0"/>
        <w:widowControl w:val="0"/>
        <w:kinsoku/>
        <w:wordWrap/>
        <w:overflowPunct/>
        <w:topLinePunct w:val="0"/>
        <w:autoSpaceDE/>
        <w:autoSpaceDN/>
        <w:bidi w:val="0"/>
        <w:adjustRightInd/>
        <w:snapToGrid/>
        <w:spacing w:after="120" w:line="460" w:lineRule="exact"/>
        <w:ind w:firstLine="480" w:firstLineChars="200"/>
        <w:textAlignment w:val="auto"/>
        <w:rPr>
          <w:rFonts w:hint="eastAsia" w:ascii="仿宋" w:hAnsi="仿宋" w:eastAsia="仿宋" w:cs="仿宋"/>
          <w:kern w:val="0"/>
          <w:sz w:val="24"/>
          <w:szCs w:val="21"/>
          <w:highlight w:val="none"/>
          <w:lang w:val="en-US" w:eastAsia="zh-CN"/>
        </w:rPr>
      </w:pPr>
      <w:bookmarkStart w:id="9" w:name="_Toc217446110"/>
      <w:bookmarkStart w:id="10" w:name="_Toc24842"/>
      <w:bookmarkStart w:id="11" w:name="_Toc26218"/>
      <w:bookmarkStart w:id="12" w:name="_Toc217446113"/>
      <w:bookmarkStart w:id="13" w:name="_Toc234"/>
      <w:bookmarkStart w:id="14" w:name="_Toc20729"/>
      <w:r>
        <w:rPr>
          <w:rFonts w:hint="eastAsia" w:ascii="仿宋" w:hAnsi="仿宋" w:eastAsia="仿宋" w:cs="仿宋"/>
          <w:kern w:val="0"/>
          <w:sz w:val="24"/>
          <w:szCs w:val="21"/>
          <w:highlight w:val="none"/>
          <w:lang w:val="en-US" w:eastAsia="zh-CN"/>
        </w:rPr>
        <w:t>1.乙方须提供全新的、未使用过的货物（含零部件、配件等），表面无划伤、无碰撞痕迹，且权属清楚，不得侵害他人的知识产权。</w:t>
      </w:r>
    </w:p>
    <w:p>
      <w:pPr>
        <w:pageBreakBefore w:val="0"/>
        <w:widowControl w:val="0"/>
        <w:kinsoku/>
        <w:wordWrap/>
        <w:overflowPunct/>
        <w:topLinePunct w:val="0"/>
        <w:autoSpaceDE/>
        <w:autoSpaceDN/>
        <w:bidi w:val="0"/>
        <w:adjustRightInd/>
        <w:snapToGrid/>
        <w:spacing w:after="120" w:line="460" w:lineRule="exact"/>
        <w:ind w:firstLine="480" w:firstLineChars="200"/>
        <w:textAlignment w:val="auto"/>
        <w:rPr>
          <w:rFonts w:hint="eastAsia" w:ascii="仿宋" w:hAnsi="仿宋" w:eastAsia="仿宋" w:cs="仿宋"/>
          <w:kern w:val="0"/>
          <w:sz w:val="24"/>
          <w:szCs w:val="21"/>
          <w:highlight w:val="none"/>
          <w:lang w:val="en-US" w:eastAsia="zh-CN"/>
        </w:rPr>
      </w:pPr>
      <w:r>
        <w:rPr>
          <w:rFonts w:hint="eastAsia" w:ascii="仿宋" w:hAnsi="仿宋" w:eastAsia="仿宋" w:cs="仿宋"/>
          <w:kern w:val="0"/>
          <w:sz w:val="24"/>
          <w:szCs w:val="21"/>
          <w:highlight w:val="none"/>
          <w:lang w:val="en-US" w:eastAsia="zh-CN"/>
        </w:rPr>
        <w:t>2.货物必须符合或优于国家（行业）强制性标准，以及本项目询价通知书的质量要求和技术指标与出厂标准。</w:t>
      </w:r>
    </w:p>
    <w:p>
      <w:pPr>
        <w:keepNext w:val="0"/>
        <w:keepLines w:val="0"/>
        <w:pageBreakBefore w:val="0"/>
        <w:kinsoku/>
        <w:overflowPunct/>
        <w:topLinePunct w:val="0"/>
        <w:autoSpaceDE/>
        <w:autoSpaceDN/>
        <w:bidi w:val="0"/>
        <w:adjustRightInd/>
        <w:snapToGrid/>
        <w:spacing w:line="500" w:lineRule="exact"/>
        <w:ind w:firstLine="480"/>
        <w:textAlignment w:val="auto"/>
        <w:rPr>
          <w:rFonts w:hint="eastAsia" w:ascii="仿宋" w:hAnsi="仿宋" w:eastAsia="仿宋" w:cs="仿宋"/>
          <w:sz w:val="24"/>
          <w:szCs w:val="24"/>
          <w:highlight w:val="none"/>
          <w:lang w:val="en-US" w:eastAsia="zh-CN"/>
        </w:rPr>
      </w:pPr>
      <w:r>
        <w:rPr>
          <w:rFonts w:hint="eastAsia" w:ascii="仿宋" w:hAnsi="仿宋" w:eastAsia="仿宋" w:cs="仿宋"/>
          <w:kern w:val="0"/>
          <w:sz w:val="24"/>
          <w:szCs w:val="21"/>
          <w:highlight w:val="none"/>
          <w:lang w:val="en-US" w:eastAsia="zh-CN"/>
        </w:rPr>
        <w:t>3.本项目乙方应将货物送到甲方指定地点，乙方的报价包括货物验收前的全部费用，货物运输途中出现的所有质量、包装、安全问题乙方应无条件负责包换、包退。货物在运输中，交付验收前的损耗由乙方自行承担</w:t>
      </w:r>
      <w:r>
        <w:rPr>
          <w:rFonts w:hint="eastAsia" w:ascii="仿宋" w:hAnsi="仿宋" w:eastAsia="仿宋" w:cs="仿宋"/>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lang w:val="en-US" w:eastAsia="zh-CN"/>
        </w:rPr>
        <w:t>四、交货及验收</w:t>
      </w:r>
      <w:bookmarkEnd w:id="9"/>
      <w:bookmarkEnd w:id="10"/>
      <w:bookmarkEnd w:id="11"/>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1.交货时间：采购合同签订后，接到甲方通知7日内完成安装及验收</w:t>
      </w:r>
      <w:r>
        <w:rPr>
          <w:rFonts w:hint="eastAsia" w:ascii="仿宋" w:hAnsi="仿宋" w:eastAsia="仿宋" w:cs="仿宋"/>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2.</w:t>
      </w:r>
      <w:r>
        <w:rPr>
          <w:rFonts w:hint="eastAsia" w:ascii="仿宋" w:hAnsi="仿宋" w:eastAsia="仿宋" w:cs="仿宋"/>
          <w:i w:val="0"/>
          <w:iCs w:val="0"/>
          <w:color w:val="auto"/>
          <w:sz w:val="24"/>
          <w:szCs w:val="24"/>
          <w:highlight w:val="none"/>
        </w:rPr>
        <w:t>交货地点</w:t>
      </w:r>
      <w:r>
        <w:rPr>
          <w:rFonts w:hint="eastAsia" w:ascii="仿宋" w:hAnsi="仿宋" w:eastAsia="仿宋" w:cs="仿宋"/>
          <w:i w:val="0"/>
          <w:iCs w:val="0"/>
          <w:color w:val="auto"/>
          <w:sz w:val="24"/>
          <w:szCs w:val="24"/>
          <w:highlight w:val="none"/>
          <w:lang w:eastAsia="zh-CN"/>
        </w:rPr>
        <w:t>：成都市公安局新都区分局</w:t>
      </w:r>
      <w:r>
        <w:rPr>
          <w:rFonts w:hint="eastAsia" w:ascii="仿宋" w:hAnsi="仿宋" w:eastAsia="仿宋" w:cs="仿宋"/>
          <w:i w:val="0"/>
          <w:iCs w:val="0"/>
          <w:color w:val="auto"/>
          <w:sz w:val="24"/>
          <w:szCs w:val="24"/>
          <w:highlight w:val="none"/>
          <w:lang w:val="en-US" w:eastAsia="zh-CN"/>
        </w:rPr>
        <w:t>执法办案管理中心</w:t>
      </w:r>
      <w:r>
        <w:rPr>
          <w:rFonts w:hint="eastAsia" w:ascii="仿宋" w:hAnsi="仿宋" w:eastAsia="仿宋" w:cs="仿宋"/>
          <w:sz w:val="24"/>
          <w:szCs w:val="24"/>
          <w:highlight w:val="none"/>
        </w:rPr>
        <w:t>。</w:t>
      </w:r>
    </w:p>
    <w:p>
      <w:pPr>
        <w:keepNext w:val="0"/>
        <w:keepLines w:val="0"/>
        <w:pageBreakBefore w:val="0"/>
        <w:kinsoku/>
        <w:overflowPunct/>
        <w:topLinePunct w:val="0"/>
        <w:autoSpaceDE/>
        <w:autoSpaceDN/>
        <w:bidi w:val="0"/>
        <w:adjustRightInd/>
        <w:snapToGrid/>
        <w:spacing w:line="500" w:lineRule="exact"/>
        <w:ind w:firstLine="48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（1）验收主体：由甲方组织，乙方配合进行。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（2）验收时间：乙方完成设备交付并安装、调试后甲方在10个工作日内组织验收。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（3）验收标准：</w:t>
      </w:r>
      <w:r>
        <w:rPr>
          <w:rFonts w:hint="eastAsia" w:ascii="仿宋" w:hAnsi="仿宋" w:eastAsia="仿宋" w:cs="仿宋"/>
          <w:color w:val="auto"/>
          <w:kern w:val="0"/>
          <w:sz w:val="24"/>
          <w:highlight w:val="none"/>
          <w:lang w:val="en-US" w:eastAsia="zh-CN"/>
        </w:rPr>
        <w:t>按国家有关规定、询价通知书的技术要求、乙方的响应文件及承诺与合同约定标准进行验收</w:t>
      </w:r>
      <w:r>
        <w:rPr>
          <w:rFonts w:hint="eastAsia" w:ascii="仿宋" w:hAnsi="仿宋" w:eastAsia="仿宋" w:cs="仿宋"/>
          <w:i w:val="0"/>
          <w:iCs w:val="0"/>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（4）</w:t>
      </w:r>
      <w:r>
        <w:rPr>
          <w:rFonts w:hint="eastAsia" w:ascii="仿宋" w:hAnsi="仿宋" w:eastAsia="仿宋" w:cs="仿宋"/>
          <w:color w:val="auto"/>
          <w:kern w:val="0"/>
          <w:sz w:val="24"/>
          <w:highlight w:val="none"/>
          <w:lang w:val="en-US" w:eastAsia="zh-CN"/>
        </w:rPr>
        <w:t>验收办法：乙方与甲方按照《财政部关于进一步加强政府采购需求和履约验收管理的指导意见》（财库〔2016〕205号）和《政府釆购需求管理办法》（财库（2021） 22号）等相关要求进行验收</w:t>
      </w:r>
      <w:r>
        <w:rPr>
          <w:rFonts w:hint="eastAsia" w:ascii="仿宋" w:hAnsi="仿宋" w:eastAsia="仿宋" w:cs="仿宋"/>
          <w:i w:val="0"/>
          <w:iCs w:val="0"/>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lang w:val="en-US" w:eastAsia="zh-CN"/>
        </w:rPr>
      </w:pPr>
      <w:bookmarkStart w:id="15" w:name="_Toc1459"/>
      <w:bookmarkStart w:id="16" w:name="_Toc217446111"/>
      <w:bookmarkStart w:id="17" w:name="_Toc28400"/>
      <w:r>
        <w:rPr>
          <w:rFonts w:hint="eastAsia" w:ascii="仿宋" w:hAnsi="仿宋" w:eastAsia="仿宋" w:cs="仿宋"/>
          <w:b/>
          <w:bCs/>
          <w:i w:val="0"/>
          <w:iCs w:val="0"/>
          <w:color w:val="auto"/>
          <w:sz w:val="24"/>
          <w:szCs w:val="24"/>
          <w:highlight w:val="none"/>
          <w:lang w:val="en-US" w:eastAsia="zh-CN"/>
        </w:rPr>
        <w:t>五、付款方式</w:t>
      </w:r>
      <w:bookmarkEnd w:id="15"/>
      <w:bookmarkEnd w:id="16"/>
      <w:bookmarkEnd w:id="17"/>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eastAsia="zh-CN"/>
        </w:rPr>
      </w:pPr>
      <w:bookmarkStart w:id="18" w:name="_Toc5902"/>
      <w:bookmarkStart w:id="19" w:name="_Toc217446112"/>
      <w:bookmarkStart w:id="20" w:name="_Toc9696"/>
      <w:r>
        <w:rPr>
          <w:rFonts w:hint="eastAsia" w:ascii="仿宋" w:hAnsi="仿宋" w:eastAsia="仿宋" w:cs="仿宋"/>
          <w:color w:val="auto"/>
          <w:kern w:val="0"/>
          <w:sz w:val="24"/>
          <w:highlight w:val="none"/>
          <w:lang w:val="en-US" w:eastAsia="zh-CN"/>
        </w:rPr>
        <w:t>采购合同签订后10日内，甲方向乙方支付合同总金额的40%；乙方交货完成并经甲方验收合格后10日内支付合同总金额的60%。甲方每次付款前，乙方须向甲方出具合法有效完整的完税发票及凭证资料进行支付结算，否则甲方有权顺延支付，并不承担延迟支付的违约责任</w:t>
      </w:r>
      <w:r>
        <w:rPr>
          <w:rFonts w:hint="eastAsia" w:ascii="仿宋" w:hAnsi="仿宋" w:eastAsia="仿宋" w:cs="仿宋"/>
          <w:i w:val="0"/>
          <w:iCs w:val="0"/>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lang w:val="en-US" w:eastAsia="zh-CN"/>
        </w:rPr>
        <w:t>六、售后服务</w:t>
      </w:r>
      <w:bookmarkEnd w:id="18"/>
      <w:bookmarkEnd w:id="19"/>
      <w:bookmarkEnd w:id="20"/>
    </w:p>
    <w:p>
      <w:pPr>
        <w:pageBreakBefore w:val="0"/>
        <w:widowControl w:val="0"/>
        <w:kinsoku/>
        <w:wordWrap/>
        <w:overflowPunct/>
        <w:topLinePunct w:val="0"/>
        <w:autoSpaceDE/>
        <w:autoSpaceDN/>
        <w:bidi w:val="0"/>
        <w:adjustRightInd/>
        <w:snapToGrid/>
        <w:spacing w:after="120" w:line="460" w:lineRule="exact"/>
        <w:ind w:firstLine="480" w:firstLineChars="200"/>
        <w:textAlignment w:val="auto"/>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1.</w:t>
      </w:r>
      <w:r>
        <w:rPr>
          <w:rFonts w:hint="default" w:ascii="仿宋" w:hAnsi="仿宋" w:eastAsia="仿宋" w:cs="仿宋"/>
          <w:b w:val="0"/>
          <w:bCs w:val="0"/>
          <w:sz w:val="24"/>
          <w:highlight w:val="none"/>
          <w:lang w:val="en-US" w:eastAsia="zh-CN"/>
        </w:rPr>
        <w:t>质保期：验收合格之日起</w:t>
      </w:r>
      <w:r>
        <w:rPr>
          <w:rFonts w:hint="eastAsia" w:ascii="仿宋" w:hAnsi="仿宋" w:eastAsia="仿宋" w:cs="仿宋"/>
          <w:b w:val="0"/>
          <w:bCs w:val="0"/>
          <w:sz w:val="24"/>
          <w:highlight w:val="none"/>
          <w:lang w:val="en-US" w:eastAsia="zh-CN"/>
        </w:rPr>
        <w:t>3</w:t>
      </w:r>
      <w:r>
        <w:rPr>
          <w:rFonts w:hint="default" w:ascii="仿宋" w:hAnsi="仿宋" w:eastAsia="仿宋" w:cs="仿宋"/>
          <w:b w:val="0"/>
          <w:bCs w:val="0"/>
          <w:sz w:val="24"/>
          <w:highlight w:val="none"/>
          <w:lang w:val="en-US" w:eastAsia="zh-CN"/>
        </w:rPr>
        <w:t>年</w:t>
      </w:r>
      <w:r>
        <w:rPr>
          <w:rFonts w:hint="eastAsia" w:ascii="仿宋" w:hAnsi="仿宋" w:eastAsia="仿宋" w:cs="仿宋"/>
          <w:b w:val="0"/>
          <w:bCs w:val="0"/>
          <w:sz w:val="24"/>
          <w:highlight w:val="none"/>
          <w:lang w:val="en-US" w:eastAsia="zh-CN"/>
        </w:rPr>
        <w:t>，</w:t>
      </w:r>
      <w:r>
        <w:rPr>
          <w:rFonts w:hint="default" w:ascii="仿宋" w:hAnsi="仿宋" w:eastAsia="仿宋" w:cs="仿宋"/>
          <w:b w:val="0"/>
          <w:bCs w:val="0"/>
          <w:sz w:val="24"/>
          <w:highlight w:val="none"/>
          <w:lang w:val="en-US" w:eastAsia="zh-CN"/>
        </w:rPr>
        <w:t>货物制造质量出现问题，</w:t>
      </w:r>
      <w:r>
        <w:rPr>
          <w:rFonts w:hint="eastAsia" w:ascii="仿宋" w:hAnsi="仿宋" w:eastAsia="仿宋" w:cs="仿宋"/>
          <w:b w:val="0"/>
          <w:bCs w:val="0"/>
          <w:sz w:val="24"/>
          <w:highlight w:val="none"/>
          <w:lang w:val="en-US" w:eastAsia="zh-CN"/>
        </w:rPr>
        <w:t>乙方</w:t>
      </w:r>
      <w:r>
        <w:rPr>
          <w:rFonts w:hint="default" w:ascii="仿宋" w:hAnsi="仿宋" w:eastAsia="仿宋" w:cs="仿宋"/>
          <w:b w:val="0"/>
          <w:bCs w:val="0"/>
          <w:sz w:val="24"/>
          <w:highlight w:val="none"/>
          <w:lang w:val="en-US" w:eastAsia="zh-CN"/>
        </w:rPr>
        <w:t>应负责三包（包修、包换、包退），费用由</w:t>
      </w:r>
      <w:r>
        <w:rPr>
          <w:rFonts w:hint="eastAsia" w:ascii="仿宋" w:hAnsi="仿宋" w:eastAsia="仿宋" w:cs="仿宋"/>
          <w:b w:val="0"/>
          <w:bCs w:val="0"/>
          <w:sz w:val="24"/>
          <w:highlight w:val="none"/>
          <w:lang w:val="en-US" w:eastAsia="zh-CN"/>
        </w:rPr>
        <w:t>乙方</w:t>
      </w:r>
      <w:r>
        <w:rPr>
          <w:rFonts w:hint="default" w:ascii="仿宋" w:hAnsi="仿宋" w:eastAsia="仿宋" w:cs="仿宋"/>
          <w:b w:val="0"/>
          <w:bCs w:val="0"/>
          <w:sz w:val="24"/>
          <w:highlight w:val="none"/>
          <w:lang w:val="en-US" w:eastAsia="zh-CN"/>
        </w:rPr>
        <w:t>负担。</w:t>
      </w:r>
    </w:p>
    <w:p>
      <w:pPr>
        <w:pageBreakBefore w:val="0"/>
        <w:widowControl w:val="0"/>
        <w:kinsoku/>
        <w:wordWrap/>
        <w:overflowPunct/>
        <w:topLinePunct w:val="0"/>
        <w:autoSpaceDE/>
        <w:autoSpaceDN/>
        <w:bidi w:val="0"/>
        <w:adjustRightInd/>
        <w:snapToGrid/>
        <w:spacing w:after="120" w:line="460" w:lineRule="exact"/>
        <w:ind w:firstLine="480" w:firstLineChars="200"/>
        <w:textAlignment w:val="auto"/>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2.乙方</w:t>
      </w:r>
      <w:r>
        <w:rPr>
          <w:rFonts w:hint="default" w:ascii="仿宋" w:hAnsi="仿宋" w:eastAsia="仿宋" w:cs="仿宋"/>
          <w:b w:val="0"/>
          <w:bCs w:val="0"/>
          <w:sz w:val="24"/>
          <w:highlight w:val="none"/>
          <w:lang w:val="en-US" w:eastAsia="zh-CN"/>
        </w:rPr>
        <w:t>指派专人负责与</w:t>
      </w:r>
      <w:r>
        <w:rPr>
          <w:rFonts w:hint="eastAsia" w:ascii="仿宋" w:hAnsi="仿宋" w:eastAsia="仿宋" w:cs="仿宋"/>
          <w:b w:val="0"/>
          <w:bCs w:val="0"/>
          <w:sz w:val="24"/>
          <w:highlight w:val="none"/>
          <w:lang w:val="en-US" w:eastAsia="zh-CN"/>
        </w:rPr>
        <w:t>甲方</w:t>
      </w:r>
      <w:r>
        <w:rPr>
          <w:rFonts w:hint="default" w:ascii="仿宋" w:hAnsi="仿宋" w:eastAsia="仿宋" w:cs="仿宋"/>
          <w:b w:val="0"/>
          <w:bCs w:val="0"/>
          <w:sz w:val="24"/>
          <w:highlight w:val="none"/>
          <w:lang w:val="en-US" w:eastAsia="zh-CN"/>
        </w:rPr>
        <w:t>联系售后服务事宜。</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sz w:val="24"/>
          <w:szCs w:val="24"/>
          <w:highlight w:val="none"/>
        </w:rPr>
      </w:pPr>
      <w:r>
        <w:rPr>
          <w:rFonts w:hint="eastAsia" w:ascii="仿宋" w:hAnsi="仿宋" w:eastAsia="仿宋" w:cs="仿宋"/>
          <w:b w:val="0"/>
          <w:bCs w:val="0"/>
          <w:sz w:val="24"/>
          <w:highlight w:val="none"/>
          <w:lang w:val="en-US" w:eastAsia="zh-CN"/>
        </w:rPr>
        <w:t>3</w:t>
      </w:r>
      <w:r>
        <w:rPr>
          <w:rFonts w:hint="default" w:ascii="仿宋" w:hAnsi="仿宋" w:eastAsia="仿宋" w:cs="仿宋"/>
          <w:b w:val="0"/>
          <w:bCs w:val="0"/>
          <w:sz w:val="24"/>
          <w:highlight w:val="none"/>
          <w:lang w:val="en-US" w:eastAsia="zh-CN"/>
        </w:rPr>
        <w:t>响应时间：</w:t>
      </w:r>
      <w:r>
        <w:rPr>
          <w:rFonts w:hint="eastAsia" w:ascii="仿宋" w:hAnsi="仿宋" w:eastAsia="仿宋" w:cs="仿宋"/>
          <w:b w:val="0"/>
          <w:bCs w:val="0"/>
          <w:sz w:val="24"/>
          <w:highlight w:val="none"/>
          <w:lang w:val="en-US" w:eastAsia="zh-CN"/>
        </w:rPr>
        <w:t>乙方所提供的</w:t>
      </w:r>
      <w:r>
        <w:rPr>
          <w:rFonts w:hint="default" w:ascii="仿宋" w:hAnsi="仿宋" w:eastAsia="仿宋" w:cs="仿宋"/>
          <w:b w:val="0"/>
          <w:bCs w:val="0"/>
          <w:sz w:val="24"/>
          <w:highlight w:val="none"/>
          <w:lang w:val="en-US" w:eastAsia="zh-CN"/>
        </w:rPr>
        <w:t>产品在使用中出现任何问题，</w:t>
      </w:r>
      <w:r>
        <w:rPr>
          <w:rFonts w:hint="eastAsia" w:ascii="仿宋" w:hAnsi="仿宋" w:eastAsia="仿宋" w:cs="仿宋"/>
          <w:b w:val="0"/>
          <w:bCs w:val="0"/>
          <w:sz w:val="24"/>
          <w:highlight w:val="none"/>
          <w:lang w:val="en-US" w:eastAsia="zh-CN"/>
        </w:rPr>
        <w:t>甲方</w:t>
      </w:r>
      <w:r>
        <w:rPr>
          <w:rFonts w:hint="default" w:ascii="仿宋" w:hAnsi="仿宋" w:eastAsia="仿宋" w:cs="仿宋"/>
          <w:b w:val="0"/>
          <w:bCs w:val="0"/>
          <w:sz w:val="24"/>
          <w:highlight w:val="none"/>
          <w:lang w:val="en-US" w:eastAsia="zh-CN"/>
        </w:rPr>
        <w:t>与</w:t>
      </w:r>
      <w:r>
        <w:rPr>
          <w:rFonts w:hint="eastAsia" w:ascii="仿宋" w:hAnsi="仿宋" w:eastAsia="仿宋" w:cs="仿宋"/>
          <w:b w:val="0"/>
          <w:bCs w:val="0"/>
          <w:sz w:val="24"/>
          <w:highlight w:val="none"/>
          <w:lang w:val="en-US" w:eastAsia="zh-CN"/>
        </w:rPr>
        <w:t>乙方</w:t>
      </w:r>
      <w:r>
        <w:rPr>
          <w:rFonts w:hint="default" w:ascii="仿宋" w:hAnsi="仿宋" w:eastAsia="仿宋" w:cs="仿宋"/>
          <w:b w:val="0"/>
          <w:bCs w:val="0"/>
          <w:sz w:val="24"/>
          <w:highlight w:val="none"/>
          <w:lang w:val="en-US" w:eastAsia="zh-CN"/>
        </w:rPr>
        <w:t>联系，</w:t>
      </w:r>
      <w:r>
        <w:rPr>
          <w:rFonts w:hint="eastAsia" w:ascii="仿宋" w:hAnsi="仿宋" w:eastAsia="仿宋" w:cs="仿宋"/>
          <w:b w:val="0"/>
          <w:bCs w:val="0"/>
          <w:sz w:val="24"/>
          <w:highlight w:val="none"/>
          <w:lang w:val="en-US" w:eastAsia="zh-CN"/>
        </w:rPr>
        <w:t>乙方</w:t>
      </w:r>
      <w:r>
        <w:rPr>
          <w:rFonts w:hint="default" w:ascii="仿宋" w:hAnsi="仿宋" w:eastAsia="仿宋" w:cs="仿宋"/>
          <w:b w:val="0"/>
          <w:bCs w:val="0"/>
          <w:sz w:val="24"/>
          <w:highlight w:val="none"/>
          <w:lang w:val="en-US" w:eastAsia="zh-CN"/>
        </w:rPr>
        <w:t>在接到故障</w:t>
      </w:r>
      <w:r>
        <w:rPr>
          <w:rFonts w:hint="eastAsia" w:ascii="仿宋" w:hAnsi="仿宋" w:eastAsia="仿宋" w:cs="仿宋"/>
          <w:b w:val="0"/>
          <w:bCs w:val="0"/>
          <w:sz w:val="24"/>
          <w:highlight w:val="none"/>
          <w:lang w:val="en-US" w:eastAsia="zh-CN"/>
        </w:rPr>
        <w:t>通知</w:t>
      </w:r>
      <w:r>
        <w:rPr>
          <w:rFonts w:hint="default" w:ascii="仿宋" w:hAnsi="仿宋" w:eastAsia="仿宋" w:cs="仿宋"/>
          <w:b w:val="0"/>
          <w:bCs w:val="0"/>
          <w:sz w:val="24"/>
          <w:highlight w:val="none"/>
          <w:lang w:val="en-US" w:eastAsia="zh-CN"/>
        </w:rPr>
        <w:t>后0.5小时内响应,4小时内到达现场提供现场服务</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lang w:val="en-US" w:eastAsia="zh-CN"/>
        </w:rPr>
        <w:t>七、违约责任</w:t>
      </w:r>
      <w:bookmarkEnd w:id="12"/>
      <w:bookmarkEnd w:id="13"/>
      <w:bookmarkEnd w:id="14"/>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1.甲方违约责任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（1）甲方无正当理由拒收货物的，甲方应偿付合同总价百分之</w:t>
      </w:r>
      <w:r>
        <w:rPr>
          <w:rFonts w:hint="eastAsia" w:ascii="仿宋" w:hAnsi="仿宋" w:eastAsia="仿宋" w:cs="仿宋"/>
          <w:i w:val="0"/>
          <w:iCs w:val="0"/>
          <w:color w:val="auto"/>
          <w:sz w:val="24"/>
          <w:szCs w:val="24"/>
          <w:highlight w:val="none"/>
          <w:u w:val="single"/>
          <w:lang w:val="en-US" w:eastAsia="zh-CN"/>
        </w:rPr>
        <w:t>5</w:t>
      </w:r>
      <w:r>
        <w:rPr>
          <w:rFonts w:hint="eastAsia" w:ascii="仿宋" w:hAnsi="仿宋" w:eastAsia="仿宋" w:cs="仿宋"/>
          <w:i w:val="0"/>
          <w:iCs w:val="0"/>
          <w:color w:val="auto"/>
          <w:sz w:val="24"/>
          <w:szCs w:val="24"/>
          <w:highlight w:val="none"/>
          <w:lang w:val="en-US" w:eastAsia="zh-CN"/>
        </w:rPr>
        <w:t>的违约金；</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（2）甲方逾期支付货款的，除应及时付足货款外，应向乙方偿付欠款总额万分之</w:t>
      </w:r>
      <w:r>
        <w:rPr>
          <w:rFonts w:hint="eastAsia" w:ascii="仿宋" w:hAnsi="仿宋" w:eastAsia="仿宋" w:cs="仿宋"/>
          <w:i w:val="0"/>
          <w:iCs w:val="0"/>
          <w:color w:val="auto"/>
          <w:sz w:val="24"/>
          <w:szCs w:val="24"/>
          <w:highlight w:val="none"/>
          <w:u w:val="single"/>
          <w:lang w:val="en-US" w:eastAsia="zh-CN"/>
        </w:rPr>
        <w:t>1</w:t>
      </w:r>
      <w:r>
        <w:rPr>
          <w:rFonts w:hint="eastAsia" w:ascii="仿宋" w:hAnsi="仿宋" w:eastAsia="仿宋" w:cs="仿宋"/>
          <w:i w:val="0"/>
          <w:iCs w:val="0"/>
          <w:color w:val="auto"/>
          <w:sz w:val="24"/>
          <w:szCs w:val="24"/>
          <w:highlight w:val="none"/>
          <w:lang w:val="en-US" w:eastAsia="zh-CN"/>
        </w:rPr>
        <w:t>/天的违约金；逾期付款超过</w:t>
      </w:r>
      <w:r>
        <w:rPr>
          <w:rFonts w:hint="eastAsia" w:ascii="仿宋" w:hAnsi="仿宋" w:eastAsia="仿宋" w:cs="仿宋"/>
          <w:i w:val="0"/>
          <w:iCs w:val="0"/>
          <w:color w:val="auto"/>
          <w:sz w:val="24"/>
          <w:szCs w:val="24"/>
          <w:highlight w:val="none"/>
          <w:u w:val="single"/>
          <w:lang w:val="en-US" w:eastAsia="zh-CN"/>
        </w:rPr>
        <w:t>60</w:t>
      </w:r>
      <w:r>
        <w:rPr>
          <w:rFonts w:hint="eastAsia" w:ascii="仿宋" w:hAnsi="仿宋" w:eastAsia="仿宋" w:cs="仿宋"/>
          <w:i w:val="0"/>
          <w:iCs w:val="0"/>
          <w:color w:val="auto"/>
          <w:sz w:val="24"/>
          <w:szCs w:val="24"/>
          <w:highlight w:val="none"/>
          <w:lang w:val="en-US" w:eastAsia="zh-CN"/>
        </w:rPr>
        <w:t>天的，乙方有权终止合同；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（3）甲方偿付的违约金不足以弥补乙方损失的，还应按乙方损失尚未弥补的部分，支付赔偿金给乙方。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2.乙方违约责任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（1）乙方交付的货物质量不符合合同规定的，乙方应向甲方支付合同总价的百分之  的违约金，并须在合同规定的交货时间内更换合格的货物给甲方，否则，视作乙方不能交付货物而违约，按本条本款下述第“（2）”项规定由乙方偿付违约赔偿金给甲方。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（2）乙方不能交付货物或逾期交付货物而违约的，除应及时交足货物外，应向甲方偿付逾期交货部分货款总额的万分之</w:t>
      </w:r>
      <w:r>
        <w:rPr>
          <w:rFonts w:hint="eastAsia" w:ascii="仿宋" w:hAnsi="仿宋" w:eastAsia="仿宋" w:cs="仿宋"/>
          <w:i w:val="0"/>
          <w:iCs w:val="0"/>
          <w:color w:val="auto"/>
          <w:sz w:val="24"/>
          <w:szCs w:val="24"/>
          <w:highlight w:val="none"/>
          <w:u w:val="single"/>
          <w:lang w:val="en-US" w:eastAsia="zh-CN"/>
        </w:rPr>
        <w:t>1</w:t>
      </w:r>
      <w:r>
        <w:rPr>
          <w:rFonts w:hint="eastAsia" w:ascii="仿宋" w:hAnsi="仿宋" w:eastAsia="仿宋" w:cs="仿宋"/>
          <w:i w:val="0"/>
          <w:iCs w:val="0"/>
          <w:color w:val="auto"/>
          <w:sz w:val="24"/>
          <w:szCs w:val="24"/>
          <w:highlight w:val="none"/>
          <w:lang w:val="en-US" w:eastAsia="zh-CN"/>
        </w:rPr>
        <w:t>/天的违约金；逾期交货超过</w:t>
      </w:r>
      <w:r>
        <w:rPr>
          <w:rFonts w:hint="eastAsia" w:ascii="仿宋" w:hAnsi="仿宋" w:eastAsia="仿宋" w:cs="仿宋"/>
          <w:i w:val="0"/>
          <w:iCs w:val="0"/>
          <w:color w:val="auto"/>
          <w:sz w:val="24"/>
          <w:szCs w:val="24"/>
          <w:highlight w:val="none"/>
          <w:u w:val="single"/>
          <w:lang w:val="en-US" w:eastAsia="zh-CN"/>
        </w:rPr>
        <w:t>30</w:t>
      </w:r>
      <w:r>
        <w:rPr>
          <w:rFonts w:hint="eastAsia" w:ascii="仿宋" w:hAnsi="仿宋" w:eastAsia="仿宋" w:cs="仿宋"/>
          <w:i w:val="0"/>
          <w:iCs w:val="0"/>
          <w:color w:val="auto"/>
          <w:sz w:val="24"/>
          <w:szCs w:val="24"/>
          <w:highlight w:val="none"/>
          <w:lang w:val="en-US" w:eastAsia="zh-CN"/>
        </w:rPr>
        <w:t>天，甲方有权终止合同，乙方则应按合同总价的百分之</w:t>
      </w:r>
      <w:r>
        <w:rPr>
          <w:rFonts w:hint="eastAsia" w:ascii="仿宋" w:hAnsi="仿宋" w:eastAsia="仿宋" w:cs="仿宋"/>
          <w:i w:val="0"/>
          <w:iCs w:val="0"/>
          <w:color w:val="auto"/>
          <w:sz w:val="24"/>
          <w:szCs w:val="24"/>
          <w:highlight w:val="none"/>
          <w:u w:val="single"/>
          <w:lang w:val="en-US" w:eastAsia="zh-CN"/>
        </w:rPr>
        <w:t>5</w:t>
      </w:r>
      <w:r>
        <w:rPr>
          <w:rFonts w:hint="eastAsia" w:ascii="仿宋" w:hAnsi="仿宋" w:eastAsia="仿宋" w:cs="仿宋"/>
          <w:i w:val="0"/>
          <w:iCs w:val="0"/>
          <w:color w:val="auto"/>
          <w:sz w:val="24"/>
          <w:szCs w:val="24"/>
          <w:highlight w:val="none"/>
          <w:lang w:val="en-US" w:eastAsia="zh-CN"/>
        </w:rPr>
        <w:t>的款额向甲方偿付赔偿金，并须全额退还甲方已经付给乙方的货款及其利息。</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（3）乙方货物经甲方送交具有法定资格条件的质量技术监督机构检测后，如检测结果认定货物质量不符合本合同规定标准的，则视为乙方没有按时交货而违约，乙方须在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i w:val="0"/>
          <w:iCs w:val="0"/>
          <w:color w:val="auto"/>
          <w:sz w:val="24"/>
          <w:szCs w:val="24"/>
          <w:highlight w:val="none"/>
          <w:u w:val="single"/>
          <w:lang w:val="en-US" w:eastAsia="zh-CN"/>
        </w:rPr>
        <w:t>30</w:t>
      </w:r>
      <w:r>
        <w:rPr>
          <w:rFonts w:hint="eastAsia" w:ascii="仿宋" w:hAnsi="仿宋" w:eastAsia="仿宋" w:cs="仿宋"/>
          <w:i w:val="0"/>
          <w:iCs w:val="0"/>
          <w:color w:val="auto"/>
          <w:sz w:val="24"/>
          <w:szCs w:val="24"/>
          <w:highlight w:val="none"/>
          <w:lang w:val="en-US" w:eastAsia="zh-CN"/>
        </w:rPr>
        <w:t>天内无条件更换合格的货物，如逾期不能更换合格的货物，甲方有权终止本合同，乙方应另付合同总价的百分之</w:t>
      </w:r>
      <w:r>
        <w:rPr>
          <w:rFonts w:hint="eastAsia" w:ascii="仿宋" w:hAnsi="仿宋" w:eastAsia="仿宋" w:cs="仿宋"/>
          <w:i w:val="0"/>
          <w:iCs w:val="0"/>
          <w:color w:val="auto"/>
          <w:sz w:val="24"/>
          <w:szCs w:val="24"/>
          <w:highlight w:val="none"/>
          <w:u w:val="single"/>
          <w:lang w:val="en-US" w:eastAsia="zh-CN"/>
        </w:rPr>
        <w:t>5</w:t>
      </w:r>
      <w:r>
        <w:rPr>
          <w:rFonts w:hint="eastAsia" w:ascii="仿宋" w:hAnsi="仿宋" w:eastAsia="仿宋" w:cs="仿宋"/>
          <w:i w:val="0"/>
          <w:iCs w:val="0"/>
          <w:color w:val="auto"/>
          <w:sz w:val="24"/>
          <w:szCs w:val="24"/>
          <w:highlight w:val="none"/>
          <w:lang w:val="en-US" w:eastAsia="zh-CN"/>
        </w:rPr>
        <w:t>的赔偿金给甲方。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w:t>
      </w:r>
      <w:r>
        <w:rPr>
          <w:rFonts w:hint="eastAsia" w:ascii="仿宋" w:hAnsi="仿宋" w:eastAsia="仿宋" w:cs="仿宋"/>
          <w:i w:val="0"/>
          <w:iCs w:val="0"/>
          <w:color w:val="auto"/>
          <w:sz w:val="24"/>
          <w:szCs w:val="24"/>
          <w:highlight w:val="none"/>
          <w:u w:val="single"/>
          <w:lang w:val="en-US" w:eastAsia="zh-CN"/>
        </w:rPr>
        <w:t>5</w:t>
      </w:r>
      <w:r>
        <w:rPr>
          <w:rFonts w:hint="eastAsia" w:ascii="仿宋" w:hAnsi="仿宋" w:eastAsia="仿宋" w:cs="仿宋"/>
          <w:i w:val="0"/>
          <w:iCs w:val="0"/>
          <w:color w:val="auto"/>
          <w:sz w:val="24"/>
          <w:szCs w:val="24"/>
          <w:highlight w:val="none"/>
          <w:lang w:val="en-US" w:eastAsia="zh-CN"/>
        </w:rPr>
        <w:t>向甲方支付违约金并赔偿因此给甲方造成的一切损失。</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（5）乙方偿付的违约金不足以弥补甲方损失的，还应按甲方损失尚未弥补的部分，支付赔偿金给甲方。</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lang w:val="en-US" w:eastAsia="zh-CN"/>
        </w:rPr>
      </w:pPr>
      <w:bookmarkStart w:id="21" w:name="_Toc21950"/>
      <w:bookmarkStart w:id="22" w:name="_Toc217446114"/>
      <w:bookmarkStart w:id="23" w:name="_Toc23453"/>
      <w:r>
        <w:rPr>
          <w:rFonts w:hint="eastAsia" w:ascii="仿宋" w:hAnsi="仿宋" w:eastAsia="仿宋" w:cs="仿宋"/>
          <w:b/>
          <w:bCs/>
          <w:i w:val="0"/>
          <w:iCs w:val="0"/>
          <w:color w:val="auto"/>
          <w:sz w:val="24"/>
          <w:szCs w:val="24"/>
          <w:highlight w:val="none"/>
          <w:lang w:val="en-US" w:eastAsia="zh-CN"/>
        </w:rPr>
        <w:t>八、争议解决办法</w:t>
      </w:r>
      <w:bookmarkEnd w:id="21"/>
      <w:bookmarkEnd w:id="22"/>
      <w:bookmarkEnd w:id="23"/>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1.因货物的质量问题发生争议，由质量技术监督部门或其指定的质量鉴定机构进行质量鉴定。货物符合标准的，鉴定费由甲方承担；货物不符合质量标准的，鉴定费由乙方承担。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2.合同履行期间，若双方发生争议，可协商或由有关部门调解解决，协商或调解不成的，由当事人依法维护其合法权益。</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lang w:val="en-US" w:eastAsia="zh-CN"/>
        </w:rPr>
      </w:pPr>
      <w:bookmarkStart w:id="24" w:name="_Toc25814"/>
      <w:bookmarkStart w:id="25" w:name="_Toc7033"/>
      <w:bookmarkStart w:id="26" w:name="_Toc217446115"/>
      <w:r>
        <w:rPr>
          <w:rFonts w:hint="eastAsia" w:ascii="仿宋" w:hAnsi="仿宋" w:eastAsia="仿宋" w:cs="仿宋"/>
          <w:b/>
          <w:bCs/>
          <w:i w:val="0"/>
          <w:iCs w:val="0"/>
          <w:color w:val="auto"/>
          <w:sz w:val="24"/>
          <w:szCs w:val="24"/>
          <w:highlight w:val="none"/>
          <w:lang w:val="en-US" w:eastAsia="zh-CN"/>
        </w:rPr>
        <w:t>九、其他</w:t>
      </w:r>
      <w:bookmarkEnd w:id="24"/>
      <w:bookmarkEnd w:id="25"/>
      <w:bookmarkEnd w:id="26"/>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1.如有未尽事宜，由双方依法订立补充合同。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lang w:val="en-US" w:eastAsia="zh-CN"/>
        </w:rPr>
        <w:t>2.本合同一式</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lang w:val="en-US" w:eastAsia="zh-CN"/>
        </w:rPr>
        <w:t>份，自双方签章之日起生效。甲方</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lang w:val="en-US" w:eastAsia="zh-CN"/>
        </w:rPr>
        <w:t>份，乙方、政府采购管理部门、采购代理机构各</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lang w:val="en-US" w:eastAsia="zh-CN"/>
        </w:rPr>
        <w:t>份。</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lang w:val="en-US" w:eastAsia="zh-CN"/>
        </w:rPr>
        <w:t>十、附件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1.项目招标文件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2.项目修改澄清文件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3.项目投标文件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4.中标通知书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lang w:val="en-US" w:eastAsia="zh-CN"/>
        </w:rPr>
      </w:pPr>
      <w:r>
        <w:rPr>
          <w:rFonts w:hint="eastAsia" w:ascii="仿宋" w:hAnsi="仿宋" w:eastAsia="仿宋" w:cs="仿宋"/>
          <w:i w:val="0"/>
          <w:iCs w:val="0"/>
          <w:color w:val="auto"/>
          <w:sz w:val="24"/>
          <w:szCs w:val="24"/>
          <w:highlight w:val="none"/>
        </w:rPr>
        <w:t>5.其他</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 xml:space="preserve">甲方：    （盖章）   </w:t>
      </w:r>
      <w:r>
        <w:rPr>
          <w:rFonts w:hint="eastAsia" w:ascii="仿宋" w:hAnsi="仿宋" w:eastAsia="仿宋" w:cs="仿宋"/>
          <w:i w:val="0"/>
          <w:iCs w:val="0"/>
          <w:color w:val="auto"/>
          <w:sz w:val="24"/>
          <w:szCs w:val="24"/>
          <w:highlight w:val="none"/>
        </w:rPr>
        <w:tab/>
      </w:r>
      <w:r>
        <w:rPr>
          <w:rFonts w:hint="eastAsia" w:ascii="仿宋" w:hAnsi="仿宋" w:eastAsia="仿宋" w:cs="仿宋"/>
          <w:i w:val="0"/>
          <w:iCs w:val="0"/>
          <w:color w:val="auto"/>
          <w:sz w:val="24"/>
          <w:szCs w:val="24"/>
          <w:highlight w:val="none"/>
        </w:rPr>
        <w:tab/>
      </w:r>
      <w:r>
        <w:rPr>
          <w:rFonts w:hint="eastAsia" w:ascii="仿宋" w:hAnsi="仿宋" w:eastAsia="仿宋" w:cs="仿宋"/>
          <w:i w:val="0"/>
          <w:iCs w:val="0"/>
          <w:color w:val="auto"/>
          <w:sz w:val="24"/>
          <w:szCs w:val="24"/>
          <w:highlight w:val="none"/>
        </w:rPr>
        <w:tab/>
      </w:r>
      <w:r>
        <w:rPr>
          <w:rFonts w:hint="eastAsia" w:ascii="仿宋" w:hAnsi="仿宋" w:eastAsia="仿宋" w:cs="仿宋"/>
          <w:i w:val="0"/>
          <w:iCs w:val="0"/>
          <w:color w:val="auto"/>
          <w:sz w:val="24"/>
          <w:szCs w:val="24"/>
          <w:highlight w:val="none"/>
        </w:rPr>
        <w:t xml:space="preserve">    乙方：    （盖章）</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法定代表人（授权代表）：           法定代表人（授权代表）：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地    址：                         地    址：</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开户银行：                         开户银行：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账号：                             账号：</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电    话：                         电    话：</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i w:val="0"/>
          <w:iCs w:val="0"/>
          <w:color w:val="auto"/>
          <w:sz w:val="24"/>
          <w:szCs w:val="24"/>
          <w:highlight w:val="none"/>
        </w:rPr>
      </w:pPr>
      <w:r>
        <w:rPr>
          <w:rFonts w:hint="eastAsia" w:ascii="仿宋" w:hAnsi="仿宋" w:eastAsia="仿宋" w:cs="仿宋"/>
          <w:i w:val="0"/>
          <w:iCs w:val="0"/>
          <w:color w:val="auto"/>
          <w:sz w:val="24"/>
          <w:szCs w:val="24"/>
          <w:highlight w:val="none"/>
        </w:rPr>
        <w:t>传    真：                         传    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i w:val="0"/>
          <w:iCs w:val="0"/>
          <w:color w:val="auto"/>
          <w:sz w:val="24"/>
          <w:szCs w:val="24"/>
          <w:highlight w:val="none"/>
          <w:lang w:val="en-US"/>
        </w:rPr>
      </w:pPr>
      <w:r>
        <w:rPr>
          <w:rFonts w:hint="eastAsia" w:ascii="仿宋" w:hAnsi="仿宋" w:eastAsia="仿宋" w:cs="仿宋"/>
          <w:i w:val="0"/>
          <w:iCs w:val="0"/>
          <w:color w:val="auto"/>
          <w:sz w:val="24"/>
          <w:szCs w:val="24"/>
          <w:highlight w:val="none"/>
        </w:rPr>
        <w:t>签约日期：</w:t>
      </w:r>
      <w:r>
        <w:rPr>
          <w:rFonts w:hint="eastAsia" w:ascii="仿宋" w:hAnsi="仿宋" w:eastAsia="仿宋" w:cs="仿宋"/>
          <w:i w:val="0"/>
          <w:iCs w:val="0"/>
          <w:color w:val="auto"/>
          <w:sz w:val="24"/>
          <w:szCs w:val="24"/>
          <w:highlight w:val="none"/>
          <w:lang w:eastAsia="zh-CN"/>
        </w:rPr>
        <w:t>xx</w:t>
      </w:r>
      <w:r>
        <w:rPr>
          <w:rFonts w:hint="eastAsia" w:ascii="仿宋" w:hAnsi="仿宋" w:eastAsia="仿宋" w:cs="仿宋"/>
          <w:i w:val="0"/>
          <w:iCs w:val="0"/>
          <w:color w:val="auto"/>
          <w:sz w:val="24"/>
          <w:szCs w:val="24"/>
          <w:highlight w:val="none"/>
        </w:rPr>
        <w:t>年</w:t>
      </w:r>
      <w:r>
        <w:rPr>
          <w:rFonts w:hint="eastAsia" w:ascii="仿宋" w:hAnsi="仿宋" w:eastAsia="仿宋" w:cs="仿宋"/>
          <w:i w:val="0"/>
          <w:iCs w:val="0"/>
          <w:color w:val="auto"/>
          <w:sz w:val="24"/>
          <w:szCs w:val="24"/>
          <w:highlight w:val="none"/>
          <w:lang w:eastAsia="zh-CN"/>
        </w:rPr>
        <w:t>xx</w:t>
      </w:r>
      <w:r>
        <w:rPr>
          <w:rFonts w:hint="eastAsia" w:ascii="仿宋" w:hAnsi="仿宋" w:eastAsia="仿宋" w:cs="仿宋"/>
          <w:i w:val="0"/>
          <w:iCs w:val="0"/>
          <w:color w:val="auto"/>
          <w:sz w:val="24"/>
          <w:szCs w:val="24"/>
          <w:highlight w:val="none"/>
        </w:rPr>
        <w:t>月</w:t>
      </w:r>
      <w:r>
        <w:rPr>
          <w:rFonts w:hint="eastAsia" w:ascii="仿宋" w:hAnsi="仿宋" w:eastAsia="仿宋" w:cs="仿宋"/>
          <w:i w:val="0"/>
          <w:iCs w:val="0"/>
          <w:color w:val="auto"/>
          <w:sz w:val="24"/>
          <w:szCs w:val="24"/>
          <w:highlight w:val="none"/>
          <w:lang w:eastAsia="zh-CN"/>
        </w:rPr>
        <w:t>xx</w:t>
      </w:r>
      <w:r>
        <w:rPr>
          <w:rFonts w:hint="eastAsia" w:ascii="仿宋" w:hAnsi="仿宋" w:eastAsia="仿宋" w:cs="仿宋"/>
          <w:i w:val="0"/>
          <w:iCs w:val="0"/>
          <w:color w:val="auto"/>
          <w:sz w:val="24"/>
          <w:szCs w:val="24"/>
          <w:highlight w:val="none"/>
        </w:rPr>
        <w:t>日</w:t>
      </w:r>
      <w:r>
        <w:rPr>
          <w:rFonts w:hint="eastAsia" w:ascii="仿宋" w:hAnsi="仿宋" w:eastAsia="仿宋" w:cs="仿宋"/>
          <w:i w:val="0"/>
          <w:iCs w:val="0"/>
          <w:color w:val="auto"/>
          <w:sz w:val="24"/>
          <w:szCs w:val="24"/>
          <w:highlight w:val="none"/>
          <w:lang w:val="en-US" w:eastAsia="zh-CN"/>
        </w:rPr>
        <w:t xml:space="preserve">          </w:t>
      </w:r>
      <w:r>
        <w:rPr>
          <w:rFonts w:hint="eastAsia" w:ascii="仿宋" w:hAnsi="仿宋" w:eastAsia="仿宋" w:cs="仿宋"/>
          <w:i w:val="0"/>
          <w:iCs w:val="0"/>
          <w:color w:val="auto"/>
          <w:sz w:val="24"/>
          <w:szCs w:val="24"/>
          <w:highlight w:val="none"/>
        </w:rPr>
        <w:t>签约日期：</w:t>
      </w:r>
      <w:r>
        <w:rPr>
          <w:rFonts w:hint="eastAsia" w:ascii="仿宋" w:hAnsi="仿宋" w:eastAsia="仿宋" w:cs="仿宋"/>
          <w:i w:val="0"/>
          <w:iCs w:val="0"/>
          <w:color w:val="auto"/>
          <w:sz w:val="24"/>
          <w:szCs w:val="24"/>
          <w:highlight w:val="none"/>
          <w:lang w:eastAsia="zh-CN"/>
        </w:rPr>
        <w:t>xx</w:t>
      </w:r>
      <w:r>
        <w:rPr>
          <w:rFonts w:hint="eastAsia" w:ascii="仿宋" w:hAnsi="仿宋" w:eastAsia="仿宋" w:cs="仿宋"/>
          <w:i w:val="0"/>
          <w:iCs w:val="0"/>
          <w:color w:val="auto"/>
          <w:sz w:val="24"/>
          <w:szCs w:val="24"/>
          <w:highlight w:val="none"/>
        </w:rPr>
        <w:t>年</w:t>
      </w:r>
      <w:r>
        <w:rPr>
          <w:rFonts w:hint="eastAsia" w:ascii="仿宋" w:hAnsi="仿宋" w:eastAsia="仿宋" w:cs="仿宋"/>
          <w:i w:val="0"/>
          <w:iCs w:val="0"/>
          <w:color w:val="auto"/>
          <w:sz w:val="24"/>
          <w:szCs w:val="24"/>
          <w:highlight w:val="none"/>
          <w:lang w:eastAsia="zh-CN"/>
        </w:rPr>
        <w:t>xx</w:t>
      </w:r>
      <w:r>
        <w:rPr>
          <w:rFonts w:hint="eastAsia" w:ascii="仿宋" w:hAnsi="仿宋" w:eastAsia="仿宋" w:cs="仿宋"/>
          <w:i w:val="0"/>
          <w:iCs w:val="0"/>
          <w:color w:val="auto"/>
          <w:sz w:val="24"/>
          <w:szCs w:val="24"/>
          <w:highlight w:val="none"/>
        </w:rPr>
        <w:t>月</w:t>
      </w:r>
      <w:r>
        <w:rPr>
          <w:rFonts w:hint="eastAsia" w:ascii="仿宋" w:hAnsi="仿宋" w:eastAsia="仿宋" w:cs="仿宋"/>
          <w:i w:val="0"/>
          <w:iCs w:val="0"/>
          <w:color w:val="auto"/>
          <w:sz w:val="24"/>
          <w:szCs w:val="24"/>
          <w:highlight w:val="none"/>
          <w:lang w:eastAsia="zh-CN"/>
        </w:rPr>
        <w:t>xx</w:t>
      </w:r>
      <w:r>
        <w:rPr>
          <w:rFonts w:hint="eastAsia" w:ascii="仿宋" w:hAnsi="仿宋" w:eastAsia="仿宋" w:cs="仿宋"/>
          <w:i w:val="0"/>
          <w:iCs w:val="0"/>
          <w:color w:val="auto"/>
          <w:sz w:val="24"/>
          <w:szCs w:val="24"/>
          <w:highlight w:val="none"/>
          <w:lang w:val="en-US" w:eastAsia="zh-CN"/>
        </w:rPr>
        <w:t>日</w:t>
      </w:r>
    </w:p>
    <w:p>
      <w:bookmarkStart w:id="27" w:name="_GoBack"/>
      <w:bookmarkEnd w:id="27"/>
    </w:p>
    <w:sectPr>
      <w:pgSz w:w="11906" w:h="16838"/>
      <w:pgMar w:top="1040" w:right="1246" w:bottom="1098" w:left="142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60A16"/>
    <w:rsid w:val="04DE2D36"/>
    <w:rsid w:val="055A19E8"/>
    <w:rsid w:val="05800922"/>
    <w:rsid w:val="092178D9"/>
    <w:rsid w:val="09385203"/>
    <w:rsid w:val="0A611D71"/>
    <w:rsid w:val="0C9F63CD"/>
    <w:rsid w:val="0CB35BDE"/>
    <w:rsid w:val="0D72388E"/>
    <w:rsid w:val="0ED84C75"/>
    <w:rsid w:val="0F2303C2"/>
    <w:rsid w:val="0F96278C"/>
    <w:rsid w:val="13F50F97"/>
    <w:rsid w:val="15BC4505"/>
    <w:rsid w:val="16492C6A"/>
    <w:rsid w:val="16810634"/>
    <w:rsid w:val="174441E5"/>
    <w:rsid w:val="187266B6"/>
    <w:rsid w:val="18A42AA7"/>
    <w:rsid w:val="18CA1796"/>
    <w:rsid w:val="1935548C"/>
    <w:rsid w:val="19EB0BE0"/>
    <w:rsid w:val="1B0D7028"/>
    <w:rsid w:val="1E500E2C"/>
    <w:rsid w:val="22670ABE"/>
    <w:rsid w:val="22FF73F5"/>
    <w:rsid w:val="23D15D5E"/>
    <w:rsid w:val="23DF10B6"/>
    <w:rsid w:val="242066B4"/>
    <w:rsid w:val="248C2DA1"/>
    <w:rsid w:val="261B5027"/>
    <w:rsid w:val="272B7E8F"/>
    <w:rsid w:val="29FA5159"/>
    <w:rsid w:val="2AB50A4D"/>
    <w:rsid w:val="2C3541A8"/>
    <w:rsid w:val="2C57347E"/>
    <w:rsid w:val="2D890121"/>
    <w:rsid w:val="31D279D3"/>
    <w:rsid w:val="37FC6CD4"/>
    <w:rsid w:val="39D0471B"/>
    <w:rsid w:val="3B3432AD"/>
    <w:rsid w:val="3F9556CE"/>
    <w:rsid w:val="42050D9D"/>
    <w:rsid w:val="46933BD0"/>
    <w:rsid w:val="48A8774B"/>
    <w:rsid w:val="49602D1B"/>
    <w:rsid w:val="4A39034E"/>
    <w:rsid w:val="4B3D7473"/>
    <w:rsid w:val="4B976904"/>
    <w:rsid w:val="4C9D40DD"/>
    <w:rsid w:val="4D9507BE"/>
    <w:rsid w:val="4DA328FF"/>
    <w:rsid w:val="4DAA2AE3"/>
    <w:rsid w:val="4FD45842"/>
    <w:rsid w:val="50C73D1E"/>
    <w:rsid w:val="512137A3"/>
    <w:rsid w:val="52970C45"/>
    <w:rsid w:val="529B3F70"/>
    <w:rsid w:val="530B7AF4"/>
    <w:rsid w:val="5409154F"/>
    <w:rsid w:val="56821A6E"/>
    <w:rsid w:val="5712531A"/>
    <w:rsid w:val="57512A1E"/>
    <w:rsid w:val="5BA930A0"/>
    <w:rsid w:val="5D4A09C0"/>
    <w:rsid w:val="5EDF0947"/>
    <w:rsid w:val="5EFA1363"/>
    <w:rsid w:val="61001293"/>
    <w:rsid w:val="6191220C"/>
    <w:rsid w:val="62833737"/>
    <w:rsid w:val="6292660B"/>
    <w:rsid w:val="632D5B2D"/>
    <w:rsid w:val="63FB33F7"/>
    <w:rsid w:val="64BF5D35"/>
    <w:rsid w:val="657329B7"/>
    <w:rsid w:val="65A50030"/>
    <w:rsid w:val="66953967"/>
    <w:rsid w:val="68FD0467"/>
    <w:rsid w:val="69412173"/>
    <w:rsid w:val="6CB34646"/>
    <w:rsid w:val="6E0B3510"/>
    <w:rsid w:val="6F925C7A"/>
    <w:rsid w:val="6FB72D21"/>
    <w:rsid w:val="71B578C5"/>
    <w:rsid w:val="74D422EC"/>
    <w:rsid w:val="75E948FF"/>
    <w:rsid w:val="7A5802BA"/>
    <w:rsid w:val="7D383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after="120"/>
      <w:jc w:val="both"/>
    </w:pPr>
    <w:rPr>
      <w:rFonts w:ascii="Times New Roman" w:hAnsi="Times New Roman" w:eastAsia="宋体" w:cs="Times New Roman"/>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autoSpaceDE/>
      <w:autoSpaceDN/>
      <w:adjustRightInd/>
      <w:snapToGrid w:val="0"/>
      <w:spacing w:after="0"/>
      <w:jc w:val="left"/>
    </w:pPr>
    <w:rPr>
      <w:kern w:val="2"/>
      <w:sz w:val="18"/>
      <w:szCs w:val="20"/>
    </w:rPr>
  </w:style>
  <w:style w:type="paragraph" w:styleId="3">
    <w:name w:val="header"/>
    <w:basedOn w:val="1"/>
    <w:next w:val="1"/>
    <w:uiPriority w:val="0"/>
    <w:pPr>
      <w:pBdr>
        <w:bottom w:val="single" w:color="auto" w:sz="6" w:space="1"/>
      </w:pBdr>
      <w:tabs>
        <w:tab w:val="center" w:pos="4153"/>
        <w:tab w:val="right" w:pos="8306"/>
      </w:tabs>
      <w:autoSpaceDE/>
      <w:autoSpaceDN/>
      <w:adjustRightInd/>
      <w:snapToGrid w:val="0"/>
      <w:spacing w:after="0"/>
      <w:jc w:val="center"/>
    </w:pPr>
    <w:rPr>
      <w:kern w:val="2"/>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2022-11-07T03:16:00Z</dcterms:created>
  <dc:creator>gao</dc:creator>
  <cp:lastModifiedBy>魏婷</cp:lastModifiedBy>
  <dcterms:modified xsi:type="dcterms:W3CDTF">2025-03-03T06:10:36Z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