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版本号：N512022202500001220250311001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乐至县高寺镇简高路排危建设项目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N5120222025000012</w:t>
      </w:r>
    </w:p>
    <w:p>
      <w:pPr>
        <w:pStyle w:val="null3"/>
        <w:jc w:val="center"/>
        <w:outlineLvl w:val="2"/>
      </w:pPr>
      <w:r>
        <w:rPr>
          <w:rFonts w:ascii="仿宋_GB2312" w:hAnsi="仿宋_GB2312" w:cs="仿宋_GB2312" w:eastAsia="仿宋_GB2312"/>
          <w:sz w:val="28"/>
          <w:b/>
        </w:rPr>
        <w:t>乐至县高寺镇人民政府</w:t>
      </w:r>
    </w:p>
    <w:p>
      <w:pPr>
        <w:pStyle w:val="null3"/>
        <w:jc w:val="center"/>
        <w:outlineLvl w:val="2"/>
      </w:pPr>
      <w:r>
        <w:rPr>
          <w:rFonts w:ascii="仿宋_GB2312" w:hAnsi="仿宋_GB2312" w:cs="仿宋_GB2312" w:eastAsia="仿宋_GB2312"/>
          <w:sz w:val="28"/>
          <w:b/>
        </w:rPr>
        <w:t>乐至县政府采购中心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乐至县政府采购中心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乐至县高寺镇人民政府</w:t>
      </w:r>
      <w:r>
        <w:rPr>
          <w:rFonts w:ascii="仿宋_GB2312" w:hAnsi="仿宋_GB2312" w:cs="仿宋_GB2312" w:eastAsia="仿宋_GB2312"/>
        </w:rPr>
        <w:t xml:space="preserve"> 委托，拟对 </w:t>
      </w:r>
      <w:r>
        <w:rPr>
          <w:rFonts w:ascii="仿宋_GB2312" w:hAnsi="仿宋_GB2312" w:cs="仿宋_GB2312" w:eastAsia="仿宋_GB2312"/>
        </w:rPr>
        <w:t>乐至县高寺镇简高路排危建设项目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资阳市乐至县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N5120222025000012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乐至县高寺镇简高路排危建设项目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对简高路约1.45公里路面破损及10处塌方路段进行工程修复工程修复排危</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本项目以供应商库随机抽取方式邀请供应商参加磋商。</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符合工程管理规定的建筑业企业资质、安全生产许可证。（描述：供应商应当具备行业主管部门颁发的且在有效期内的安全生产许可证；供应商应当具备行业主管部门颁发的且在有效期内的安全生产许可证、公路路面工程专业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乐至县高寺镇人民政府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四川省资阳市乐至县高寺镇幸福街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18482443045</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乐至县政府采购中心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四川省资阳市乐至县迎宾大道143号附1号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15308397167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采购包1：2,451,805.78元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质量保证金★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乐至县高寺镇人民政府</w:t>
      </w:r>
      <w:r>
        <w:rPr>
          <w:rFonts w:ascii="仿宋_GB2312" w:hAnsi="仿宋_GB2312" w:cs="仿宋_GB2312" w:eastAsia="仿宋_GB2312"/>
        </w:rPr>
        <w:t xml:space="preserve"> 和 </w:t>
      </w:r>
      <w:r>
        <w:rPr>
          <w:rFonts w:ascii="仿宋_GB2312" w:hAnsi="仿宋_GB2312" w:cs="仿宋_GB2312" w:eastAsia="仿宋_GB2312"/>
        </w:rPr>
        <w:t>乐至县政府采购中心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乐至县高寺镇人民政府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邀请书</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乐至县政府采购中心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交易系统发送更正信息，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一、供应商应认真核实本项目的工程量清单。</w:t>
      </w:r>
    </w:p>
    <w:p>
      <w:pPr>
        <w:pStyle w:val="null3"/>
        <w:ind w:firstLine="480"/>
        <w:jc w:val="left"/>
      </w:pPr>
      <w:r>
        <w:rPr>
          <w:rFonts w:ascii="仿宋_GB2312" w:hAnsi="仿宋_GB2312" w:cs="仿宋_GB2312" w:eastAsia="仿宋_GB2312"/>
        </w:rPr>
        <w:t>二、供应商的报价是其响应本项目要求的全部工作内容的价格体现或者结算标准，包括供应商完成本项目所需的一切费用。</w:t>
      </w:r>
    </w:p>
    <w:p>
      <w:pPr>
        <w:pStyle w:val="null3"/>
        <w:ind w:firstLine="480"/>
        <w:jc w:val="left"/>
      </w:pPr>
      <w:r>
        <w:rPr>
          <w:rFonts w:ascii="仿宋_GB2312" w:hAnsi="仿宋_GB2312" w:cs="仿宋_GB2312" w:eastAsia="仿宋_GB2312"/>
        </w:rPr>
        <w:t>三、本项目报价形式为：总价</w:t>
      </w:r>
    </w:p>
    <w:p>
      <w:pPr>
        <w:pStyle w:val="null3"/>
        <w:ind w:firstLine="480"/>
        <w:jc w:val="left"/>
      </w:pPr>
      <w:r>
        <w:rPr>
          <w:rFonts w:ascii="仿宋_GB2312" w:hAnsi="仿宋_GB2312" w:cs="仿宋_GB2312" w:eastAsia="仿宋_GB2312"/>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投标总价扉页)应由注册或登记在本单位的造价人员签字并盖执业印章。供应商委托工程造价咨询企业编制已标价工程量清单的，应在施工响应文件中附工程造价咨询委托合同，由注册或登记在工程造价咨询企业的造价人员签字并盖执业印章。</w:t>
      </w:r>
    </w:p>
    <w:p>
      <w:pPr>
        <w:pStyle w:val="null3"/>
        <w:ind w:firstLine="480"/>
        <w:jc w:val="left"/>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rFonts w:ascii="仿宋_GB2312" w:hAnsi="仿宋_GB2312" w:cs="仿宋_GB2312" w:eastAsia="仿宋_GB2312"/>
        </w:rPr>
        <w:t>（一）供应商对工程量清单中的分部分项工程量清单项目（说明：根据建筑、水利、交通等确定具体表述）的单价未填报或填报为零的；</w:t>
      </w:r>
    </w:p>
    <w:p>
      <w:pPr>
        <w:pStyle w:val="null3"/>
        <w:ind w:firstLine="480"/>
        <w:jc w:val="left"/>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rFonts w:ascii="仿宋_GB2312" w:hAnsi="仿宋_GB2312" w:cs="仿宋_GB2312" w:eastAsia="仿宋_GB2312"/>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rFonts w:ascii="仿宋_GB2312" w:hAnsi="仿宋_GB2312" w:cs="仿宋_GB2312" w:eastAsia="仿宋_GB2312"/>
        </w:rPr>
        <w:t>（四）磋商文件已明确各单位工程规费金额并要求按此金额填报而供应商填报错误或未填报的，或供应商未按相关计价规定计取规费的；</w:t>
      </w:r>
    </w:p>
    <w:p>
      <w:pPr>
        <w:pStyle w:val="null3"/>
        <w:ind w:firstLine="480"/>
        <w:jc w:val="left"/>
      </w:pPr>
      <w:r>
        <w:rPr>
          <w:rFonts w:ascii="仿宋_GB2312" w:hAnsi="仿宋_GB2312" w:cs="仿宋_GB2312" w:eastAsia="仿宋_GB2312"/>
        </w:rPr>
        <w:t>（五）磋商文件若已明确创优质工程奖补偿奖励费金额并要求按此金额填报而供应商填报错误或未填报的；</w:t>
      </w:r>
    </w:p>
    <w:p>
      <w:pPr>
        <w:pStyle w:val="null3"/>
        <w:ind w:firstLine="480"/>
        <w:jc w:val="left"/>
      </w:pPr>
      <w:r>
        <w:rPr>
          <w:rFonts w:ascii="仿宋_GB2312" w:hAnsi="仿宋_GB2312" w:cs="仿宋_GB2312" w:eastAsia="仿宋_GB2312"/>
        </w:rPr>
        <w:t>（六）已标价工程量清单中暂列金额未按工程量清单中列明的金额填报的；</w:t>
      </w:r>
    </w:p>
    <w:p>
      <w:pPr>
        <w:pStyle w:val="null3"/>
        <w:ind w:firstLine="480"/>
        <w:jc w:val="left"/>
      </w:pPr>
      <w:r>
        <w:rPr>
          <w:rFonts w:ascii="仿宋_GB2312" w:hAnsi="仿宋_GB2312" w:cs="仿宋_GB2312" w:eastAsia="仿宋_GB2312"/>
        </w:rPr>
        <w:t>（七）已标价工程量清单中材料、工程设备暂估价未按工程量清单中列出的单价计入综合单价的；</w:t>
      </w:r>
    </w:p>
    <w:p>
      <w:pPr>
        <w:pStyle w:val="null3"/>
        <w:ind w:firstLine="480"/>
        <w:jc w:val="left"/>
      </w:pPr>
      <w:r>
        <w:rPr>
          <w:rFonts w:ascii="仿宋_GB2312" w:hAnsi="仿宋_GB2312" w:cs="仿宋_GB2312" w:eastAsia="仿宋_GB2312"/>
        </w:rPr>
        <w:t>（八）已标价工程量清单中专业工程暂估价未按工程量清单中列明的金额填写的；</w:t>
      </w:r>
    </w:p>
    <w:p>
      <w:pPr>
        <w:pStyle w:val="null3"/>
        <w:ind w:firstLine="480"/>
        <w:jc w:val="left"/>
      </w:pPr>
      <w:r>
        <w:rPr>
          <w:rFonts w:ascii="仿宋_GB2312" w:hAnsi="仿宋_GB2312" w:cs="仿宋_GB2312" w:eastAsia="仿宋_GB2312"/>
        </w:rPr>
        <w:t>（九）已标价工程量清单中计日工未按工程量清单中列明的数量进行报价的；</w:t>
      </w:r>
    </w:p>
    <w:p>
      <w:pPr>
        <w:pStyle w:val="null3"/>
        <w:ind w:firstLine="480"/>
        <w:jc w:val="left"/>
      </w:pPr>
      <w:r>
        <w:rPr>
          <w:rFonts w:ascii="仿宋_GB2312" w:hAnsi="仿宋_GB2312" w:cs="仿宋_GB2312" w:eastAsia="仿宋_GB2312"/>
        </w:rPr>
        <w:t>（十）单价、合价或总价，不论其大写金额或小写金额均只能有一个，否则作无效处理。</w:t>
      </w:r>
    </w:p>
    <w:p>
      <w:pPr>
        <w:pStyle w:val="null3"/>
        <w:ind w:firstLine="480"/>
        <w:jc w:val="left"/>
      </w:pPr>
      <w:r>
        <w:rPr>
          <w:rFonts w:ascii="仿宋_GB2312" w:hAnsi="仿宋_GB2312" w:cs="仿宋_GB2312" w:eastAsia="仿宋_GB2312"/>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rFonts w:ascii="仿宋_GB2312" w:hAnsi="仿宋_GB2312" w:cs="仿宋_GB2312" w:eastAsia="仿宋_GB2312"/>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r>
        <w:rPr>
          <w:rFonts w:ascii="仿宋_GB2312" w:hAnsi="仿宋_GB2312" w:cs="仿宋_GB2312" w:eastAsia="仿宋_GB2312"/>
        </w:rPr>
        <w:t xml:space="preserve"> ，达到验收条件起 </w:t>
      </w:r>
      <w:r>
        <w:rPr>
          <w:rFonts w:ascii="仿宋_GB2312" w:hAnsi="仿宋_GB2312" w:cs="仿宋_GB2312" w:eastAsia="仿宋_GB2312"/>
        </w:rPr>
        <w:t>60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参照《财政部关于进一步加强政府采购需求和履约验收管理的指导意见》（财库〔2016〕205号）及国家（行业）的相关要求进行验收.采购人成立政府采购项目验收小组，验收小组由熟悉项目需求与标的的专业技术人员、使用部门人员、财政人员等至少 3 人以上的单数组成，其中包含一名验收小组负责人。验收将由采购人组织人员实施，中标供应商协助.</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总体必须达到国家及行业现行技术规范标准，符合国家及行业验收合格标准。 技术履约验收内容包括工程的外观、数量及规格、品牌及型号、功能或性能及其它技术要求等。包括但不限于： ①外观检查：对工程的外观进行检查，包括工程整体是否完好，路面、护坡有无破损、变形等情况。 ②数量核对：对工程的数量进行核对，如路面、护坡修建长度、厚度等，确保工程的数量与合同上的数量一致。 ③品牌及型号核对：对水泥、沙石、管材等工程材料的品牌及型号是否与合同约定一致进行核对。 ④规格检查：检查工程使用的地砖、地桩等规格尺寸是否符合要求。 ⑤功能或性能查验：对管道、混凝土制品等工程进行功能或性能查验，对数量较多的相同品类货物进行随机抽检；对于需要满足国家强制性标准的货物，供应商必须提供相应的凭证。 ⑥安装检查：检查标识标牌、护栏等工程的安装部分是否满足安全、牢固、稳定等要求的检查</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安全责任：成交供应商在进场后须严格按照国家（行业）相关规范要求进行施工，并完全接受采购人的合理化建议及相关部门的监督、检查。在项目实施过程中（包括但不限于路面病害治理、路面养护）的一切安全事故及遗留的安全隐患均由中标人自行承担。（供应商须提供承诺函原件，格式自拟） 2.采购项目的价格构成：包括所有与本工程相关费用的一切费用。 3.质保期：12个月（自验收合格之日起算，如响应文件中有承诺超过12个月的，按照相应承诺时间计算）。质保期自验收合格之日起计，质保期内出现任何质量问题，供应商在接到采购人通知后8小时内响应到场，在采购人规定时间内完成维护、维修或更换，并承担维护、维修或更换所需的一切费用。质保期后，供应商也应当负责维护、维修或更换，所需费用由采购人负担。 4.在质保期内，供应商应提供7×8小时的服务响应，并提供服务人员的名单和联系方式，保证采购人可以随时找到相应的服务人员，并提供良好的售后服务至问题解决（供应商须提供承诺函原件）。 5.付款方式：工程结算金额最终以审计金额为准。 工程竣工验收合格，乙方凭竣工验收报告、发票等相关资料 ，达到付款条件起 60 日内，支付合同总金额的 100%。6.漏项工程处理：施工过程中，发现财评文件存在漏项工程的，该漏项工程作为采购需求的组成部分，采购人和供应商可以按照《中华人民共和国政府采购法》的规定签订不超过成交金额百分之十的补充合同。7.施工过程中出现隐蔽施工的，隐蔽项目完工后先进行隐蔽工程检查，检查合格后方能进入下一道工序，检查所占用的时间不计入总工期。8.对于本工程原材料进场检验、隐蔽工程、施工关键工序等由采购人进行监督，确保工程质量。如出现未按照磋商相应文件质量要求提供合格产品的，供应商应无条件退换，直至产品合格为止；隐蔽工程和关键工序不符合施工规范要求影响工程质量的，供应商无条件返工，直至合格为止。9.主要材料（本项目使用的混凝土、沥青混凝土、管材、地砖）在进场前提供产品合格证。</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依据《财政部关于进一步加强政府采购需求和履约验收管理的指导意见》（财库〔2016〕205号）及资阳市财政局《关于严格落实政府采购需求论证、合同备案和履约验收有关问题的通知》（资财采〔2019〕39号）的相关要求，严格按国家有关规定以及采购文件的质量要求和技术指标、中标人的投标文件及承诺与本合同约定标准进行验收；采购人、中标人双方如对质量要求和技术指标的约定标准有相互抵触或异议的事项，由采购人在采购文件与投标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该项目履约验收将严格遵循全面完整、客观真实、公开透明的原则，坚持应验必验、验收必严、违约必究；采购人将履行验收责任，确认验收结论，及时记录并处理项目验收中发现的问题，并向同级财政部门反映供应商违约失信行为。采购人将根据政府采购合同和项目特点，制定详细的验收方案，明确项目验收的人员、方法、程序和时间安排；供应商应当配合采购人做好项目验收准备工作，提供同项目验收相关的生产、技术、服务、数量、质量、安全等资料。项目验收完结后，采购人将验收小组名单、验收方案、验收原始记录、验收结果等资料作为采购项目档案妥善保管。其他履约验收事项按国家相关规定执行。</w:t>
      </w:r>
    </w:p>
    <w:p>
      <w:pPr>
        <w:pStyle w:val="null3"/>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工程竣工经验收合格后，方可交付使用；未经验收或者验收不合格的，不得交付使用。</w:t>
      </w:r>
    </w:p>
    <w:p>
      <w:pPr>
        <w:pStyle w:val="null3"/>
        <w:ind w:firstLine="480"/>
        <w:jc w:val="left"/>
      </w:pPr>
      <w:r>
        <w:rPr>
          <w:rFonts w:ascii="仿宋_GB2312" w:hAnsi="仿宋_GB2312" w:cs="仿宋_GB2312" w:eastAsia="仿宋_GB2312"/>
        </w:rPr>
        <w:t>2.验收结果合格的，采购人应向成交供应商出具履约验收报告，成交供应商凭验收报告办理相关手续。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乐至县高寺镇人民政府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乐至县政府采购中心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乐至县政府采购中心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联系电话：15308397167</w:t>
      </w:r>
    </w:p>
    <w:p>
      <w:pPr>
        <w:pStyle w:val="null3"/>
        <w:jc w:val="left"/>
      </w:pPr>
      <w:r>
        <w:rPr>
          <w:rFonts w:ascii="仿宋_GB2312" w:hAnsi="仿宋_GB2312" w:cs="仿宋_GB2312" w:eastAsia="仿宋_GB2312"/>
        </w:rPr>
        <w:t>地址：四川省资阳市乐至县迎宾大道143号</w:t>
      </w:r>
    </w:p>
    <w:p>
      <w:pPr>
        <w:pStyle w:val="null3"/>
        <w:jc w:val="left"/>
      </w:pPr>
      <w:r>
        <w:rPr>
          <w:rFonts w:ascii="仿宋_GB2312" w:hAnsi="仿宋_GB2312" w:cs="仿宋_GB2312" w:eastAsia="仿宋_GB2312"/>
        </w:rPr>
        <w:t>邮编：641500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2,451,805.78</w:t>
      </w:r>
    </w:p>
    <w:p>
      <w:pPr>
        <w:pStyle w:val="null3"/>
        <w:jc w:val="left"/>
      </w:pPr>
      <w:r>
        <w:rPr>
          <w:rFonts w:ascii="仿宋_GB2312" w:hAnsi="仿宋_GB2312" w:cs="仿宋_GB2312" w:eastAsia="仿宋_GB2312"/>
        </w:rPr>
        <w:t>采购包最高限价（元）: 2,451,805.78</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B02020000 公路工程施工</w:t>
            </w:r>
          </w:p>
        </w:tc>
        <w:tc>
          <w:tcPr>
            <w:tcW w:type="dxa" w:w="821"/>
          </w:tcPr>
          <w:p>
            <w:pPr>
              <w:pStyle w:val="null3"/>
              <w:jc w:val="left"/>
            </w:pPr>
            <w:r>
              <w:rPr>
                <w:rFonts w:ascii="仿宋_GB2312" w:hAnsi="仿宋_GB2312" w:cs="仿宋_GB2312" w:eastAsia="仿宋_GB2312"/>
              </w:rPr>
              <w:t>乐至县高寺镇简高路排危建设项目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2,451,805.78</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乐至县高寺镇简高路排危建设项目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2,451,805.78</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B02020000 公路工程施工</w:t>
            </w:r>
          </w:p>
        </w:tc>
        <w:tc>
          <w:tcPr>
            <w:tcW w:type="dxa" w:w="2492"/>
          </w:tcPr>
          <w:p>
            <w:pPr>
              <w:pStyle w:val="null3"/>
              <w:jc w:val="left"/>
            </w:pPr>
            <w:r>
              <w:rPr>
                <w:rFonts w:ascii="仿宋_GB2312" w:hAnsi="仿宋_GB2312" w:cs="仿宋_GB2312" w:eastAsia="仿宋_GB2312"/>
              </w:rPr>
              <w:t>乐至县高寺镇简高路排危建设项目</w:t>
            </w:r>
          </w:p>
        </w:tc>
        <w:tc>
          <w:tcPr>
            <w:tcW w:type="dxa" w:w="2492"/>
          </w:tcPr>
          <w:p>
            <w:pPr>
              <w:pStyle w:val="null3"/>
              <w:jc w:val="left"/>
            </w:pPr>
            <w:r>
              <w:rPr>
                <w:rFonts w:ascii="仿宋_GB2312" w:hAnsi="仿宋_GB2312" w:cs="仿宋_GB2312" w:eastAsia="仿宋_GB2312"/>
              </w:rPr>
              <w:t>水泥</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B02020000 公路工程施工</w:t>
            </w:r>
          </w:p>
        </w:tc>
        <w:tc>
          <w:tcPr>
            <w:tcW w:type="dxa" w:w="2492"/>
          </w:tcPr>
          <w:p>
            <w:pPr>
              <w:pStyle w:val="null3"/>
              <w:jc w:val="left"/>
            </w:pPr>
            <w:r>
              <w:rPr>
                <w:rFonts w:ascii="仿宋_GB2312" w:hAnsi="仿宋_GB2312" w:cs="仿宋_GB2312" w:eastAsia="仿宋_GB2312"/>
              </w:rPr>
              <w:t>乐至县高寺镇简高路排危建设项目</w:t>
            </w:r>
          </w:p>
        </w:tc>
        <w:tc>
          <w:tcPr>
            <w:tcW w:type="dxa" w:w="2492"/>
          </w:tcPr>
          <w:p>
            <w:pPr>
              <w:pStyle w:val="null3"/>
              <w:jc w:val="left"/>
            </w:pPr>
            <w:r>
              <w:rPr>
                <w:rFonts w:ascii="仿宋_GB2312" w:hAnsi="仿宋_GB2312" w:cs="仿宋_GB2312" w:eastAsia="仿宋_GB2312"/>
              </w:rPr>
              <w:t>混凝土</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标的名称：乐至县高寺镇简高路排危建设项目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详见附件：工程量清单</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1.安全责任：成交供应商在进场后须严格按照国家（行业）相关规范要求进行施工，并完全接受采购人的合理化建议及相关部门的监督、检查。在项目实施过程中（包括但不限于路面病害治理、路面养护）的一切安全事故及遗留的安全隐患均由中标人自行承担。（供应商须提供承诺函原件，格式自拟） ★2.采购项目的价格构成：包括所有与本工程相关费用的一切费用。★ 3.付款方式：工程结算金额最终以审计金额为准。 工程竣工验收合格，乙方凭竣工验收报告、发票等相关资料 ，达到付款条件起 60 日内，支付合同总金额的 100 %。★4.施工过程中出现隐蔽施工的，隐蔽项目完工后先进行隐蔽工程检查，检查合格后方能进入下一道工序，检查所占用的时间不计入总工期。★5.对于本工程原材料进场检验、隐蔽工程、施工关键工序等由采购人进行监督，确保工程质量。如出现未按照磋商相应文件质量要求提供合格产品的，供应商应无条件退换，直至产品合格为止；隐蔽工程和关键工序不符合施工规范要求影响工程质量的，供应商无条件返工，直至合格为止。★6.主要材料（本项目使用的混凝土、沥青混凝土、管材、地砖）在进场前提供产品合格证。</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施工工期</w:t>
            </w:r>
          </w:p>
        </w:tc>
        <w:tc>
          <w:tcPr>
            <w:tcW w:type="dxa" w:w="5814"/>
          </w:tcPr>
          <w:p>
            <w:pPr>
              <w:pStyle w:val="null3"/>
              <w:jc w:val="left"/>
            </w:pPr>
            <w:r>
              <w:rPr>
                <w:rFonts w:ascii="仿宋_GB2312" w:hAnsi="仿宋_GB2312" w:cs="仿宋_GB2312" w:eastAsia="仿宋_GB2312"/>
              </w:rPr>
              <w:t>自合同签订之日起360日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施工地点</w:t>
            </w:r>
          </w:p>
        </w:tc>
        <w:tc>
          <w:tcPr>
            <w:tcW w:type="dxa" w:w="5814"/>
          </w:tcPr>
          <w:p>
            <w:pPr>
              <w:pStyle w:val="null3"/>
              <w:jc w:val="left"/>
            </w:pPr>
            <w:r>
              <w:rPr>
                <w:rFonts w:ascii="仿宋_GB2312" w:hAnsi="仿宋_GB2312" w:cs="仿宋_GB2312" w:eastAsia="仿宋_GB2312"/>
              </w:rPr>
              <w:t>乐至县高寺镇</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1、进度款，工程竣工验收合格，乙方凭竣工验收报告、发票等相关资料，达到付款条件起60日内，支付合同金额的100%。，达到付款条件起60日内，据实情况说明为出现特殊情况，根据双方约定达成一致进行支付</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自成交人提出验收申请之日起7日内采购人自行组织验收，组织验收小组，按考核细则及合同约定进行验收并出具验收报告。其他未尽事宜严格按照《财政部关于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政府采购合同的履行、违约责任和解决争议的方法等适用《中华人民共和国民法典》</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漏项工程处理</w:t>
            </w:r>
          </w:p>
        </w:tc>
        <w:tc>
          <w:tcPr>
            <w:tcW w:type="dxa" w:w="5814"/>
          </w:tcPr>
          <w:p>
            <w:pPr>
              <w:pStyle w:val="null3"/>
              <w:jc w:val="left"/>
            </w:pPr>
            <w:r>
              <w:rPr>
                <w:rFonts w:ascii="仿宋_GB2312" w:hAnsi="仿宋_GB2312" w:cs="仿宋_GB2312" w:eastAsia="仿宋_GB2312"/>
              </w:rPr>
              <w:t>施工过程中，发现财评文件存在漏项工程的，该漏项工程作为采购需求的组成部分，采购人和供应商可以按照《中华人民共和国政府采购法》的规定签订不超过成交金额百分之十的补充合同。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需针对本次采购项目特点拟定施工组织设计方案，方案内容至少包含项目概况、进度计划、质量保证措施（应包含本项目服务方案和后续服务方案）、安全保证措施、资源配置计划、环保文明施工措施、应急预案、施工工艺。2、供应商需提供2021年1月1日（含1日）以来有已完成一个类似道路改建、维修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详见第七章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rFonts w:ascii="仿宋_GB2312" w:hAnsi="仿宋_GB2312" w:cs="仿宋_GB2312" w:eastAsia="仿宋_GB2312"/>
        </w:rPr>
        <w:t>注：工程量清单不属于磋商过程中可以实质性变动的内容。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 xml:space="preserve"> 七、磋商文件规定的供应商资格条件与随机抽取设置的或邀请书中载明的供应商资格条件不一致的；</w:t>
      </w:r>
    </w:p>
    <w:p>
      <w:pPr>
        <w:pStyle w:val="null3"/>
        <w:jc w:val="left"/>
      </w:pPr>
      <w:r>
        <w:rPr>
          <w:rFonts w:ascii="仿宋_GB2312" w:hAnsi="仿宋_GB2312" w:cs="仿宋_GB2312" w:eastAsia="仿宋_GB2312"/>
        </w:rPr>
        <w:t xml:space="preserve"> 八、磋商文件有违反国家其他有关强制性规定的情形。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br/>
              <w:t>供应商应当提供项目负责人的人员社保费缴纳证明原件扫描件并进行电子签章，如项目负责人为符合行业主管部门规定的退休人员，则应当提供退休证或退休后社保领取证明、退休人员身份证和聘用合同等原件扫描件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两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供应商应当提供项目负责人的行业主管部门颁发的且在有效期内的 公路工程二级建造师及以上建造师注册证书原件扫描件；</w:t>
              <w:br/>
              <w:t>供应商应当提供项目负责人的行业主管部门颁发的且在有效期内的公路水运工程安全生产考核合格证书 (B 证)原件扫描件；</w:t>
              <w:br/>
              <w:t>供应商需在使用投标(响应)客户端编制响应文件时，按要求上传相应证明材料，填写《投标（响应）函》完成承诺，并进行电子签章。</w:t>
              <w:br/>
              <w:t>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rFonts w:ascii="仿宋_GB2312" w:hAnsi="仿宋_GB2312" w:cs="仿宋_GB2312" w:eastAsia="仿宋_GB2312"/>
              </w:rPr>
              <w:t>供应商应提交的相关证明材料,投标（响应）函,项目负责人信息表</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具有符合工程管理规定的建筑业企业资质、安全生产许可证。</w:t>
            </w:r>
          </w:p>
        </w:tc>
        <w:tc>
          <w:tcPr>
            <w:tcW w:type="dxa" w:w="3322"/>
          </w:tcPr>
          <w:p>
            <w:pPr>
              <w:pStyle w:val="null3"/>
              <w:jc w:val="left"/>
            </w:pPr>
            <w:r>
              <w:rPr>
                <w:rFonts w:ascii="仿宋_GB2312" w:hAnsi="仿宋_GB2312" w:cs="仿宋_GB2312" w:eastAsia="仿宋_GB2312"/>
              </w:rPr>
              <w:t>供应商应当具备行业主管部门颁发的且在有效期内的安全生产许可证；供应商应当具备行业主管部门颁发的且在有效期内的安全生产许可证、公路路面工程专业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rFonts w:ascii="仿宋_GB2312" w:hAnsi="仿宋_GB2312" w:cs="仿宋_GB2312" w:eastAsia="仿宋_GB2312"/>
              </w:rPr>
              <w:t>供应商应提交的相关证明材料,投标（响应）函,企业资质信息表</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一、磋商小组依据本磋商文件的符合性审查要求，对符合资格要求供应商的响应文件有效性、完整性和响应程度进行审查。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二、磋商小组应对供应商已标价工程量清单进行算术性复核，如果出现下列不一致的，按以下原则进行修正：</w:t>
      </w:r>
    </w:p>
    <w:p>
      <w:pPr>
        <w:pStyle w:val="null3"/>
        <w:ind w:firstLine="480"/>
        <w:jc w:val="left"/>
      </w:pPr>
      <w:r>
        <w:rPr>
          <w:rFonts w:ascii="仿宋_GB2312" w:hAnsi="仿宋_GB2312" w:cs="仿宋_GB2312" w:eastAsia="仿宋_GB2312"/>
        </w:rPr>
        <w:t>（一）报价大写金额和小写金额不一致的，以大写金额为准。但大写金额文字存在错误的，应当先对大写金额的文字错误进行澄清、说明或者更正，再行修正。</w:t>
      </w:r>
    </w:p>
    <w:p>
      <w:pPr>
        <w:pStyle w:val="null3"/>
        <w:ind w:firstLine="480"/>
        <w:jc w:val="left"/>
      </w:pPr>
      <w:r>
        <w:rPr>
          <w:rFonts w:ascii="仿宋_GB2312" w:hAnsi="仿宋_GB2312" w:cs="仿宋_GB2312" w:eastAsia="仿宋_GB2312"/>
        </w:rPr>
        <w:t>（二）总价金额与依据单价（或费率）计算出的结果不一致的，以单价（或费率）为准修正总价，但单价（或费率）小数点有明显错误的除外。</w:t>
      </w:r>
    </w:p>
    <w:p>
      <w:pPr>
        <w:pStyle w:val="null3"/>
        <w:ind w:firstLine="480"/>
        <w:jc w:val="left"/>
      </w:pPr>
      <w:r>
        <w:rPr>
          <w:rFonts w:ascii="仿宋_GB2312" w:hAnsi="仿宋_GB2312" w:cs="仿宋_GB2312" w:eastAsia="仿宋_GB2312"/>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rFonts w:ascii="仿宋_GB2312" w:hAnsi="仿宋_GB2312" w:cs="仿宋_GB2312" w:eastAsia="仿宋_GB2312"/>
        </w:rPr>
        <w:t>三、在符合性审查过程中，如果出现磋商小组成员意见不一致的情况，按照少数服从多数的原则确定，但不得违反政府采购基本原则和磋商文件规定。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磋商文件的实质性要求。</w:t>
            </w:r>
          </w:p>
        </w:tc>
        <w:tc>
          <w:tcPr>
            <w:tcW w:type="dxa" w:w="3322"/>
          </w:tcPr>
          <w:p>
            <w:pPr>
              <w:pStyle w:val="null3"/>
              <w:jc w:val="left"/>
            </w:pPr>
            <w:r>
              <w:rPr>
                <w:rFonts w:ascii="仿宋_GB2312" w:hAnsi="仿宋_GB2312" w:cs="仿宋_GB2312" w:eastAsia="仿宋_GB2312"/>
              </w:rPr>
              <w:t>是否满足磋商文件中的实质性要求。</w:t>
            </w:r>
          </w:p>
        </w:tc>
        <w:tc>
          <w:tcPr>
            <w:tcW w:type="dxa" w:w="1910"/>
          </w:tcPr>
          <w:p>
            <w:pPr>
              <w:pStyle w:val="null3"/>
              <w:jc w:val="left"/>
            </w:pPr>
            <w:r>
              <w:rPr>
                <w:rFonts w:ascii="仿宋_GB2312" w:hAnsi="仿宋_GB2312" w:cs="仿宋_GB2312" w:eastAsia="仿宋_GB2312"/>
              </w:rPr>
              <w:t>报价一览表,已标价工程量清单,技术、服务、商务及其他要求应答表.docx,报价明细表,供应商应提交的相关证明材料,企业资质信息表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工程量清单</w:t>
      </w:r>
      <w:r>
        <w:rPr>
          <w:rFonts w:ascii="仿宋_GB2312" w:hAnsi="仿宋_GB2312" w:cs="仿宋_GB2312" w:eastAsia="仿宋_GB2312"/>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outlineLvl w:val="3"/>
      </w:pPr>
      <w:r>
        <w:rPr>
          <w:rFonts w:ascii="仿宋_GB2312" w:hAnsi="仿宋_GB2312" w:cs="仿宋_GB2312" w:eastAsia="仿宋_GB2312"/>
          <w:sz w:val="24"/>
          <w:b/>
        </w:rPr>
        <w:t>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详细评审60.00分</w:t>
            </w:r>
          </w:p>
          <w:p>
            <w:pPr>
              <w:pStyle w:val="null3"/>
              <w:jc w:val="left"/>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施工组织设计</w:t>
            </w:r>
          </w:p>
        </w:tc>
        <w:tc>
          <w:tcPr>
            <w:tcW w:type="dxa" w:w="2575"/>
          </w:tcPr>
          <w:p>
            <w:pPr>
              <w:pStyle w:val="null3"/>
              <w:jc w:val="left"/>
            </w:pPr>
            <w:r>
              <w:rPr>
                <w:rFonts w:ascii="仿宋_GB2312" w:hAnsi="仿宋_GB2312" w:cs="仿宋_GB2312" w:eastAsia="仿宋_GB2312"/>
              </w:rPr>
              <w:t>供应商提供的施工组织设计方案包含项目概况、进度计划、质量保证措施（应包含本项目服务方案和后续服务方案）、安全保证措施、资源配置计划、环保文明施工措施、应急预案、施工工艺等内容且响应磋商文件的得40分，每缺少一项内容或有一项内容错误(内容错误指：项目名称、实施地点、涉及的规范、标准与本项目要求不一致、进度计划超期的，每缺少一项内容扣5分，每有一处错误扣1分直至本项分数扣完为止</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质量保障</w:t>
            </w:r>
          </w:p>
        </w:tc>
        <w:tc>
          <w:tcPr>
            <w:tcW w:type="dxa" w:w="2575"/>
          </w:tcPr>
          <w:p>
            <w:pPr>
              <w:pStyle w:val="null3"/>
              <w:jc w:val="left"/>
            </w:pPr>
            <w:r>
              <w:rPr>
                <w:rFonts w:ascii="仿宋_GB2312" w:hAnsi="仿宋_GB2312" w:cs="仿宋_GB2312" w:eastAsia="仿宋_GB2312"/>
              </w:rPr>
              <w:t>供应商响应质保期在满足磋商文件要求的12个月质保期的基础上，质保期每延长1个月得1分，最多得7分。</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供应商自2021年1月1日（含1日）以来具有类似项目业绩，具有一个已完成的类似项目业绩得3分，此项最多得9分。注：类似项目是指类似道路改建、维修项目；提供施工合同复印件和竣工验收报告复印件。</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优先采购节能、环境标志产品</w:t>
            </w:r>
          </w:p>
        </w:tc>
        <w:tc>
          <w:tcPr>
            <w:tcW w:type="dxa" w:w="2575"/>
          </w:tcPr>
          <w:p>
            <w:pPr>
              <w:pStyle w:val="null3"/>
              <w:jc w:val="left"/>
            </w:pPr>
            <w:r>
              <w:rPr>
                <w:rFonts w:ascii="仿宋_GB2312" w:hAnsi="仿宋_GB2312" w:cs="仿宋_GB2312" w:eastAsia="仿宋_GB2312"/>
              </w:rPr>
              <w:t>供应商所响应的产品中每有一项属于环境标志产品政府采购品目清单中优先采购范围的得2分。本项共4分。说明:1.本项目采购的产品中属于环境标志产品政府采购品目清单中强制采购范围的，不属于本项评分范围;2.供应商所响应的产品属于环境标志产品政府采购品目清单中优先采购范围的，应当在响应文件中提供国家确定的认证机构的认证结果信息发布平台公布的该产品认证信息截图或者打印资料并加盖供应商公章(鲜章)，否则不予给分。注: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涉及本项目施工的环保产品为水泥熟料及水泥、水泥混凝土制品。</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已标价工程量清单</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承诺，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一、评审结束后，代理机构在评审结束之日起2个工作日内将磋商报告及有关资料送交采购人。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三、根据采购人确定的成交供应商，代理机构在四川政府采购网发布成交结果公告，同时向成交供应商发出成交通知书。</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详见附件：项目负责人信息表</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详见附件：企业资质信息表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详见附件：技术、服务、商务及其他要求应答表.docx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（工程类）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根据《中华人民共和国政府采购法》、《中华人民共和国民法典》、《中华人民共和国建筑法》及</w:t>
      </w:r>
      <w:r>
        <w:rPr>
          <w:rFonts w:ascii="仿宋_GB2312" w:hAnsi="仿宋_GB2312" w:cs="仿宋_GB2312" w:eastAsia="仿宋_GB2312"/>
        </w:rPr>
        <w:t>________</w:t>
      </w:r>
      <w:r>
        <w:rPr>
          <w:rFonts w:ascii="仿宋_GB2312" w:hAnsi="仿宋_GB2312" w:cs="仿宋_GB2312" w:eastAsia="仿宋_GB2312"/>
        </w:rPr>
        <w:t>采购项目（项目编号：</w:t>
      </w:r>
      <w:r>
        <w:rPr>
          <w:rFonts w:ascii="仿宋_GB2312" w:hAnsi="仿宋_GB2312" w:cs="仿宋_GB2312" w:eastAsia="仿宋_GB2312"/>
        </w:rPr>
        <w:t>________</w:t>
      </w:r>
      <w:r>
        <w:rPr>
          <w:rFonts w:ascii="仿宋_GB2312" w:hAnsi="仿宋_GB2312" w:cs="仿宋_GB2312" w:eastAsia="仿宋_GB2312"/>
        </w:rPr>
        <w:t>）的</w:t>
      </w:r>
      <w:r>
        <w:rPr>
          <w:rFonts w:ascii="仿宋_GB2312" w:hAnsi="仿宋_GB2312" w:cs="仿宋_GB2312" w:eastAsia="仿宋_GB2312"/>
        </w:rPr>
        <w:t>《磋商文件》</w:t>
      </w:r>
      <w:r>
        <w:rPr>
          <w:rFonts w:ascii="仿宋_GB2312" w:hAnsi="仿宋_GB2312" w:cs="仿宋_GB2312" w:eastAsia="仿宋_GB2312"/>
        </w:rPr>
        <w:t>、乙方的响应文件及成交通知书，甲、乙双方同意签订本合同。</w:t>
      </w:r>
    </w:p>
    <w:p>
      <w:pPr>
        <w:pStyle w:val="null3"/>
        <w:jc w:val="left"/>
        <w:outlineLvl w:val="2"/>
      </w:pPr>
      <w:r>
        <w:rPr>
          <w:rFonts w:ascii="仿宋_GB2312" w:hAnsi="仿宋_GB2312" w:cs="仿宋_GB2312" w:eastAsia="仿宋_GB2312"/>
          <w:sz w:val="28"/>
          <w:b/>
        </w:rPr>
        <w:t xml:space="preserve"> 一、工程概况</w:t>
      </w:r>
    </w:p>
    <w:p>
      <w:pPr>
        <w:pStyle w:val="null3"/>
        <w:jc w:val="left"/>
      </w:pPr>
      <w:r>
        <w:rPr>
          <w:rFonts w:ascii="仿宋_GB2312" w:hAnsi="仿宋_GB2312" w:cs="仿宋_GB2312" w:eastAsia="仿宋_GB2312"/>
        </w:rPr>
        <w:t xml:space="preserve"> 1.工程名称：</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2.工程地点：</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3.项目编号：</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4.工程内容、规模及承包范围</w:t>
      </w:r>
    </w:p>
    <w:p>
      <w:pPr>
        <w:pStyle w:val="null3"/>
        <w:jc w:val="left"/>
      </w:pPr>
      <w:r>
        <w:br/>
      </w:r>
    </w:p>
    <w:p>
      <w:pPr>
        <w:pStyle w:val="null3"/>
        <w:jc w:val="left"/>
        <w:outlineLvl w:val="2"/>
      </w:pPr>
      <w:r>
        <w:rPr>
          <w:rFonts w:ascii="仿宋_GB2312" w:hAnsi="仿宋_GB2312" w:cs="仿宋_GB2312" w:eastAsia="仿宋_GB2312"/>
          <w:sz w:val="28"/>
          <w:b/>
        </w:rPr>
        <w:t xml:space="preserve"> 二、合同工期</w:t>
      </w:r>
    </w:p>
    <w:p>
      <w:pPr>
        <w:pStyle w:val="null3"/>
        <w:jc w:val="left"/>
      </w:pPr>
      <w:r>
        <w:rPr>
          <w:rFonts w:ascii="仿宋_GB2312" w:hAnsi="仿宋_GB2312" w:cs="仿宋_GB2312" w:eastAsia="仿宋_GB2312"/>
        </w:rPr>
        <w:t>计划开工日期：年 月 日</w:t>
      </w:r>
    </w:p>
    <w:p>
      <w:pPr>
        <w:pStyle w:val="null3"/>
        <w:jc w:val="left"/>
      </w:pPr>
      <w:r>
        <w:rPr>
          <w:rFonts w:ascii="仿宋_GB2312" w:hAnsi="仿宋_GB2312" w:cs="仿宋_GB2312" w:eastAsia="仿宋_GB2312"/>
        </w:rPr>
        <w:t>计划竣工日期：年 月 日</w:t>
      </w:r>
    </w:p>
    <w:p>
      <w:pPr>
        <w:pStyle w:val="null3"/>
        <w:jc w:val="left"/>
      </w:pPr>
      <w:r>
        <w:rPr>
          <w:rFonts w:ascii="仿宋_GB2312" w:hAnsi="仿宋_GB2312" w:cs="仿宋_GB2312" w:eastAsia="仿宋_GB2312"/>
        </w:rPr>
        <w:t>工期总日历天数： 天。工期总日历天数与根据前述计划开竣工日期计算的工期天数不一致的，以工期总日历天数为准</w:t>
      </w:r>
    </w:p>
    <w:p>
      <w:pPr>
        <w:pStyle w:val="null3"/>
        <w:jc w:val="left"/>
        <w:outlineLvl w:val="2"/>
      </w:pPr>
      <w:r>
        <w:rPr>
          <w:rFonts w:ascii="仿宋_GB2312" w:hAnsi="仿宋_GB2312" w:cs="仿宋_GB2312" w:eastAsia="仿宋_GB2312"/>
          <w:sz w:val="28"/>
          <w:b/>
        </w:rPr>
        <w:t xml:space="preserve"> 三、质量标准和规范</w:t>
      </w:r>
    </w:p>
    <w:p>
      <w:pPr>
        <w:pStyle w:val="null3"/>
        <w:jc w:val="left"/>
      </w:pPr>
      <w:r>
        <w:rPr>
          <w:rFonts w:ascii="仿宋_GB2312" w:hAnsi="仿宋_GB2312" w:cs="仿宋_GB2312" w:eastAsia="仿宋_GB2312"/>
        </w:rPr>
        <w:t>1.该工程质量符合标准：</w:t>
      </w:r>
    </w:p>
    <w:p>
      <w:pPr>
        <w:pStyle w:val="null3"/>
        <w:jc w:val="left"/>
      </w:pPr>
      <w:r>
        <w:rPr>
          <w:rFonts w:ascii="仿宋_GB2312" w:hAnsi="仿宋_GB2312" w:cs="仿宋_GB2312" w:eastAsia="仿宋_GB2312"/>
        </w:rPr>
        <w:t>2.采购人对工程的技术标准和功能要求的特殊要求：</w:t>
      </w:r>
    </w:p>
    <w:p>
      <w:pPr>
        <w:pStyle w:val="null3"/>
        <w:jc w:val="left"/>
        <w:outlineLvl w:val="2"/>
      </w:pPr>
      <w:r>
        <w:rPr>
          <w:rFonts w:ascii="仿宋_GB2312" w:hAnsi="仿宋_GB2312" w:cs="仿宋_GB2312" w:eastAsia="仿宋_GB2312"/>
          <w:sz w:val="28"/>
          <w:b/>
        </w:rPr>
        <w:t xml:space="preserve"> 四、签约合同价与合同价格形式</w:t>
      </w:r>
    </w:p>
    <w:p>
      <w:pPr>
        <w:pStyle w:val="null3"/>
        <w:jc w:val="left"/>
      </w:pPr>
      <w:r>
        <w:rPr>
          <w:rFonts w:ascii="仿宋_GB2312" w:hAnsi="仿宋_GB2312" w:cs="仿宋_GB2312" w:eastAsia="仿宋_GB2312"/>
        </w:rPr>
        <w:t>1.签约合同价为人民币（大写）</w:t>
      </w:r>
      <w:r>
        <w:rPr>
          <w:rFonts w:ascii="仿宋_GB2312" w:hAnsi="仿宋_GB2312" w:cs="仿宋_GB2312" w:eastAsia="仿宋_GB2312"/>
        </w:rPr>
        <w:t>________</w:t>
      </w:r>
      <w:r>
        <w:rPr>
          <w:rFonts w:ascii="仿宋_GB2312" w:hAnsi="仿宋_GB2312" w:cs="仿宋_GB2312" w:eastAsia="仿宋_GB2312"/>
        </w:rPr>
        <w:t>（小写金额：</w:t>
      </w:r>
      <w:r>
        <w:rPr>
          <w:rFonts w:ascii="仿宋_GB2312" w:hAnsi="仿宋_GB2312" w:cs="仿宋_GB2312" w:eastAsia="仿宋_GB2312"/>
        </w:rPr>
        <w:t>________</w:t>
      </w:r>
      <w:r>
        <w:rPr>
          <w:rFonts w:ascii="仿宋_GB2312" w:hAnsi="仿宋_GB2312" w:cs="仿宋_GB2312" w:eastAsia="仿宋_GB2312"/>
        </w:rPr>
        <w:t>元）；</w:t>
      </w:r>
    </w:p>
    <w:p>
      <w:pPr>
        <w:pStyle w:val="null3"/>
        <w:jc w:val="left"/>
      </w:pPr>
      <w:r>
        <w:rPr>
          <w:rFonts w:ascii="仿宋_GB2312" w:hAnsi="仿宋_GB2312" w:cs="仿宋_GB2312" w:eastAsia="仿宋_GB2312"/>
        </w:rPr>
        <w:t>其中：</w:t>
      </w:r>
    </w:p>
    <w:p>
      <w:pPr>
        <w:pStyle w:val="null3"/>
        <w:jc w:val="left"/>
      </w:pPr>
      <w:r>
        <w:rPr>
          <w:rFonts w:ascii="仿宋_GB2312" w:hAnsi="仿宋_GB2312" w:cs="仿宋_GB2312" w:eastAsia="仿宋_GB2312"/>
        </w:rPr>
        <w:t>（1）安全文明施工费：</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（3）专业工程暂估价金额：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（4）暂列金额：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2.合同定价方式：</w:t>
      </w:r>
    </w:p>
    <w:p>
      <w:pPr>
        <w:pStyle w:val="null3"/>
        <w:jc w:val="left"/>
      </w:pPr>
      <w:r>
        <w:rPr>
          <w:rFonts w:ascii="仿宋_GB2312" w:hAnsi="仿宋_GB2312" w:cs="仿宋_GB2312" w:eastAsia="仿宋_GB2312"/>
        </w:rPr>
        <w:t>3.付款进度安排及资金支付方式：</w:t>
      </w:r>
    </w:p>
    <w:p>
      <w:pPr>
        <w:pStyle w:val="null3"/>
        <w:jc w:val="left"/>
      </w:pPr>
      <w:r>
        <w:br/>
      </w:r>
    </w:p>
    <w:p>
      <w:pPr>
        <w:pStyle w:val="null3"/>
        <w:jc w:val="left"/>
        <w:outlineLvl w:val="2"/>
      </w:pPr>
      <w:r>
        <w:rPr>
          <w:rFonts w:ascii="仿宋_GB2312" w:hAnsi="仿宋_GB2312" w:cs="仿宋_GB2312" w:eastAsia="仿宋_GB2312"/>
          <w:sz w:val="28"/>
          <w:b/>
        </w:rPr>
        <w:t xml:space="preserve"> 五、项目经理</w:t>
      </w:r>
    </w:p>
    <w:p>
      <w:pPr>
        <w:pStyle w:val="null3"/>
        <w:jc w:val="left"/>
      </w:pPr>
      <w:r>
        <w:rPr>
          <w:rFonts w:ascii="仿宋_GB2312" w:hAnsi="仿宋_GB2312" w:cs="仿宋_GB2312" w:eastAsia="仿宋_GB2312"/>
        </w:rPr>
        <w:t>姓名：</w:t>
      </w:r>
    </w:p>
    <w:p>
      <w:pPr>
        <w:pStyle w:val="null3"/>
        <w:jc w:val="left"/>
      </w:pPr>
      <w:r>
        <w:rPr>
          <w:rFonts w:ascii="仿宋_GB2312" w:hAnsi="仿宋_GB2312" w:cs="仿宋_GB2312" w:eastAsia="仿宋_GB2312"/>
        </w:rPr>
        <w:t>证书名称：</w:t>
      </w:r>
    </w:p>
    <w:p>
      <w:pPr>
        <w:pStyle w:val="null3"/>
        <w:jc w:val="left"/>
      </w:pPr>
      <w:r>
        <w:rPr>
          <w:rFonts w:ascii="仿宋_GB2312" w:hAnsi="仿宋_GB2312" w:cs="仿宋_GB2312" w:eastAsia="仿宋_GB2312"/>
        </w:rPr>
        <w:t>证书编号：</w:t>
      </w:r>
    </w:p>
    <w:p>
      <w:pPr>
        <w:pStyle w:val="null3"/>
        <w:jc w:val="left"/>
      </w:pPr>
      <w:r>
        <w:rPr>
          <w:rFonts w:ascii="仿宋_GB2312" w:hAnsi="仿宋_GB2312" w:cs="仿宋_GB2312" w:eastAsia="仿宋_GB2312"/>
        </w:rPr>
        <w:t>证书专业：</w:t>
      </w:r>
    </w:p>
    <w:p>
      <w:pPr>
        <w:pStyle w:val="null3"/>
        <w:jc w:val="left"/>
        <w:outlineLvl w:val="2"/>
      </w:pPr>
      <w:r>
        <w:rPr>
          <w:rFonts w:ascii="仿宋_GB2312" w:hAnsi="仿宋_GB2312" w:cs="仿宋_GB2312" w:eastAsia="仿宋_GB2312"/>
          <w:sz w:val="28"/>
          <w:b/>
        </w:rPr>
        <w:t xml:space="preserve"> 六、合同文件构成</w:t>
      </w:r>
    </w:p>
    <w:p>
      <w:pPr>
        <w:pStyle w:val="null3"/>
        <w:jc w:val="left"/>
      </w:pPr>
      <w:r>
        <w:rPr>
          <w:rFonts w:ascii="仿宋_GB2312" w:hAnsi="仿宋_GB2312" w:cs="仿宋_GB2312" w:eastAsia="仿宋_GB2312"/>
        </w:rPr>
        <w:t>本协议书与下列文件一起构成合同文件：</w:t>
      </w:r>
    </w:p>
    <w:p>
      <w:pPr>
        <w:pStyle w:val="null3"/>
        <w:jc w:val="left"/>
      </w:pPr>
      <w:r>
        <w:rPr>
          <w:rFonts w:ascii="仿宋_GB2312" w:hAnsi="仿宋_GB2312" w:cs="仿宋_GB2312" w:eastAsia="仿宋_GB2312"/>
        </w:rPr>
        <w:t>（1）中标(成交)通知书；</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（3）通用合同条款；</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（6）暂列金额：</w:t>
      </w:r>
    </w:p>
    <w:p>
      <w:pPr>
        <w:pStyle w:val="null3"/>
        <w:jc w:val="left"/>
      </w:pPr>
      <w:r>
        <w:rPr>
          <w:rFonts w:ascii="仿宋_GB2312" w:hAnsi="仿宋_GB2312" w:cs="仿宋_GB2312" w:eastAsia="仿宋_GB2312"/>
        </w:rPr>
        <w:t>（7）评审报告；</w:t>
      </w:r>
    </w:p>
    <w:p>
      <w:pPr>
        <w:pStyle w:val="null3"/>
        <w:jc w:val="left"/>
      </w:pPr>
      <w:r>
        <w:rPr>
          <w:rFonts w:ascii="仿宋_GB2312" w:hAnsi="仿宋_GB2312" w:cs="仿宋_GB2312" w:eastAsia="仿宋_GB2312"/>
        </w:rPr>
        <w:t>（8）技术标准和要求；</w:t>
      </w:r>
    </w:p>
    <w:p>
      <w:pPr>
        <w:pStyle w:val="null3"/>
        <w:jc w:val="left"/>
      </w:pPr>
      <w:r>
        <w:rPr>
          <w:rFonts w:ascii="仿宋_GB2312" w:hAnsi="仿宋_GB2312" w:cs="仿宋_GB2312" w:eastAsia="仿宋_GB2312"/>
        </w:rPr>
        <w:t>（9）图纸；</w:t>
      </w:r>
    </w:p>
    <w:p>
      <w:pPr>
        <w:pStyle w:val="null3"/>
        <w:jc w:val="left"/>
      </w:pPr>
      <w:r>
        <w:rPr>
          <w:rFonts w:ascii="仿宋_GB2312" w:hAnsi="仿宋_GB2312" w:cs="仿宋_GB2312" w:eastAsia="仿宋_GB2312"/>
        </w:rPr>
        <w:t>（10）已标价工程量清单或预算书；</w:t>
      </w:r>
    </w:p>
    <w:p>
      <w:pPr>
        <w:pStyle w:val="null3"/>
        <w:jc w:val="left"/>
      </w:pPr>
      <w:r>
        <w:rPr>
          <w:rFonts w:ascii="仿宋_GB2312" w:hAnsi="仿宋_GB2312" w:cs="仿宋_GB2312" w:eastAsia="仿宋_GB2312"/>
        </w:rPr>
        <w:t>（11）其他合同文件。</w:t>
      </w:r>
    </w:p>
    <w:p>
      <w:pPr>
        <w:pStyle w:val="null3"/>
        <w:jc w:val="left"/>
      </w:pPr>
      <w:r>
        <w:rPr>
          <w:rFonts w:ascii="仿宋_GB2312" w:hAnsi="仿宋_GB2312" w:cs="仿宋_GB2312" w:eastAsia="仿宋_GB2312"/>
        </w:rPr>
        <w:t>在合同订立及履行过程中形成的与合同有关的文件均构成合同文件组成部分。</w:t>
      </w:r>
    </w:p>
    <w:p>
      <w:pPr>
        <w:pStyle w:val="null3"/>
        <w:jc w:val="left"/>
      </w:pPr>
      <w:r>
        <w:rPr>
          <w:rFonts w:ascii="仿宋_GB2312" w:hAnsi="仿宋_GB2312" w:cs="仿宋_GB2312" w:eastAsia="仿宋_GB2312"/>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rFonts w:ascii="仿宋_GB2312" w:hAnsi="仿宋_GB2312" w:cs="仿宋_GB2312" w:eastAsia="仿宋_GB2312"/>
          <w:sz w:val="28"/>
          <w:b/>
        </w:rPr>
        <w:t xml:space="preserve"> 七、承诺</w:t>
      </w:r>
    </w:p>
    <w:p>
      <w:pPr>
        <w:pStyle w:val="null3"/>
        <w:jc w:val="left"/>
      </w:pPr>
      <w:r>
        <w:rPr>
          <w:rFonts w:ascii="仿宋_GB2312" w:hAnsi="仿宋_GB2312" w:cs="仿宋_GB2312" w:eastAsia="仿宋_GB2312"/>
        </w:rPr>
        <w:t>1.甲方承诺按照法律规定履行项目审批手续、筹集工程建设资金并按照合同约定的期限和方式支付合同价款。</w:t>
      </w:r>
    </w:p>
    <w:p>
      <w:pPr>
        <w:pStyle w:val="null3"/>
        <w:jc w:val="left"/>
      </w:pPr>
      <w:r>
        <w:rPr>
          <w:rFonts w:ascii="仿宋_GB2312" w:hAnsi="仿宋_GB2312" w:cs="仿宋_GB2312" w:eastAsia="仿宋_GB2312"/>
        </w:rPr>
        <w:t>2.乙方承诺按照法律规定及合同约定组织完成工程施工，确保工程质量和安全，不进行转包及违法分包，并在缺陷责任期及保修期内承担相应的工程维修责任。</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 xml:space="preserve"> 八、验收、交付标准和方法</w:t>
      </w:r>
    </w:p>
    <w:p>
      <w:pPr>
        <w:pStyle w:val="null3"/>
        <w:jc w:val="left"/>
      </w:pPr>
      <w:r>
        <w:br/>
      </w:r>
    </w:p>
    <w:p>
      <w:pPr>
        <w:pStyle w:val="null3"/>
        <w:jc w:val="left"/>
        <w:outlineLvl w:val="2"/>
      </w:pPr>
      <w:r>
        <w:rPr>
          <w:rFonts w:ascii="仿宋_GB2312" w:hAnsi="仿宋_GB2312" w:cs="仿宋_GB2312" w:eastAsia="仿宋_GB2312"/>
          <w:sz w:val="28"/>
          <w:b/>
        </w:rPr>
        <w:t xml:space="preserve"> 九、质量保修范围和保修期</w:t>
      </w:r>
    </w:p>
    <w:p>
      <w:pPr>
        <w:pStyle w:val="null3"/>
        <w:jc w:val="left"/>
      </w:pPr>
      <w:r>
        <w:br/>
      </w:r>
    </w:p>
    <w:p>
      <w:pPr>
        <w:pStyle w:val="null3"/>
        <w:jc w:val="left"/>
        <w:outlineLvl w:val="2"/>
      </w:pPr>
      <w:r>
        <w:rPr>
          <w:rFonts w:ascii="仿宋_GB2312" w:hAnsi="仿宋_GB2312" w:cs="仿宋_GB2312" w:eastAsia="仿宋_GB2312"/>
          <w:sz w:val="28"/>
          <w:b/>
        </w:rPr>
        <w:t xml:space="preserve"> 十、违约责任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十一、解决争议的方法</w:t>
      </w:r>
    </w:p>
    <w:p>
      <w:pPr>
        <w:pStyle w:val="null3"/>
        <w:jc w:val="left"/>
      </w:pPr>
      <w:r>
        <w:br/>
      </w:r>
    </w:p>
    <w:p>
      <w:pPr>
        <w:pStyle w:val="null3"/>
        <w:jc w:val="left"/>
        <w:outlineLvl w:val="2"/>
      </w:pPr>
      <w:r>
        <w:rPr>
          <w:rFonts w:ascii="仿宋_GB2312" w:hAnsi="仿宋_GB2312" w:cs="仿宋_GB2312" w:eastAsia="仿宋_GB2312"/>
          <w:sz w:val="28"/>
          <w:b/>
        </w:rPr>
        <w:t xml:space="preserve"> 十二、签订时间</w:t>
      </w:r>
    </w:p>
    <w:p>
      <w:pPr>
        <w:pStyle w:val="null3"/>
        <w:jc w:val="left"/>
      </w:pPr>
      <w:r>
        <w:rPr>
          <w:rFonts w:ascii="仿宋_GB2312" w:hAnsi="仿宋_GB2312" w:cs="仿宋_GB2312" w:eastAsia="仿宋_GB2312"/>
        </w:rPr>
        <w:t>本合同于</w:t>
      </w:r>
      <w:r>
        <w:rPr>
          <w:rFonts w:ascii="仿宋_GB2312" w:hAnsi="仿宋_GB2312" w:cs="仿宋_GB2312" w:eastAsia="仿宋_GB2312"/>
        </w:rPr>
        <w:t>20___年___月___日</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十三、签订地点</w:t>
      </w:r>
    </w:p>
    <w:p>
      <w:pPr>
        <w:pStyle w:val="null3"/>
        <w:jc w:val="left"/>
      </w:pPr>
      <w:r>
        <w:rPr>
          <w:rFonts w:ascii="仿宋_GB2312" w:hAnsi="仿宋_GB2312" w:cs="仿宋_GB2312" w:eastAsia="仿宋_GB2312"/>
        </w:rPr>
        <w:t>本合同在</w:t>
      </w:r>
      <w:r>
        <w:rPr>
          <w:rFonts w:ascii="仿宋_GB2312" w:hAnsi="仿宋_GB2312" w:cs="仿宋_GB2312" w:eastAsia="仿宋_GB2312"/>
        </w:rPr>
        <w:t>_________</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十四、补充协议</w:t>
      </w:r>
    </w:p>
    <w:p>
      <w:pPr>
        <w:pStyle w:val="null3"/>
        <w:jc w:val="left"/>
      </w:pPr>
      <w:r>
        <w:rPr>
          <w:rFonts w:ascii="仿宋_GB2312" w:hAnsi="仿宋_GB2312" w:cs="仿宋_GB2312" w:eastAsia="仿宋_GB2312"/>
        </w:rPr>
        <w:t>合同未尽事宜，合同当事人另行签订补充协议，补充协议是合同的组成部分。</w:t>
      </w:r>
    </w:p>
    <w:p>
      <w:pPr>
        <w:pStyle w:val="null3"/>
        <w:jc w:val="left"/>
        <w:outlineLvl w:val="2"/>
      </w:pPr>
      <w:r>
        <w:rPr>
          <w:rFonts w:ascii="仿宋_GB2312" w:hAnsi="仿宋_GB2312" w:cs="仿宋_GB2312" w:eastAsia="仿宋_GB2312"/>
          <w:sz w:val="28"/>
          <w:b/>
        </w:rPr>
        <w:t xml:space="preserve"> 十五、合同生效</w:t>
      </w:r>
    </w:p>
    <w:p>
      <w:pPr>
        <w:pStyle w:val="null3"/>
        <w:jc w:val="left"/>
      </w:pPr>
      <w:r>
        <w:rPr>
          <w:rFonts w:ascii="仿宋_GB2312" w:hAnsi="仿宋_GB2312" w:cs="仿宋_GB2312" w:eastAsia="仿宋_GB2312"/>
        </w:rPr>
        <w:t>本合同自_______生效。</w:t>
      </w:r>
    </w:p>
    <w:p>
      <w:pPr>
        <w:pStyle w:val="null3"/>
        <w:jc w:val="left"/>
        <w:outlineLvl w:val="2"/>
      </w:pPr>
      <w:r>
        <w:rPr>
          <w:rFonts w:ascii="仿宋_GB2312" w:hAnsi="仿宋_GB2312" w:cs="仿宋_GB2312" w:eastAsia="仿宋_GB2312"/>
          <w:sz w:val="28"/>
          <w:b/>
        </w:rPr>
        <w:t xml:space="preserve"> 十六、合同份数</w:t>
      </w:r>
    </w:p>
    <w:p>
      <w:pPr>
        <w:pStyle w:val="null3"/>
        <w:jc w:val="left"/>
      </w:pPr>
      <w:r>
        <w:rPr>
          <w:rFonts w:ascii="仿宋_GB2312" w:hAnsi="仿宋_GB2312" w:cs="仿宋_GB2312" w:eastAsia="仿宋_GB2312"/>
        </w:rPr>
        <w:t>本合同一式___份，均具有同等法律效力，甲方执___份，乙方执___份。</w:t>
      </w: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