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版本号：N510112202500003320250319001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房屋建筑工程施工图设计文件审查服务采购项目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N5101122025000033</w:t>
      </w:r>
    </w:p>
    <w:p>
      <w:pPr>
        <w:pStyle w:val="null3"/>
        <w:jc w:val="center"/>
        <w:outlineLvl w:val="2"/>
      </w:pPr>
      <w:r>
        <w:rPr>
          <w:rFonts w:ascii="仿宋_GB2312" w:hAnsi="仿宋_GB2312" w:cs="仿宋_GB2312" w:eastAsia="仿宋_GB2312"/>
          <w:sz w:val="28"/>
          <w:b/>
        </w:rPr>
        <w:t>成都市龙泉驿区住房和城乡建设局</w:t>
      </w:r>
    </w:p>
    <w:p>
      <w:pPr>
        <w:pStyle w:val="null3"/>
        <w:jc w:val="center"/>
        <w:outlineLvl w:val="2"/>
      </w:pPr>
      <w:r>
        <w:rPr>
          <w:rFonts w:ascii="仿宋_GB2312" w:hAnsi="仿宋_GB2312" w:cs="仿宋_GB2312" w:eastAsia="仿宋_GB2312"/>
          <w:sz w:val="28"/>
          <w:b/>
        </w:rPr>
        <w:t>四川中慈工程项目管理有限公司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四川中慈工程项目管理有限公司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成都市龙泉驿区住房和城乡建设局</w:t>
      </w:r>
      <w:r>
        <w:rPr>
          <w:rFonts w:ascii="仿宋_GB2312" w:hAnsi="仿宋_GB2312" w:cs="仿宋_GB2312" w:eastAsia="仿宋_GB2312"/>
        </w:rPr>
        <w:t xml:space="preserve"> 委托，拟对 </w:t>
      </w:r>
      <w:r>
        <w:rPr>
          <w:rFonts w:ascii="仿宋_GB2312" w:hAnsi="仿宋_GB2312" w:cs="仿宋_GB2312" w:eastAsia="仿宋_GB2312"/>
        </w:rPr>
        <w:t>房屋建筑工程施工图设计文件审查服务采购项目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成都市龙泉驿区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N5101122025000033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房屋建筑工程施工图设计文件审查服务采购项目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本项目共一个包，采购房屋建筑工程施工图设计文件审查服务采购项目供应商一名。</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是行政主管部门发布的最新一期《施工图审查机构换证认定名录》中的施工图审查机构，认定范围为房屋建筑（含超限高层建筑）施工图审查一类。（描述：供应商应是行政主管部门发布的最新一期《施工图审查机构换证认定名录》中的施工图审查机构，认定范围为房屋建筑（含超限高层建筑）施工图审查一类。（需提供名录截图或证明材料并加盖供应商公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成都市龙泉驿区住房和城乡建设局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成都市龙泉驿区建设局195号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028-84851693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四川中慈工程项目管理有限公司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四川省成都市龙泉驿区东安街道桃都大道中段888号1栋5单元17层01号。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028-61001962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本项目政府采购合同履行期限为：二年，按照履约年度签订，即在年度履约期满后，继续签订下一履约年度的政府采购合同。因中标人后续履约质量无法保障或者采购人采购需求发生变化，可以依法终止合同。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代理服务费收费标准：按照成本加合理利润的原则定额收取14250元。 账户名称：四川中慈工程项目管理有限公司 账号：4402234009100431017 开户行：中国工商银行股份有限公司成都龙泉支行</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成都市龙泉驿区住房和城乡建设局</w:t>
      </w:r>
      <w:r>
        <w:rPr>
          <w:rFonts w:ascii="仿宋_GB2312" w:hAnsi="仿宋_GB2312" w:cs="仿宋_GB2312" w:eastAsia="仿宋_GB2312"/>
        </w:rPr>
        <w:t xml:space="preserve"> 和 </w:t>
      </w:r>
      <w:r>
        <w:rPr>
          <w:rFonts w:ascii="仿宋_GB2312" w:hAnsi="仿宋_GB2312" w:cs="仿宋_GB2312" w:eastAsia="仿宋_GB2312"/>
        </w:rPr>
        <w:t>四川中慈工程项目管理有限公司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成都市龙泉驿区住房和城乡建设局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四川中慈工程项目管理有限公司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按照国家现行相关标准、规范及文件要求，对项目施工图设计文件进行审查，出具质量合格的审查成果资料</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按采购文件、响应文件及合同约定执行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按采购文件、响应文件及合同约定执行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按采购文件、响应文件及合同约定执行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政府采购需求管理办法》（财库〔2021〕22号）的要求进行验收；符合国家、行业标准、四川省地方标准规定的验收标准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成都市龙泉驿区住房和城乡建设局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四川中慈工程项目管理有限公司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四川中慈工程项目管理有限公司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联系电话：028-61001962</w:t>
      </w:r>
    </w:p>
    <w:p>
      <w:pPr>
        <w:pStyle w:val="null3"/>
        <w:jc w:val="left"/>
      </w:pPr>
      <w:r>
        <w:rPr>
          <w:rFonts w:ascii="仿宋_GB2312" w:hAnsi="仿宋_GB2312" w:cs="仿宋_GB2312" w:eastAsia="仿宋_GB2312"/>
        </w:rPr>
        <w:t>地址：四川省成都市龙泉驿区东安街道桃都大道中段888号1栋5单元17层01号</w:t>
      </w:r>
    </w:p>
    <w:p>
      <w:pPr>
        <w:pStyle w:val="null3"/>
        <w:jc w:val="left"/>
      </w:pPr>
      <w:r>
        <w:rPr>
          <w:rFonts w:ascii="仿宋_GB2312" w:hAnsi="仿宋_GB2312" w:cs="仿宋_GB2312" w:eastAsia="仿宋_GB2312"/>
        </w:rPr>
        <w:t>邮编：610100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C20021000 建筑图纸审核服务</w:t>
            </w:r>
          </w:p>
        </w:tc>
        <w:tc>
          <w:tcPr>
            <w:tcW w:type="dxa" w:w="821"/>
          </w:tcPr>
          <w:p>
            <w:pPr>
              <w:pStyle w:val="null3"/>
              <w:jc w:val="left"/>
            </w:pPr>
            <w:r>
              <w:rPr>
                <w:rFonts w:ascii="仿宋_GB2312" w:hAnsi="仿宋_GB2312" w:cs="仿宋_GB2312" w:eastAsia="仿宋_GB2312"/>
              </w:rPr>
              <w:t>房屋建筑工程施工图设计文件审查服务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1,000,000.00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房屋建筑工程施工图设计文件审查服务</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采用整体统一折扣率方式报价，结算单价=对应建筑面积收费标准单价*成交折扣率。</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标的名称：房屋建筑工程施工图设计文件审查服务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jc w:val="left"/>
            </w:pPr>
            <w:r>
              <w:rPr>
                <w:rFonts w:ascii="仿宋_GB2312" w:hAnsi="仿宋_GB2312" w:cs="仿宋_GB2312" w:eastAsia="仿宋_GB2312"/>
                <w:b/>
              </w:rPr>
              <w:t>（一）服务内容</w:t>
            </w:r>
          </w:p>
          <w:p>
            <w:pPr>
              <w:pStyle w:val="null3"/>
              <w:jc w:val="left"/>
            </w:pPr>
            <w:r>
              <w:rPr>
                <w:rFonts w:ascii="仿宋_GB2312" w:hAnsi="仿宋_GB2312" w:cs="仿宋_GB2312" w:eastAsia="仿宋_GB2312"/>
              </w:rPr>
              <w:t>开展龙泉驿区范围内的政府购买服务施工图设计文件审查等工作。</w:t>
            </w:r>
          </w:p>
          <w:p>
            <w:pPr>
              <w:pStyle w:val="null3"/>
              <w:jc w:val="left"/>
            </w:pPr>
            <w:r>
              <w:rPr>
                <w:rFonts w:ascii="仿宋_GB2312" w:hAnsi="仿宋_GB2312" w:cs="仿宋_GB2312" w:eastAsia="仿宋_GB2312"/>
              </w:rPr>
              <w:t>本区行政区域内，符合基本建设程序的以下非政府性投资新建项目首次施工图设计文件审查（审查合格并取得施工图设计文件审查合格书）：</w:t>
            </w:r>
          </w:p>
          <w:p>
            <w:pPr>
              <w:pStyle w:val="null3"/>
              <w:jc w:val="left"/>
            </w:pPr>
            <w:r>
              <w:rPr>
                <w:rFonts w:ascii="仿宋_GB2312" w:hAnsi="仿宋_GB2312" w:cs="仿宋_GB2312" w:eastAsia="仿宋_GB2312"/>
              </w:rPr>
              <w:t>1.工业建筑（工业M类用地；物流仓储W类用地）：厂房、车间、物流仓储等生产性用房及其配套用房；</w:t>
            </w:r>
          </w:p>
          <w:p>
            <w:pPr>
              <w:pStyle w:val="null3"/>
              <w:jc w:val="left"/>
            </w:pPr>
            <w:r>
              <w:rPr>
                <w:rFonts w:ascii="仿宋_GB2312" w:hAnsi="仿宋_GB2312" w:cs="仿宋_GB2312" w:eastAsia="仿宋_GB2312"/>
              </w:rPr>
              <w:t>2.公共建筑（公共管理与公共服务设施A类用地；商业服务设施B类用地）：幼儿园、学校、医院、养老院、博物馆、剧院、图书馆等公共建筑项目。</w:t>
            </w:r>
          </w:p>
          <w:p>
            <w:pPr>
              <w:pStyle w:val="null3"/>
              <w:jc w:val="left"/>
            </w:pPr>
            <w:r>
              <w:rPr>
                <w:rFonts w:ascii="仿宋_GB2312" w:hAnsi="仿宋_GB2312" w:cs="仿宋_GB2312" w:eastAsia="仿宋_GB2312"/>
                <w:b/>
              </w:rPr>
              <w:t>（二）</w:t>
            </w:r>
            <w:r>
              <w:rPr>
                <w:rFonts w:ascii="仿宋_GB2312" w:hAnsi="仿宋_GB2312" w:cs="仿宋_GB2312" w:eastAsia="仿宋_GB2312"/>
                <w:b/>
              </w:rPr>
              <w:t>审查内容</w:t>
            </w:r>
          </w:p>
          <w:p>
            <w:pPr>
              <w:pStyle w:val="null3"/>
              <w:jc w:val="left"/>
            </w:pPr>
            <w:r>
              <w:rPr>
                <w:rFonts w:ascii="仿宋_GB2312" w:hAnsi="仿宋_GB2312" w:cs="仿宋_GB2312" w:eastAsia="仿宋_GB2312"/>
              </w:rPr>
              <w:t>施工图设计文件审查应按照国家、四川省、成都市相关法律法规、技术标准、政策规定等进行审查。</w:t>
            </w:r>
          </w:p>
          <w:p>
            <w:pPr>
              <w:pStyle w:val="null3"/>
              <w:jc w:val="left"/>
            </w:pPr>
            <w:r>
              <w:rPr>
                <w:rFonts w:ascii="仿宋_GB2312" w:hAnsi="仿宋_GB2312" w:cs="仿宋_GB2312" w:eastAsia="仿宋_GB2312"/>
              </w:rPr>
              <w:t>1. 政策性审查；</w:t>
            </w:r>
          </w:p>
          <w:p>
            <w:pPr>
              <w:pStyle w:val="null3"/>
              <w:jc w:val="left"/>
            </w:pPr>
            <w:r>
              <w:rPr>
                <w:rFonts w:ascii="仿宋_GB2312" w:hAnsi="仿宋_GB2312" w:cs="仿宋_GB2312" w:eastAsia="仿宋_GB2312"/>
              </w:rPr>
              <w:t>2.是否符合工程建设强制性标准；</w:t>
            </w:r>
          </w:p>
          <w:p>
            <w:pPr>
              <w:pStyle w:val="null3"/>
              <w:jc w:val="left"/>
            </w:pPr>
            <w:r>
              <w:rPr>
                <w:rFonts w:ascii="仿宋_GB2312" w:hAnsi="仿宋_GB2312" w:cs="仿宋_GB2312" w:eastAsia="仿宋_GB2312"/>
              </w:rPr>
              <w:t>3.地基基础和主体结构的安全性；</w:t>
            </w:r>
          </w:p>
          <w:p>
            <w:pPr>
              <w:pStyle w:val="null3"/>
              <w:jc w:val="left"/>
            </w:pPr>
            <w:r>
              <w:rPr>
                <w:rFonts w:ascii="仿宋_GB2312" w:hAnsi="仿宋_GB2312" w:cs="仿宋_GB2312" w:eastAsia="仿宋_GB2312"/>
              </w:rPr>
              <w:t>4.消防安全性；</w:t>
            </w:r>
          </w:p>
          <w:p>
            <w:pPr>
              <w:pStyle w:val="null3"/>
              <w:jc w:val="left"/>
            </w:pPr>
            <w:r>
              <w:rPr>
                <w:rFonts w:ascii="仿宋_GB2312" w:hAnsi="仿宋_GB2312" w:cs="仿宋_GB2312" w:eastAsia="仿宋_GB2312"/>
              </w:rPr>
              <w:t>5.人防工程（不含人防指挥工程）防护安全性；</w:t>
            </w:r>
          </w:p>
          <w:p>
            <w:pPr>
              <w:pStyle w:val="null3"/>
              <w:jc w:val="left"/>
            </w:pPr>
            <w:r>
              <w:rPr>
                <w:rFonts w:ascii="仿宋_GB2312" w:hAnsi="仿宋_GB2312" w:cs="仿宋_GB2312" w:eastAsia="仿宋_GB2312"/>
              </w:rPr>
              <w:t>6.是否符合民用建筑节能强制性标准，对执行绿色建筑、装配式建筑、海绵城市、BIM等要求的项目，还应当审查是否符合相关标准并出具审查意见；</w:t>
            </w:r>
          </w:p>
          <w:p>
            <w:pPr>
              <w:pStyle w:val="null3"/>
              <w:jc w:val="left"/>
            </w:pPr>
            <w:r>
              <w:rPr>
                <w:rFonts w:ascii="仿宋_GB2312" w:hAnsi="仿宋_GB2312" w:cs="仿宋_GB2312" w:eastAsia="仿宋_GB2312"/>
              </w:rPr>
              <w:t>7.勘察设计企业和注册执业人员以及相关人员是否按规定在施工图上加盖相应的图章和签字；</w:t>
            </w:r>
          </w:p>
          <w:p>
            <w:pPr>
              <w:pStyle w:val="null3"/>
              <w:jc w:val="left"/>
            </w:pPr>
            <w:r>
              <w:rPr>
                <w:rFonts w:ascii="仿宋_GB2312" w:hAnsi="仿宋_GB2312" w:cs="仿宋_GB2312" w:eastAsia="仿宋_GB2312"/>
              </w:rPr>
              <w:t>8.法律、法规、规章规定必须审查的其他内容。</w:t>
            </w:r>
          </w:p>
          <w:p>
            <w:pPr>
              <w:pStyle w:val="null3"/>
              <w:jc w:val="left"/>
            </w:pPr>
            <w:r>
              <w:rPr>
                <w:rFonts w:ascii="仿宋_GB2312" w:hAnsi="仿宋_GB2312" w:cs="仿宋_GB2312" w:eastAsia="仿宋_GB2312"/>
                <w:b/>
              </w:rPr>
              <w:t>（三）服务要求</w:t>
            </w:r>
          </w:p>
          <w:p>
            <w:pPr>
              <w:pStyle w:val="null3"/>
              <w:jc w:val="left"/>
            </w:pPr>
            <w:r>
              <w:rPr>
                <w:rFonts w:ascii="仿宋_GB2312" w:hAnsi="仿宋_GB2312" w:cs="仿宋_GB2312" w:eastAsia="仿宋_GB2312"/>
              </w:rPr>
              <w:t>1.地勘报告及施工图设计文件技术审查：审查范围（所有专业）为勘察报告和项目施工图全部内容；</w:t>
            </w:r>
          </w:p>
          <w:p>
            <w:pPr>
              <w:pStyle w:val="null3"/>
              <w:jc w:val="left"/>
            </w:pPr>
            <w:r>
              <w:rPr>
                <w:rFonts w:ascii="仿宋_GB2312" w:hAnsi="仿宋_GB2312" w:cs="仿宋_GB2312" w:eastAsia="仿宋_GB2312"/>
              </w:rPr>
              <w:t>2.严格按照《建设工程勘察设计管理条例》《建设工程质量管理条例》《房屋建筑和市政基础设施工程施工图设计文件审查管理办法》等国家、省、市现行相关的法律法规、规范、技术标准、设计导则、政策规定的要求开展审查工作；</w:t>
            </w:r>
          </w:p>
          <w:p>
            <w:pPr>
              <w:pStyle w:val="null3"/>
              <w:jc w:val="left"/>
            </w:pPr>
            <w:r>
              <w:rPr>
                <w:rFonts w:ascii="仿宋_GB2312" w:hAnsi="仿宋_GB2312" w:cs="仿宋_GB2312" w:eastAsia="仿宋_GB2312"/>
              </w:rPr>
              <w:t>3.必须严格执行《房屋建筑和市政基础设施工程施工图设计文件审查管理办法》（住建部13号令）、《住房和城乡建设部关于修改&lt;房屋建筑和市政基础设施工程施工图设计文件审查管理办法&gt;的决定》（住建部46号令）、《住房城乡建设部关于实施&lt;房屋建筑和市政基础设施工程施工图设计文件审查管理办法&gt;有关问题的通知》（建质〔2013〕111号）、《四川省住房和城乡建设厅关于重新确定房屋建筑和市政基础设施工程施工图设计文件审查机构有关事项的通知》（川建勘设科发〔2013〕487号）、《四川省住房和城乡建设厅关于进一步加强房屋建筑和市政基础设施施工图审查管理工作的通知》（川建行规〔2020〕15号）等施工图设计文件审查规定，若国家、省、市相关规范和政策有新规定的，应从其规定；</w:t>
            </w:r>
          </w:p>
          <w:p>
            <w:pPr>
              <w:pStyle w:val="null3"/>
              <w:jc w:val="left"/>
            </w:pPr>
            <w:r>
              <w:rPr>
                <w:rFonts w:ascii="仿宋_GB2312" w:hAnsi="仿宋_GB2312" w:cs="仿宋_GB2312" w:eastAsia="仿宋_GB2312"/>
              </w:rPr>
              <w:t>4.确保经审查合格的施工图设计文件无违反建设工程标准强制性条文及涉及消防、安全、公众利益等方面的问题；</w:t>
            </w:r>
            <w:r>
              <w:br/>
            </w:r>
            <w:r>
              <w:rPr>
                <w:rFonts w:ascii="仿宋_GB2312" w:hAnsi="仿宋_GB2312" w:cs="仿宋_GB2312" w:eastAsia="仿宋_GB2312"/>
                <w:b/>
              </w:rPr>
              <w:t xml:space="preserve">  （四）成果要求</w:t>
            </w:r>
          </w:p>
          <w:p>
            <w:pPr>
              <w:pStyle w:val="null3"/>
              <w:jc w:val="left"/>
            </w:pPr>
            <w:r>
              <w:rPr>
                <w:rFonts w:ascii="仿宋_GB2312" w:hAnsi="仿宋_GB2312" w:cs="仿宋_GB2312" w:eastAsia="仿宋_GB2312"/>
              </w:rPr>
              <w:t>成果文件要求：按照国家现行相关标准、规范及文件要求，对项目施工图设计文件进行审查，出具质量合格的审查成果资料。</w:t>
            </w:r>
            <w:r>
              <w:br/>
            </w:r>
            <w:r>
              <w:rPr>
                <w:rFonts w:ascii="仿宋_GB2312" w:hAnsi="仿宋_GB2312" w:cs="仿宋_GB2312" w:eastAsia="仿宋_GB2312"/>
                <w:b/>
              </w:rPr>
              <w:t>（五）时限要求</w:t>
            </w:r>
            <w:r>
              <w:br/>
            </w:r>
            <w:r>
              <w:rPr>
                <w:rFonts w:ascii="仿宋_GB2312" w:hAnsi="仿宋_GB2312" w:cs="仿宋_GB2312" w:eastAsia="仿宋_GB2312"/>
              </w:rPr>
              <w:t xml:space="preserve">    1.大型房屋建筑工程不超过15个工作日，甲级项目工程勘察文件不超过7个工作日；</w:t>
            </w:r>
            <w:r>
              <w:br/>
            </w:r>
            <w:r>
              <w:rPr>
                <w:rFonts w:ascii="仿宋_GB2312" w:hAnsi="仿宋_GB2312" w:cs="仿宋_GB2312" w:eastAsia="仿宋_GB2312"/>
              </w:rPr>
              <w:t xml:space="preserve">    2.中型及以下房屋建筑工程不超过10个工作日，乙级项目工程勘察文件不超过5个工作日。 </w:t>
            </w:r>
          </w:p>
          <w:p>
            <w:pPr>
              <w:pStyle w:val="null3"/>
              <w:jc w:val="left"/>
            </w:pPr>
            <w:r>
              <w:rPr>
                <w:rFonts w:ascii="仿宋_GB2312" w:hAnsi="仿宋_GB2312" w:cs="仿宋_GB2312" w:eastAsia="仿宋_GB2312"/>
              </w:rPr>
              <w:t>注：以上时限从供应商收到资料之日起算，包括勘察和施工图审查时间，但不包括施工图修改时间和审查机构的复审时间。若成都市营商环境、审批制度改革等相关文件对审查时限有新要求的，按照新要求执行。</w:t>
            </w:r>
            <w:r>
              <w:br/>
            </w:r>
            <w:r>
              <w:rPr>
                <w:rFonts w:ascii="仿宋_GB2312" w:hAnsi="仿宋_GB2312" w:cs="仿宋_GB2312" w:eastAsia="仿宋_GB2312"/>
                <w:b/>
              </w:rPr>
              <w:t>（六）人员要求</w:t>
            </w:r>
          </w:p>
          <w:p>
            <w:pPr>
              <w:pStyle w:val="null3"/>
              <w:jc w:val="left"/>
            </w:pPr>
            <w:r>
              <w:rPr>
                <w:rFonts w:ascii="仿宋_GB2312" w:hAnsi="仿宋_GB2312" w:cs="仿宋_GB2312" w:eastAsia="仿宋_GB2312"/>
              </w:rPr>
              <w:t xml:space="preserve"> 供应商需为本项目配备建筑专业负责人、结构专业负责人、给排水专业负责人、电气专业负责人、暖通专业负责人、勘察专业负责人各一名。</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sz w:val="24"/>
                <w:color w:val="333333"/>
              </w:rPr>
              <w:t>1.</w:t>
            </w:r>
            <w:r>
              <w:rPr>
                <w:rFonts w:ascii="仿宋_GB2312" w:hAnsi="仿宋_GB2312" w:cs="仿宋_GB2312" w:eastAsia="仿宋_GB2312"/>
                <w:sz w:val="24"/>
                <w:color w:val="333333"/>
              </w:rPr>
              <w:t>供应商需为本项目提供项目服务方案，方案至少包括：①除各专业审查技术人员外的服务人员安排；②服务承诺及响应时间，③审图保障措施，④服务理念及措施；⑤保密措施等。</w:t>
            </w:r>
          </w:p>
          <w:p>
            <w:pPr>
              <w:pStyle w:val="null3"/>
              <w:jc w:val="both"/>
            </w:pPr>
            <w:r>
              <w:rPr>
                <w:rFonts w:ascii="仿宋_GB2312" w:hAnsi="仿宋_GB2312" w:cs="仿宋_GB2312" w:eastAsia="仿宋_GB2312"/>
                <w:sz w:val="24"/>
                <w:color w:val="333333"/>
              </w:rPr>
              <w:t>2.</w:t>
            </w:r>
            <w:r>
              <w:rPr>
                <w:rFonts w:ascii="仿宋_GB2312" w:hAnsi="仿宋_GB2312" w:cs="仿宋_GB2312" w:eastAsia="仿宋_GB2312"/>
                <w:sz w:val="24"/>
                <w:color w:val="333333"/>
              </w:rPr>
              <w:t>供应商需为本项目提供项目工作方案，方案至少包括：①工作总体方案；②工作计划；③团队管理方案；④工期保证措施；⑤质量保证措施；⑥各专业审查特点及应对措施；⑦审查准确性的保证措施等。</w:t>
            </w:r>
          </w:p>
          <w:p>
            <w:pPr>
              <w:pStyle w:val="null3"/>
              <w:jc w:val="both"/>
            </w:pPr>
            <w:r>
              <w:rPr>
                <w:rFonts w:ascii="仿宋_GB2312" w:hAnsi="仿宋_GB2312" w:cs="仿宋_GB2312" w:eastAsia="仿宋_GB2312"/>
                <w:sz w:val="24"/>
                <w:color w:val="333333"/>
              </w:rPr>
              <w:t>3.</w:t>
            </w:r>
            <w:r>
              <w:rPr>
                <w:rFonts w:ascii="仿宋_GB2312" w:hAnsi="仿宋_GB2312" w:cs="仿宋_GB2312" w:eastAsia="仿宋_GB2312"/>
                <w:sz w:val="24"/>
                <w:color w:val="333333"/>
              </w:rPr>
              <w:t>供应商需为本项目提供业绩及人员证明材料。</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服务期限2年，合同一年一签。（若供应商在合同期间被列入“失信联合惩戒对象清单”，采购人有权单方解除合同）。</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采购人指定地点（龙泉驿区范围内）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由采购人组织验收小组，按照采购文件、响应文件及合同约定的技术、商务要求进行验收，出具验收报告。</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供应商完成项目审查后10日内持施工图设计文件审查合格书或终止审查文件等佐证资料到采购人进行结算支付，达到付款条件起10日内，据实情况说明为图审服务费用按照成交折扣率和项目情况据实结算。供应商完成项目审查后10日内持施工图设计文件审查合格书或终止审查文件等佐证资料到采购人进行结算支付，按照采购价格和项目审查合格书面积一次性结清（项目分期、分步审查的，待项目审查全部完成后结算支付）。因供应商原因终止审查工作的，采购人不支付任何费用；因采购人原因终止审查工作的，按违约责任相应条款执行。 结算单价=对应建筑面积收费标准单价*成交折扣率。</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1.在合同履行期间，甲方要求终止或解除合同，乙方未开始审查工作的，甲方不支付任何费用；已开始审查工作的，甲方应按该项目乙方已支付给专家个人审查费用的100%支付乙方； 2.甲方应按本合同第四条规定的金额和时间向乙方支付图审服务费用。甲方逾期未支付图审服务费用时，乙方有权暂停履行下阶段工作，并书面通知甲方； 3.施工图经审查合格后，仍有违反法律、法规和工程建设强制性标准的问题，给甲方和建设单位造成损失的，乙方应承担相应的失查责任。乙方除协助设计人员采取补救措施外，应免收直接受损失部分的图审服务费用，并根据过错程度赔偿因此给甲方和建设单位造成的损失； 4.由于乙方自身原因，延误了按本合同第三条规定的文件交付时间，延误提交成果，按该项目图审服务费用每天百分之一支付违约金，延误达三十日以上的，甲方有权取消乙方该项目的审查资格，乙方按该项目图审服务费用100%向甲方支付违约金，如因此给甲方和建设单位造成损失的，乙方应承担赔偿责任； 5.合同生效后，乙方要求终止或解除合同，乙方应按政府采购预算金额扣减甲方已支付乙方图审服务费用总额的差额的100%支付甲方。 6.其他未尽事宜，由采购人和成交供应商在签订采购合同时约定。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补充服务要求：1、结算标准：参照《四川省发展改革委员会关于贯彻&lt;国家发展改革委关于降低部分建设项目收费标准规范收费行为等有关问题的通知&gt;的通知》（川发改价格〔2011〕323号）的收费标准：20万(含 20 万)平方米以下的房屋建筑施工面积按1.8元/平方米收取;20万 以上-50 万(含 50 万)平方米的房屋建筑施工面积按 1.5 元/平方米收取;50 万平方米以上的房屋建筑施工面积按 1.2元/平方米收取。 2、 报价说明：本项目参照《四川省发展改革委员会关于贯彻&lt;国家发展改革委关于降低部分建设项目收费标准规范收费行为等有关问题的通知&gt;的通知》（川发改价格〔2011〕323号）的收费标准，采用整体统一折扣率方式报价；响应报价含为完成本项目合同约定全部工作内容所发生的成本、利润、管理费、税金、风险费、延期补偿费等全部费用，采购人不再另行支付其他任何费用； 3、费用结算：图审服务费用按照成交折扣率和项目情况据实结算。供应商完成项目审查后10日内持施工图设计文件审查合格书或终止审查文件等佐证资料到采购人进行结算支付，按照采购价格和项目审查合格书面积一次性结清（项目分期、分步审查的，待项目审查全部完成后结算支付）。因供应商原因终止审查工作的，采购人不支付任何费用；因采购人原因终止审查工作的，按违约责任相应条款执行。 结算单价=对应建筑面积收费标准单价*成交折扣率。 4、 供应商需在采购人付款前按实际结算金额向采购人开具发票，如因供应商未能及时提交所需资料或提交的资料不能满足采购人的付款要求，采购人有权拒绝付款且不承担逾期付款的责任。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第三章“技术、服务及其他要求”中“3.2.技术要求”，“3.3.服务要求”，“3.4.其他要求”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本章所有内容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供应商应是行政主管部门发布的最新一期《施工图审查机构换证认定名录》中的施工图审查机构，认定范围为房屋建筑（含超限高层建筑）施工图审查一类。</w:t>
            </w:r>
          </w:p>
        </w:tc>
        <w:tc>
          <w:tcPr>
            <w:tcW w:type="dxa" w:w="3322"/>
          </w:tcPr>
          <w:p>
            <w:pPr>
              <w:pStyle w:val="null3"/>
              <w:jc w:val="left"/>
            </w:pPr>
            <w:r>
              <w:rPr>
                <w:rFonts w:ascii="仿宋_GB2312" w:hAnsi="仿宋_GB2312" w:cs="仿宋_GB2312" w:eastAsia="仿宋_GB2312"/>
              </w:rPr>
              <w:t>供应商应是行政主管部门发布的最新一期《施工图审查机构换证认定名录》中的施工图审查机构，认定范围为房屋建筑（含超限高层建筑）施工图审查一类。（需提供名录截图或证明材料并加盖供应商公章）</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符合采购文件实质性要求</w:t>
            </w:r>
          </w:p>
        </w:tc>
        <w:tc>
          <w:tcPr>
            <w:tcW w:type="dxa" w:w="3322"/>
          </w:tcPr>
          <w:p>
            <w:pPr>
              <w:pStyle w:val="null3"/>
              <w:jc w:val="left"/>
            </w:pPr>
            <w:r>
              <w:rPr>
                <w:rFonts w:ascii="仿宋_GB2312" w:hAnsi="仿宋_GB2312" w:cs="仿宋_GB2312" w:eastAsia="仿宋_GB2312"/>
              </w:rPr>
              <w:t>对采购文件第三章3.2技术要求、3.3服务要求、3.4其他要求中实质性条款进行响应</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项目服务方案、项目工作方案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项目服务方案</w:t>
            </w:r>
          </w:p>
        </w:tc>
        <w:tc>
          <w:tcPr>
            <w:tcW w:type="dxa" w:w="2575"/>
          </w:tcPr>
          <w:p>
            <w:pPr>
              <w:pStyle w:val="null3"/>
              <w:jc w:val="left"/>
            </w:pPr>
            <w:r>
              <w:rPr>
                <w:rFonts w:ascii="仿宋_GB2312" w:hAnsi="仿宋_GB2312" w:cs="仿宋_GB2312" w:eastAsia="仿宋_GB2312"/>
              </w:rPr>
              <w:t>供应商需针对本项目提供服务方案，包括：①除各专业审查技术人员外的服务人员安排；②服务承诺及响应时间，③审图保障措施，④服务理念及措施；⑤保密措施等。内容完全满足以上要求得30分，每缺少一项内容的扣6分；每有一处内容有缺陷的扣3分。扣完为止。（缺陷是指：具体方案的内容与技术服务或商务条款响应不一致，服务如涉及的规范及标准引用错误，地点区域错误，存在影响项目履约质量的情况，仅有标题无具体内容、存在不适用项目实际情况的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项目工作方案</w:t>
            </w:r>
          </w:p>
        </w:tc>
        <w:tc>
          <w:tcPr>
            <w:tcW w:type="dxa" w:w="2575"/>
          </w:tcPr>
          <w:p>
            <w:pPr>
              <w:pStyle w:val="null3"/>
              <w:jc w:val="left"/>
            </w:pPr>
            <w:r>
              <w:rPr>
                <w:rFonts w:ascii="仿宋_GB2312" w:hAnsi="仿宋_GB2312" w:cs="仿宋_GB2312" w:eastAsia="仿宋_GB2312"/>
              </w:rPr>
              <w:t>供应商需针对本项目提供工作方案，包括：①工作总体方案；②工作计划；③团队管理方案；④工期保证措施；⑤质量保证措施；⑥各专业审查特点及应对措施；⑦审查准确性的保证措施等。内容完全满足以上要求得35分，每缺少一项内容的扣5分；每有一处内容有缺陷的扣2.5分。（缺陷是指：具体方案的内容与技术服务或商务条款响应不一致，服务如涉及的规范及标准引用错误，地点区域错误，存在影响项目履约质量的情况，仅有标题无具体内容、存在不适用项目实际情况的情形。）</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业绩要求</w:t>
            </w:r>
          </w:p>
        </w:tc>
        <w:tc>
          <w:tcPr>
            <w:tcW w:type="dxa" w:w="2575"/>
          </w:tcPr>
          <w:p>
            <w:pPr>
              <w:pStyle w:val="null3"/>
              <w:jc w:val="left"/>
            </w:pPr>
            <w:r>
              <w:rPr>
                <w:rFonts w:ascii="仿宋_GB2312" w:hAnsi="仿宋_GB2312" w:cs="仿宋_GB2312" w:eastAsia="仿宋_GB2312"/>
              </w:rPr>
              <w:t>供应商每具备1个似项目业绩得2分，本项最高得4分。 注：提供中标（成交）通知书或合同协议书加盖供应商公章。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项目人员安排</w:t>
            </w:r>
          </w:p>
        </w:tc>
        <w:tc>
          <w:tcPr>
            <w:tcW w:type="dxa" w:w="2575"/>
          </w:tcPr>
          <w:p>
            <w:pPr>
              <w:pStyle w:val="null3"/>
              <w:jc w:val="left"/>
            </w:pPr>
            <w:r>
              <w:rPr>
                <w:rFonts w:ascii="仿宋_GB2312" w:hAnsi="仿宋_GB2312" w:cs="仿宋_GB2312" w:eastAsia="仿宋_GB2312"/>
              </w:rPr>
              <w:t>1.建筑专业负责人：具有一级注册建筑师证书的得4分。 2.结构专业负责人：具有一级注册结构工程师证书的得4分。 3.给排水专业负责人： 具有注册公用设备工程师（给水排水）证书的得3分。 4.电气专业负责人：具有注册电气工程师（供配电）证书的得3分。 5.暖通专业负责人：具有注册公用设备工程师（暖通空调）证书的得3分。 6.勘察专业负责人：具有注册土木工程师（岩土）证书的得4分。 注：（1）以上岗位不得兼任，同一人员具备多个岗位资格的，以得分高的计取，不重复计分。（2）提供人员相关证明材料加盖供应商公章。</w:t>
            </w:r>
          </w:p>
        </w:tc>
        <w:tc>
          <w:tcPr>
            <w:tcW w:type="dxa" w:w="831"/>
          </w:tcPr>
          <w:p>
            <w:pPr>
              <w:pStyle w:val="null3"/>
              <w:jc w:val="center"/>
            </w:pPr>
            <w:r>
              <w:rPr>
                <w:rFonts w:ascii="仿宋_GB2312" w:hAnsi="仿宋_GB2312" w:cs="仿宋_GB2312" w:eastAsia="仿宋_GB2312"/>
              </w:rPr>
              <w:t>21.0000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