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440101-2025-02682</w:t>
      </w:r>
    </w:p>
    <w:p>
      <w:pPr>
        <w:pStyle w:val="null3"/>
        <w:jc w:val="center"/>
        <w:outlineLvl w:val="3"/>
      </w:pPr>
      <w:r>
        <w:rPr>
          <w:sz w:val="24"/>
          <w:b/>
        </w:rPr>
        <w:t>采购项目编号：</w:t>
      </w:r>
      <w:r>
        <w:rPr>
          <w:sz w:val="24"/>
          <w:b/>
        </w:rPr>
        <w:t>CZ2025-0240</w:t>
      </w:r>
    </w:p>
    <w:p>
      <w:pPr>
        <w:pStyle w:val="null3"/>
        <w:jc w:val="center"/>
        <w:outlineLvl w:val="3"/>
      </w:pPr>
      <w:r>
        <w:rPr>
          <w:sz w:val="24"/>
          <w:b/>
        </w:rPr>
        <w:t>项目名称：</w:t>
      </w:r>
      <w:r>
        <w:rPr>
          <w:sz w:val="24"/>
          <w:b/>
        </w:rPr>
        <w:t>广州大学2024年机电学院创A入驻教学环境设备硬件集成项目（二）</w:t>
      </w:r>
    </w:p>
    <w:p>
      <w:pPr>
        <w:pStyle w:val="null3"/>
        <w:jc w:val="center"/>
        <w:outlineLvl w:val="3"/>
      </w:pPr>
      <w:r>
        <w:rPr>
          <w:sz w:val="24"/>
          <w:b/>
        </w:rPr>
        <w:t>采购人：</w:t>
      </w:r>
      <w:r>
        <w:rPr>
          <w:sz w:val="24"/>
          <w:b/>
        </w:rPr>
        <w:t>广州大学</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广州市政府采购中心</w:t>
      </w:r>
      <w:r>
        <w:rPr/>
        <w:t>受</w:t>
      </w:r>
      <w:r>
        <w:rPr/>
        <w:t>广州大学</w:t>
      </w:r>
      <w:r>
        <w:rPr/>
        <w:t>的委托，采用</w:t>
      </w:r>
      <w:r>
        <w:rPr/>
        <w:t>公开招标</w:t>
      </w:r>
      <w:r>
        <w:rPr/>
        <w:t>方式组织采购</w:t>
      </w:r>
      <w:r>
        <w:rPr/>
        <w:t>广州大学2024年机电学院创A入驻教学环境设备硬件集成项目（二）</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广州大学2024年机电学院创A入驻教学环境设备硬件集成项目（二）</w:t>
      </w:r>
    </w:p>
    <w:p>
      <w:pPr>
        <w:pStyle w:val="null3"/>
        <w:ind w:firstLine="480"/>
      </w:pPr>
      <w:r>
        <w:rPr/>
        <w:t>采购计划编号：</w:t>
      </w:r>
      <w:r>
        <w:rPr/>
        <w:t>440101-2025-02682</w:t>
      </w:r>
    </w:p>
    <w:p>
      <w:pPr>
        <w:pStyle w:val="null3"/>
        <w:ind w:firstLine="480"/>
      </w:pPr>
      <w:r>
        <w:rPr/>
        <w:t>采购项目编号：</w:t>
      </w:r>
      <w:r>
        <w:rPr/>
        <w:t>CZ2025-0240</w:t>
      </w:r>
    </w:p>
    <w:p>
      <w:pPr>
        <w:pStyle w:val="null3"/>
        <w:ind w:firstLine="480"/>
      </w:pPr>
      <w:r>
        <w:rPr/>
        <w:t>采购方式：</w:t>
      </w:r>
      <w:r>
        <w:rPr/>
        <w:t>公开招标</w:t>
      </w:r>
    </w:p>
    <w:p>
      <w:pPr>
        <w:pStyle w:val="null3"/>
        <w:ind w:firstLine="480"/>
      </w:pPr>
      <w:r>
        <w:rPr/>
        <w:t>预算金额：</w:t>
      </w:r>
      <w:r>
        <w:rPr/>
        <w:t>1,988,900.00</w:t>
      </w:r>
      <w:r>
        <w:rPr/>
        <w:t>元</w:t>
      </w:r>
    </w:p>
    <w:p>
      <w:pPr>
        <w:pStyle w:val="null3"/>
        <w:outlineLvl w:val="3"/>
      </w:pPr>
      <w:r>
        <w:rPr>
          <w:sz w:val="24"/>
          <w:b/>
        </w:rPr>
        <w:t>2.项目内容及需求情况（采购项目技术规格、参数及要求）</w:t>
      </w:r>
    </w:p>
    <w:p>
      <w:pPr>
        <w:pStyle w:val="null3"/>
      </w:pPr>
      <w:r>
        <w:rPr/>
        <w:t>采购包1(广州大学2024年机电学院创A入驻教学环境设备硬件集成项目（二）):</w:t>
      </w:r>
    </w:p>
    <w:p>
      <w:pPr>
        <w:pStyle w:val="null3"/>
      </w:pPr>
      <w:r>
        <w:rPr/>
        <w:t>采购包预算金额：1,988,900.00元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硬件集成实施服务</w:t>
            </w:r>
          </w:p>
        </w:tc>
        <w:tc>
          <w:tcPr>
            <w:tcW w:type="dxa" w:w="2136"/>
          </w:tcPr>
          <w:p>
            <w:pPr>
              <w:pStyle w:val="null3"/>
            </w:pPr>
            <w:r>
              <w:rPr/>
              <w:t>硬件集成项目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合同履行期限：在合同签订之日起35个日历天内，将所有设备交付到采购人指定地</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Pr>
        <w:pStyle w:val="null3"/>
      </w:pPr>
      <w:r>
        <w:rPr/>
        <w:t>2）有依法缴纳税收和社会保障资金的良好记录：依据《投标函》。</w:t>
      </w:r>
    </w:p>
    <w:p>
      <w:pPr>
        <w:pStyle w:val="null3"/>
      </w:pPr>
      <w:r>
        <w:rPr/>
        <w:t>3）具有良好的商业信誉和健全的财务会计制度：依据《投标函》。</w:t>
      </w:r>
    </w:p>
    <w:p>
      <w:pPr>
        <w:pStyle w:val="null3"/>
      </w:pPr>
      <w:r>
        <w:rPr/>
        <w:t>4）履行合同所必需的设备和专业技术能力：依据《投标函》。</w:t>
      </w:r>
    </w:p>
    <w:p>
      <w:pPr>
        <w:pStyle w:val="null3"/>
      </w:pPr>
      <w:r>
        <w:rPr/>
        <w:t>5）参加采购活动前3年内，在经营活动中没有重大违法记录：依据《投标函》。</w:t>
      </w:r>
    </w:p>
    <w:p>
      <w:pPr>
        <w:pStyle w:val="null3"/>
        <w:outlineLvl w:val="3"/>
      </w:pPr>
      <w:r>
        <w:rPr>
          <w:sz w:val="24"/>
          <w:b/>
        </w:rPr>
        <w:t>2.落实政府采购政策需满足的资格要求：</w:t>
      </w:r>
    </w:p>
    <w:p>
      <w:pPr>
        <w:pStyle w:val="null3"/>
        <w:jc w:val="left"/>
      </w:pPr>
      <w:r>
        <w:rPr/>
        <w:t>采购包1（广州大学2024年机电学院创A入驻教学环境设备硬件集成项目（二））：</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3.本项目特定的资格要求：</w:t>
      </w:r>
    </w:p>
    <w:p>
      <w:pPr>
        <w:pStyle w:val="null3"/>
      </w:pPr>
      <w:r>
        <w:rPr/>
        <w:t>采购包1（广州大学2024年机电学院创A入驻教学环境设备硬件集成项目（二））：</w:t>
      </w:r>
    </w:p>
    <w:p>
      <w:pPr>
        <w:pStyle w:val="null3"/>
      </w:pPr>
      <w:r>
        <w:rPr/>
        <w:t>1)1、本项目不接受联合体投标；2、投标人未被列入“信用中国”网站中“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广州交易集团有限公司（http://www.gzggzy.cn）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广州大学</w:t>
      </w:r>
    </w:p>
    <w:p>
      <w:pPr>
        <w:pStyle w:val="null3"/>
        <w:ind w:firstLine="480"/>
      </w:pPr>
      <w:r>
        <w:rPr/>
        <w:t xml:space="preserve"> 地址：</w:t>
      </w:r>
      <w:r>
        <w:rPr/>
        <w:t>广东省广州市番禺区广州大学城外环西路230号</w:t>
      </w:r>
    </w:p>
    <w:p>
      <w:pPr>
        <w:pStyle w:val="null3"/>
        <w:ind w:firstLine="480"/>
      </w:pPr>
      <w:r>
        <w:rPr/>
        <w:t xml:space="preserve"> 联系方式：</w:t>
      </w:r>
      <w:r>
        <w:rPr/>
        <w:t>020-39341375</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28866273</w:t>
      </w:r>
    </w:p>
    <w:p>
      <w:pPr>
        <w:pStyle w:val="null3"/>
        <w:outlineLvl w:val="3"/>
      </w:pPr>
      <w:r>
        <w:rPr>
          <w:sz w:val="24"/>
          <w:b/>
        </w:rPr>
        <w:t xml:space="preserve"> 3.项目联系方式</w:t>
      </w:r>
    </w:p>
    <w:p>
      <w:pPr>
        <w:pStyle w:val="null3"/>
        <w:ind w:firstLine="480"/>
      </w:pPr>
      <w:r>
        <w:rPr/>
        <w:t xml:space="preserve"> 项目联系人：</w:t>
      </w:r>
      <w:r>
        <w:rPr/>
        <w:t>卢婧茹</w:t>
      </w:r>
    </w:p>
    <w:p>
      <w:pPr>
        <w:pStyle w:val="null3"/>
        <w:ind w:firstLine="480"/>
      </w:pPr>
      <w:r>
        <w:rPr/>
        <w:t xml:space="preserve"> 电话：</w:t>
      </w:r>
      <w:r>
        <w:rPr/>
        <w:t>28866273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详见采购需求</w:t>
      </w:r>
    </w:p>
    <w:p>
      <w:pPr>
        <w:pStyle w:val="null3"/>
      </w:pPr>
      <w:r>
        <w:rPr/>
        <w:t>采购包1（广州大学2024年机电学院创A入驻教学环境设备硬件集成项目（二））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在合同签订之日起35个日历天内，将所有设备交付到采购人指定地</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45%，第一期合同款之支付：合同签订生效后，中标供应商开具金额为合同总价45%的发票提交给采购人；采购人在收到发票后的五个工作日内，银行汇款方式，向中标供应商支付与票面金额相同的合同款。。</w:t>
            </w:r>
          </w:p>
          <w:p>
            <w:pPr>
              <w:pStyle w:val="null3"/>
            </w:pPr>
            <w:r>
              <w:rPr/>
              <w:t>第2期为(尾款)：支付比例55%，第二期合同款之支付：全部设备交付到采购人指定地点，并且最终被验收合格后，中标供应商开具金额为合同总价55%的发票，联同货物验收合格报告（或者含有“全部货物质量符合合同约定”或“试用期满质量合格”之签注意见的验收合格报告书）一并提交给采购人；采购人在收到发票和《货物验收合格报告》以及其它必备的付款凭证后，十个工作日内审查完毕，向中标供应商支付与票面金额相同的合同款。 注：合同款支付时间顺延与时滞 （1）中标供应商未按约定的时限向采购人提供有效、完整齐备的发票或免税证明，以及用于财务支付和结算所必备的票据、单证或凭证等文件的，则合同款之支付时间顺延且采购人不负违约责任。 （2）鉴于广州市财政国库支付执行机构办理财政国库集中支付手续可能存在时滞，故采购人向广州市财政国库支付执行机构提交支付手续之日可视为采购人实际付款之日，但是，采购人应当采取适当的措施督促或确保上述款项能尽快付至中标供应商。 。</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 1. 采购人组织设备使用单位及相关部门严格依据项目合同标的及清单逐一清点核查，实施项目试运行前的初验收，并确认项目初验收报告。 2. 货物为原制造商制造的全新产品，无污染，无侵权行为、表面无划损、无任何缺陷隐患，在中国境内可依常规安全合法使用。 3. 交付验收标准 投标人提供的货物应按必须符合最新的中华人民共和国国家安全环保标准、国家有关产品质量认证标准。若在供货过程中所采用的某项标准或规范在本采购文件中没有规定,则投标人应详细说明其所采用的标准和规范,并提供该标准或规范的完整中文文件给采购人，只有投标人采用的标准和规范是国家、国际公认的、惯用的，且等于或优于本技术规格书的要求时，此标准或规范才可能为采购人所接受。 有关标准、规范和法令之间产生差异的，应当按其中最严、最优、最新且于三者之间选择最有利于采购人的标准或规定执行。 4. 国内制造的产品必须具备出厂合格证。 5. 中标供应商应将货物的用户使用手册、保修手册、有关单证资料及配备件、随附工具等交付给采购人，使用操作及安全须知等重要资料应附有中文说明。 6. 采购人按中标供应商提供的供货清单检验产品合格证、使用说明书和其它的技术资料、检查产品及附件是否完整无损。如有损坏、缺件等情况，由中标供应商自行负责。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硬件集成实施服务</w:t>
            </w:r>
          </w:p>
        </w:tc>
        <w:tc>
          <w:tcPr>
            <w:tcW w:type="dxa" w:w="933"/>
          </w:tcPr>
          <w:p>
            <w:pPr>
              <w:pStyle w:val="null3"/>
              <w:jc w:val="left"/>
            </w:pPr>
            <w:r>
              <w:rPr/>
              <w:t>硬件集成项目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1,988,900.00</w:t>
            </w:r>
          </w:p>
        </w:tc>
        <w:tc>
          <w:tcPr>
            <w:tcW w:type="dxa" w:w="933"/>
          </w:tcPr>
          <w:p>
            <w:pPr>
              <w:pStyle w:val="null3"/>
              <w:jc w:val="right"/>
            </w:pPr>
            <w:r>
              <w:rPr/>
              <w:t>1,988,900.00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硬件集成项目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采购机构代理服务收费标准：本项目公共资源交易服务费收费标准：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天润路333号广州交易集团西侧建设银行天润路支行交款，交款后前往天润路333号广州交易集团一楼大厅44号财务专窗办理支付确认。（2）汇款支付：中标人将公共资源交易服务费转账（汇款）至公共资源交易服务费结算账户（如下所示）后，由财务专窗人员在第二个工作日进行核对并确认支付，或由中标人凭转账（汇款）凭证前往天润路333号广州交易集团一楼大厅44号财务专窗办理支付确认。公共资源交易服务费结算账户信息：收款单位：广州市政府采购中心，开户银行：中国建设银行广州天润路支行，账号：44050158340409202288（注：使用汇款支付过程中，请在摘要或用途中注明项目编号交易服务费，例如：CZ2025-0001交易服务费。）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其他，一、综合信用得分 （一）本项目商务评分部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广州交易集团有限公司门户网站-信用信息-广州公共资源交易信用平台3.0”查询到供应商信用分数的，按照现行的公共资源交易信用评分细则中指标说明及权重计算信用评价基准分。如遇重要系统通信网络故障、服务器物理故障、系统遭受网络攻击、重要系统迁移等重大突发性事项导致采集最新数据失败，系统将启用重大突发性事项发生前一天的数据进行评分计算；重大突发性事项处理完毕后，按正常程序采集数据进行处理。 二、履约评价。 由采购人负责对中标人的履约行为进行评价，采购人在合同备案后可通过广东政府采购智慧云平台-诚信管理-评价管理进行评价。评价结果会影响供应商的综合信用得分。 三、关于提供前期服务的供应商。 为采购项目提供整体设计、规范编制或者项目管理、监理、检测等服务的供应商，不得再参加该采购项目的其他采购活动。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广州交易集团有限公司（http://www.gzggzy.cn）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广州市天河区天润路333号3楼广州市政府采购中心质量监督部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大学2024年机电学院创A入驻教学环境设备硬件集成项目（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广州市政府采购中心</w:t>
      </w:r>
      <w:r>
        <w:rPr/>
        <w:t>统一对外发布。</w:t>
      </w:r>
    </w:p>
    <w:p>
      <w:pPr>
        <w:pStyle w:val="null3"/>
        <w:ind w:firstLine="480"/>
      </w:pPr>
      <w:r>
        <w:rPr/>
        <w:t>（2）对</w:t>
      </w:r>
      <w:r>
        <w:rPr/>
        <w:t>广州市政府采购中心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采购包1（广州大学2024年机电学院创A入驻教学环境设备硬件集成项目（二））：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采购包1（广州大学2024年机电学院创A入驻教学环境设备硬件集成项目（二））：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依据《投标函》。</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1、本项目不接受联合体投标；2、投标人未被列入“信用中国”网站中“ 记录失信被执行人或重大税收违法失信主体或政府采购严重违法失信行为” 的记录名单；不处于“中国政府采购网”中“政府采购严重违法失信行为信息记录”的 禁止参加政府采购活动期间（以采购代理机构或采购人于资格审查时在上述网站查 询结果为准，如在上述网站查询结果均显示没有相关记录，视为没有上述不良信用 记录。同时对信用信息查询记录和证据截图存档。如相关失信记录已失效，供应商 须提供相关证明资料）。3、投标人必须符合法律、行政法规规定的其他条件：依 据《投标函》。</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采购包1（广州大学2024年机电学院创A入驻教学环境设备硬件集成项目（二））：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符合性审查内容</w:t>
            </w:r>
          </w:p>
        </w:tc>
        <w:tc>
          <w:tcPr>
            <w:tcW w:type="dxa" w:w="4238"/>
          </w:tcPr>
          <w:p>
            <w:pPr>
              <w:pStyle w:val="null3"/>
            </w:pPr>
            <w:r>
              <w:rPr/>
              <w:t>1.报价确定且不高于预算金额。 2.有盖章、签署要求的格式文件已按要求盖章、签署。 3.投标文件完全满足招标文件中带★号的条款和指标(审查《实质性响应一览表》)。 4.未发现属无效投标的其他情形。以下为属无效投标的其他情形：（1）法定代表人或单位负责人为同一个人或者存在直接控股、管理关系的不同供应商，同时参加本项目或同一采购包投标的。 （2）投标人为本项目提供整体设计、规范编制或者项目管理、监理、检测等服务的。（3）评标期间，投标人没有按要求提交澄清、说明、补正或改变了投标文件的实质性内容的（招标文件第四章“三、评审程序”中“6.其他无效投标的情形”第（1）点的规定与此处规定不一致，以此处规定为准）。 （4）投标文件提供虚假材料的。 （5）投标人以他人的名义投标、串通投标、以行贿手段谋取中标或者以其他弄虚作假方式投标的。 （6）投标人对采购人、采购代理机构、评标委员会及其工作人员施加影响，有碍招标公平、公正的。 （7）投标文件含有采购人不能接受的附加条件的。 （8）法律、法规和招标文件规定的其他无效情形。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采购包1(广州大学2024年机电学院创A入驻教学环境设备硬件集成项目（二）):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带“▲”号技术参数响应情况 (37.5分)</w:t>
            </w:r>
          </w:p>
        </w:tc>
        <w:tc>
          <w:tcPr>
            <w:tcW w:type="dxa" w:w="5076"/>
          </w:tcPr>
          <w:p>
            <w:pPr>
              <w:pStyle w:val="null3"/>
              <w:jc w:val="left"/>
            </w:pPr>
            <w:r>
              <w:rPr/>
              <w:t>根据投标人对“技术参数”中加注“▲”号的技术参数进行评审：每满足一项得1.5分（“▲”号条款共25项），最高得37.5分。 【备注：凡是标有序号的重要条款均以一项单独的条款计算，无论是否隶属于上一级编号。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非“★”、非“▲”以及非演示内容的一般技术参数响应情况 (16.5分)</w:t>
            </w:r>
          </w:p>
        </w:tc>
        <w:tc>
          <w:tcPr>
            <w:tcW w:type="dxa" w:w="5076"/>
          </w:tcPr>
          <w:p>
            <w:pPr>
              <w:pStyle w:val="null3"/>
              <w:jc w:val="left"/>
            </w:pPr>
            <w:r>
              <w:rPr/>
              <w:t>根据投标人对本项目全部采购设备“具体技术(参数)要求”中未标记“★”或“▲”或“功能演示”的一般技术参数的响应情况进行评审： 本项目共15项设备，每项设备全部非“▲”、非“★”和非功能演示项参数都满足视为该设备完全响应，每项设备任意一条非“▲”、非“★”和非功能演示项参数不满足视为该设备负偏离。每个设备完全响应得1.1分，该项得分为=满足设备项数*1.1分，最高得16.5分。 【备注：1.采购需求中要求提供产品的功能截图、检测报告等证明须提供佐证，否则视为该指标不响应；2.技术参数须逐条响应，列清楚每一条参数的偏离情况，不按要求响应的，视为该设备所有参数指标不响应。凡是标有序号的重要条款均以一项单独的条款计算，无论是否隶属于上一级编号。如采购需求中有明确提供的证明资料，则以采购需求要求为准，无或未按要求提供证明材料的不得分；如采购需求中无明确证明材料的，以投标人的投标文件《技术和服务要求响应表》中的响应情况填写内容为准，未填写或不满足的视为负偏离。】</w:t>
            </w:r>
          </w:p>
        </w:tc>
      </w:tr>
      <w:tr>
        <w:tc>
          <w:tcPr>
            <w:tcW w:type="dxa" w:w="922"/>
            <w:gridSpan w:val="2"/>
            <w:vMerge/>
          </w:tcPr>
          <w:p/>
        </w:tc>
        <w:tc>
          <w:tcPr>
            <w:tcW w:type="dxa" w:w="2307"/>
          </w:tcPr>
          <w:p>
            <w:pPr>
              <w:pStyle w:val="null3"/>
              <w:jc w:val="left"/>
            </w:pPr>
            <w:r>
              <w:rPr/>
              <w:t>总体技术方案A (2.0分)</w:t>
            </w:r>
          </w:p>
        </w:tc>
        <w:tc>
          <w:tcPr>
            <w:tcW w:type="dxa" w:w="5076"/>
          </w:tcPr>
          <w:p>
            <w:pPr>
              <w:pStyle w:val="null3"/>
              <w:jc w:val="left"/>
            </w:pPr>
            <w:r>
              <w:rPr/>
              <w:t>投标人根据采购需求第二章采购需求针对本项目制定的总体技术方案进行综合评分： （1）能提供总体技术方案，得1分，不提供不得分。 （2）总体技术方案能同时包括项目实施方案、质量保障方案内容的，得1分；如未能提供完整的，本项和总体技术方案B项均不得分。</w:t>
            </w:r>
          </w:p>
        </w:tc>
      </w:tr>
      <w:tr>
        <w:tc>
          <w:tcPr>
            <w:tcW w:type="dxa" w:w="922"/>
            <w:gridSpan w:val="2"/>
            <w:vMerge/>
          </w:tcPr>
          <w:p/>
        </w:tc>
        <w:tc>
          <w:tcPr>
            <w:tcW w:type="dxa" w:w="2307"/>
          </w:tcPr>
          <w:p>
            <w:pPr>
              <w:pStyle w:val="null3"/>
              <w:jc w:val="left"/>
            </w:pPr>
            <w:r>
              <w:rPr/>
              <w:t>总体技术方案B (4.0分)</w:t>
            </w:r>
          </w:p>
        </w:tc>
        <w:tc>
          <w:tcPr>
            <w:tcW w:type="dxa" w:w="5076"/>
          </w:tcPr>
          <w:p>
            <w:pPr>
              <w:pStyle w:val="null3"/>
              <w:jc w:val="left"/>
            </w:pPr>
            <w:r>
              <w:rPr/>
              <w:t>总体技术方案：项目实施方案、质量保障方案内容能优于采购需求的，得4分；能完全满足采购需求的，得2分；能部分满足采购需求的，得1分；不能满足采购需求或其他的，不得分。</w:t>
            </w:r>
          </w:p>
        </w:tc>
      </w:tr>
      <w:tr>
        <w:tc>
          <w:tcPr>
            <w:tcW w:type="dxa" w:w="922"/>
            <w:gridSpan w:val="2"/>
            <w:vMerge/>
          </w:tcPr>
          <w:p/>
        </w:tc>
        <w:tc>
          <w:tcPr>
            <w:tcW w:type="dxa" w:w="2307"/>
          </w:tcPr>
          <w:p>
            <w:pPr>
              <w:pStyle w:val="null3"/>
              <w:jc w:val="left"/>
            </w:pPr>
            <w:r>
              <w:rPr/>
              <w:t>视频演示 (8.0分)</w:t>
            </w:r>
          </w:p>
        </w:tc>
        <w:tc>
          <w:tcPr>
            <w:tcW w:type="dxa" w:w="5076"/>
          </w:tcPr>
          <w:p>
            <w:pPr>
              <w:pStyle w:val="null3"/>
              <w:jc w:val="left"/>
            </w:pPr>
            <w:r>
              <w:rPr/>
              <w:t>投标时提供原型样品演示和视频演示，演示内容： 演示第一部分 第一条：在技术参数表中序号1 “高分辨率户内全彩LED屏”： 3. LED显示屏单箱尺寸≤600mm（宽）*337.5mm（高）（投标时现场提供显示屏单箱演示样品，进行样品原型演示，通电播放“广州大学形象宣传片”（下载网址：https://www.gzhu.edu.cn/info/1073/12734.htm））； 演示第二部分 第二条：在技术参数表中序号3“交互智能平板” 一、硬件参数： 10.整机内置≥1200万高清≥4K摄像头，内置8阵列适应麦克风，适应距离≥12米，高性能音频算法，具备快速回声消除、环境噪声抑制、人声自动增益补偿功能，需能实现拍摄4800万像素的照片。（投标时提供同型号样机功能视频演示） 第三条：在技术参数表中序号3“交互智能平板” 一、硬件参数： 11.前置具备物理按键： （1）电源键带有呼吸灯功能，在节能待机状态下闪烁呼吸，可通过点击屏幕重新唤醒屏幕。（投标时提供功能演示） 第四条：在技术参数表中序号3“交互智能平板” 一、硬件参数： 11.前置具备物理按键： （2）电源键具有整机关机、电脑关机、节能三键合一功能。（投标时提供同型号样机功能视频演示） 第五条：在技术参数表中序号3“交互智能平板” 一、硬件参数： 13.前置包括不限于斜下式或推拉盖板，隐藏前置接口，具有接口防粉笔灰尘。（投标时提供同型号样机功能视频演示） 第六条：在技术参数表中序号3“交互智能平板” 二、便捷功能：15.智能光感调节：根据环境光线自动调节背光亮度，节能护眼。（投标时提供同型号样机功能视频演示） 演示第三部分 第七条：在技术参数表中序号11“电子白板教学一体机”： 5.分屏功能：支持设置2分屏、3分屏、4分屏设置，将屏幕分成多个书写屏幕，并设置背景颜色。用户在各个屏上书写互不影响，并且可使用不同颜色画笔同时书写。（投标时提供同型号样机功能视频演示） 第八条：在技术参数表中序号11“电子白板教学一体机”： 23.2D转3D功能：支持在画板中，随意绘画简单的线段、曲线、图形二维图形，可以一键进行旋转变三维图，并且三维图能缩放、旋转。支持查看三维图的主视图、上视图、左视图、透视图。（投标时提供同型号样机功能视频演示）。 每优于或完全满足一条得1分，最高8分。其他情况不得分。</w:t>
            </w:r>
          </w:p>
        </w:tc>
      </w:tr>
      <w:tr>
        <w:tc>
          <w:tcPr>
            <w:tcW w:type="dxa" w:w="922"/>
            <w:gridSpan w:val="2"/>
            <w:vMerge/>
          </w:tcPr>
          <w:p/>
        </w:tc>
        <w:tc>
          <w:tcPr>
            <w:tcW w:type="dxa" w:w="2307"/>
          </w:tcPr>
          <w:p>
            <w:pPr>
              <w:pStyle w:val="null3"/>
              <w:jc w:val="left"/>
            </w:pPr>
            <w:r>
              <w:rPr/>
              <w:t>对优先采购产品类别的评审优惠 (2.0分)</w:t>
            </w:r>
          </w:p>
        </w:tc>
        <w:tc>
          <w:tcPr>
            <w:tcW w:type="dxa" w:w="5076"/>
          </w:tcPr>
          <w:p>
            <w:pPr>
              <w:pStyle w:val="null3"/>
              <w:jc w:val="left"/>
            </w:pPr>
            <w:r>
              <w:rPr/>
              <w:t>1.除强制节能产品外，每提供一份节能产品认证证书，得1分，最高得1分。 2.每提供一份环境标志产品认证证书，得1分，最高得1分。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(5.0分)</w:t>
            </w:r>
          </w:p>
        </w:tc>
        <w:tc>
          <w:tcPr>
            <w:tcW w:type="dxa" w:w="5076"/>
          </w:tcPr>
          <w:p>
            <w:pPr>
              <w:pStyle w:val="null3"/>
              <w:jc w:val="left"/>
            </w:pPr>
            <w:r>
              <w:rPr/>
              <w:t>投标人提供2021年以来完成具有系统集成类项目经验的案例，提供一个得1分，最高得5分。（以合同签订时间为准，分支机构投标的，总公司（总所）业绩可纳入评审，须提供合同关键页扫描件作为证明材料（合同关键页包括合同首页、合同标的、盖章页、签订日期、项目金额页））。</w:t>
            </w:r>
          </w:p>
        </w:tc>
      </w:tr>
      <w:tr>
        <w:tc>
          <w:tcPr>
            <w:tcW w:type="dxa" w:w="922"/>
            <w:gridSpan w:val="2"/>
            <w:vMerge/>
          </w:tcPr>
          <w:p/>
        </w:tc>
        <w:tc>
          <w:tcPr>
            <w:tcW w:type="dxa" w:w="2307"/>
          </w:tcPr>
          <w:p>
            <w:pPr>
              <w:pStyle w:val="null3"/>
              <w:jc w:val="left"/>
            </w:pPr>
            <w:r>
              <w:rPr/>
              <w:t>投标人投入本项目的项目负责人认证情况 (3.0分)</w:t>
            </w:r>
          </w:p>
        </w:tc>
        <w:tc>
          <w:tcPr>
            <w:tcW w:type="dxa" w:w="5076"/>
          </w:tcPr>
          <w:p>
            <w:pPr>
              <w:pStyle w:val="null3"/>
              <w:jc w:val="left"/>
            </w:pPr>
            <w:r>
              <w:rPr/>
              <w:t>1、具有计算机技术与软件专业技术资格（水平）的信息系统项目管理师证书，得2分，否则得0分。 2、具有计算机相关专业研究生学历。（提供最近6个月内查询学历证书及国家学信网验证截图），得1分，否则得0分。 以上2项资质证书材料全部提供的，得3分；不提供的，不得分。 注：投标人需提供上述人员的学历证明文件、证书材料扫描件以及在投标人服务的外部证明材料扫描件，如投标截止日之前六个月以内任意月份的参加社会保险的《投保单》或《社会保险参保人员证明》等。其他情况或不提供不得分。</w:t>
            </w:r>
          </w:p>
        </w:tc>
      </w:tr>
      <w:tr>
        <w:tc>
          <w:tcPr>
            <w:tcW w:type="dxa" w:w="922"/>
            <w:gridSpan w:val="2"/>
            <w:vMerge/>
          </w:tcPr>
          <w:p/>
        </w:tc>
        <w:tc>
          <w:tcPr>
            <w:tcW w:type="dxa" w:w="2307"/>
          </w:tcPr>
          <w:p>
            <w:pPr>
              <w:pStyle w:val="null3"/>
              <w:jc w:val="left"/>
            </w:pPr>
            <w:r>
              <w:rPr/>
              <w:t>投标人拟投入本项目的技术人员情况（项目负责人除外） (3.0分)</w:t>
            </w:r>
          </w:p>
        </w:tc>
        <w:tc>
          <w:tcPr>
            <w:tcW w:type="dxa" w:w="5076"/>
          </w:tcPr>
          <w:p>
            <w:pPr>
              <w:pStyle w:val="null3"/>
              <w:jc w:val="left"/>
            </w:pPr>
            <w:r>
              <w:rPr/>
              <w:t>1、具有“计算机技术与软件专业技术资格（水平）”的系统集成项目管理工程师证书，得1.5分，不提供不得分。 2、具有“计算机技术与软件专业技术资格（水平）”的网络工程师，得1.5分，不提供不得分。 同一人拥有两项证书得分不累计。 注：须提供以上证书扫描件或标注“人力资源和社会保障部人事考试中心提供査询结果”字样的证明材料及项目技术负责人在投标人服务的外部证明材料扫描件，如投标截止日之前六个月以内任意月份的参加社会保险的《投保单》或《社会保险参保人员证明》等。无提供的不得分。</w:t>
            </w:r>
          </w:p>
        </w:tc>
      </w:tr>
      <w:tr>
        <w:tc>
          <w:tcPr>
            <w:tcW w:type="dxa" w:w="922"/>
            <w:gridSpan w:val="2"/>
            <w:vMerge/>
          </w:tcPr>
          <w:p/>
        </w:tc>
        <w:tc>
          <w:tcPr>
            <w:tcW w:type="dxa" w:w="2307"/>
          </w:tcPr>
          <w:p>
            <w:pPr>
              <w:pStyle w:val="null3"/>
              <w:jc w:val="left"/>
            </w:pPr>
            <w:r>
              <w:rPr/>
              <w:t>投标人资质 (1.5分)</w:t>
            </w:r>
          </w:p>
        </w:tc>
        <w:tc>
          <w:tcPr>
            <w:tcW w:type="dxa" w:w="5076"/>
          </w:tcPr>
          <w:p>
            <w:pPr>
              <w:pStyle w:val="null3"/>
              <w:jc w:val="left"/>
            </w:pPr>
            <w:r>
              <w:rPr/>
              <w:t>1）具有有效期内的职业健康安全管理体系认证证书； 2）具有有效期内的质量管理体系认证证书； 3）具有有效期内的环境管理体系认证证书。 以上3项资质证书材料，提供1个得0.5分，不提供不得分。【注：上述须提供有效期内的相关证书扫描件，同时证书需在全国认证认可信息公共服务平台查询信息截图（http://cx.cnca.cn）并加盖投标人单位公章，否则不得分；】如因投标人（供应商）成立时间不足三个月，导致未能取得相关认证且提供书面说明的，对应证书可得分。</w:t>
            </w:r>
          </w:p>
        </w:tc>
      </w:tr>
      <w:tr>
        <w:tc>
          <w:tcPr>
            <w:tcW w:type="dxa" w:w="922"/>
            <w:gridSpan w:val="2"/>
            <w:vMerge/>
          </w:tcPr>
          <w:p/>
        </w:tc>
        <w:tc>
          <w:tcPr>
            <w:tcW w:type="dxa" w:w="2307"/>
          </w:tcPr>
          <w:p>
            <w:pPr>
              <w:pStyle w:val="null3"/>
              <w:jc w:val="left"/>
            </w:pPr>
            <w:r>
              <w:rPr/>
              <w:t>商务响应程度 (1.5分)</w:t>
            </w:r>
          </w:p>
        </w:tc>
        <w:tc>
          <w:tcPr>
            <w:tcW w:type="dxa" w:w="5076"/>
          </w:tcPr>
          <w:p>
            <w:pPr>
              <w:pStyle w:val="null3"/>
              <w:jc w:val="left"/>
            </w:pPr>
            <w:r>
              <w:rPr/>
              <w:t>投标人对采购需求四、商务要求中“培训要求、质量保证期及售后服务”等的响应，承诺完全满足需求中的要求得1.5分，不满足或未响应或其他不得分。以投标人提供承诺函作为评审依据，格式自拟并加盖投标人公章，未提供不得分。</w:t>
            </w:r>
          </w:p>
        </w:tc>
      </w:tr>
      <w:tr>
        <w:tc>
          <w:tcPr>
            <w:tcW w:type="dxa" w:w="922"/>
            <w:gridSpan w:val="2"/>
            <w:vMerge/>
          </w:tcPr>
          <w:p/>
        </w:tc>
        <w:tc>
          <w:tcPr>
            <w:tcW w:type="dxa" w:w="2307"/>
          </w:tcPr>
          <w:p>
            <w:pPr>
              <w:pStyle w:val="null3"/>
              <w:jc w:val="left"/>
            </w:pPr>
            <w:r>
              <w:rPr/>
              <w:t>对非重大违法违规记录的扣分 (1.0分)</w:t>
            </w:r>
          </w:p>
        </w:tc>
        <w:tc>
          <w:tcPr>
            <w:tcW w:type="dxa" w:w="5076"/>
          </w:tcPr>
          <w:p>
            <w:pPr>
              <w:pStyle w:val="null3"/>
              <w:jc w:val="left"/>
            </w:pPr>
            <w:r>
              <w:rPr/>
              <w:t>以“信用中国”（www.creditchina.gov.cn）网站为查询渠道：对列入行政处罚或经营异常的投标人每一条记录扣0.1分，最高扣1分。如查询结果显示没有相关记录，视为没有上述非重大违法违规记录，则不扣分。以评标委员会于评审时在上述网站查询结果为准，评标委员会应将上述记录查询情况截图存档。注：总公司（总所）投标的，只查询总公司（总所）；分支机构（分所）投标的，只查询该分支机构。</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0"/>
          <w:b/>
        </w:rPr>
        <w:t>详见公告附件</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440101-2025-02682</w:t>
      </w:r>
    </w:p>
    <w:p>
      <w:pPr>
        <w:pStyle w:val="null3"/>
        <w:jc w:val="center"/>
        <w:outlineLvl w:val="3"/>
      </w:pPr>
      <w:r>
        <w:rPr>
          <w:sz w:val="24"/>
          <w:b/>
        </w:rPr>
        <w:t>采购项目编号：</w:t>
      </w:r>
      <w:r>
        <w:rPr>
          <w:sz w:val="24"/>
          <w:b/>
        </w:rPr>
        <w:t>CZ2025-0240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广州市政府采购中心</w:t>
      </w:r>
    </w:p>
    <w:p>
      <w:pPr>
        <w:pStyle w:val="null3"/>
        <w:ind w:firstLine="480"/>
      </w:pPr>
      <w:r>
        <w:rPr/>
        <w:t xml:space="preserve"> 你方组织的</w:t>
      </w:r>
      <w:r>
        <w:rPr>
          <w:u w:val="single"/>
        </w:rPr>
        <w:t>“</w:t>
      </w:r>
      <w:r>
        <w:rPr>
          <w:u w:val="single"/>
        </w:rPr>
        <w:t>广州大学2024年机电学院创A入驻教学环境设备硬件集成项目（二）</w:t>
      </w:r>
      <w:r>
        <w:rPr>
          <w:u w:val="single"/>
        </w:rPr>
        <w:t>”</w:t>
      </w:r>
      <w:r>
        <w:rPr/>
        <w:t>项目的招标[采购项目编号为：</w:t>
      </w:r>
      <w:r>
        <w:rPr>
          <w:u w:val="single"/>
        </w:rPr>
        <w:t>CZ2025-0240</w:t>
      </w:r>
      <w:r>
        <w:rPr/>
        <w:t>]，我方愿参与投标。</w:t>
      </w:r>
    </w:p>
    <w:p>
      <w:pPr>
        <w:pStyle w:val="null3"/>
        <w:ind w:firstLine="480"/>
      </w:pPr>
      <w:r>
        <w:rPr/>
        <w:t>我方确认收到贵方提供的</w:t>
      </w:r>
      <w:r>
        <w:rPr>
          <w:u w:val="single"/>
        </w:rPr>
        <w:t>“</w:t>
      </w:r>
      <w:r>
        <w:rPr>
          <w:u w:val="single"/>
        </w:rPr>
        <w:t>广州大学2024年机电学院创A入驻教学环境设备硬件集成项目（二）</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广州大学2024年机电学院创A入驻教学环境设备硬件集成项目（二）</w:t>
      </w:r>
      <w:r>
        <w:rPr/>
        <w:t>”项目采购[采购项目编号为</w:t>
      </w:r>
      <w:r>
        <w:rPr/>
        <w:t>CZ2025-0240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广州大学2024年机电学院创A入驻教学环境设备硬件集成项目（二）</w:t>
      </w:r>
      <w:r>
        <w:rPr/>
        <w:t>招标中获中标（采购项目编号：</w:t>
      </w:r>
      <w:r>
        <w:rPr/>
        <w:t>CZ2025-0240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