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版本号：N511528202500001420250318001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应急救援装备车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N5115282025000014</w:t>
      </w:r>
    </w:p>
    <w:p>
      <w:pPr>
        <w:pStyle w:val="null3"/>
        <w:jc w:val="left"/>
        <w:outlineLvl w:val="2"/>
      </w:pPr>
      <w:r>
        <w:rPr>
          <w:rFonts w:ascii="仿宋_GB2312" w:hAnsi="仿宋_GB2312" w:cs="仿宋_GB2312" w:eastAsia="仿宋_GB2312"/>
          <w:sz w:val="28"/>
          <w:b/>
        </w:rPr>
        <w:t>兴文县应急管理局</w:t>
      </w:r>
    </w:p>
    <w:p>
      <w:pPr>
        <w:pStyle w:val="null3"/>
        <w:jc w:val="center"/>
        <w:outlineLvl w:val="2"/>
      </w:pPr>
      <w:r>
        <w:rPr>
          <w:rFonts w:ascii="仿宋_GB2312" w:hAnsi="仿宋_GB2312" w:cs="仿宋_GB2312" w:eastAsia="仿宋_GB2312"/>
          <w:sz w:val="28"/>
          <w:b/>
        </w:rPr>
        <w:t>宜宾市政府采购中心兴文县分中心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宜宾市政府采购中心兴文县分中心</w:t>
      </w:r>
      <w:r>
        <w:rPr>
          <w:rFonts w:ascii="仿宋_GB2312" w:hAnsi="仿宋_GB2312" w:cs="仿宋_GB2312" w:eastAsia="仿宋_GB2312"/>
        </w:rPr>
        <w:t xml:space="preserve"> （以下简称“代理机构”）受 </w:t>
      </w:r>
      <w:r>
        <w:rPr>
          <w:rFonts w:ascii="仿宋_GB2312" w:hAnsi="仿宋_GB2312" w:cs="仿宋_GB2312" w:eastAsia="仿宋_GB2312"/>
        </w:rPr>
        <w:t>兴文县应急管理局</w:t>
      </w:r>
      <w:r>
        <w:rPr>
          <w:rFonts w:ascii="仿宋_GB2312" w:hAnsi="仿宋_GB2312" w:cs="仿宋_GB2312" w:eastAsia="仿宋_GB2312"/>
        </w:rPr>
        <w:t xml:space="preserve"> 委托，拟对 </w:t>
      </w:r>
      <w:r>
        <w:rPr>
          <w:rFonts w:ascii="仿宋_GB2312" w:hAnsi="仿宋_GB2312" w:cs="仿宋_GB2312" w:eastAsia="仿宋_GB2312"/>
        </w:rPr>
        <w:t>应急救援装备车</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宜宾市兴文县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N5115282025000014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应急救援装备车</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为提高兴文县应急管理局防灾减灾救灾工作需要，加强应急救援装备处置能力，不断提高基层防灾减灾救灾能力，采购一辆应急救援装备车。</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兴文县应急管理局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兴文县古宋镇石海西路876号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0831-8852032</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宜宾市政府采购中心兴文县分中心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四川省宜宾市兴文县兴文县空铁新区营商大厦B幢3楼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综合股、交易服务股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0831-8835817、0831-8862937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成交通知书发放后，政府采购合同签订前。以支票、汇票、本票或者金融机构出具的保函等非现金形式提交至采购人（包括网银转账，电汇等方式）。</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兴文县应急管理局</w:t>
      </w:r>
      <w:r>
        <w:rPr>
          <w:rFonts w:ascii="仿宋_GB2312" w:hAnsi="仿宋_GB2312" w:cs="仿宋_GB2312" w:eastAsia="仿宋_GB2312"/>
        </w:rPr>
        <w:t xml:space="preserve"> 和 </w:t>
      </w:r>
      <w:r>
        <w:rPr>
          <w:rFonts w:ascii="仿宋_GB2312" w:hAnsi="仿宋_GB2312" w:cs="仿宋_GB2312" w:eastAsia="仿宋_GB2312"/>
        </w:rPr>
        <w:t>宜宾市政府采购中心兴文县分中心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兴文县应急管理局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宜宾市政府采购中心兴文县分中心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其他未尽事宜，由采购人与中标人协商解决。</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兴文县应急管理局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宜宾市政府采购中心兴文县分中心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宜宾市政府采购中心兴文县分中心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联系人：黄先生</w:t>
      </w:r>
    </w:p>
    <w:p>
      <w:pPr>
        <w:pStyle w:val="null3"/>
        <w:jc w:val="left"/>
      </w:pPr>
      <w:r>
        <w:rPr>
          <w:rFonts w:ascii="仿宋_GB2312" w:hAnsi="仿宋_GB2312" w:cs="仿宋_GB2312" w:eastAsia="仿宋_GB2312"/>
        </w:rPr>
        <w:t>联系电话：0831-8852032</w:t>
      </w:r>
    </w:p>
    <w:p>
      <w:pPr>
        <w:pStyle w:val="null3"/>
        <w:jc w:val="left"/>
      </w:pPr>
      <w:r>
        <w:rPr>
          <w:rFonts w:ascii="仿宋_GB2312" w:hAnsi="仿宋_GB2312" w:cs="仿宋_GB2312" w:eastAsia="仿宋_GB2312"/>
        </w:rPr>
        <w:t>地址：兴文县古宋镇石海西路876号</w:t>
      </w:r>
    </w:p>
    <w:p>
      <w:pPr>
        <w:pStyle w:val="null3"/>
        <w:jc w:val="left"/>
      </w:pPr>
      <w:r>
        <w:rPr>
          <w:rFonts w:ascii="仿宋_GB2312" w:hAnsi="仿宋_GB2312" w:cs="仿宋_GB2312" w:eastAsia="仿宋_GB2312"/>
        </w:rPr>
        <w:t>邮编：644400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联系人：综合股</w:t>
      </w:r>
    </w:p>
    <w:p>
      <w:pPr>
        <w:pStyle w:val="null3"/>
        <w:jc w:val="left"/>
      </w:pPr>
      <w:r>
        <w:rPr>
          <w:rFonts w:ascii="仿宋_GB2312" w:hAnsi="仿宋_GB2312" w:cs="仿宋_GB2312" w:eastAsia="仿宋_GB2312"/>
        </w:rPr>
        <w:t>联系电话：0831-8835817</w:t>
      </w:r>
    </w:p>
    <w:p>
      <w:pPr>
        <w:pStyle w:val="null3"/>
        <w:jc w:val="left"/>
      </w:pPr>
      <w:r>
        <w:rPr>
          <w:rFonts w:ascii="仿宋_GB2312" w:hAnsi="仿宋_GB2312" w:cs="仿宋_GB2312" w:eastAsia="仿宋_GB2312"/>
        </w:rPr>
        <w:t>地址：宜宾市兴文县空铁新区营商大楼B幢3楼</w:t>
      </w:r>
    </w:p>
    <w:p>
      <w:pPr>
        <w:pStyle w:val="null3"/>
        <w:jc w:val="left"/>
      </w:pPr>
      <w:r>
        <w:rPr>
          <w:rFonts w:ascii="仿宋_GB2312" w:hAnsi="仿宋_GB2312" w:cs="仿宋_GB2312" w:eastAsia="仿宋_GB2312"/>
        </w:rPr>
        <w:t>邮编：644400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590,000.00</w:t>
      </w:r>
    </w:p>
    <w:p>
      <w:pPr>
        <w:pStyle w:val="null3"/>
        <w:jc w:val="left"/>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A02030699 其他专用车辆</w:t>
            </w:r>
          </w:p>
        </w:tc>
        <w:tc>
          <w:tcPr>
            <w:tcW w:type="dxa" w:w="821"/>
          </w:tcPr>
          <w:p>
            <w:pPr>
              <w:pStyle w:val="null3"/>
              <w:jc w:val="left"/>
            </w:pPr>
            <w:r>
              <w:rPr>
                <w:rFonts w:ascii="仿宋_GB2312" w:hAnsi="仿宋_GB2312" w:cs="仿宋_GB2312" w:eastAsia="仿宋_GB2312"/>
              </w:rPr>
              <w:t>应急救援装备车</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590,000.00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应急救援装备车</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A02030699 其他专用车辆</w:t>
            </w:r>
          </w:p>
        </w:tc>
        <w:tc>
          <w:tcPr>
            <w:tcW w:type="dxa" w:w="2492"/>
          </w:tcPr>
          <w:p>
            <w:pPr>
              <w:pStyle w:val="null3"/>
              <w:jc w:val="left"/>
            </w:pPr>
            <w:r>
              <w:rPr>
                <w:rFonts w:ascii="仿宋_GB2312" w:hAnsi="仿宋_GB2312" w:cs="仿宋_GB2312" w:eastAsia="仿宋_GB2312"/>
              </w:rPr>
              <w:t>应急救援装备车</w:t>
            </w:r>
          </w:p>
        </w:tc>
        <w:tc>
          <w:tcPr>
            <w:tcW w:type="dxa" w:w="2492"/>
          </w:tcPr>
          <w:p>
            <w:pPr>
              <w:pStyle w:val="null3"/>
              <w:jc w:val="left"/>
            </w:pPr>
            <w:r>
              <w:rPr>
                <w:rFonts w:ascii="仿宋_GB2312" w:hAnsi="仿宋_GB2312" w:cs="仿宋_GB2312" w:eastAsia="仿宋_GB2312"/>
              </w:rPr>
              <w:t>应急救援装备车</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A02030699 其他专用车辆</w:t>
            </w:r>
          </w:p>
        </w:tc>
        <w:tc>
          <w:tcPr>
            <w:tcW w:type="dxa" w:w="2492"/>
          </w:tcPr>
          <w:p>
            <w:pPr>
              <w:pStyle w:val="null3"/>
              <w:jc w:val="left"/>
            </w:pPr>
            <w:r>
              <w:rPr>
                <w:rFonts w:ascii="仿宋_GB2312" w:hAnsi="仿宋_GB2312" w:cs="仿宋_GB2312" w:eastAsia="仿宋_GB2312"/>
              </w:rPr>
              <w:t>应急救援装备车</w:t>
            </w:r>
          </w:p>
        </w:tc>
        <w:tc>
          <w:tcPr>
            <w:tcW w:type="dxa" w:w="2492"/>
          </w:tcPr>
          <w:p>
            <w:pPr>
              <w:pStyle w:val="null3"/>
              <w:jc w:val="left"/>
            </w:pPr>
            <w:r>
              <w:rPr>
                <w:rFonts w:ascii="仿宋_GB2312" w:hAnsi="仿宋_GB2312" w:cs="仿宋_GB2312" w:eastAsia="仿宋_GB2312"/>
              </w:rPr>
              <w:t>应急救援装备车</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标的名称：应急救援装备车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基本技术参数及车辆配置要求</w:t>
            </w:r>
          </w:p>
        </w:tc>
        <w:tc>
          <w:tcPr>
            <w:tcW w:type="dxa" w:w="5814"/>
          </w:tcPr>
          <w:tbl>
            <w:tblPr>
              <w:tblInd w:type="dxa" w:w="420"/>
              <w:tblBorders>
                <w:top w:val="none" w:color="000000" w:sz="4"/>
                <w:left w:val="none" w:color="000000" w:sz="4"/>
                <w:bottom w:val="none" w:color="000000" w:sz="4"/>
                <w:right w:val="none" w:color="000000" w:sz="4"/>
                <w:insideH w:val="none"/>
                <w:insideV w:val="none"/>
              </w:tblBorders>
            </w:tblPr>
            <w:tblGrid>
              <w:gridCol w:w="379"/>
              <w:gridCol w:w="891"/>
              <w:gridCol w:w="180"/>
              <w:gridCol w:w="1176"/>
              <w:gridCol w:w="2248"/>
              <w:gridCol w:w="711"/>
            </w:tblGrid>
            <w:tr>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w:t>
                  </w:r>
                </w:p>
              </w:tc>
              <w:tc>
                <w:tcPr>
                  <w:tcW w:type="dxa" w:w="1071"/>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车辆名称</w:t>
                  </w:r>
                </w:p>
              </w:tc>
              <w:tc>
                <w:tcPr>
                  <w:tcW w:type="dxa" w:w="4135"/>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装备车</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2</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最大总质量</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≦16000（Kg)</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3</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both"/>
                  </w:pPr>
                  <w:r>
                    <w:rPr>
                      <w:rFonts w:ascii="仿宋_GB2312" w:hAnsi="仿宋_GB2312" w:cs="仿宋_GB2312" w:eastAsia="仿宋_GB2312"/>
                      <w:sz w:val="24"/>
                    </w:rPr>
                    <w:t>轴距</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both"/>
                  </w:pPr>
                  <w:r>
                    <w:rPr>
                      <w:rFonts w:ascii="仿宋_GB2312" w:hAnsi="仿宋_GB2312" w:cs="仿宋_GB2312" w:eastAsia="仿宋_GB2312"/>
                      <w:sz w:val="24"/>
                    </w:rPr>
                    <w:t xml:space="preserve">4000±500（mm）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4</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both"/>
                  </w:pPr>
                  <w:r>
                    <w:rPr>
                      <w:rFonts w:ascii="仿宋_GB2312" w:hAnsi="仿宋_GB2312" w:cs="仿宋_GB2312" w:eastAsia="仿宋_GB2312"/>
                      <w:sz w:val="24"/>
                    </w:rPr>
                    <w:t>外形尺寸</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≥7000×2250×3210(mm)</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5</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前悬</w:t>
                  </w:r>
                  <w:r>
                    <w:rPr>
                      <w:rFonts w:ascii="仿宋_GB2312" w:hAnsi="仿宋_GB2312" w:cs="仿宋_GB2312" w:eastAsia="仿宋_GB2312"/>
                      <w:sz w:val="24"/>
                    </w:rPr>
                    <w:t>/后悬</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≥1150/1730(mm)</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6</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接近</w:t>
                  </w:r>
                  <w:r>
                    <w:rPr>
                      <w:rFonts w:ascii="仿宋_GB2312" w:hAnsi="仿宋_GB2312" w:cs="仿宋_GB2312" w:eastAsia="仿宋_GB2312"/>
                      <w:sz w:val="24"/>
                    </w:rPr>
                    <w:t>/离去角</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≥19/9(</w:t>
                  </w:r>
                  <w:r>
                    <w:rPr>
                      <w:rFonts w:ascii="仿宋_GB2312" w:hAnsi="仿宋_GB2312" w:cs="仿宋_GB2312" w:eastAsia="仿宋_GB2312"/>
                      <w:sz w:val="24"/>
                    </w:rPr>
                    <w:t xml:space="preserve"> </w:t>
                  </w:r>
                  <w:r>
                    <w:rPr>
                      <w:rFonts w:ascii="仿宋_GB2312" w:hAnsi="仿宋_GB2312" w:cs="仿宋_GB2312" w:eastAsia="仿宋_GB2312"/>
                      <w:sz w:val="24"/>
                    </w:rPr>
                    <w:t>°)</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7</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最高车速</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≥110（Km/h)</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8</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发动机排量</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≥2.8（L）</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26"/>
                    <w:jc w:val="both"/>
                  </w:pPr>
                  <w:r>
                    <w:rPr>
                      <w:rFonts w:ascii="仿宋_GB2312" w:hAnsi="仿宋_GB2312" w:cs="仿宋_GB2312" w:eastAsia="仿宋_GB2312"/>
                      <w:sz w:val="24"/>
                    </w:rPr>
                    <w:t>9</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燃油种类</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22"/>
                    <w:jc w:val="left"/>
                  </w:pPr>
                  <w:r>
                    <w:rPr>
                      <w:rFonts w:ascii="仿宋_GB2312" w:hAnsi="仿宋_GB2312" w:cs="仿宋_GB2312" w:eastAsia="仿宋_GB2312"/>
                      <w:sz w:val="24"/>
                    </w:rPr>
                    <w:t>柴油</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10</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排放标准</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22"/>
                    <w:jc w:val="left"/>
                  </w:pPr>
                  <w:r>
                    <w:rPr>
                      <w:rFonts w:ascii="仿宋_GB2312" w:hAnsi="仿宋_GB2312" w:cs="仿宋_GB2312" w:eastAsia="仿宋_GB2312"/>
                      <w:sz w:val="24"/>
                    </w:rPr>
                    <w:t>国六</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11</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油箱容量</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≥100L</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12</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额定功率</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≥112（KW）</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13</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前轮距</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≥1680(mm)</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14</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后轮距</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≥1640(mm)</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15</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变速箱</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0"/>
                    <w:jc w:val="left"/>
                  </w:pPr>
                  <w:r>
                    <w:rPr>
                      <w:rFonts w:ascii="仿宋_GB2312" w:hAnsi="仿宋_GB2312" w:cs="仿宋_GB2312" w:eastAsia="仿宋_GB2312"/>
                      <w:sz w:val="24"/>
                    </w:rPr>
                    <w:t xml:space="preserve">≥6档手动或自动挡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16</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乘员人数</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人（含司机位）</w:t>
                  </w:r>
                  <w:r>
                    <w:rPr>
                      <w:rFonts w:ascii="仿宋_GB2312" w:hAnsi="仿宋_GB2312" w:cs="仿宋_GB2312" w:eastAsia="仿宋_GB2312"/>
                      <w:sz w:val="24"/>
                    </w:rPr>
                    <w:t xml:space="preserve"> </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17</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制动方式</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气刹制动</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18</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安全系统</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配置</w:t>
                  </w:r>
                  <w:r>
                    <w:rPr>
                      <w:rFonts w:ascii="仿宋_GB2312" w:hAnsi="仿宋_GB2312" w:cs="仿宋_GB2312" w:eastAsia="仿宋_GB2312"/>
                      <w:sz w:val="24"/>
                    </w:rPr>
                    <w:t>ABS、带排气制动、工字型外后视镜</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19</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驾驶辅助系统</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left"/>
                  </w:pPr>
                  <w:r>
                    <w:rPr>
                      <w:rFonts w:ascii="仿宋_GB2312" w:hAnsi="仿宋_GB2312" w:cs="仿宋_GB2312" w:eastAsia="仿宋_GB2312"/>
                      <w:sz w:val="24"/>
                    </w:rPr>
                    <w:t>前方碰撞预警、车道偏离预警、限速预警</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20</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空调系统</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冷暖一体、冷凝器前置</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21</w:t>
                  </w:r>
                </w:p>
              </w:tc>
              <w:tc>
                <w:tcPr>
                  <w:tcW w:type="dxa" w:w="107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其他配置</w:t>
                  </w:r>
                </w:p>
              </w:tc>
              <w:tc>
                <w:tcPr>
                  <w:tcW w:type="dxa" w:w="4135"/>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2"/>
                    <w:jc w:val="left"/>
                  </w:pPr>
                  <w:r>
                    <w:rPr>
                      <w:rFonts w:ascii="仿宋_GB2312" w:hAnsi="仿宋_GB2312" w:cs="仿宋_GB2312" w:eastAsia="仿宋_GB2312"/>
                      <w:sz w:val="24"/>
                    </w:rPr>
                    <w:t>主副电动窗、带遥控钥匙</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序号</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功能分类</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设备名称</w:t>
                  </w:r>
                </w:p>
              </w:tc>
              <w:tc>
                <w:tcPr>
                  <w:tcW w:type="dxa" w:w="224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说明</w:t>
                  </w:r>
                </w:p>
              </w:tc>
              <w:tc>
                <w:tcPr>
                  <w:tcW w:type="dxa" w:w="7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数量</w:t>
                  </w:r>
                </w:p>
              </w:tc>
            </w:tr>
            <w:tr>
              <w:tc>
                <w:tcPr>
                  <w:tcW w:type="dxa" w:w="3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p>
              </w:tc>
              <w:tc>
                <w:tcPr>
                  <w:tcW w:type="dxa" w:w="89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警示系统</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长排警灯警报器</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米、</w:t>
                  </w:r>
                  <w:r>
                    <w:rPr>
                      <w:rFonts w:ascii="仿宋_GB2312" w:hAnsi="仿宋_GB2312" w:cs="仿宋_GB2312" w:eastAsia="仿宋_GB2312"/>
                      <w:sz w:val="24"/>
                    </w:rPr>
                    <w:t>100W</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照明爆闪一体灯</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白黄双色，含照明</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个</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可视倒车</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含</w:t>
                  </w: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寸屏、控制盒，后视摄像头</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车辆外观</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工程黄色</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2</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照明系统</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后厢内照明</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LED</w:t>
                  </w:r>
                  <w:r>
                    <w:rPr>
                      <w:rFonts w:ascii="仿宋_GB2312" w:hAnsi="仿宋_GB2312" w:cs="仿宋_GB2312" w:eastAsia="仿宋_GB2312"/>
                      <w:sz w:val="24"/>
                    </w:rPr>
                    <w:t xml:space="preserve"> </w:t>
                  </w:r>
                  <w:r>
                    <w:rPr>
                      <w:rFonts w:ascii="仿宋_GB2312" w:hAnsi="仿宋_GB2312" w:cs="仿宋_GB2312" w:eastAsia="仿宋_GB2312"/>
                      <w:sz w:val="24"/>
                    </w:rPr>
                    <w:t>光源，安装于各门附近</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个</w:t>
                  </w:r>
                </w:p>
              </w:tc>
            </w:tr>
            <w:tr>
              <w:tc>
                <w:tcPr>
                  <w:tcW w:type="dxa" w:w="3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3</w:t>
                  </w:r>
                </w:p>
              </w:tc>
              <w:tc>
                <w:tcPr>
                  <w:tcW w:type="dxa" w:w="89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厢体改制</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后厢体总成</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汽车专用冷拉型材，整体焊接成型，货箱整体阴极电泳</w:t>
                  </w:r>
                  <w:r>
                    <w:rPr>
                      <w:rFonts w:ascii="仿宋_GB2312" w:hAnsi="仿宋_GB2312" w:cs="仿宋_GB2312" w:eastAsia="仿宋_GB2312"/>
                      <w:sz w:val="24"/>
                    </w:rPr>
                    <w:t>,钢制骨架，外蒙铝板，专用角件阴极电泳、高温烤漆</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防水卷帘门</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自带锁芯，所有锁能用一把钥匙开启，铝制，喷与车身同色</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后器材架总成</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4"/>
                    </w:rPr>
                    <w:t>铝型材结构，封花纹铝板，满足基本装备</w:t>
                  </w:r>
                  <w:r>
                    <w:rPr>
                      <w:rFonts w:ascii="仿宋_GB2312" w:hAnsi="仿宋_GB2312" w:cs="仿宋_GB2312" w:eastAsia="仿宋_GB2312"/>
                      <w:sz w:val="24"/>
                    </w:rPr>
                    <w:t>≥30套，可用随车专用工具上下调节设备架层板。</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卷收式绑带</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4"/>
                    </w:rPr>
                    <w:t>一键解除，，满足不同规格装备固定需求，绑带总长</w:t>
                  </w:r>
                  <w:r>
                    <w:rPr>
                      <w:rFonts w:ascii="仿宋_GB2312" w:hAnsi="仿宋_GB2312" w:cs="仿宋_GB2312" w:eastAsia="仿宋_GB2312"/>
                      <w:sz w:val="24"/>
                    </w:rPr>
                    <w:t>≥30米</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下翻踏步</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含锁具，承受</w:t>
                  </w:r>
                  <w:r>
                    <w:rPr>
                      <w:rFonts w:ascii="仿宋_GB2312" w:hAnsi="仿宋_GB2312" w:cs="仿宋_GB2312" w:eastAsia="仿宋_GB2312"/>
                      <w:sz w:val="24"/>
                    </w:rPr>
                    <w:t xml:space="preserve"> </w:t>
                  </w:r>
                  <w:r>
                    <w:rPr>
                      <w:rFonts w:ascii="仿宋_GB2312" w:hAnsi="仿宋_GB2312" w:cs="仿宋_GB2312" w:eastAsia="仿宋_GB2312"/>
                      <w:sz w:val="24"/>
                    </w:rPr>
                    <w:t>150KG</w:t>
                  </w:r>
                  <w:r>
                    <w:rPr>
                      <w:rFonts w:ascii="仿宋_GB2312" w:hAnsi="仿宋_GB2312" w:cs="仿宋_GB2312" w:eastAsia="仿宋_GB2312"/>
                      <w:sz w:val="24"/>
                    </w:rPr>
                    <w:t xml:space="preserve"> </w:t>
                  </w:r>
                  <w:r>
                    <w:rPr>
                      <w:rFonts w:ascii="仿宋_GB2312" w:hAnsi="仿宋_GB2312" w:cs="仿宋_GB2312" w:eastAsia="仿宋_GB2312"/>
                      <w:sz w:val="24"/>
                    </w:rPr>
                    <w:t>以上</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组合灯具</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1"/>
                    <w:jc w:val="left"/>
                  </w:pPr>
                  <w:r>
                    <w:rPr>
                      <w:rFonts w:ascii="仿宋_GB2312" w:hAnsi="仿宋_GB2312" w:cs="仿宋_GB2312" w:eastAsia="仿宋_GB2312"/>
                      <w:sz w:val="24"/>
                    </w:rPr>
                    <w:t>铝合金材质尾灯、侧标志灯及示阔灯，灯具总功率</w:t>
                  </w:r>
                  <w:r>
                    <w:rPr>
                      <w:rFonts w:ascii="仿宋_GB2312" w:hAnsi="仿宋_GB2312" w:cs="仿宋_GB2312" w:eastAsia="仿宋_GB2312"/>
                      <w:sz w:val="24"/>
                    </w:rPr>
                    <w:t>≥20W</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厢内装饰</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灰色铝塑板内墙，铝地板，板厚度</w:t>
                  </w:r>
                  <w:r>
                    <w:rPr>
                      <w:rFonts w:ascii="仿宋_GB2312" w:hAnsi="仿宋_GB2312" w:cs="仿宋_GB2312" w:eastAsia="仿宋_GB2312"/>
                      <w:sz w:val="24"/>
                    </w:rPr>
                    <w:t>≥1mm</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4</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辅助装备</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前迎风罩</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color w:val="000000"/>
                    </w:rPr>
                    <w:t>玻璃钢</w:t>
                  </w:r>
                  <w:r>
                    <w:rPr>
                      <w:rFonts w:ascii="仿宋_GB2312" w:hAnsi="仿宋_GB2312" w:cs="仿宋_GB2312" w:eastAsia="仿宋_GB2312"/>
                      <w:sz w:val="24"/>
                    </w:rPr>
                    <w:t>,改制适配警灯，宽度≥1.6米</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5</w:t>
                  </w:r>
                </w:p>
              </w:tc>
              <w:tc>
                <w:tcPr>
                  <w:tcW w:type="dxa" w:w="89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1"/>
                    <w:jc w:val="left"/>
                  </w:pPr>
                  <w:r>
                    <w:rPr>
                      <w:rFonts w:ascii="仿宋_GB2312" w:hAnsi="仿宋_GB2312" w:cs="仿宋_GB2312" w:eastAsia="仿宋_GB2312"/>
                      <w:sz w:val="24"/>
                    </w:rPr>
                    <w:t>尾板</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4"/>
                    <w:jc w:val="left"/>
                  </w:pPr>
                  <w:r>
                    <w:rPr>
                      <w:rFonts w:ascii="仿宋_GB2312" w:hAnsi="仿宋_GB2312" w:cs="仿宋_GB2312" w:eastAsia="仿宋_GB2312"/>
                      <w:sz w:val="24"/>
                    </w:rPr>
                    <w:t>液压尾板</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定制，载重</w:t>
                  </w:r>
                  <w:r>
                    <w:rPr>
                      <w:rFonts w:ascii="仿宋_GB2312" w:hAnsi="仿宋_GB2312" w:cs="仿宋_GB2312" w:eastAsia="仿宋_GB2312"/>
                      <w:sz w:val="24"/>
                    </w:rPr>
                    <w:t>≥1T，板面尺寸≥1.5×1(米)</w:t>
                  </w:r>
                  <w:r>
                    <w:rPr>
                      <w:rFonts w:ascii="仿宋_GB2312" w:hAnsi="仿宋_GB2312" w:cs="仿宋_GB2312" w:eastAsia="仿宋_GB2312"/>
                      <w:sz w:val="24"/>
                    </w:rPr>
                    <w:t xml:space="preserve"> </w:t>
                  </w:r>
                  <w:r>
                    <w:rPr>
                      <w:rFonts w:ascii="仿宋_GB2312" w:hAnsi="仿宋_GB2312" w:cs="仿宋_GB2312" w:eastAsia="仿宋_GB2312"/>
                      <w:sz w:val="24"/>
                    </w:rPr>
                    <w:t>，最大举升高度</w:t>
                  </w:r>
                  <w:r>
                    <w:rPr>
                      <w:rFonts w:ascii="仿宋_GB2312" w:hAnsi="仿宋_GB2312" w:cs="仿宋_GB2312" w:eastAsia="仿宋_GB2312"/>
                      <w:sz w:val="24"/>
                    </w:rPr>
                    <w:t>≥1米</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6"/>
                    <w:jc w:val="left"/>
                  </w:pPr>
                  <w:r>
                    <w:rPr>
                      <w:rFonts w:ascii="仿宋_GB2312" w:hAnsi="仿宋_GB2312" w:cs="仿宋_GB2312" w:eastAsia="仿宋_GB2312"/>
                      <w:sz w:val="24"/>
                    </w:rPr>
                    <w:t>尾部双开门</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配合液压尾板装运，单门尺寸</w:t>
                  </w:r>
                  <w:r>
                    <w:rPr>
                      <w:rFonts w:ascii="仿宋_GB2312" w:hAnsi="仿宋_GB2312" w:cs="仿宋_GB2312" w:eastAsia="仿宋_GB2312"/>
                      <w:sz w:val="24"/>
                    </w:rPr>
                    <w:t>≥0.8×1.8(米)</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40"/>
                    <w:jc w:val="both"/>
                  </w:pPr>
                  <w:r>
                    <w:rPr>
                      <w:rFonts w:ascii="仿宋_GB2312" w:hAnsi="仿宋_GB2312" w:cs="仿宋_GB2312" w:eastAsia="仿宋_GB2312"/>
                      <w:sz w:val="24"/>
                    </w:rPr>
                    <w:t>6</w:t>
                  </w:r>
                </w:p>
              </w:tc>
              <w:tc>
                <w:tcPr>
                  <w:tcW w:type="dxa" w:w="89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30"/>
                    <w:jc w:val="left"/>
                  </w:pPr>
                  <w:r>
                    <w:rPr>
                      <w:rFonts w:ascii="仿宋_GB2312" w:hAnsi="仿宋_GB2312" w:cs="仿宋_GB2312" w:eastAsia="仿宋_GB2312"/>
                      <w:sz w:val="24"/>
                    </w:rPr>
                    <w:t>辅助材料</w:t>
                  </w: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固定支架及绑带</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用于紧固各专用设备</w:t>
                  </w:r>
                  <w:r>
                    <w:rPr>
                      <w:rFonts w:ascii="仿宋_GB2312" w:hAnsi="仿宋_GB2312" w:cs="仿宋_GB2312" w:eastAsia="仿宋_GB2312"/>
                      <w:sz w:val="24"/>
                    </w:rPr>
                    <w:t>,固定支架承重≥50kg,绑带总长≥30米</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电器辅助材料</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电路控制器、保险、电气线束及开关等，承载功率</w:t>
                  </w:r>
                  <w:r>
                    <w:rPr>
                      <w:rFonts w:ascii="仿宋_GB2312" w:hAnsi="仿宋_GB2312" w:cs="仿宋_GB2312" w:eastAsia="仿宋_GB2312"/>
                      <w:sz w:val="24"/>
                    </w:rPr>
                    <w:t>≥100W</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379"/>
                  <w:vMerge/>
                  <w:tcBorders>
                    <w:top w:val="none" w:color="000000" w:sz="4"/>
                    <w:left w:val="singl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c>
                <w:tcPr>
                  <w:tcW w:type="dxa" w:w="135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加装要求</w:t>
                  </w:r>
                </w:p>
              </w:tc>
              <w:tc>
                <w:tcPr>
                  <w:tcW w:type="dxa" w:w="22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4"/>
                    </w:rPr>
                    <w:t>对现有</w:t>
                  </w:r>
                  <w:r>
                    <w:rPr>
                      <w:rFonts w:ascii="仿宋_GB2312" w:hAnsi="仿宋_GB2312" w:cs="仿宋_GB2312" w:eastAsia="仿宋_GB2312"/>
                      <w:sz w:val="24"/>
                    </w:rPr>
                    <w:t>370MHZ便携式2载频车载基站进行设备内装、天线外装、通电测试，能稳定运行，要求安装牢固。</w:t>
                  </w:r>
                </w:p>
              </w:tc>
              <w:tc>
                <w:tcPr>
                  <w:tcW w:type="dxa" w:w="7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9"/>
                    </w:rPr>
                    <w:t>供应商负责安装，采购方负责提供设备。</w:t>
                  </w:r>
                </w:p>
              </w:tc>
            </w:tr>
            <w:tr>
              <w:tc>
                <w:tcPr>
                  <w:tcW w:type="dxa" w:w="558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4"/>
                    </w:rPr>
                    <w:t>1.</w:t>
                  </w:r>
                  <w:r>
                    <w:rPr>
                      <w:rFonts w:ascii="仿宋_GB2312" w:hAnsi="仿宋_GB2312" w:cs="仿宋_GB2312" w:eastAsia="仿宋_GB2312"/>
                      <w:sz w:val="24"/>
                    </w:rPr>
                    <w:t>供应商成交后签订合同前，向采购人提交国家认可的第三方检测机构出具的产品技术参数检测报告。</w:t>
                  </w:r>
                </w:p>
                <w:p>
                  <w:pPr>
                    <w:pStyle w:val="null3"/>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、供应商应符合国家道路机动车辆的相关行业标准及政策规定。</w:t>
                  </w:r>
                </w:p>
              </w:tc>
            </w:tr>
          </w:tbl>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总体质量要求</w:t>
            </w:r>
          </w:p>
          <w:p>
            <w:pPr>
              <w:pStyle w:val="null3"/>
              <w:spacing w:before="105" w:after="105"/>
              <w:ind w:firstLine="420"/>
              <w:jc w:val="left"/>
            </w:pPr>
            <w:r>
              <w:rPr>
                <w:rFonts w:ascii="仿宋_GB2312" w:hAnsi="仿宋_GB2312" w:cs="仿宋_GB2312" w:eastAsia="仿宋_GB2312"/>
                <w:sz w:val="21"/>
              </w:rPr>
              <w:t>1.供应商须提供全新的货物(含零部件、配件、使用说明书等)，表面无划伤、无碰撞痕迹，且权属清楚，不得侵害他人的知识产权，不得以次充好，产品来源渠道必须合法，同时应根据国家有关规定、厂家服务承诺及采购单位的要求做好售后服务工作。</w:t>
            </w:r>
          </w:p>
          <w:p>
            <w:pPr>
              <w:pStyle w:val="null3"/>
              <w:spacing w:before="105" w:after="105"/>
              <w:ind w:firstLine="420"/>
              <w:jc w:val="left"/>
            </w:pPr>
            <w:r>
              <w:rPr>
                <w:rFonts w:ascii="仿宋_GB2312" w:hAnsi="仿宋_GB2312" w:cs="仿宋_GB2312" w:eastAsia="仿宋_GB2312"/>
                <w:sz w:val="21"/>
              </w:rPr>
              <w:t>2.供应商提供的产品必须符合或优于国家标准、行业标准、地方标准等标准、规范，以及谈判文件的质量要求和技术指标与出厂标准。</w:t>
            </w:r>
          </w:p>
          <w:p>
            <w:pPr>
              <w:pStyle w:val="null3"/>
              <w:spacing w:before="105" w:after="105"/>
              <w:ind w:firstLine="420"/>
              <w:jc w:val="left"/>
            </w:pPr>
            <w:r>
              <w:rPr>
                <w:rFonts w:ascii="仿宋_GB2312" w:hAnsi="仿宋_GB2312" w:cs="仿宋_GB2312" w:eastAsia="仿宋_GB2312"/>
                <w:sz w:val="21"/>
              </w:rPr>
              <w:t>3.货物制造质量出现问题，供应商应负责三包(包修、包换、包退)，费用由供应商负担。</w:t>
            </w:r>
          </w:p>
          <w:p>
            <w:pPr>
              <w:pStyle w:val="null3"/>
              <w:spacing w:before="105" w:after="105"/>
              <w:ind w:firstLine="420"/>
              <w:jc w:val="left"/>
            </w:pPr>
            <w:r>
              <w:rPr>
                <w:rFonts w:ascii="仿宋_GB2312" w:hAnsi="仿宋_GB2312" w:cs="仿宋_GB2312" w:eastAsia="仿宋_GB2312"/>
                <w:sz w:val="21"/>
              </w:rPr>
              <w:t>4.货到现场交付完成后由于采购人保管不当造成的质量问题，供应商亦应负责修理，但费用由采购人负担。</w:t>
            </w:r>
          </w:p>
          <w:p>
            <w:pPr>
              <w:pStyle w:val="null3"/>
              <w:spacing w:before="105" w:after="105"/>
              <w:ind w:firstLine="420"/>
              <w:jc w:val="both"/>
            </w:pPr>
            <w:r>
              <w:rPr>
                <w:rFonts w:ascii="仿宋_GB2312" w:hAnsi="仿宋_GB2312" w:cs="仿宋_GB2312" w:eastAsia="仿宋_GB2312"/>
                <w:sz w:val="21"/>
              </w:rPr>
              <w:t>二、</w:t>
            </w:r>
            <w:r>
              <w:rPr>
                <w:rFonts w:ascii="仿宋_GB2312" w:hAnsi="仿宋_GB2312" w:cs="仿宋_GB2312" w:eastAsia="仿宋_GB2312"/>
                <w:sz w:val="21"/>
              </w:rPr>
              <w:t>交货要求</w:t>
            </w:r>
          </w:p>
          <w:p>
            <w:pPr>
              <w:pStyle w:val="null3"/>
              <w:spacing w:before="105" w:after="105"/>
              <w:ind w:firstLine="420"/>
              <w:jc w:val="both"/>
            </w:pPr>
            <w:r>
              <w:rPr>
                <w:rFonts w:ascii="仿宋_GB2312" w:hAnsi="仿宋_GB2312" w:cs="仿宋_GB2312" w:eastAsia="仿宋_GB2312"/>
                <w:sz w:val="21"/>
                <w:shd w:fill="FFFFFF" w:val="clear"/>
              </w:rPr>
              <w:t>1、交货地点及联系人，</w:t>
            </w:r>
            <w:r>
              <w:rPr>
                <w:rFonts w:ascii="仿宋_GB2312" w:hAnsi="仿宋_GB2312" w:cs="仿宋_GB2312" w:eastAsia="仿宋_GB2312"/>
                <w:sz w:val="21"/>
              </w:rPr>
              <w:t>供应商负责办理运输、保险（</w:t>
            </w:r>
            <w:r>
              <w:rPr>
                <w:rFonts w:ascii="仿宋_GB2312" w:hAnsi="仿宋_GB2312" w:cs="仿宋_GB2312" w:eastAsia="仿宋_GB2312"/>
                <w:sz w:val="21"/>
              </w:rPr>
              <w:t xml:space="preserve">1年）、购置税、上户等完成供货的所有内容，将货物运抵采购人指定地点，有关运输、保险和装卸、购置税、上户等一切相关的费用由供应商承担。上户所需资料由采购方提供。   </w:t>
            </w:r>
          </w:p>
          <w:p>
            <w:pPr>
              <w:pStyle w:val="null3"/>
              <w:spacing w:before="105" w:after="105"/>
              <w:ind w:firstLine="420"/>
              <w:jc w:val="both"/>
            </w:pPr>
            <w:r>
              <w:rPr>
                <w:rFonts w:ascii="仿宋_GB2312" w:hAnsi="仿宋_GB2312" w:cs="仿宋_GB2312" w:eastAsia="仿宋_GB2312"/>
                <w:sz w:val="21"/>
                <w:shd w:fill="FFFFFF" w:val="clear"/>
              </w:rPr>
              <w:t>2、</w:t>
            </w:r>
            <w:r>
              <w:rPr>
                <w:rFonts w:ascii="仿宋_GB2312" w:hAnsi="仿宋_GB2312" w:cs="仿宋_GB2312" w:eastAsia="仿宋_GB2312"/>
                <w:sz w:val="21"/>
              </w:rPr>
              <w:t>供应商应在货物送达到采购人指定地点</w:t>
            </w:r>
            <w:r>
              <w:rPr>
                <w:rFonts w:ascii="仿宋_GB2312" w:hAnsi="仿宋_GB2312" w:cs="仿宋_GB2312" w:eastAsia="仿宋_GB2312"/>
                <w:sz w:val="21"/>
                <w:u w:val="single"/>
              </w:rPr>
              <w:t>七日</w:t>
            </w:r>
            <w:r>
              <w:rPr>
                <w:rFonts w:ascii="仿宋_GB2312" w:hAnsi="仿宋_GB2312" w:cs="仿宋_GB2312" w:eastAsia="仿宋_GB2312"/>
                <w:sz w:val="21"/>
              </w:rPr>
              <w:t>前，向采购人提供货物卸车、清点计划</w:t>
            </w:r>
            <w:r>
              <w:rPr>
                <w:rFonts w:ascii="仿宋_GB2312" w:hAnsi="仿宋_GB2312" w:cs="仿宋_GB2312" w:eastAsia="仿宋_GB2312"/>
                <w:sz w:val="21"/>
              </w:rPr>
              <w:t>(内容包括：合同号、设备名称、数量、价格、箱数、型号规格、重量和体积、拟发运的时间及其他必要的说明)，并于发运的同时通知采购人。</w:t>
            </w:r>
          </w:p>
          <w:p>
            <w:pPr>
              <w:pStyle w:val="null3"/>
              <w:spacing w:before="105" w:after="105"/>
              <w:ind w:firstLine="420"/>
              <w:jc w:val="both"/>
            </w:pPr>
            <w:r>
              <w:rPr>
                <w:rFonts w:ascii="仿宋_GB2312" w:hAnsi="仿宋_GB2312" w:cs="仿宋_GB2312" w:eastAsia="仿宋_GB2312"/>
                <w:sz w:val="21"/>
              </w:rPr>
              <w:t>3、开箱清点及初步检验时双方应派人员参加。凡由于供应商对合同货物包装不善、标记不明、防护措施不当或在合同货物装箱前保管不良，致使合同货物遭到损坏或丢失，供应商应负责免费更换或补足，并承担由此给采购人造成的一切损失。</w:t>
            </w:r>
          </w:p>
          <w:p>
            <w:pPr>
              <w:pStyle w:val="null3"/>
              <w:spacing w:before="105" w:after="105"/>
              <w:ind w:firstLine="420"/>
              <w:jc w:val="both"/>
            </w:pPr>
            <w:r>
              <w:rPr>
                <w:rFonts w:ascii="仿宋_GB2312" w:hAnsi="仿宋_GB2312" w:cs="仿宋_GB2312" w:eastAsia="仿宋_GB2312"/>
                <w:sz w:val="21"/>
              </w:rPr>
              <w:t>4、货物涉及政府采购商品包装和快递包装的，货物送达至采购人指定地点后，采购人将对供应商是否按照谈判文件规定的包装要求进行验收，不符合包装要求的，采购人有权拒收并要求供应商负责免费更换，并承担由此给采购人造成的一切损失。</w:t>
            </w:r>
          </w:p>
          <w:p>
            <w:pPr>
              <w:pStyle w:val="null3"/>
              <w:spacing w:before="105" w:after="105"/>
              <w:ind w:firstLine="420"/>
              <w:jc w:val="both"/>
            </w:pPr>
            <w:r>
              <w:rPr>
                <w:rFonts w:ascii="仿宋_GB2312" w:hAnsi="仿宋_GB2312" w:cs="仿宋_GB2312" w:eastAsia="仿宋_GB2312"/>
                <w:sz w:val="21"/>
              </w:rPr>
              <w:t>5、对现有370MHZ便携式2载频车载基站进行设备内装、天线外装、通电测试，能稳定运行，要求安装牢固。</w:t>
            </w:r>
          </w:p>
          <w:p>
            <w:pPr>
              <w:pStyle w:val="null3"/>
              <w:spacing w:before="105" w:after="105"/>
              <w:ind w:firstLine="420"/>
              <w:jc w:val="both"/>
            </w:pPr>
            <w:r>
              <w:rPr>
                <w:rFonts w:ascii="仿宋_GB2312" w:hAnsi="仿宋_GB2312" w:cs="仿宋_GB2312" w:eastAsia="仿宋_GB2312"/>
                <w:sz w:val="21"/>
              </w:rPr>
              <w:t>三、</w:t>
            </w:r>
            <w:r>
              <w:rPr>
                <w:rFonts w:ascii="仿宋_GB2312" w:hAnsi="仿宋_GB2312" w:cs="仿宋_GB2312" w:eastAsia="仿宋_GB2312"/>
                <w:sz w:val="21"/>
              </w:rPr>
              <w:t>售后服务要求</w:t>
            </w:r>
          </w:p>
          <w:p>
            <w:pPr>
              <w:pStyle w:val="null3"/>
              <w:spacing w:before="105" w:after="105"/>
              <w:ind w:firstLine="420"/>
              <w:jc w:val="left"/>
            </w:pPr>
            <w:r>
              <w:rPr>
                <w:rFonts w:ascii="仿宋_GB2312" w:hAnsi="仿宋_GB2312" w:cs="仿宋_GB2312" w:eastAsia="仿宋_GB2312"/>
                <w:sz w:val="21"/>
              </w:rPr>
              <w:t>1.质保期：</w:t>
            </w:r>
            <w:r>
              <w:rPr>
                <w:rFonts w:ascii="仿宋_GB2312" w:hAnsi="仿宋_GB2312" w:cs="仿宋_GB2312" w:eastAsia="仿宋_GB2312"/>
                <w:sz w:val="21"/>
                <w:color w:val="000000"/>
              </w:rPr>
              <w:t>整车保修不低于</w:t>
            </w:r>
            <w:r>
              <w:rPr>
                <w:rFonts w:ascii="仿宋_GB2312" w:hAnsi="仿宋_GB2312" w:cs="仿宋_GB2312" w:eastAsia="仿宋_GB2312"/>
                <w:sz w:val="21"/>
                <w:color w:val="000000"/>
              </w:rPr>
              <w:t>2年或5万公里（以先到为准）</w:t>
            </w:r>
            <w:r>
              <w:rPr>
                <w:rFonts w:ascii="仿宋_GB2312" w:hAnsi="仿宋_GB2312" w:cs="仿宋_GB2312" w:eastAsia="仿宋_GB2312"/>
                <w:sz w:val="21"/>
              </w:rPr>
              <w:t>。车辆改装部分质保</w:t>
            </w:r>
            <w:r>
              <w:rPr>
                <w:rFonts w:ascii="仿宋_GB2312" w:hAnsi="仿宋_GB2312" w:cs="仿宋_GB2312" w:eastAsia="仿宋_GB2312"/>
                <w:sz w:val="21"/>
              </w:rPr>
              <w:t>2年(保修期自验收合格之日起计算，根据厂家保修手册明细范畴保修);成交供应商负责无条件维修或更换，在保修期内供方不得以任何理由影响正常使用。</w:t>
            </w:r>
          </w:p>
          <w:p>
            <w:pPr>
              <w:pStyle w:val="null3"/>
              <w:spacing w:before="105" w:after="105"/>
              <w:ind w:firstLine="420"/>
              <w:jc w:val="left"/>
            </w:pPr>
            <w:r>
              <w:rPr>
                <w:rFonts w:ascii="仿宋_GB2312" w:hAnsi="仿宋_GB2312" w:cs="仿宋_GB2312" w:eastAsia="仿宋_GB2312"/>
                <w:sz w:val="21"/>
              </w:rPr>
              <w:t>2.供应商应有完善的技术支持与服务体系，具有完善的售后服务网点,供应商成交后须提供采购方所在地的售后服务维修网点维修资质及有效联系方式，供应商响应时应提供产品售后服务承诺函和售后服务维修网点场地照片。</w:t>
            </w:r>
          </w:p>
          <w:p>
            <w:pPr>
              <w:pStyle w:val="null3"/>
              <w:spacing w:before="105" w:after="105"/>
              <w:ind w:firstLine="420"/>
              <w:jc w:val="left"/>
            </w:pPr>
            <w:r>
              <w:rPr>
                <w:rFonts w:ascii="仿宋_GB2312" w:hAnsi="仿宋_GB2312" w:cs="仿宋_GB2312" w:eastAsia="仿宋_GB2312"/>
                <w:sz w:val="21"/>
              </w:rPr>
              <w:t>3.成交供应商应对采购方技术人员提供优质的使用技术培训，以使采购方人员能够全面熟悉、掌握车辆所有性能，成交供应商须随车交付采购人各种使用手册。</w:t>
            </w:r>
          </w:p>
          <w:p>
            <w:pPr>
              <w:pStyle w:val="null3"/>
              <w:spacing w:before="105" w:after="105"/>
              <w:ind w:firstLine="420"/>
              <w:jc w:val="left"/>
            </w:pPr>
            <w:r>
              <w:rPr>
                <w:rFonts w:ascii="仿宋_GB2312" w:hAnsi="仿宋_GB2312" w:cs="仿宋_GB2312" w:eastAsia="仿宋_GB2312"/>
                <w:sz w:val="21"/>
              </w:rPr>
              <w:t>4.由于提供的产品质量问题造成采购方财产损失或人身安全问题，由此产生的所有责任由成交供应商承担。</w:t>
            </w:r>
          </w:p>
          <w:p>
            <w:pPr>
              <w:pStyle w:val="null3"/>
              <w:spacing w:before="105" w:after="105"/>
              <w:ind w:firstLine="420"/>
              <w:jc w:val="left"/>
            </w:pPr>
            <w:r>
              <w:rPr>
                <w:rFonts w:ascii="仿宋_GB2312" w:hAnsi="仿宋_GB2312" w:cs="仿宋_GB2312" w:eastAsia="仿宋_GB2312"/>
                <w:sz w:val="21"/>
              </w:rPr>
              <w:t>5.本项目要求成交供应商提供的车辆须符合国家车辆公告要求，且无条件负责配合采购人对所其提供的车辆在采购人所在地交管部门能通过检验，并注册上户，检验、注册上户的时限为交货初验后15个工作日内。</w:t>
            </w:r>
          </w:p>
          <w:p>
            <w:pPr>
              <w:pStyle w:val="null3"/>
              <w:spacing w:before="105" w:after="105"/>
              <w:ind w:firstLine="420"/>
              <w:jc w:val="left"/>
            </w:pPr>
            <w:r>
              <w:rPr>
                <w:rFonts w:ascii="仿宋_GB2312" w:hAnsi="仿宋_GB2312" w:cs="仿宋_GB2312" w:eastAsia="仿宋_GB2312"/>
                <w:sz w:val="21"/>
              </w:rPr>
              <w:t>6.改装要求：在符合相关法律法规规定的情况下对车辆进行改装，所有改装车辆在改装之前5个工作日内将相关车辆改装图纸交由采购方确认，待采购人确认无误后再对车辆进行改装。</w:t>
            </w:r>
          </w:p>
          <w:p>
            <w:pPr>
              <w:pStyle w:val="null3"/>
              <w:spacing w:before="105" w:after="105"/>
              <w:ind w:firstLine="482"/>
              <w:jc w:val="both"/>
            </w:pPr>
            <w:r>
              <w:rPr>
                <w:rFonts w:ascii="仿宋_GB2312" w:hAnsi="仿宋_GB2312" w:cs="仿宋_GB2312" w:eastAsia="仿宋_GB2312"/>
                <w:sz w:val="24"/>
              </w:rPr>
              <w:t>供应商须对以上六条进行全面认知并作出单独书面承诺，供应商未单独提供书面承诺或承诺不全面的按照无效响应处理。</w:t>
            </w:r>
          </w:p>
          <w:p>
            <w:pPr>
              <w:pStyle w:val="null3"/>
              <w:spacing w:before="105" w:after="105"/>
              <w:ind w:firstLine="420"/>
              <w:jc w:val="both"/>
            </w:pPr>
            <w:r>
              <w:rPr>
                <w:rFonts w:ascii="仿宋_GB2312" w:hAnsi="仿宋_GB2312" w:cs="仿宋_GB2312" w:eastAsia="仿宋_GB2312"/>
                <w:sz w:val="21"/>
              </w:rPr>
              <w:t>四、</w:t>
            </w:r>
            <w:r>
              <w:rPr>
                <w:rFonts w:ascii="仿宋_GB2312" w:hAnsi="仿宋_GB2312" w:cs="仿宋_GB2312" w:eastAsia="仿宋_GB2312"/>
                <w:sz w:val="21"/>
              </w:rPr>
              <w:t>保险</w:t>
            </w:r>
          </w:p>
          <w:p>
            <w:pPr>
              <w:pStyle w:val="null3"/>
              <w:spacing w:before="105" w:after="105"/>
              <w:ind w:firstLine="420"/>
              <w:jc w:val="both"/>
            </w:pPr>
            <w:r>
              <w:rPr>
                <w:rFonts w:ascii="仿宋_GB2312" w:hAnsi="仿宋_GB2312" w:cs="仿宋_GB2312" w:eastAsia="仿宋_GB2312"/>
                <w:sz w:val="21"/>
              </w:rPr>
              <w:t>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null3"/>
              <w:spacing w:before="105" w:after="105"/>
              <w:ind w:firstLine="420"/>
              <w:jc w:val="both"/>
            </w:pPr>
            <w:r>
              <w:rPr>
                <w:rFonts w:ascii="仿宋_GB2312" w:hAnsi="仿宋_GB2312" w:cs="仿宋_GB2312" w:eastAsia="仿宋_GB2312"/>
                <w:sz w:val="21"/>
              </w:rPr>
              <w:t>2.供应商应为本项目提供履约的所有人员按照国家规定购买相关保险。</w:t>
            </w:r>
          </w:p>
          <w:p>
            <w:pPr>
              <w:pStyle w:val="null3"/>
              <w:spacing w:before="105" w:after="105"/>
              <w:ind w:firstLine="420"/>
              <w:jc w:val="both"/>
            </w:pPr>
            <w:r>
              <w:rPr>
                <w:rFonts w:ascii="仿宋_GB2312" w:hAnsi="仿宋_GB2312" w:cs="仿宋_GB2312" w:eastAsia="仿宋_GB2312"/>
                <w:sz w:val="21"/>
              </w:rPr>
              <w:t>3.供应商自行运输标的物或委托承运人运输的，应为该批货物购买货物运输保险及运输工具航程保险。</w:t>
            </w:r>
          </w:p>
          <w:p>
            <w:pPr>
              <w:pStyle w:val="null3"/>
              <w:spacing w:before="105" w:after="105"/>
              <w:ind w:firstLine="420"/>
              <w:jc w:val="both"/>
            </w:pPr>
            <w:r>
              <w:rPr>
                <w:rFonts w:ascii="仿宋_GB2312" w:hAnsi="仿宋_GB2312" w:cs="仿宋_GB2312" w:eastAsia="仿宋_GB2312"/>
                <w:sz w:val="21"/>
              </w:rPr>
              <w:t>五、</w:t>
            </w:r>
            <w:r>
              <w:rPr>
                <w:rFonts w:ascii="仿宋_GB2312" w:hAnsi="仿宋_GB2312" w:cs="仿宋_GB2312" w:eastAsia="仿宋_GB2312"/>
                <w:sz w:val="21"/>
              </w:rPr>
              <w:t>其他要求</w:t>
            </w:r>
          </w:p>
          <w:p>
            <w:pPr>
              <w:pStyle w:val="null3"/>
              <w:spacing w:before="105" w:after="105"/>
              <w:ind w:firstLine="420"/>
              <w:jc w:val="both"/>
            </w:pPr>
            <w:r>
              <w:rPr>
                <w:rFonts w:ascii="仿宋_GB2312" w:hAnsi="仿宋_GB2312" w:cs="仿宋_GB2312" w:eastAsia="仿宋_GB2312"/>
                <w:sz w:val="21"/>
              </w:rPr>
              <w:t>1.政府采购合同签订时间及要求：供应商自成交通知书发出之日起10日内与采购人签订政府采购合同。供应商在签订采购合同时，应向采购人提供截止合同签订之日的行贿犯罪查询记录(包含供应商名称、法定代表人、主要负责人、签订合同的授权代表)，以及授权代表的在职证明材料，未提供的采购人有权拒绝签订采购合同。</w:t>
            </w:r>
          </w:p>
          <w:p>
            <w:pPr>
              <w:pStyle w:val="null3"/>
              <w:spacing w:before="105" w:after="105"/>
              <w:ind w:firstLine="420"/>
              <w:jc w:val="both"/>
            </w:pPr>
            <w:r>
              <w:rPr>
                <w:rFonts w:ascii="仿宋_GB2312" w:hAnsi="仿宋_GB2312" w:cs="仿宋_GB2312" w:eastAsia="仿宋_GB2312"/>
                <w:sz w:val="21"/>
              </w:rPr>
              <w:t>2.供应商在项目执行过程中定期及时向采购人通告本项目供货的重大事项及其进度。</w:t>
            </w:r>
          </w:p>
          <w:p>
            <w:pPr>
              <w:pStyle w:val="null3"/>
              <w:spacing w:before="105" w:after="105"/>
              <w:ind w:firstLine="420"/>
              <w:jc w:val="both"/>
            </w:pPr>
            <w:r>
              <w:rPr>
                <w:rFonts w:ascii="仿宋_GB2312" w:hAnsi="仿宋_GB2312" w:cs="仿宋_GB2312" w:eastAsia="仿宋_GB2312"/>
                <w:sz w:val="21"/>
              </w:rPr>
              <w:t>3.接受项目行业管理部门及政府有关部门的指导，接受采购人的监督。</w:t>
            </w:r>
          </w:p>
          <w:p>
            <w:pPr>
              <w:pStyle w:val="null3"/>
              <w:spacing w:before="105" w:after="105"/>
              <w:ind w:firstLine="420"/>
              <w:jc w:val="both"/>
            </w:pPr>
            <w:r>
              <w:rPr>
                <w:rFonts w:ascii="仿宋_GB2312" w:hAnsi="仿宋_GB2312" w:cs="仿宋_GB2312" w:eastAsia="仿宋_GB2312"/>
                <w:sz w:val="21"/>
              </w:rPr>
              <w:t>4.本项目采购过程和合同履行过程中的风险严格按照采购人的风险控制管理要求执行。</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采购方指定地点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成交供应商按谈判文件、竞标响应文件要求完成所有内容后，将车辆配送至采购人指定的配送地点，向采购人提出验收申请，采购人收到验收申请后，进入15天试用期，试用期间无质量问题，组织项目验收，经验收合格无成交供应商质量责任，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整车保修不低于2年或5万公里（以先到为准）。车辆改装部分质保2年(保修期自验收合格之日起计算，根据厂家保修手册明细范畴保修);成交供应商负责无条件维修或更换，在保修期内供方不得以任何理由影响正常使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采购人及供应商必须遵守采购合同并执行合同中的各项规定，保证合同的正常履行，具体争议解决办法以合同约定为准。其他未尽事宜，由采购人与供应商协商解决。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第三章技术、服务及其他要求中带“★”的实质性要求</w:t>
            </w:r>
          </w:p>
        </w:tc>
        <w:tc>
          <w:tcPr>
            <w:tcW w:type="dxa" w:w="3322"/>
          </w:tcPr>
          <w:p>
            <w:pPr>
              <w:pStyle w:val="null3"/>
              <w:jc w:val="left"/>
            </w:pPr>
            <w:r>
              <w:rPr>
                <w:rFonts w:ascii="仿宋_GB2312" w:hAnsi="仿宋_GB2312" w:cs="仿宋_GB2312" w:eastAsia="仿宋_GB2312"/>
              </w:rPr>
              <w:t>供应商须针对采购文件的要求进行响应或提供相关证明材料</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