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8"/>
          <w:szCs w:val="48"/>
          <w:lang w:eastAsia="zh-CN"/>
        </w:rPr>
      </w:pPr>
      <w:r>
        <w:rPr>
          <w:rFonts w:hint="eastAsia"/>
          <w:sz w:val="48"/>
          <w:szCs w:val="48"/>
        </w:rPr>
        <w:t>具有健全的财务会计制度</w:t>
      </w:r>
      <w:r>
        <w:rPr>
          <w:rFonts w:hint="eastAsia"/>
          <w:sz w:val="48"/>
          <w:szCs w:val="48"/>
          <w:lang w:eastAsia="zh-CN"/>
        </w:rPr>
        <w:t>证明材料</w:t>
      </w:r>
    </w:p>
    <w:p>
      <w:pPr>
        <w:rPr>
          <w:rFonts w:hint="eastAsia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供应商根据自身情况选择提供其中任意一项：（1）可提供2022年或2023年任一年度经审计的财务报告（包含审计报告和审计报告中所涉及的财务报表和报表附注）；（2）可提供2022年或2023年任一</w:t>
      </w:r>
      <w:bookmarkStart w:id="0" w:name="_GoBack"/>
      <w:bookmarkEnd w:id="0"/>
      <w:r>
        <w:rPr>
          <w:rFonts w:hint="eastAsia"/>
          <w:sz w:val="32"/>
          <w:szCs w:val="32"/>
        </w:rPr>
        <w:t>年度供应商财务报表（应当包括资产负债表、利润表、现金流量表、所有者权益变动表、附注）；（3）可提供截至响应文件提交截止日一年内银行出具的资信证明；（4）供应商注册时间截至响应文件提交截止日不足一年的，可提供在工商管理部门备案的公司章程。供应商需在使用投标（响应）客户端编制响应文件时，按要求上传相应证明材料并进行电子签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A46C5"/>
    <w:rsid w:val="47FA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2025-03-05T17:11:00Z</dcterms:created>
  <dc:creator>user</dc:creator>
  <cp:lastModifiedBy>user</cp:lastModifiedBy>
  <dcterms:modified xsi:type="dcterms:W3CDTF">2025-03-05T17:13:28Z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