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8796">
      <w:pPr>
        <w:pStyle w:val="14"/>
        <w:adjustRightInd w:val="0"/>
        <w:snapToGrid w:val="0"/>
        <w:spacing w:line="360" w:lineRule="auto"/>
        <w:jc w:val="center"/>
        <w:rPr>
          <w:rFonts w:hint="eastAsia" w:ascii="微软雅黑" w:hAnsi="微软雅黑" w:eastAsia="微软雅黑" w:cs="微软雅黑"/>
          <w:b/>
          <w:bCs/>
          <w:color w:val="000000"/>
          <w:kern w:val="0"/>
          <w:sz w:val="52"/>
          <w:szCs w:val="52"/>
          <w:lang w:eastAsia="zh-CN"/>
        </w:rPr>
      </w:pPr>
      <w:r>
        <w:rPr>
          <w:rFonts w:hint="eastAsia" w:ascii="微软雅黑" w:hAnsi="微软雅黑" w:eastAsia="微软雅黑" w:cs="微软雅黑"/>
          <w:b/>
          <w:bCs/>
          <w:color w:val="000000"/>
          <w:kern w:val="0"/>
          <w:sz w:val="52"/>
          <w:szCs w:val="52"/>
          <w:lang w:eastAsia="zh-CN"/>
        </w:rPr>
        <w:t>霍尔果斯属地直通集中查验场建设</w:t>
      </w:r>
    </w:p>
    <w:p w14:paraId="1FA4A2E8">
      <w:pPr>
        <w:pStyle w:val="14"/>
        <w:adjustRightInd w:val="0"/>
        <w:snapToGrid w:val="0"/>
        <w:spacing w:line="360" w:lineRule="auto"/>
        <w:jc w:val="center"/>
        <w:rPr>
          <w:rFonts w:hint="default" w:hAnsi="宋体" w:eastAsia="宋体"/>
          <w:b/>
          <w:bCs/>
          <w:color w:val="000000" w:themeColor="text1"/>
          <w:sz w:val="96"/>
          <w:szCs w:val="112"/>
          <w:lang w:val="en-US" w:eastAsia="zh-CN"/>
          <w14:textFill>
            <w14:solidFill>
              <w14:schemeClr w14:val="tx1"/>
            </w14:solidFill>
          </w14:textFill>
        </w:rPr>
      </w:pPr>
      <w:r>
        <w:rPr>
          <w:rFonts w:hint="eastAsia" w:ascii="微软雅黑" w:hAnsi="微软雅黑" w:eastAsia="微软雅黑" w:cs="微软雅黑"/>
          <w:b/>
          <w:bCs/>
          <w:color w:val="000000"/>
          <w:kern w:val="0"/>
          <w:sz w:val="52"/>
          <w:szCs w:val="52"/>
          <w:lang w:eastAsia="zh-CN"/>
        </w:rPr>
        <w:t>项目（海关</w:t>
      </w:r>
      <w:r>
        <w:rPr>
          <w:rFonts w:hint="eastAsia" w:ascii="微软雅黑" w:hAnsi="微软雅黑" w:eastAsia="微软雅黑" w:cs="微软雅黑"/>
          <w:b/>
          <w:bCs/>
          <w:color w:val="000000"/>
          <w:kern w:val="0"/>
          <w:sz w:val="52"/>
          <w:szCs w:val="52"/>
          <w:lang w:val="en-US" w:eastAsia="zh-CN"/>
        </w:rPr>
        <w:t>H986</w:t>
      </w:r>
      <w:r>
        <w:rPr>
          <w:rFonts w:hint="eastAsia" w:ascii="微软雅黑" w:hAnsi="微软雅黑" w:eastAsia="微软雅黑" w:cs="微软雅黑"/>
          <w:b/>
          <w:bCs/>
          <w:color w:val="000000"/>
          <w:kern w:val="0"/>
          <w:sz w:val="52"/>
          <w:szCs w:val="52"/>
          <w:lang w:eastAsia="zh-CN"/>
        </w:rPr>
        <w:t>）采购</w:t>
      </w:r>
    </w:p>
    <w:p w14:paraId="1C113218">
      <w:pPr>
        <w:pStyle w:val="14"/>
        <w:adjustRightInd w:val="0"/>
        <w:snapToGrid w:val="0"/>
        <w:spacing w:line="360" w:lineRule="auto"/>
        <w:jc w:val="center"/>
        <w:rPr>
          <w:rFonts w:hint="eastAsia" w:hAnsi="宋体"/>
          <w:b/>
          <w:color w:val="000000" w:themeColor="text1"/>
          <w:sz w:val="62"/>
          <w:szCs w:val="84"/>
          <w14:textFill>
            <w14:solidFill>
              <w14:schemeClr w14:val="tx1"/>
            </w14:solidFill>
          </w14:textFill>
        </w:rPr>
      </w:pPr>
    </w:p>
    <w:p w14:paraId="0E4FC302">
      <w:pPr>
        <w:pStyle w:val="14"/>
        <w:adjustRightInd w:val="0"/>
        <w:snapToGrid w:val="0"/>
        <w:spacing w:line="360" w:lineRule="auto"/>
        <w:jc w:val="center"/>
        <w:rPr>
          <w:rFonts w:hAnsi="宋体"/>
          <w:b/>
          <w:color w:val="000000" w:themeColor="text1"/>
          <w:sz w:val="60"/>
          <w:szCs w:val="72"/>
          <w14:textFill>
            <w14:solidFill>
              <w14:schemeClr w14:val="tx1"/>
            </w14:solidFill>
          </w14:textFill>
        </w:rPr>
      </w:pPr>
      <w:r>
        <w:rPr>
          <w:rFonts w:hint="eastAsia" w:hAnsi="宋体"/>
          <w:b/>
          <w:color w:val="000000" w:themeColor="text1"/>
          <w:sz w:val="60"/>
          <w:szCs w:val="72"/>
          <w14:textFill>
            <w14:solidFill>
              <w14:schemeClr w14:val="tx1"/>
            </w14:solidFill>
          </w14:textFill>
        </w:rPr>
        <w:t>招 标 文 件</w:t>
      </w:r>
    </w:p>
    <w:p w14:paraId="36BEE7DD">
      <w:pPr>
        <w:pStyle w:val="14"/>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14:paraId="1A7AC4E3">
      <w:pPr>
        <w:pStyle w:val="14"/>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14:paraId="048BEAF5">
      <w:pPr>
        <w:pStyle w:val="14"/>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14:paraId="3FFF2EA4">
      <w:pPr>
        <w:pStyle w:val="14"/>
        <w:adjustRightInd w:val="0"/>
        <w:snapToGrid w:val="0"/>
        <w:spacing w:line="360" w:lineRule="auto"/>
        <w:rPr>
          <w:rFonts w:hAnsi="宋体"/>
          <w:b/>
          <w:color w:val="000000" w:themeColor="text1"/>
          <w:sz w:val="32"/>
          <w:szCs w:val="32"/>
          <w14:textFill>
            <w14:solidFill>
              <w14:schemeClr w14:val="tx1"/>
            </w14:solidFill>
          </w14:textFill>
        </w:rPr>
      </w:pPr>
    </w:p>
    <w:p w14:paraId="770FFA37">
      <w:pPr>
        <w:pStyle w:val="14"/>
        <w:adjustRightInd w:val="0"/>
        <w:snapToGrid w:val="0"/>
        <w:spacing w:line="360" w:lineRule="auto"/>
        <w:rPr>
          <w:rFonts w:hAnsi="宋体"/>
          <w:b/>
          <w:color w:val="000000" w:themeColor="text1"/>
          <w:sz w:val="32"/>
          <w:szCs w:val="32"/>
          <w14:textFill>
            <w14:solidFill>
              <w14:schemeClr w14:val="tx1"/>
            </w14:solidFill>
          </w14:textFill>
        </w:rPr>
      </w:pPr>
    </w:p>
    <w:p w14:paraId="4F907D81">
      <w:pPr>
        <w:pStyle w:val="14"/>
        <w:adjustRightInd w:val="0"/>
        <w:snapToGrid w:val="0"/>
        <w:spacing w:line="360" w:lineRule="auto"/>
        <w:rPr>
          <w:rFonts w:hAnsi="宋体"/>
          <w:b/>
          <w:color w:val="000000" w:themeColor="text1"/>
          <w:sz w:val="32"/>
          <w:szCs w:val="32"/>
          <w14:textFill>
            <w14:solidFill>
              <w14:schemeClr w14:val="tx1"/>
            </w14:solidFill>
          </w14:textFill>
        </w:rPr>
      </w:pPr>
    </w:p>
    <w:p w14:paraId="7D876E26">
      <w:pPr>
        <w:pStyle w:val="14"/>
        <w:adjustRightInd w:val="0"/>
        <w:snapToGrid w:val="0"/>
        <w:spacing w:line="360" w:lineRule="auto"/>
        <w:rPr>
          <w:rFonts w:hAnsi="宋体"/>
          <w:b/>
          <w:color w:val="000000" w:themeColor="text1"/>
          <w:sz w:val="32"/>
          <w:szCs w:val="32"/>
          <w14:textFill>
            <w14:solidFill>
              <w14:schemeClr w14:val="tx1"/>
            </w14:solidFill>
          </w14:textFill>
        </w:rPr>
      </w:pPr>
    </w:p>
    <w:p w14:paraId="506256CA">
      <w:pPr>
        <w:pStyle w:val="14"/>
        <w:adjustRightInd w:val="0"/>
        <w:snapToGrid w:val="0"/>
        <w:spacing w:line="360" w:lineRule="auto"/>
        <w:ind w:firstLine="596" w:firstLineChars="198"/>
        <w:rPr>
          <w:rFonts w:hint="eastAsia" w:hAnsi="宋体"/>
          <w:b/>
          <w:color w:val="000000" w:themeColor="text1"/>
          <w:sz w:val="30"/>
          <w:szCs w:val="30"/>
          <w14:textFill>
            <w14:solidFill>
              <w14:schemeClr w14:val="tx1"/>
            </w14:solidFill>
          </w14:textFill>
        </w:rPr>
      </w:pPr>
    </w:p>
    <w:p w14:paraId="0FA9D2CC">
      <w:pPr>
        <w:pStyle w:val="14"/>
        <w:adjustRightInd w:val="0"/>
        <w:snapToGrid w:val="0"/>
        <w:spacing w:line="360" w:lineRule="auto"/>
        <w:ind w:firstLine="596" w:firstLineChars="198"/>
        <w:rPr>
          <w:rFonts w:hint="eastAsia" w:hAnsi="宋体"/>
          <w:b/>
          <w:color w:val="000000" w:themeColor="text1"/>
          <w:sz w:val="30"/>
          <w:szCs w:val="30"/>
          <w14:textFill>
            <w14:solidFill>
              <w14:schemeClr w14:val="tx1"/>
            </w14:solidFill>
          </w14:textFill>
        </w:rPr>
      </w:pPr>
    </w:p>
    <w:p w14:paraId="2D687C1C">
      <w:pPr>
        <w:pStyle w:val="14"/>
        <w:adjustRightInd w:val="0"/>
        <w:snapToGrid w:val="0"/>
        <w:spacing w:line="360" w:lineRule="auto"/>
        <w:ind w:firstLine="596" w:firstLineChars="198"/>
        <w:rPr>
          <w:rFonts w:hint="eastAsia" w:hAnsi="宋体"/>
          <w:b/>
          <w:color w:val="000000" w:themeColor="text1"/>
          <w:sz w:val="30"/>
          <w:szCs w:val="30"/>
          <w14:textFill>
            <w14:solidFill>
              <w14:schemeClr w14:val="tx1"/>
            </w14:solidFill>
          </w14:textFill>
        </w:rPr>
      </w:pPr>
    </w:p>
    <w:p w14:paraId="5C047CE7">
      <w:pPr>
        <w:pStyle w:val="14"/>
        <w:adjustRightInd w:val="0"/>
        <w:snapToGrid w:val="0"/>
        <w:spacing w:line="360" w:lineRule="auto"/>
        <w:ind w:firstLine="596" w:firstLineChars="198"/>
        <w:rPr>
          <w:rFonts w:hint="eastAsia" w:hAnsi="宋体"/>
          <w:b/>
          <w:color w:val="000000" w:themeColor="text1"/>
          <w:sz w:val="30"/>
          <w:szCs w:val="30"/>
          <w14:textFill>
            <w14:solidFill>
              <w14:schemeClr w14:val="tx1"/>
            </w14:solidFill>
          </w14:textFill>
        </w:rPr>
      </w:pPr>
    </w:p>
    <w:p w14:paraId="4828C6C4">
      <w:pPr>
        <w:pStyle w:val="14"/>
        <w:adjustRightInd w:val="0"/>
        <w:snapToGrid w:val="0"/>
        <w:spacing w:line="360" w:lineRule="auto"/>
        <w:ind w:firstLine="596" w:firstLineChars="198"/>
        <w:rPr>
          <w:rFonts w:hint="eastAsia" w:hAnsi="宋体"/>
          <w:b/>
          <w:color w:val="000000" w:themeColor="text1"/>
          <w:sz w:val="30"/>
          <w:szCs w:val="30"/>
          <w:lang w:val="en-US"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招标人：霍尔果斯经济开发区管理委员会口岸管理局</w:t>
      </w:r>
    </w:p>
    <w:p w14:paraId="5AAAF082">
      <w:pPr>
        <w:pStyle w:val="14"/>
        <w:adjustRightInd w:val="0"/>
        <w:snapToGrid w:val="0"/>
        <w:spacing w:line="360" w:lineRule="auto"/>
        <w:ind w:firstLine="596" w:firstLineChars="198"/>
        <w:rPr>
          <w:rFonts w:hint="eastAsia"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采购代理机构: 霍尔果斯经济开发区政府采购中心</w:t>
      </w:r>
    </w:p>
    <w:p w14:paraId="37689500">
      <w:pPr>
        <w:pStyle w:val="14"/>
        <w:adjustRightInd w:val="0"/>
        <w:snapToGrid w:val="0"/>
        <w:spacing w:line="360" w:lineRule="auto"/>
        <w:ind w:firstLine="596" w:firstLineChars="198"/>
      </w:pPr>
      <w:r>
        <w:rPr>
          <w:rFonts w:hint="eastAsia" w:hAnsi="宋体"/>
          <w:b/>
          <w:color w:val="000000" w:themeColor="text1"/>
          <w:sz w:val="30"/>
          <w:szCs w:val="30"/>
          <w14:textFill>
            <w14:solidFill>
              <w14:schemeClr w14:val="tx1"/>
            </w14:solidFill>
          </w14:textFill>
        </w:rPr>
        <w:t>项目编号：</w:t>
      </w:r>
      <w:r>
        <w:rPr>
          <w:rFonts w:hint="eastAsia" w:hAnsi="宋体"/>
          <w:b/>
          <w:color w:val="000000" w:themeColor="text1"/>
          <w:sz w:val="30"/>
          <w:szCs w:val="30"/>
          <w:lang w:eastAsia="zh-CN"/>
          <w14:textFill>
            <w14:solidFill>
              <w14:schemeClr w14:val="tx1"/>
            </w14:solidFill>
          </w14:textFill>
        </w:rPr>
        <w:t>HEGSCG-202</w:t>
      </w:r>
      <w:r>
        <w:rPr>
          <w:rFonts w:hint="eastAsia" w:hAnsi="宋体"/>
          <w:b/>
          <w:color w:val="000000" w:themeColor="text1"/>
          <w:sz w:val="30"/>
          <w:szCs w:val="30"/>
          <w:lang w:val="en-US" w:eastAsia="zh-CN"/>
          <w14:textFill>
            <w14:solidFill>
              <w14:schemeClr w14:val="tx1"/>
            </w14:solidFill>
          </w14:textFill>
        </w:rPr>
        <w:t>5</w:t>
      </w:r>
      <w:r>
        <w:rPr>
          <w:rFonts w:hint="eastAsia" w:hAnsi="宋体"/>
          <w:b/>
          <w:color w:val="000000" w:themeColor="text1"/>
          <w:sz w:val="30"/>
          <w:szCs w:val="30"/>
          <w:lang w:eastAsia="zh-CN"/>
          <w14:textFill>
            <w14:solidFill>
              <w14:schemeClr w14:val="tx1"/>
            </w14:solidFill>
          </w14:textFill>
        </w:rPr>
        <w:t>GK-</w:t>
      </w:r>
      <w:r>
        <w:rPr>
          <w:rFonts w:hint="eastAsia" w:hAnsi="宋体"/>
          <w:b/>
          <w:color w:val="000000" w:themeColor="text1"/>
          <w:sz w:val="30"/>
          <w:szCs w:val="30"/>
          <w:lang w:val="en-US" w:eastAsia="zh-CN"/>
          <w14:textFill>
            <w14:solidFill>
              <w14:schemeClr w14:val="tx1"/>
            </w14:solidFill>
          </w14:textFill>
        </w:rPr>
        <w:t>3</w:t>
      </w:r>
      <w:r>
        <w:rPr>
          <w:rFonts w:hint="eastAsia" w:hAnsi="宋体"/>
          <w:b/>
          <w:color w:val="000000" w:themeColor="text1"/>
          <w:sz w:val="30"/>
          <w:szCs w:val="30"/>
          <w:lang w:eastAsia="zh-CN"/>
          <w14:textFill>
            <w14:solidFill>
              <w14:schemeClr w14:val="tx1"/>
            </w14:solidFill>
          </w14:textFill>
        </w:rPr>
        <w:t>号</w:t>
      </w:r>
    </w:p>
    <w:p w14:paraId="3B13919B">
      <w:pPr>
        <w:pStyle w:val="14"/>
        <w:spacing w:line="240" w:lineRule="auto"/>
        <w:jc w:val="both"/>
        <w:rPr>
          <w:rFonts w:hint="eastAsia" w:hAnsi="宋体"/>
          <w:b/>
          <w:color w:val="000000" w:themeColor="text1"/>
          <w:spacing w:val="160"/>
          <w:sz w:val="36"/>
          <w:szCs w:val="36"/>
          <w14:textFill>
            <w14:solidFill>
              <w14:schemeClr w14:val="tx1"/>
            </w14:solidFill>
          </w14:textFill>
        </w:rPr>
      </w:pPr>
    </w:p>
    <w:p w14:paraId="6B80B51A">
      <w:pPr>
        <w:pStyle w:val="14"/>
        <w:spacing w:line="240" w:lineRule="auto"/>
        <w:ind w:firstLine="4088" w:firstLineChars="600"/>
        <w:jc w:val="both"/>
        <w:rPr>
          <w:rFonts w:hAnsi="宋体"/>
          <w:b/>
          <w:color w:val="000000" w:themeColor="text1"/>
          <w:spacing w:val="160"/>
          <w:sz w:val="36"/>
          <w:szCs w:val="36"/>
          <w14:textFill>
            <w14:solidFill>
              <w14:schemeClr w14:val="tx1"/>
            </w14:solidFill>
          </w14:textFill>
        </w:rPr>
      </w:pPr>
      <w:r>
        <w:rPr>
          <w:rFonts w:hint="eastAsia" w:hAnsi="宋体"/>
          <w:b/>
          <w:color w:val="000000" w:themeColor="text1"/>
          <w:spacing w:val="160"/>
          <w:sz w:val="36"/>
          <w:szCs w:val="36"/>
          <w14:textFill>
            <w14:solidFill>
              <w14:schemeClr w14:val="tx1"/>
            </w14:solidFill>
          </w14:textFill>
        </w:rPr>
        <w:t>目录</w:t>
      </w:r>
    </w:p>
    <w:p w14:paraId="7F8E997E">
      <w:pPr>
        <w:pStyle w:val="14"/>
        <w:numPr>
          <w:ilvl w:val="0"/>
          <w:numId w:val="0"/>
        </w:numPr>
        <w:adjustRightInd w:val="0"/>
        <w:snapToGrid w:val="0"/>
        <w:spacing w:line="360" w:lineRule="auto"/>
        <w:rPr>
          <w:rFonts w:hint="eastAsia" w:hAnsi="宋体"/>
          <w:b/>
          <w:color w:val="000000" w:themeColor="text1"/>
          <w:szCs w:val="24"/>
          <w:lang w:val="en-US" w:eastAsia="zh-CN"/>
          <w14:textFill>
            <w14:solidFill>
              <w14:schemeClr w14:val="tx1"/>
            </w14:solidFill>
          </w14:textFill>
        </w:rPr>
      </w:pPr>
      <w:r>
        <w:rPr>
          <w:rFonts w:hint="eastAsia" w:hAnsi="宋体"/>
          <w:b/>
          <w:bCs w:val="0"/>
          <w:color w:val="000000" w:themeColor="text1"/>
          <w:szCs w:val="24"/>
          <w:lang w:val="en-US" w:eastAsia="zh-CN"/>
          <w14:textFill>
            <w14:solidFill>
              <w14:schemeClr w14:val="tx1"/>
            </w14:solidFill>
          </w14:textFill>
        </w:rPr>
        <w:t>第一章</w:t>
      </w:r>
      <w:r>
        <w:rPr>
          <w:rFonts w:hint="eastAsia" w:hAnsi="宋体"/>
          <w:b/>
          <w:color w:val="000000" w:themeColor="text1"/>
          <w:szCs w:val="24"/>
          <w:lang w:val="en-US" w:eastAsia="zh-CN"/>
          <w14:textFill>
            <w14:solidFill>
              <w14:schemeClr w14:val="tx1"/>
            </w14:solidFill>
          </w14:textFill>
        </w:rPr>
        <w:t xml:space="preserve">   招标公告；</w:t>
      </w:r>
    </w:p>
    <w:p w14:paraId="1345CEE6">
      <w:pPr>
        <w:pStyle w:val="14"/>
        <w:numPr>
          <w:ilvl w:val="0"/>
          <w:numId w:val="0"/>
        </w:numPr>
        <w:adjustRightInd w:val="0"/>
        <w:snapToGrid w:val="0"/>
        <w:spacing w:line="360" w:lineRule="auto"/>
        <w:rPr>
          <w:rFonts w:hint="eastAsia" w:hAnsi="宋体"/>
          <w:b/>
          <w:color w:val="000000" w:themeColor="text1"/>
          <w:szCs w:val="24"/>
          <w:lang w:val="en-US" w:eastAsia="zh-CN"/>
          <w14:textFill>
            <w14:solidFill>
              <w14:schemeClr w14:val="tx1"/>
            </w14:solidFill>
          </w14:textFill>
        </w:rPr>
      </w:pPr>
      <w:r>
        <w:rPr>
          <w:rFonts w:hint="eastAsia" w:hAnsi="宋体"/>
          <w:b/>
          <w:color w:val="000000" w:themeColor="text1"/>
          <w:szCs w:val="24"/>
          <w:lang w:val="en-US" w:eastAsia="zh-CN"/>
          <w14:textFill>
            <w14:solidFill>
              <w14:schemeClr w14:val="tx1"/>
            </w14:solidFill>
          </w14:textFill>
        </w:rPr>
        <w:t>第二章   招标须知；</w:t>
      </w:r>
    </w:p>
    <w:p w14:paraId="3B2C52F8">
      <w:pPr>
        <w:pStyle w:val="14"/>
        <w:numPr>
          <w:ilvl w:val="0"/>
          <w:numId w:val="0"/>
        </w:numPr>
        <w:adjustRightInd w:val="0"/>
        <w:snapToGrid w:val="0"/>
        <w:spacing w:line="360" w:lineRule="auto"/>
        <w:ind w:firstLine="964" w:firstLineChars="400"/>
        <w:rPr>
          <w:rFonts w:hint="eastAsia" w:hAnsi="宋体" w:eastAsia="宋体"/>
          <w:b/>
          <w:color w:val="000000" w:themeColor="text1"/>
          <w:szCs w:val="24"/>
          <w:lang w:val="en-US" w:eastAsia="zh-CN"/>
          <w14:textFill>
            <w14:solidFill>
              <w14:schemeClr w14:val="tx1"/>
            </w14:solidFill>
          </w14:textFill>
        </w:rPr>
      </w:pPr>
      <w:r>
        <w:rPr>
          <w:rFonts w:hint="eastAsia" w:hAnsi="宋体" w:eastAsia="宋体"/>
          <w:b/>
          <w:color w:val="000000" w:themeColor="text1"/>
          <w:szCs w:val="24"/>
          <w:lang w:val="en-US" w:eastAsia="zh-CN"/>
          <w14:textFill>
            <w14:solidFill>
              <w14:schemeClr w14:val="tx1"/>
            </w14:solidFill>
          </w14:textFill>
        </w:rPr>
        <w:t>招标须知附表；</w:t>
      </w:r>
    </w:p>
    <w:p w14:paraId="52528963">
      <w:pPr>
        <w:pStyle w:val="14"/>
        <w:numPr>
          <w:ilvl w:val="0"/>
          <w:numId w:val="0"/>
        </w:numPr>
        <w:adjustRightInd w:val="0"/>
        <w:snapToGrid w:val="0"/>
        <w:spacing w:line="360" w:lineRule="auto"/>
        <w:ind w:firstLine="964" w:firstLineChars="400"/>
        <w:rPr>
          <w:rFonts w:hint="eastAsia" w:hAnsi="宋体" w:eastAsia="宋体"/>
          <w:b/>
          <w:color w:val="000000" w:themeColor="text1"/>
          <w:szCs w:val="24"/>
          <w:lang w:val="en-US" w:eastAsia="zh-CN"/>
          <w14:textFill>
            <w14:solidFill>
              <w14:schemeClr w14:val="tx1"/>
            </w14:solidFill>
          </w14:textFill>
        </w:rPr>
      </w:pPr>
      <w:r>
        <w:rPr>
          <w:rFonts w:hint="eastAsia" w:hAnsi="宋体" w:eastAsia="宋体"/>
          <w:b/>
          <w:color w:val="000000" w:themeColor="text1"/>
          <w:szCs w:val="24"/>
          <w:lang w:val="en-US" w:eastAsia="zh-CN"/>
          <w14:textFill>
            <w14:solidFill>
              <w14:schemeClr w14:val="tx1"/>
            </w14:solidFill>
          </w14:textFill>
        </w:rPr>
        <w:t>招标须知正文；</w:t>
      </w:r>
    </w:p>
    <w:p w14:paraId="4A0B725E">
      <w:pPr>
        <w:pStyle w:val="14"/>
        <w:numPr>
          <w:ilvl w:val="0"/>
          <w:numId w:val="0"/>
        </w:numPr>
        <w:adjustRightInd w:val="0"/>
        <w:snapToGrid w:val="0"/>
        <w:spacing w:line="360" w:lineRule="auto"/>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一、总则</w:t>
      </w:r>
    </w:p>
    <w:p w14:paraId="4AC347CE">
      <w:pPr>
        <w:pStyle w:val="14"/>
        <w:numPr>
          <w:ilvl w:val="0"/>
          <w:numId w:val="0"/>
        </w:numPr>
        <w:adjustRightInd w:val="0"/>
        <w:snapToGrid w:val="0"/>
        <w:spacing w:line="360" w:lineRule="auto"/>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二、招标文件</w:t>
      </w:r>
    </w:p>
    <w:p w14:paraId="31E9AAB2">
      <w:pPr>
        <w:pStyle w:val="14"/>
        <w:numPr>
          <w:ilvl w:val="0"/>
          <w:numId w:val="0"/>
        </w:numPr>
        <w:adjustRightInd w:val="0"/>
        <w:snapToGrid w:val="0"/>
        <w:spacing w:line="360" w:lineRule="auto"/>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三、投标文件</w:t>
      </w:r>
    </w:p>
    <w:p w14:paraId="48A3C2FB">
      <w:pPr>
        <w:pStyle w:val="14"/>
        <w:numPr>
          <w:ilvl w:val="0"/>
          <w:numId w:val="0"/>
        </w:numPr>
        <w:adjustRightInd w:val="0"/>
        <w:snapToGrid w:val="0"/>
        <w:spacing w:line="360" w:lineRule="auto"/>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四、投标文件的递交</w:t>
      </w:r>
    </w:p>
    <w:p w14:paraId="695BAE9C">
      <w:pPr>
        <w:pStyle w:val="14"/>
        <w:numPr>
          <w:ilvl w:val="0"/>
          <w:numId w:val="0"/>
        </w:numPr>
        <w:adjustRightInd w:val="0"/>
        <w:snapToGrid w:val="0"/>
        <w:spacing w:line="360" w:lineRule="auto"/>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五、开标和评标</w:t>
      </w:r>
    </w:p>
    <w:p w14:paraId="7DE3F0B9">
      <w:pPr>
        <w:pStyle w:val="18"/>
        <w:tabs>
          <w:tab w:val="right" w:leader="hyphen" w:pos="8834"/>
        </w:tabs>
        <w:rPr>
          <w:rFonts w:hint="eastAsia" w:ascii="Calibri" w:hAnsi="Calibri" w:eastAsia="宋体" w:cs="Times New Roman"/>
          <w:b/>
          <w:bCs/>
          <w:caps w:val="0"/>
          <w:kern w:val="2"/>
          <w:sz w:val="24"/>
          <w:szCs w:val="20"/>
          <w:lang w:val="en-US" w:eastAsia="zh-CN" w:bidi="ar-SA"/>
        </w:rPr>
      </w:pPr>
      <w:r>
        <w:rPr>
          <w:rFonts w:hint="eastAsia" w:ascii="Calibri" w:hAnsi="Calibri" w:eastAsia="宋体" w:cs="Times New Roman"/>
          <w:b/>
          <w:bCs/>
          <w:caps w:val="0"/>
          <w:kern w:val="2"/>
          <w:sz w:val="24"/>
          <w:szCs w:val="20"/>
          <w:lang w:val="en-US" w:eastAsia="zh-CN" w:bidi="ar-SA"/>
        </w:rPr>
        <w:t>第三章  评标方法及标准</w:t>
      </w:r>
    </w:p>
    <w:p w14:paraId="565C9460">
      <w:pPr>
        <w:pStyle w:val="18"/>
        <w:tabs>
          <w:tab w:val="right" w:leader="hyphen" w:pos="8834"/>
        </w:tabs>
        <w:rPr>
          <w:rFonts w:hint="eastAsia" w:ascii="Calibri" w:hAnsi="Calibri" w:eastAsia="宋体" w:cs="Times New Roman"/>
          <w:b/>
          <w:bCs/>
          <w:caps w:val="0"/>
          <w:kern w:val="2"/>
          <w:sz w:val="24"/>
          <w:szCs w:val="20"/>
          <w:lang w:val="en-US" w:eastAsia="zh-CN" w:bidi="ar-SA"/>
        </w:rPr>
      </w:pPr>
      <w:r>
        <w:rPr>
          <w:rFonts w:hint="eastAsia" w:ascii="Calibri" w:hAnsi="Calibri" w:eastAsia="宋体" w:cs="Times New Roman"/>
          <w:b/>
          <w:bCs/>
          <w:caps w:val="0"/>
          <w:kern w:val="2"/>
          <w:sz w:val="24"/>
          <w:szCs w:val="20"/>
          <w:lang w:val="en-US" w:eastAsia="zh-CN" w:bidi="ar-SA"/>
        </w:rPr>
        <w:t>第四章  政府采购合同格式、验收书</w:t>
      </w:r>
    </w:p>
    <w:p w14:paraId="2AF23CF5">
      <w:pPr>
        <w:pStyle w:val="18"/>
        <w:tabs>
          <w:tab w:val="right" w:leader="hyphen" w:pos="8834"/>
        </w:tabs>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一、政府采购合同协议书</w:t>
      </w:r>
    </w:p>
    <w:p w14:paraId="6227BD5E">
      <w:pPr>
        <w:pStyle w:val="18"/>
        <w:tabs>
          <w:tab w:val="right" w:leader="hyphen" w:pos="8834"/>
        </w:tabs>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二、政府采购合同通用条款</w:t>
      </w:r>
    </w:p>
    <w:p w14:paraId="49AA6D19">
      <w:pPr>
        <w:pStyle w:val="18"/>
        <w:tabs>
          <w:tab w:val="right" w:leader="hyphen" w:pos="8834"/>
        </w:tabs>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三、政府采购合同专用条款</w:t>
      </w:r>
    </w:p>
    <w:p w14:paraId="74CE5593">
      <w:pPr>
        <w:pStyle w:val="18"/>
        <w:tabs>
          <w:tab w:val="right" w:leader="hyphen" w:pos="8834"/>
        </w:tabs>
        <w:ind w:firstLine="1000" w:firstLineChars="500"/>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pPr>
      <w:r>
        <w:rPr>
          <w:rStyle w:val="27"/>
          <w:rFonts w:hint="eastAsia" w:ascii="宋体" w:hAnsi="宋体" w:cs="Times New Roman"/>
          <w:b w:val="0"/>
          <w:bCs w:val="0"/>
          <w:caps w:val="0"/>
          <w:smallCaps/>
          <w:color w:val="000000" w:themeColor="text1"/>
          <w:kern w:val="2"/>
          <w:sz w:val="20"/>
          <w:szCs w:val="20"/>
          <w:u w:val="none"/>
          <w:lang w:val="en-US" w:eastAsia="zh-CN" w:bidi="ar-SA"/>
          <w14:textFill>
            <w14:solidFill>
              <w14:schemeClr w14:val="tx1"/>
            </w14:solidFill>
          </w14:textFill>
        </w:rPr>
        <w:t>四、验收书</w:t>
      </w:r>
    </w:p>
    <w:p w14:paraId="34EC74A6">
      <w:pPr>
        <w:pStyle w:val="18"/>
        <w:tabs>
          <w:tab w:val="right" w:leader="hyphen" w:pos="8834"/>
        </w:tabs>
        <w:rPr>
          <w:rFonts w:hint="eastAsia" w:ascii="Calibri" w:hAnsi="Calibri" w:eastAsia="宋体" w:cs="Times New Roman"/>
          <w:b/>
          <w:bCs/>
          <w:caps w:val="0"/>
          <w:kern w:val="2"/>
          <w:sz w:val="24"/>
          <w:szCs w:val="20"/>
          <w:lang w:val="en-US" w:eastAsia="zh-CN" w:bidi="ar-SA"/>
        </w:rPr>
      </w:pPr>
      <w:r>
        <w:rPr>
          <w:rFonts w:hint="eastAsia" w:ascii="Calibri" w:hAnsi="Calibri" w:eastAsia="宋体" w:cs="Times New Roman"/>
          <w:b/>
          <w:bCs/>
          <w:caps w:val="0"/>
          <w:kern w:val="2"/>
          <w:sz w:val="24"/>
          <w:szCs w:val="20"/>
          <w:lang w:val="en-US" w:eastAsia="zh-CN" w:bidi="ar-SA"/>
        </w:rPr>
        <w:t>第五章  采购需求</w:t>
      </w:r>
    </w:p>
    <w:p w14:paraId="7161436A">
      <w:pPr>
        <w:pStyle w:val="18"/>
        <w:numPr>
          <w:ilvl w:val="0"/>
          <w:numId w:val="0"/>
        </w:numPr>
        <w:tabs>
          <w:tab w:val="right" w:leader="hyphen" w:pos="8834"/>
        </w:tabs>
        <w:rPr>
          <w:rFonts w:hint="eastAsia" w:ascii="Calibri" w:hAnsi="Calibri" w:eastAsia="宋体" w:cs="Times New Roman"/>
          <w:b/>
          <w:bCs/>
          <w:caps w:val="0"/>
          <w:kern w:val="2"/>
          <w:sz w:val="24"/>
          <w:szCs w:val="20"/>
          <w:lang w:val="en-US" w:eastAsia="zh-CN" w:bidi="ar-SA"/>
        </w:rPr>
      </w:pPr>
      <w:r>
        <w:rPr>
          <w:rFonts w:hint="eastAsia" w:ascii="Calibri" w:hAnsi="Calibri" w:eastAsia="宋体" w:cs="Times New Roman"/>
          <w:b/>
          <w:bCs/>
          <w:caps w:val="0"/>
          <w:kern w:val="2"/>
          <w:sz w:val="24"/>
          <w:szCs w:val="20"/>
          <w:lang w:val="en-US" w:eastAsia="zh-CN" w:bidi="ar-SA"/>
        </w:rPr>
        <w:t>第六章  投标文件格式</w:t>
      </w:r>
    </w:p>
    <w:p w14:paraId="298DE6EB">
      <w:pPr>
        <w:pStyle w:val="19"/>
        <w:tabs>
          <w:tab w:val="right" w:leader="hyphen" w:pos="8834"/>
        </w:tabs>
        <w:ind w:firstLine="600" w:firstLineChars="300"/>
        <w:rPr>
          <w:rFonts w:hint="default"/>
          <w:lang w:val="en-US" w:eastAsia="zh-CN"/>
        </w:rPr>
      </w:pPr>
      <w:r>
        <w:rPr>
          <w:b w:val="0"/>
          <w:bCs w:val="0"/>
          <w:u w:val="none"/>
        </w:rPr>
        <w:fldChar w:fldCharType="begin"/>
      </w:r>
      <w:r>
        <w:rPr>
          <w:b w:val="0"/>
          <w:bCs w:val="0"/>
          <w:u w:val="none"/>
        </w:rPr>
        <w:instrText xml:space="preserve"> HYPERLINK \l "_Toc474235956" </w:instrText>
      </w:r>
      <w:r>
        <w:rPr>
          <w:b w:val="0"/>
          <w:bCs w:val="0"/>
          <w:u w:val="none"/>
        </w:rPr>
        <w:fldChar w:fldCharType="separate"/>
      </w:r>
      <w:r>
        <w:rPr>
          <w:rStyle w:val="27"/>
          <w:rFonts w:hint="eastAsia" w:ascii="宋体" w:hAnsi="宋体"/>
          <w:b w:val="0"/>
          <w:bCs w:val="0"/>
          <w:color w:val="000000" w:themeColor="text1"/>
          <w:u w:val="none"/>
          <w14:textFill>
            <w14:solidFill>
              <w14:schemeClr w14:val="tx1"/>
            </w14:solidFill>
          </w14:textFill>
        </w:rPr>
        <w:t>一、资格性</w:t>
      </w:r>
      <w:r>
        <w:rPr>
          <w:rStyle w:val="27"/>
          <w:rFonts w:hint="eastAsia" w:ascii="宋体" w:hAnsi="宋体"/>
          <w:b w:val="0"/>
          <w:bCs w:val="0"/>
          <w:color w:val="000000" w:themeColor="text1"/>
          <w:u w:val="none"/>
          <w:lang w:eastAsia="zh-CN"/>
          <w14:textFill>
            <w14:solidFill>
              <w14:schemeClr w14:val="tx1"/>
            </w14:solidFill>
          </w14:textFill>
        </w:rPr>
        <w:t>审</w:t>
      </w:r>
      <w:r>
        <w:rPr>
          <w:rStyle w:val="27"/>
          <w:rFonts w:hint="eastAsia" w:ascii="宋体" w:hAnsi="宋体"/>
          <w:b w:val="0"/>
          <w:bCs w:val="0"/>
          <w:color w:val="000000" w:themeColor="text1"/>
          <w:u w:val="none"/>
          <w14:textFill>
            <w14:solidFill>
              <w14:schemeClr w14:val="tx1"/>
            </w14:solidFill>
          </w14:textFill>
        </w:rPr>
        <w:fldChar w:fldCharType="end"/>
      </w:r>
      <w:r>
        <w:rPr>
          <w:rStyle w:val="27"/>
          <w:rFonts w:hint="eastAsia" w:ascii="宋体" w:hAnsi="宋体"/>
          <w:b w:val="0"/>
          <w:bCs w:val="0"/>
          <w:color w:val="000000" w:themeColor="text1"/>
          <w:u w:val="none"/>
          <w:lang w:eastAsia="zh-CN"/>
          <w14:textFill>
            <w14:solidFill>
              <w14:schemeClr w14:val="tx1"/>
            </w14:solidFill>
          </w14:textFill>
        </w:rPr>
        <w:t>查（根据招标文件要求提供相应提料）</w:t>
      </w:r>
    </w:p>
    <w:p w14:paraId="3383DAE2">
      <w:pPr>
        <w:pStyle w:val="19"/>
        <w:tabs>
          <w:tab w:val="right" w:leader="hyphen" w:pos="8834"/>
        </w:tabs>
        <w:ind w:firstLine="600" w:firstLineChars="300"/>
        <w:rPr>
          <w:rFonts w:hint="eastAsia" w:eastAsia="宋体"/>
          <w:b w:val="0"/>
          <w:bCs w:val="0"/>
          <w:smallCaps w:val="0"/>
          <w:color w:val="000000" w:themeColor="text1"/>
          <w:sz w:val="21"/>
          <w:szCs w:val="24"/>
          <w:u w:val="none"/>
          <w:lang w:eastAsia="zh-CN"/>
          <w14:textFill>
            <w14:solidFill>
              <w14:schemeClr w14:val="tx1"/>
            </w14:solidFill>
          </w14:textFill>
        </w:rPr>
      </w:pPr>
      <w:r>
        <w:rPr>
          <w:b w:val="0"/>
          <w:bCs w:val="0"/>
          <w:u w:val="none"/>
        </w:rPr>
        <w:fldChar w:fldCharType="begin"/>
      </w:r>
      <w:r>
        <w:rPr>
          <w:b w:val="0"/>
          <w:bCs w:val="0"/>
          <w:u w:val="none"/>
        </w:rPr>
        <w:instrText xml:space="preserve"> HYPERLINK \l "_Toc474235957" </w:instrText>
      </w:r>
      <w:r>
        <w:rPr>
          <w:b w:val="0"/>
          <w:bCs w:val="0"/>
          <w:u w:val="none"/>
        </w:rPr>
        <w:fldChar w:fldCharType="separate"/>
      </w:r>
      <w:r>
        <w:rPr>
          <w:rStyle w:val="27"/>
          <w:rFonts w:hint="eastAsia" w:ascii="宋体" w:hAnsi="宋体"/>
          <w:b w:val="0"/>
          <w:bCs w:val="0"/>
          <w:color w:val="000000" w:themeColor="text1"/>
          <w:u w:val="none"/>
          <w14:textFill>
            <w14:solidFill>
              <w14:schemeClr w14:val="tx1"/>
            </w14:solidFill>
          </w14:textFill>
        </w:rPr>
        <w:t>二、</w:t>
      </w:r>
      <w:r>
        <w:rPr>
          <w:rStyle w:val="27"/>
          <w:rFonts w:hint="eastAsia" w:ascii="宋体" w:hAnsi="宋体"/>
          <w:b w:val="0"/>
          <w:bCs w:val="0"/>
          <w:color w:val="000000" w:themeColor="text1"/>
          <w:u w:val="none"/>
          <w:lang w:eastAsia="zh-CN"/>
          <w14:textFill>
            <w14:solidFill>
              <w14:schemeClr w14:val="tx1"/>
            </w14:solidFill>
          </w14:textFill>
        </w:rPr>
        <w:t>符</w:t>
      </w:r>
      <w:r>
        <w:rPr>
          <w:rStyle w:val="27"/>
          <w:rFonts w:hint="eastAsia" w:ascii="宋体" w:hAnsi="宋体"/>
          <w:b w:val="0"/>
          <w:bCs w:val="0"/>
          <w:color w:val="000000" w:themeColor="text1"/>
          <w:u w:val="none"/>
          <w14:textFill>
            <w14:solidFill>
              <w14:schemeClr w14:val="tx1"/>
            </w14:solidFill>
          </w14:textFill>
        </w:rPr>
        <w:fldChar w:fldCharType="end"/>
      </w:r>
      <w:r>
        <w:rPr>
          <w:rStyle w:val="27"/>
          <w:rFonts w:hint="eastAsia" w:ascii="宋体" w:hAnsi="宋体"/>
          <w:b w:val="0"/>
          <w:bCs w:val="0"/>
          <w:color w:val="000000" w:themeColor="text1"/>
          <w:u w:val="none"/>
          <w:lang w:eastAsia="zh-CN"/>
          <w14:textFill>
            <w14:solidFill>
              <w14:schemeClr w14:val="tx1"/>
            </w14:solidFill>
          </w14:textFill>
        </w:rPr>
        <w:t>合性审查（根据招标文件要求提供相应资料）</w:t>
      </w:r>
    </w:p>
    <w:p w14:paraId="783CCC7E">
      <w:pPr>
        <w:pStyle w:val="19"/>
        <w:tabs>
          <w:tab w:val="right" w:leader="hyphen" w:pos="8834"/>
        </w:tabs>
        <w:ind w:firstLine="600" w:firstLineChars="300"/>
        <w:rPr>
          <w:rFonts w:hint="eastAsia" w:eastAsia="宋体"/>
          <w:b w:val="0"/>
          <w:bCs w:val="0"/>
          <w:smallCaps w:val="0"/>
          <w:color w:val="000000" w:themeColor="text1"/>
          <w:sz w:val="21"/>
          <w:szCs w:val="24"/>
          <w:u w:val="none"/>
          <w:lang w:eastAsia="zh-CN"/>
          <w14:textFill>
            <w14:solidFill>
              <w14:schemeClr w14:val="tx1"/>
            </w14:solidFill>
          </w14:textFill>
        </w:rPr>
      </w:pPr>
      <w:r>
        <w:rPr>
          <w:b w:val="0"/>
          <w:bCs w:val="0"/>
          <w:u w:val="none"/>
        </w:rPr>
        <w:fldChar w:fldCharType="begin"/>
      </w:r>
      <w:r>
        <w:rPr>
          <w:b w:val="0"/>
          <w:bCs w:val="0"/>
          <w:u w:val="none"/>
        </w:rPr>
        <w:instrText xml:space="preserve"> HYPERLINK \l "_Toc474235958" </w:instrText>
      </w:r>
      <w:r>
        <w:rPr>
          <w:b w:val="0"/>
          <w:bCs w:val="0"/>
          <w:u w:val="none"/>
        </w:rPr>
        <w:fldChar w:fldCharType="separate"/>
      </w:r>
      <w:r>
        <w:rPr>
          <w:rStyle w:val="27"/>
          <w:rFonts w:hint="eastAsia" w:ascii="宋体" w:hAnsi="宋体"/>
          <w:b w:val="0"/>
          <w:bCs w:val="0"/>
          <w:color w:val="000000" w:themeColor="text1"/>
          <w:u w:val="none"/>
          <w14:textFill>
            <w14:solidFill>
              <w14:schemeClr w14:val="tx1"/>
            </w14:solidFill>
          </w14:textFill>
        </w:rPr>
        <w:t>三、</w:t>
      </w:r>
      <w:r>
        <w:rPr>
          <w:rStyle w:val="27"/>
          <w:rFonts w:hint="eastAsia" w:ascii="宋体" w:hAnsi="宋体"/>
          <w:b w:val="0"/>
          <w:bCs w:val="0"/>
          <w:color w:val="000000" w:themeColor="text1"/>
          <w:u w:val="none"/>
          <w:lang w:eastAsia="zh-CN"/>
          <w14:textFill>
            <w14:solidFill>
              <w14:schemeClr w14:val="tx1"/>
            </w14:solidFill>
          </w14:textFill>
        </w:rPr>
        <w:t>商</w:t>
      </w:r>
      <w:r>
        <w:rPr>
          <w:rStyle w:val="27"/>
          <w:rFonts w:hint="eastAsia" w:ascii="宋体" w:hAnsi="宋体"/>
          <w:b w:val="0"/>
          <w:bCs w:val="0"/>
          <w:color w:val="000000" w:themeColor="text1"/>
          <w:u w:val="none"/>
          <w14:textFill>
            <w14:solidFill>
              <w14:schemeClr w14:val="tx1"/>
            </w14:solidFill>
          </w14:textFill>
        </w:rPr>
        <w:fldChar w:fldCharType="end"/>
      </w:r>
      <w:r>
        <w:rPr>
          <w:rStyle w:val="27"/>
          <w:rFonts w:hint="eastAsia" w:ascii="宋体" w:hAnsi="宋体"/>
          <w:b w:val="0"/>
          <w:bCs w:val="0"/>
          <w:color w:val="000000" w:themeColor="text1"/>
          <w:u w:val="none"/>
          <w:lang w:eastAsia="zh-CN"/>
          <w14:textFill>
            <w14:solidFill>
              <w14:schemeClr w14:val="tx1"/>
            </w14:solidFill>
          </w14:textFill>
        </w:rPr>
        <w:t>务技术（根据评审因素要求提供相应资料）</w:t>
      </w:r>
    </w:p>
    <w:p w14:paraId="67D5E06B">
      <w:pPr>
        <w:pStyle w:val="19"/>
        <w:tabs>
          <w:tab w:val="right" w:leader="hyphen" w:pos="8834"/>
        </w:tabs>
        <w:ind w:firstLine="600" w:firstLineChars="300"/>
        <w:rPr>
          <w:rStyle w:val="27"/>
          <w:rFonts w:hint="eastAsia" w:ascii="宋体" w:hAnsi="宋体" w:eastAsia="宋体"/>
          <w:b w:val="0"/>
          <w:bCs w:val="0"/>
          <w:color w:val="000000" w:themeColor="text1"/>
          <w:u w:val="none"/>
          <w:lang w:eastAsia="zh-CN"/>
          <w14:textFill>
            <w14:solidFill>
              <w14:schemeClr w14:val="tx1"/>
            </w14:solidFill>
          </w14:textFill>
        </w:rPr>
      </w:pPr>
      <w:r>
        <w:rPr>
          <w:b w:val="0"/>
          <w:bCs w:val="0"/>
          <w:u w:val="none"/>
        </w:rPr>
        <w:fldChar w:fldCharType="begin"/>
      </w:r>
      <w:r>
        <w:rPr>
          <w:b w:val="0"/>
          <w:bCs w:val="0"/>
          <w:u w:val="none"/>
        </w:rPr>
        <w:instrText xml:space="preserve"> HYPERLINK \l "_Toc474235964" </w:instrText>
      </w:r>
      <w:r>
        <w:rPr>
          <w:b w:val="0"/>
          <w:bCs w:val="0"/>
          <w:u w:val="none"/>
        </w:rPr>
        <w:fldChar w:fldCharType="separate"/>
      </w:r>
      <w:r>
        <w:rPr>
          <w:rFonts w:hint="eastAsia"/>
          <w:b w:val="0"/>
          <w:bCs w:val="0"/>
          <w:u w:val="none"/>
          <w:lang w:eastAsia="zh-CN"/>
        </w:rPr>
        <w:t>四</w:t>
      </w:r>
      <w:r>
        <w:rPr>
          <w:rStyle w:val="27"/>
          <w:rFonts w:hint="eastAsia" w:ascii="宋体" w:hAnsi="宋体"/>
          <w:b w:val="0"/>
          <w:bCs w:val="0"/>
          <w:color w:val="000000" w:themeColor="text1"/>
          <w:u w:val="none"/>
          <w14:textFill>
            <w14:solidFill>
              <w14:schemeClr w14:val="tx1"/>
            </w14:solidFill>
          </w14:textFill>
        </w:rPr>
        <w:t>、投标人认为需要提供的其它资料</w:t>
      </w:r>
      <w:r>
        <w:rPr>
          <w:rStyle w:val="27"/>
          <w:rFonts w:hint="eastAsia" w:ascii="宋体" w:hAnsi="宋体"/>
          <w:b w:val="0"/>
          <w:bCs w:val="0"/>
          <w:color w:val="000000" w:themeColor="text1"/>
          <w:u w:val="none"/>
          <w14:textFill>
            <w14:solidFill>
              <w14:schemeClr w14:val="tx1"/>
            </w14:solidFill>
          </w14:textFill>
        </w:rPr>
        <w:fldChar w:fldCharType="end"/>
      </w:r>
      <w:r>
        <w:rPr>
          <w:rStyle w:val="27"/>
          <w:rFonts w:hint="eastAsia" w:ascii="宋体" w:hAnsi="宋体"/>
          <w:b w:val="0"/>
          <w:bCs w:val="0"/>
          <w:color w:val="000000" w:themeColor="text1"/>
          <w:u w:val="none"/>
          <w:lang w:eastAsia="zh-CN"/>
          <w14:textFill>
            <w14:solidFill>
              <w14:schemeClr w14:val="tx1"/>
            </w14:solidFill>
          </w14:textFill>
        </w:rPr>
        <w:t>（投标供应商根据所投货物或服务可自行确定提供其他有利于项目评审的资料）</w:t>
      </w:r>
    </w:p>
    <w:p w14:paraId="77BA0FD2">
      <w:pPr>
        <w:rPr>
          <w:rFonts w:hint="default" w:eastAsia="宋体"/>
          <w:lang w:val="en-US" w:eastAsia="zh-CN"/>
        </w:rPr>
      </w:pPr>
      <w:r>
        <w:rPr>
          <w:rStyle w:val="27"/>
          <w:rFonts w:hint="eastAsia" w:ascii="宋体" w:hAnsi="宋体"/>
          <w:b w:val="0"/>
          <w:bCs w:val="0"/>
          <w:color w:val="000000" w:themeColor="text1"/>
          <w:u w:val="none"/>
          <w:lang w:val="en-US" w:eastAsia="zh-CN"/>
          <w14:textFill>
            <w14:solidFill>
              <w14:schemeClr w14:val="tx1"/>
            </w14:solidFill>
          </w14:textFill>
        </w:rPr>
        <w:t xml:space="preserve">        五、报价文件；（根据项目要求，投标供应商自行确定是否提供相应中小企业声明函，具体要求查看招标文件及相关政策）</w:t>
      </w:r>
    </w:p>
    <w:p w14:paraId="4625FF2C">
      <w:pPr>
        <w:pStyle w:val="2"/>
      </w:pPr>
    </w:p>
    <w:p w14:paraId="554D6D10">
      <w:pPr>
        <w:pStyle w:val="2"/>
      </w:pPr>
    </w:p>
    <w:p w14:paraId="12ED011E">
      <w:pPr>
        <w:pStyle w:val="2"/>
      </w:pPr>
    </w:p>
    <w:p w14:paraId="211F3D79">
      <w:pPr>
        <w:pStyle w:val="2"/>
      </w:pPr>
    </w:p>
    <w:p w14:paraId="6EB2ECB1">
      <w:pPr>
        <w:pStyle w:val="2"/>
      </w:pPr>
    </w:p>
    <w:p w14:paraId="10D7B8CF">
      <w:pPr>
        <w:pStyle w:val="2"/>
      </w:pPr>
    </w:p>
    <w:p w14:paraId="4A508003">
      <w:pPr>
        <w:pStyle w:val="2"/>
      </w:pPr>
    </w:p>
    <w:p w14:paraId="6AED41FB">
      <w:pPr>
        <w:pStyle w:val="2"/>
      </w:pPr>
    </w:p>
    <w:p w14:paraId="095A62A8">
      <w:pPr>
        <w:pStyle w:val="2"/>
      </w:pPr>
    </w:p>
    <w:p w14:paraId="79BD99C9">
      <w:pPr>
        <w:numPr>
          <w:ilvl w:val="0"/>
          <w:numId w:val="2"/>
        </w:numPr>
        <w:spacing w:line="360" w:lineRule="exact"/>
        <w:jc w:val="center"/>
        <w:outlineLvl w:val="0"/>
        <w:rPr>
          <w:rFonts w:hint="eastAsia" w:ascii="宋体" w:hAnsi="宋体"/>
          <w:b/>
          <w:color w:val="000000" w:themeColor="text1"/>
          <w:sz w:val="32"/>
          <w:szCs w:val="32"/>
          <w14:textFill>
            <w14:solidFill>
              <w14:schemeClr w14:val="tx1"/>
            </w14:solidFill>
          </w14:textFill>
        </w:rPr>
      </w:pPr>
      <w:bookmarkStart w:id="0" w:name="_Toc474235940"/>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招标公告</w:t>
      </w:r>
      <w:bookmarkEnd w:id="0"/>
      <w:bookmarkStart w:id="1" w:name="OLE_LINK2"/>
      <w:bookmarkStart w:id="2" w:name="OLE_LINK1"/>
      <w:bookmarkStart w:id="3" w:name="OLE_LINK3"/>
      <w:bookmarkStart w:id="4" w:name="OLE_LINK4"/>
    </w:p>
    <w:p w14:paraId="3F2FDD5A">
      <w:pPr>
        <w:numPr>
          <w:ilvl w:val="0"/>
          <w:numId w:val="0"/>
        </w:numPr>
        <w:spacing w:line="360" w:lineRule="exact"/>
        <w:jc w:val="both"/>
        <w:outlineLvl w:val="0"/>
        <w:rPr>
          <w:rFonts w:hint="eastAsia" w:ascii="宋体" w:hAnsi="宋体"/>
          <w:b/>
          <w:color w:val="000000" w:themeColor="text1"/>
          <w:sz w:val="32"/>
          <w:szCs w:val="32"/>
          <w14:textFill>
            <w14:solidFill>
              <w14:schemeClr w14:val="tx1"/>
            </w14:solidFill>
          </w14:textFill>
        </w:rPr>
      </w:pPr>
    </w:p>
    <w:bookmarkEnd w:id="1"/>
    <w:bookmarkEnd w:id="2"/>
    <w:bookmarkEnd w:id="3"/>
    <w:bookmarkEnd w:id="4"/>
    <w:p w14:paraId="7507E79A">
      <w:pPr>
        <w:pStyle w:val="14"/>
        <w:adjustRightInd w:val="0"/>
        <w:snapToGrid w:val="0"/>
        <w:spacing w:line="360" w:lineRule="auto"/>
        <w:ind w:firstLine="480" w:firstLineChars="200"/>
        <w:jc w:val="left"/>
        <w:rPr>
          <w:rFonts w:hint="eastAsia" w:ascii="宋体" w:hAnsi="宋体" w:cs="Arial"/>
          <w:color w:val="000000" w:themeColor="text1"/>
          <w:kern w:val="0"/>
          <w:szCs w:val="21"/>
          <w14:textFill>
            <w14:solidFill>
              <w14:schemeClr w14:val="tx1"/>
            </w14:solidFill>
          </w14:textFill>
        </w:rPr>
      </w:pPr>
      <w:bookmarkStart w:id="5" w:name="_Toc474235941"/>
      <w:bookmarkStart w:id="6" w:name="_Toc420948006"/>
      <w:r>
        <w:rPr>
          <w:rFonts w:hint="eastAsia" w:ascii="宋体" w:hAnsi="宋体" w:cs="Arial"/>
          <w:color w:val="000000" w:themeColor="text1"/>
          <w:kern w:val="0"/>
          <w:szCs w:val="21"/>
          <w:highlight w:val="none"/>
          <w14:textFill>
            <w14:solidFill>
              <w14:schemeClr w14:val="tx1"/>
            </w14:solidFill>
          </w14:textFill>
        </w:rPr>
        <w:t>受</w:t>
      </w:r>
      <w:r>
        <w:rPr>
          <w:rFonts w:hint="eastAsia" w:ascii="宋体" w:hAnsi="宋体" w:cs="Arial"/>
          <w:b/>
          <w:bCs/>
          <w:color w:val="000000" w:themeColor="text1"/>
          <w:kern w:val="0"/>
          <w:szCs w:val="21"/>
          <w:highlight w:val="none"/>
          <w:u w:val="single"/>
          <w14:textFill>
            <w14:solidFill>
              <w14:schemeClr w14:val="tx1"/>
            </w14:solidFill>
          </w14:textFill>
        </w:rPr>
        <w:t>霍尔果斯经济开发区管理委员会口岸管理局</w:t>
      </w:r>
      <w:r>
        <w:rPr>
          <w:rFonts w:hint="eastAsia" w:ascii="宋体" w:hAnsi="宋体" w:cs="Arial"/>
          <w:color w:val="000000" w:themeColor="text1"/>
          <w:kern w:val="0"/>
          <w:szCs w:val="21"/>
          <w:highlight w:val="none"/>
          <w14:textFill>
            <w14:solidFill>
              <w14:schemeClr w14:val="tx1"/>
            </w14:solidFill>
          </w14:textFill>
        </w:rPr>
        <w:t>的委托，霍尔果斯经济开发区政府采购中心对</w:t>
      </w:r>
      <w:r>
        <w:rPr>
          <w:rFonts w:hint="eastAsia" w:ascii="宋体" w:hAnsi="宋体" w:cs="Arial"/>
          <w:b/>
          <w:bCs/>
          <w:color w:val="000000" w:themeColor="text1"/>
          <w:kern w:val="0"/>
          <w:szCs w:val="21"/>
          <w:highlight w:val="none"/>
          <w:u w:val="single"/>
          <w:lang w:eastAsia="zh-CN"/>
          <w14:textFill>
            <w14:solidFill>
              <w14:schemeClr w14:val="tx1"/>
            </w14:solidFill>
          </w14:textFill>
        </w:rPr>
        <w:t>霍尔果斯属地直通集中查验场建设项目（海关</w:t>
      </w:r>
      <w:r>
        <w:rPr>
          <w:rFonts w:hint="eastAsia" w:ascii="宋体" w:hAnsi="宋体" w:cs="Arial"/>
          <w:b/>
          <w:bCs/>
          <w:color w:val="000000" w:themeColor="text1"/>
          <w:kern w:val="0"/>
          <w:szCs w:val="21"/>
          <w:highlight w:val="none"/>
          <w:u w:val="single"/>
          <w:lang w:val="en-US" w:eastAsia="zh-CN"/>
          <w14:textFill>
            <w14:solidFill>
              <w14:schemeClr w14:val="tx1"/>
            </w14:solidFill>
          </w14:textFill>
        </w:rPr>
        <w:t>H986</w:t>
      </w:r>
      <w:r>
        <w:rPr>
          <w:rFonts w:hint="eastAsia" w:ascii="宋体" w:hAnsi="宋体" w:cs="Arial"/>
          <w:b/>
          <w:bCs/>
          <w:color w:val="000000" w:themeColor="text1"/>
          <w:kern w:val="0"/>
          <w:szCs w:val="21"/>
          <w:highlight w:val="none"/>
          <w:u w:val="single"/>
          <w:lang w:eastAsia="zh-CN"/>
          <w14:textFill>
            <w14:solidFill>
              <w14:schemeClr w14:val="tx1"/>
            </w14:solidFill>
          </w14:textFill>
        </w:rPr>
        <w:t>）采购</w:t>
      </w:r>
      <w:r>
        <w:rPr>
          <w:rFonts w:hint="eastAsia" w:ascii="宋体" w:hAnsi="宋体" w:cs="Arial"/>
          <w:b w:val="0"/>
          <w:bCs w:val="0"/>
          <w:color w:val="000000" w:themeColor="text1"/>
          <w:kern w:val="0"/>
          <w:szCs w:val="21"/>
          <w:highlight w:val="none"/>
          <w:u w:val="none"/>
          <w:lang w:eastAsia="zh-CN"/>
          <w14:textFill>
            <w14:solidFill>
              <w14:schemeClr w14:val="tx1"/>
            </w14:solidFill>
          </w14:textFill>
        </w:rPr>
        <w:t>进行招标</w:t>
      </w:r>
      <w:r>
        <w:rPr>
          <w:rFonts w:hint="eastAsia" w:ascii="宋体" w:hAnsi="宋体" w:cs="Arial"/>
          <w:color w:val="000000" w:themeColor="text1"/>
          <w:kern w:val="0"/>
          <w:szCs w:val="21"/>
          <w14:textFill>
            <w14:solidFill>
              <w14:schemeClr w14:val="tx1"/>
            </w14:solidFill>
          </w14:textFill>
        </w:rPr>
        <w:t>，欢迎符合资格条件的投标人参加投标。</w:t>
      </w:r>
    </w:p>
    <w:p w14:paraId="536F1B35">
      <w:pPr>
        <w:widowControl/>
        <w:numPr>
          <w:ilvl w:val="0"/>
          <w:numId w:val="0"/>
        </w:numPr>
        <w:spacing w:line="380" w:lineRule="exact"/>
        <w:jc w:val="left"/>
        <w:rPr>
          <w:rFonts w:hint="eastAsia" w:ascii="宋体" w:hAnsi="宋体" w:eastAsia="宋体" w:cs="Arial"/>
          <w:b/>
          <w:bCs/>
          <w:color w:val="000000" w:themeColor="text1"/>
          <w:kern w:val="0"/>
          <w:szCs w:val="21"/>
          <w:lang w:val="en-US" w:eastAsia="zh-CN"/>
          <w14:textFill>
            <w14:solidFill>
              <w14:schemeClr w14:val="tx1"/>
            </w14:solidFill>
          </w14:textFill>
        </w:rPr>
      </w:pPr>
      <w:r>
        <w:rPr>
          <w:rFonts w:hint="eastAsia" w:ascii="宋体" w:hAnsi="宋体" w:eastAsia="宋体" w:cs="Arial"/>
          <w:b/>
          <w:bCs/>
          <w:color w:val="000000" w:themeColor="text1"/>
          <w:kern w:val="0"/>
          <w:szCs w:val="21"/>
          <w:lang w:val="en-US" w:eastAsia="zh-CN"/>
          <w14:textFill>
            <w14:solidFill>
              <w14:schemeClr w14:val="tx1"/>
            </w14:solidFill>
          </w14:textFill>
        </w:rPr>
        <w:t>一、采购人及其委托机构名称；地址和联系方式；</w:t>
      </w:r>
    </w:p>
    <w:p w14:paraId="341E4768">
      <w:pPr>
        <w:widowControl/>
        <w:numPr>
          <w:ilvl w:val="0"/>
          <w:numId w:val="0"/>
        </w:numPr>
        <w:spacing w:line="380" w:lineRule="exact"/>
        <w:ind w:firstLine="420" w:firstLineChars="200"/>
        <w:jc w:val="left"/>
        <w:rPr>
          <w:rFonts w:hint="eastAsia" w:ascii="宋体" w:hAnsi="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本项目采购人：霍尔果斯经济开发区管理委员会口岸管理局</w:t>
      </w:r>
    </w:p>
    <w:p w14:paraId="16C2838A">
      <w:pPr>
        <w:widowControl/>
        <w:numPr>
          <w:ilvl w:val="0"/>
          <w:numId w:val="0"/>
        </w:numPr>
        <w:spacing w:line="380" w:lineRule="exact"/>
        <w:ind w:firstLine="420" w:firstLineChars="200"/>
        <w:jc w:val="left"/>
        <w:rPr>
          <w:rFonts w:hint="eastAsia" w:ascii="宋体" w:hAnsi="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地 址：霍尔果斯市第六代国门口岸管理局321室</w:t>
      </w:r>
    </w:p>
    <w:p w14:paraId="2223E0A7">
      <w:pPr>
        <w:widowControl/>
        <w:numPr>
          <w:ilvl w:val="0"/>
          <w:numId w:val="0"/>
        </w:numPr>
        <w:spacing w:line="380" w:lineRule="exact"/>
        <w:ind w:firstLine="420" w:firstLineChars="200"/>
        <w:jc w:val="left"/>
        <w:rPr>
          <w:rFonts w:hint="eastAsia" w:ascii="宋体" w:hAnsi="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联系人：朱能贵</w:t>
      </w:r>
    </w:p>
    <w:p w14:paraId="34107B5E">
      <w:pPr>
        <w:widowControl/>
        <w:numPr>
          <w:ilvl w:val="0"/>
          <w:numId w:val="0"/>
        </w:numPr>
        <w:spacing w:line="380" w:lineRule="exact"/>
        <w:ind w:firstLine="420" w:firstLineChars="200"/>
        <w:jc w:val="left"/>
        <w:rPr>
          <w:rFonts w:hint="default" w:ascii="宋体" w:hAnsi="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联系电话：17735022157</w:t>
      </w:r>
    </w:p>
    <w:p w14:paraId="728294C9">
      <w:pPr>
        <w:widowControl/>
        <w:numPr>
          <w:ilvl w:val="0"/>
          <w:numId w:val="0"/>
        </w:numPr>
        <w:spacing w:line="380" w:lineRule="exact"/>
        <w:ind w:firstLine="420" w:firstLineChars="200"/>
        <w:jc w:val="left"/>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 xml:space="preserve">采购代理机构：霍尔果斯经济开发区政府采购中心 </w:t>
      </w:r>
    </w:p>
    <w:p w14:paraId="513EA106">
      <w:pPr>
        <w:widowControl/>
        <w:numPr>
          <w:ilvl w:val="0"/>
          <w:numId w:val="0"/>
        </w:numPr>
        <w:spacing w:line="380" w:lineRule="exact"/>
        <w:ind w:firstLine="420" w:firstLineChars="200"/>
        <w:jc w:val="left"/>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 xml:space="preserve">地 址：霍尔果斯市政务服务中心 230 办公室 </w:t>
      </w:r>
    </w:p>
    <w:p w14:paraId="742CBC43">
      <w:pPr>
        <w:widowControl/>
        <w:numPr>
          <w:ilvl w:val="0"/>
          <w:numId w:val="0"/>
        </w:numPr>
        <w:spacing w:line="380" w:lineRule="exact"/>
        <w:ind w:firstLine="420" w:firstLineChars="200"/>
        <w:jc w:val="left"/>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 xml:space="preserve">联系人：陈文杰 </w:t>
      </w:r>
    </w:p>
    <w:p w14:paraId="360CA487">
      <w:pPr>
        <w:widowControl/>
        <w:numPr>
          <w:ilvl w:val="0"/>
          <w:numId w:val="0"/>
        </w:numPr>
        <w:spacing w:line="380" w:lineRule="exact"/>
        <w:ind w:firstLine="420" w:firstLineChars="200"/>
        <w:jc w:val="left"/>
        <w:rPr>
          <w:rFonts w:hint="eastAsia" w:ascii="宋体" w:hAnsi="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联系电话：0999-8797331</w:t>
      </w:r>
    </w:p>
    <w:p w14:paraId="0FC5AE0E">
      <w:pPr>
        <w:pStyle w:val="2"/>
        <w:rPr>
          <w:rFonts w:hint="eastAsia"/>
          <w:lang w:val="en-US" w:eastAsia="zh-CN"/>
        </w:rPr>
      </w:pPr>
    </w:p>
    <w:p w14:paraId="36E2E3D2">
      <w:pPr>
        <w:pStyle w:val="2"/>
        <w:rPr>
          <w:rFonts w:hint="eastAsia" w:ascii="宋体" w:hAnsi="宋体" w:eastAsia="宋体" w:cs="Arial"/>
          <w:b/>
          <w:bCs/>
          <w:color w:val="000000" w:themeColor="text1"/>
          <w:kern w:val="0"/>
          <w:sz w:val="21"/>
          <w:szCs w:val="21"/>
          <w:lang w:val="en-US" w:eastAsia="zh-CN" w:bidi="ar-SA"/>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二、采购项目的名称、预算金额；</w:t>
      </w:r>
    </w:p>
    <w:p w14:paraId="565739F0">
      <w:pPr>
        <w:widowControl/>
        <w:numPr>
          <w:ilvl w:val="0"/>
          <w:numId w:val="0"/>
        </w:numPr>
        <w:spacing w:line="380" w:lineRule="exact"/>
        <w:ind w:leftChars="200" w:firstLine="210" w:firstLineChars="100"/>
        <w:jc w:val="left"/>
        <w:rPr>
          <w:rFonts w:hint="eastAsia" w:ascii="宋体" w:hAnsi="宋体" w:cs="Arial"/>
          <w:b w:val="0"/>
          <w:bCs w:val="0"/>
          <w:color w:val="000000" w:themeColor="text1"/>
          <w:kern w:val="0"/>
          <w:szCs w:val="21"/>
          <w:highlight w:val="none"/>
          <w:u w:val="none"/>
          <w:lang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项目名称：</w:t>
      </w:r>
      <w:r>
        <w:rPr>
          <w:rFonts w:hint="eastAsia" w:ascii="宋体" w:hAnsi="宋体" w:cs="Arial"/>
          <w:color w:val="000000" w:themeColor="text1"/>
          <w:kern w:val="0"/>
          <w:szCs w:val="21"/>
          <w:lang w:eastAsia="zh-CN"/>
          <w14:textFill>
            <w14:solidFill>
              <w14:schemeClr w14:val="tx1"/>
            </w14:solidFill>
          </w14:textFill>
        </w:rPr>
        <w:t>霍尔果斯属地直通集中查验场建设项目（海关</w:t>
      </w:r>
      <w:r>
        <w:rPr>
          <w:rFonts w:hint="eastAsia" w:ascii="宋体" w:hAnsi="宋体" w:cs="Arial"/>
          <w:color w:val="000000" w:themeColor="text1"/>
          <w:kern w:val="0"/>
          <w:szCs w:val="21"/>
          <w:lang w:val="en-US" w:eastAsia="zh-CN"/>
          <w14:textFill>
            <w14:solidFill>
              <w14:schemeClr w14:val="tx1"/>
            </w14:solidFill>
          </w14:textFill>
        </w:rPr>
        <w:t>H986</w:t>
      </w:r>
      <w:r>
        <w:rPr>
          <w:rFonts w:hint="eastAsia" w:ascii="宋体" w:hAnsi="宋体" w:cs="Arial"/>
          <w:color w:val="000000" w:themeColor="text1"/>
          <w:kern w:val="0"/>
          <w:szCs w:val="21"/>
          <w:lang w:eastAsia="zh-CN"/>
          <w14:textFill>
            <w14:solidFill>
              <w14:schemeClr w14:val="tx1"/>
            </w14:solidFill>
          </w14:textFill>
        </w:rPr>
        <w:t>）采购</w:t>
      </w:r>
    </w:p>
    <w:p w14:paraId="0F2F6EF5">
      <w:pPr>
        <w:widowControl/>
        <w:numPr>
          <w:ilvl w:val="0"/>
          <w:numId w:val="0"/>
        </w:numPr>
        <w:spacing w:line="380" w:lineRule="exact"/>
        <w:ind w:firstLine="630" w:firstLineChars="300"/>
        <w:jc w:val="left"/>
        <w:rPr>
          <w:rFonts w:hint="eastAsia" w:ascii="宋体" w:hAnsi="宋体" w:cs="Arial"/>
          <w:color w:val="000000" w:themeColor="text1"/>
          <w:kern w:val="0"/>
          <w:szCs w:val="21"/>
          <w:lang w:eastAsia="zh-CN"/>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项目</w:t>
      </w:r>
      <w:r>
        <w:rPr>
          <w:rFonts w:hint="eastAsia" w:ascii="宋体" w:hAnsi="宋体" w:cs="Arial"/>
          <w:color w:val="000000" w:themeColor="text1"/>
          <w:kern w:val="0"/>
          <w:szCs w:val="21"/>
          <w14:textFill>
            <w14:solidFill>
              <w14:schemeClr w14:val="tx1"/>
            </w14:solidFill>
          </w14:textFill>
        </w:rPr>
        <w:t>编号：</w:t>
      </w:r>
      <w:r>
        <w:rPr>
          <w:rFonts w:hint="eastAsia" w:ascii="宋体" w:hAnsi="宋体" w:cs="Arial"/>
          <w:color w:val="000000" w:themeColor="text1"/>
          <w:kern w:val="0"/>
          <w:szCs w:val="21"/>
          <w:lang w:eastAsia="zh-CN"/>
          <w14:textFill>
            <w14:solidFill>
              <w14:schemeClr w14:val="tx1"/>
            </w14:solidFill>
          </w14:textFill>
        </w:rPr>
        <w:t>HEGSCG-202</w:t>
      </w:r>
      <w:r>
        <w:rPr>
          <w:rFonts w:hint="eastAsia" w:ascii="宋体" w:hAnsi="宋体" w:cs="Arial"/>
          <w:color w:val="000000" w:themeColor="text1"/>
          <w:kern w:val="0"/>
          <w:szCs w:val="21"/>
          <w:lang w:val="en-US" w:eastAsia="zh-CN"/>
          <w14:textFill>
            <w14:solidFill>
              <w14:schemeClr w14:val="tx1"/>
            </w14:solidFill>
          </w14:textFill>
        </w:rPr>
        <w:t>5</w:t>
      </w:r>
      <w:r>
        <w:rPr>
          <w:rFonts w:hint="eastAsia" w:ascii="宋体" w:hAnsi="宋体" w:cs="Arial"/>
          <w:color w:val="000000" w:themeColor="text1"/>
          <w:kern w:val="0"/>
          <w:szCs w:val="21"/>
          <w:lang w:eastAsia="zh-CN"/>
          <w14:textFill>
            <w14:solidFill>
              <w14:schemeClr w14:val="tx1"/>
            </w14:solidFill>
          </w14:textFill>
        </w:rPr>
        <w:t>GK-</w:t>
      </w:r>
      <w:r>
        <w:rPr>
          <w:rFonts w:hint="eastAsia" w:ascii="宋体" w:hAnsi="宋体" w:cs="Arial"/>
          <w:color w:val="000000" w:themeColor="text1"/>
          <w:kern w:val="0"/>
          <w:szCs w:val="21"/>
          <w:lang w:val="en-US" w:eastAsia="zh-CN"/>
          <w14:textFill>
            <w14:solidFill>
              <w14:schemeClr w14:val="tx1"/>
            </w14:solidFill>
          </w14:textFill>
        </w:rPr>
        <w:t>3</w:t>
      </w:r>
      <w:r>
        <w:rPr>
          <w:rFonts w:hint="eastAsia" w:ascii="宋体" w:hAnsi="宋体" w:cs="Arial"/>
          <w:color w:val="000000" w:themeColor="text1"/>
          <w:kern w:val="0"/>
          <w:szCs w:val="21"/>
          <w:lang w:eastAsia="zh-CN"/>
          <w14:textFill>
            <w14:solidFill>
              <w14:schemeClr w14:val="tx1"/>
            </w14:solidFill>
          </w14:textFill>
        </w:rPr>
        <w:t>号</w:t>
      </w:r>
    </w:p>
    <w:p w14:paraId="00B87E0D">
      <w:pPr>
        <w:pStyle w:val="2"/>
        <w:ind w:firstLine="630" w:firstLineChars="300"/>
        <w:rPr>
          <w:rFonts w:hint="eastAsia" w:ascii="宋体" w:hAnsi="宋体" w:eastAsia="宋体" w:cs="Arial"/>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Arial"/>
          <w:color w:val="000000" w:themeColor="text1"/>
          <w:kern w:val="0"/>
          <w:sz w:val="21"/>
          <w:szCs w:val="21"/>
          <w:highlight w:val="none"/>
          <w:lang w:val="en-US" w:eastAsia="zh-CN" w:bidi="ar-SA"/>
          <w14:textFill>
            <w14:solidFill>
              <w14:schemeClr w14:val="tx1"/>
            </w14:solidFill>
          </w14:textFill>
        </w:rPr>
        <w:t>预算金额：</w:t>
      </w:r>
      <w:r>
        <w:rPr>
          <w:rFonts w:hint="eastAsia" w:ascii="宋体" w:hAnsi="宋体" w:cs="Arial"/>
          <w:color w:val="000000" w:themeColor="text1"/>
          <w:kern w:val="0"/>
          <w:sz w:val="21"/>
          <w:szCs w:val="21"/>
          <w:highlight w:val="none"/>
          <w:lang w:val="en-US" w:eastAsia="zh-CN" w:bidi="ar-SA"/>
          <w14:textFill>
            <w14:solidFill>
              <w14:schemeClr w14:val="tx1"/>
            </w14:solidFill>
          </w14:textFill>
        </w:rPr>
        <w:t>22800000</w:t>
      </w:r>
      <w:r>
        <w:rPr>
          <w:rFonts w:hint="eastAsia" w:ascii="宋体" w:hAnsi="宋体" w:eastAsia="宋体" w:cs="Arial"/>
          <w:color w:val="000000" w:themeColor="text1"/>
          <w:kern w:val="0"/>
          <w:sz w:val="21"/>
          <w:szCs w:val="21"/>
          <w:highlight w:val="none"/>
          <w:lang w:val="en-US" w:eastAsia="zh-CN" w:bidi="ar-SA"/>
          <w14:textFill>
            <w14:solidFill>
              <w14:schemeClr w14:val="tx1"/>
            </w14:solidFill>
          </w14:textFill>
        </w:rPr>
        <w:t>元整；</w:t>
      </w:r>
    </w:p>
    <w:p w14:paraId="3F701694">
      <w:pPr>
        <w:pStyle w:val="2"/>
        <w:ind w:firstLine="420" w:firstLineChars="200"/>
        <w:rPr>
          <w:rFonts w:hint="eastAsia" w:ascii="宋体" w:hAnsi="宋体" w:cs="Arial"/>
          <w:color w:val="000000" w:themeColor="text1"/>
          <w:kern w:val="0"/>
          <w:szCs w:val="21"/>
          <w:lang w:val="en-US" w:eastAsia="zh-CN"/>
          <w14:textFill>
            <w14:solidFill>
              <w14:schemeClr w14:val="tx1"/>
            </w14:solidFill>
          </w14:textFill>
        </w:rPr>
      </w:pPr>
    </w:p>
    <w:p w14:paraId="79600258">
      <w:pPr>
        <w:pStyle w:val="2"/>
        <w:numPr>
          <w:ilvl w:val="0"/>
          <w:numId w:val="0"/>
        </w:numPr>
        <w:rPr>
          <w:rFonts w:hint="eastAsia" w:ascii="宋体" w:hAnsi="宋体" w:cs="Arial"/>
          <w:b/>
          <w:bCs/>
          <w:color w:val="000000" w:themeColor="text1"/>
          <w:kern w:val="0"/>
          <w:szCs w:val="21"/>
          <w:lang w:val="en-US" w:eastAsia="zh-CN"/>
          <w14:textFill>
            <w14:solidFill>
              <w14:schemeClr w14:val="tx1"/>
            </w14:solidFill>
          </w14:textFill>
        </w:rPr>
      </w:pPr>
      <w:r>
        <w:rPr>
          <w:rFonts w:hint="eastAsia" w:ascii="宋体" w:hAnsi="宋体" w:cs="Arial"/>
          <w:b/>
          <w:bCs/>
          <w:color w:val="000000" w:themeColor="text1"/>
          <w:kern w:val="0"/>
          <w:szCs w:val="21"/>
          <w:lang w:val="en-US" w:eastAsia="zh-CN"/>
          <w14:textFill>
            <w14:solidFill>
              <w14:schemeClr w14:val="tx1"/>
            </w14:solidFill>
          </w14:textFill>
        </w:rPr>
        <w:t>三、采购需求；</w:t>
      </w:r>
    </w:p>
    <w:p w14:paraId="2B2ED44D">
      <w:pPr>
        <w:pStyle w:val="2"/>
        <w:numPr>
          <w:ilvl w:val="0"/>
          <w:numId w:val="0"/>
        </w:numPr>
        <w:rPr>
          <w:rFonts w:hint="default" w:ascii="宋体" w:hAnsi="宋体" w:cs="Arial"/>
          <w:b/>
          <w:bCs/>
          <w:color w:val="000000" w:themeColor="text1"/>
          <w:kern w:val="0"/>
          <w:szCs w:val="21"/>
          <w:lang w:val="en-US" w:eastAsia="zh-CN"/>
          <w14:textFill>
            <w14:solidFill>
              <w14:schemeClr w14:val="tx1"/>
            </w14:solidFill>
          </w14:textFill>
        </w:rPr>
      </w:pPr>
      <w:r>
        <w:rPr>
          <w:rFonts w:hint="eastAsia" w:ascii="宋体" w:hAnsi="宋体" w:cs="Arial"/>
          <w:b/>
          <w:bCs/>
          <w:color w:val="000000" w:themeColor="text1"/>
          <w:kern w:val="0"/>
          <w:szCs w:val="21"/>
          <w:lang w:val="en-US" w:eastAsia="zh-CN"/>
          <w14:textFill>
            <w14:solidFill>
              <w14:schemeClr w14:val="tx1"/>
            </w14:solidFill>
          </w14:textFill>
        </w:rPr>
        <w:t xml:space="preserve">    </w:t>
      </w:r>
    </w:p>
    <w:tbl>
      <w:tblPr>
        <w:tblStyle w:val="23"/>
        <w:tblW w:w="8590" w:type="dxa"/>
        <w:tblInd w:w="11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86"/>
        <w:gridCol w:w="5196"/>
        <w:gridCol w:w="690"/>
        <w:gridCol w:w="690"/>
        <w:gridCol w:w="428"/>
      </w:tblGrid>
      <w:tr w14:paraId="745614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90" w:type="dxa"/>
            <w:gridSpan w:val="5"/>
            <w:tcBorders>
              <w:tl2br w:val="nil"/>
              <w:tr2bl w:val="nil"/>
            </w:tcBorders>
            <w:shd w:val="clear" w:color="auto" w:fill="auto"/>
            <w:noWrap/>
            <w:vAlign w:val="center"/>
          </w:tcPr>
          <w:p w14:paraId="3EB94F54">
            <w:pPr>
              <w:widowControl/>
              <w:jc w:val="left"/>
              <w:textAlignment w:val="center"/>
              <w:rPr>
                <w:rFonts w:hint="eastAsia" w:ascii="黑体" w:hAnsi="黑体" w:eastAsia="黑体" w:cs="黑体"/>
                <w:color w:val="000000"/>
                <w:kern w:val="0"/>
                <w:sz w:val="20"/>
                <w:szCs w:val="20"/>
                <w:lang w:eastAsia="zh-CN" w:bidi="ar"/>
              </w:rPr>
            </w:pPr>
          </w:p>
        </w:tc>
      </w:tr>
      <w:tr w14:paraId="40689D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586" w:type="dxa"/>
            <w:tcBorders>
              <w:tl2br w:val="nil"/>
              <w:tr2bl w:val="nil"/>
            </w:tcBorders>
            <w:shd w:val="clear" w:color="auto" w:fill="auto"/>
            <w:noWrap/>
            <w:vAlign w:val="center"/>
          </w:tcPr>
          <w:p w14:paraId="028801EF">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lang w:eastAsia="zh-CN"/>
              </w:rPr>
              <w:t>项目</w:t>
            </w:r>
            <w:r>
              <w:rPr>
                <w:rFonts w:hint="eastAsia" w:ascii="黑体" w:hAnsi="黑体" w:eastAsia="黑体" w:cs="黑体"/>
                <w:kern w:val="0"/>
                <w:sz w:val="20"/>
                <w:szCs w:val="20"/>
              </w:rPr>
              <w:t>名称</w:t>
            </w:r>
          </w:p>
        </w:tc>
        <w:tc>
          <w:tcPr>
            <w:tcW w:w="5196" w:type="dxa"/>
            <w:tcBorders>
              <w:tl2br w:val="nil"/>
              <w:tr2bl w:val="nil"/>
            </w:tcBorders>
            <w:shd w:val="clear" w:color="auto" w:fill="auto"/>
            <w:vAlign w:val="center"/>
          </w:tcPr>
          <w:p w14:paraId="3FFE6E89">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简要规格描述或项目基本概况</w:t>
            </w:r>
          </w:p>
        </w:tc>
        <w:tc>
          <w:tcPr>
            <w:tcW w:w="690" w:type="dxa"/>
            <w:tcBorders>
              <w:right w:val="single" w:color="auto" w:sz="4" w:space="0"/>
              <w:tl2br w:val="nil"/>
              <w:tr2bl w:val="nil"/>
            </w:tcBorders>
            <w:shd w:val="clear" w:color="auto" w:fill="auto"/>
            <w:noWrap/>
            <w:vAlign w:val="center"/>
          </w:tcPr>
          <w:p w14:paraId="5D40FA2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690" w:type="dxa"/>
            <w:tcBorders>
              <w:left w:val="single" w:color="auto" w:sz="4" w:space="0"/>
              <w:tl2br w:val="nil"/>
              <w:tr2bl w:val="nil"/>
            </w:tcBorders>
            <w:shd w:val="clear" w:color="auto" w:fill="auto"/>
            <w:noWrap/>
            <w:vAlign w:val="center"/>
          </w:tcPr>
          <w:p w14:paraId="70951AB9">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数量</w:t>
            </w:r>
          </w:p>
        </w:tc>
        <w:tc>
          <w:tcPr>
            <w:tcW w:w="428" w:type="dxa"/>
            <w:tcBorders>
              <w:tl2br w:val="nil"/>
              <w:tr2bl w:val="nil"/>
            </w:tcBorders>
            <w:shd w:val="clear" w:color="auto" w:fill="auto"/>
            <w:vAlign w:val="center"/>
          </w:tcPr>
          <w:p w14:paraId="3FC6902E">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14:paraId="4685FB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61" w:hRule="atLeast"/>
        </w:trPr>
        <w:tc>
          <w:tcPr>
            <w:tcW w:w="1586" w:type="dxa"/>
            <w:tcBorders>
              <w:tl2br w:val="nil"/>
              <w:tr2bl w:val="nil"/>
            </w:tcBorders>
            <w:shd w:val="clear" w:color="auto" w:fill="auto"/>
            <w:noWrap/>
            <w:vAlign w:val="center"/>
          </w:tcPr>
          <w:p w14:paraId="49644296">
            <w:pPr>
              <w:widowControl/>
              <w:numPr>
                <w:ilvl w:val="0"/>
                <w:numId w:val="0"/>
              </w:numPr>
              <w:spacing w:line="380" w:lineRule="exact"/>
              <w:ind w:leftChars="200" w:firstLine="210" w:firstLineChars="100"/>
              <w:jc w:val="left"/>
              <w:rPr>
                <w:rFonts w:hint="eastAsia" w:ascii="宋体" w:hAnsi="宋体" w:cs="Arial"/>
                <w:b w:val="0"/>
                <w:bCs w:val="0"/>
                <w:color w:val="000000" w:themeColor="text1"/>
                <w:kern w:val="0"/>
                <w:szCs w:val="21"/>
                <w:highlight w:val="none"/>
                <w:u w:val="none"/>
                <w:lang w:eastAsia="zh-CN"/>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霍尔果斯属地直通集中查验场建设项目（海关</w:t>
            </w:r>
            <w:r>
              <w:rPr>
                <w:rFonts w:hint="eastAsia" w:ascii="宋体" w:hAnsi="宋体" w:cs="Arial"/>
                <w:color w:val="000000" w:themeColor="text1"/>
                <w:kern w:val="0"/>
                <w:szCs w:val="21"/>
                <w:lang w:val="en-US" w:eastAsia="zh-CN"/>
                <w14:textFill>
                  <w14:solidFill>
                    <w14:schemeClr w14:val="tx1"/>
                  </w14:solidFill>
                </w14:textFill>
              </w:rPr>
              <w:t>H986</w:t>
            </w:r>
            <w:r>
              <w:rPr>
                <w:rFonts w:hint="eastAsia" w:ascii="宋体" w:hAnsi="宋体" w:cs="Arial"/>
                <w:color w:val="000000" w:themeColor="text1"/>
                <w:kern w:val="0"/>
                <w:szCs w:val="21"/>
                <w:lang w:eastAsia="zh-CN"/>
                <w14:textFill>
                  <w14:solidFill>
                    <w14:schemeClr w14:val="tx1"/>
                  </w14:solidFill>
                </w14:textFill>
              </w:rPr>
              <w:t>）采购</w:t>
            </w:r>
          </w:p>
          <w:p w14:paraId="5458E765">
            <w:pPr>
              <w:widowControl/>
              <w:jc w:val="center"/>
              <w:textAlignment w:val="center"/>
              <w:rPr>
                <w:rFonts w:hint="eastAsia" w:ascii="黑体" w:hAnsi="黑体" w:eastAsia="黑体" w:cs="黑体"/>
                <w:color w:val="000000"/>
                <w:sz w:val="20"/>
                <w:szCs w:val="20"/>
                <w:lang w:eastAsia="zh-CN"/>
              </w:rPr>
            </w:pPr>
          </w:p>
        </w:tc>
        <w:tc>
          <w:tcPr>
            <w:tcW w:w="5196" w:type="dxa"/>
            <w:tcBorders>
              <w:tl2br w:val="nil"/>
              <w:tr2bl w:val="nil"/>
            </w:tcBorders>
            <w:shd w:val="clear" w:color="auto" w:fill="auto"/>
            <w:vAlign w:val="center"/>
          </w:tcPr>
          <w:p w14:paraId="7DE1CF47">
            <w:pPr>
              <w:widowControl/>
              <w:jc w:val="center"/>
              <w:textAlignment w:val="center"/>
              <w:rPr>
                <w:rFonts w:hint="eastAsia" w:ascii="宋体" w:hAnsi="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lang w:val="en-US" w:eastAsia="zh-CN"/>
                <w14:textFill>
                  <w14:solidFill>
                    <w14:schemeClr w14:val="tx1"/>
                  </w14:solidFill>
                </w14:textFill>
              </w:rPr>
              <w:t xml:space="preserve">具体明细详见采购文件“第五章 采购需求” </w:t>
            </w:r>
          </w:p>
          <w:p w14:paraId="544ABF93">
            <w:pPr>
              <w:widowControl/>
              <w:jc w:val="center"/>
              <w:textAlignment w:val="center"/>
              <w:rPr>
                <w:rFonts w:hint="eastAsia" w:ascii="黑体" w:hAnsi="黑体" w:eastAsia="黑体" w:cs="黑体"/>
                <w:color w:val="000000"/>
                <w:sz w:val="20"/>
                <w:szCs w:val="20"/>
                <w:lang w:eastAsia="zh-CN"/>
              </w:rPr>
            </w:pPr>
          </w:p>
        </w:tc>
        <w:tc>
          <w:tcPr>
            <w:tcW w:w="690" w:type="dxa"/>
            <w:tcBorders>
              <w:right w:val="single" w:color="auto" w:sz="4" w:space="0"/>
              <w:tl2br w:val="nil"/>
              <w:tr2bl w:val="nil"/>
            </w:tcBorders>
            <w:shd w:val="clear" w:color="auto" w:fill="auto"/>
            <w:noWrap/>
            <w:vAlign w:val="center"/>
          </w:tcPr>
          <w:p w14:paraId="1B3211BB">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家</w:t>
            </w:r>
          </w:p>
        </w:tc>
        <w:tc>
          <w:tcPr>
            <w:tcW w:w="690" w:type="dxa"/>
            <w:tcBorders>
              <w:left w:val="single" w:color="auto" w:sz="4" w:space="0"/>
              <w:tl2br w:val="nil"/>
              <w:tr2bl w:val="nil"/>
            </w:tcBorders>
            <w:shd w:val="clear" w:color="auto" w:fill="auto"/>
            <w:noWrap/>
            <w:vAlign w:val="center"/>
          </w:tcPr>
          <w:p w14:paraId="5E2E1147">
            <w:pPr>
              <w:widowControl/>
              <w:jc w:val="center"/>
              <w:textAlignment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w:t>
            </w:r>
          </w:p>
        </w:tc>
        <w:tc>
          <w:tcPr>
            <w:tcW w:w="428" w:type="dxa"/>
            <w:tcBorders>
              <w:tl2br w:val="nil"/>
              <w:tr2bl w:val="nil"/>
            </w:tcBorders>
            <w:shd w:val="clear" w:color="auto" w:fill="auto"/>
            <w:vAlign w:val="center"/>
          </w:tcPr>
          <w:p w14:paraId="7B75B0E7">
            <w:pPr>
              <w:jc w:val="center"/>
              <w:rPr>
                <w:rFonts w:ascii="黑体" w:hAnsi="黑体" w:eastAsia="黑体" w:cs="黑体"/>
                <w:color w:val="000000"/>
                <w:sz w:val="20"/>
                <w:szCs w:val="20"/>
              </w:rPr>
            </w:pPr>
          </w:p>
        </w:tc>
      </w:tr>
    </w:tbl>
    <w:p w14:paraId="0B4C9BF3">
      <w:pPr>
        <w:numPr>
          <w:ilvl w:val="0"/>
          <w:numId w:val="0"/>
        </w:numPr>
        <w:rPr>
          <w:rFonts w:hint="eastAsia" w:ascii="宋体" w:hAnsi="宋体" w:eastAsia="宋体" w:cs="Arial"/>
          <w:b/>
          <w:bCs/>
          <w:color w:val="000000" w:themeColor="text1"/>
          <w:kern w:val="0"/>
          <w:sz w:val="21"/>
          <w:szCs w:val="21"/>
          <w:lang w:val="en-US" w:eastAsia="zh-CN" w:bidi="ar-SA"/>
          <w14:textFill>
            <w14:solidFill>
              <w14:schemeClr w14:val="tx1"/>
            </w14:solidFill>
          </w14:textFill>
        </w:rPr>
      </w:pPr>
    </w:p>
    <w:p w14:paraId="6A9B29B5">
      <w:pPr>
        <w:numPr>
          <w:ilvl w:val="0"/>
          <w:numId w:val="3"/>
        </w:numPr>
        <w:rPr>
          <w:rFonts w:hint="eastAsia" w:ascii="宋体" w:hAnsi="宋体" w:eastAsia="宋体" w:cs="Arial"/>
          <w:b/>
          <w:bCs/>
          <w:color w:val="000000" w:themeColor="text1"/>
          <w:kern w:val="0"/>
          <w:sz w:val="21"/>
          <w:szCs w:val="21"/>
          <w:lang w:val="en-US" w:eastAsia="zh-CN" w:bidi="ar-SA"/>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投标人资格要求；</w:t>
      </w:r>
    </w:p>
    <w:p w14:paraId="4300DB0C">
      <w:pPr>
        <w:numPr>
          <w:ilvl w:val="0"/>
          <w:numId w:val="0"/>
        </w:numPr>
        <w:ind w:firstLine="240" w:firstLineChars="100"/>
        <w:rPr>
          <w:rFonts w:hint="default"/>
          <w:color w:val="auto"/>
          <w:lang w:val="en-US" w:eastAsia="zh-CN"/>
        </w:rPr>
      </w:pPr>
      <w:r>
        <w:rPr>
          <w:rFonts w:hint="eastAsia" w:ascii="仿宋" w:hAnsi="仿宋" w:eastAsia="仿宋" w:cs="Times New Roman"/>
          <w:color w:val="auto"/>
          <w:sz w:val="24"/>
          <w:szCs w:val="24"/>
          <w:lang w:val="en-US" w:eastAsia="zh-CN"/>
        </w:rPr>
        <w:t>（一）</w:t>
      </w:r>
      <w:r>
        <w:rPr>
          <w:rFonts w:ascii="仿宋" w:hAnsi="仿宋" w:eastAsia="仿宋" w:cs="Times New Roman"/>
          <w:color w:val="auto"/>
          <w:sz w:val="24"/>
          <w:szCs w:val="24"/>
        </w:rPr>
        <w:t xml:space="preserve">符合《中华人民共和国政府采购法》第二十二条的相关规定； </w:t>
      </w:r>
    </w:p>
    <w:p w14:paraId="66CD6811">
      <w:pPr>
        <w:numPr>
          <w:ilvl w:val="0"/>
          <w:numId w:val="0"/>
        </w:numPr>
        <w:spacing w:before="62" w:beforeLines="20" w:line="288"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1</w:t>
      </w:r>
      <w:r>
        <w:rPr>
          <w:rFonts w:hint="eastAsia" w:ascii="仿宋" w:hAnsi="仿宋" w:eastAsia="仿宋" w:cs="Times New Roman"/>
          <w:color w:val="auto"/>
          <w:sz w:val="24"/>
          <w:szCs w:val="24"/>
          <w:lang w:eastAsia="zh-CN"/>
        </w:rPr>
        <w:t>）</w:t>
      </w:r>
      <w:r>
        <w:rPr>
          <w:rFonts w:ascii="仿宋" w:hAnsi="仿宋" w:eastAsia="仿宋" w:cs="Times New Roman"/>
          <w:color w:val="auto"/>
          <w:sz w:val="24"/>
          <w:szCs w:val="24"/>
        </w:rPr>
        <w:t xml:space="preserve">具有独立承担民事责任的能力； </w:t>
      </w:r>
    </w:p>
    <w:p w14:paraId="34D19C8C">
      <w:pPr>
        <w:numPr>
          <w:ilvl w:val="0"/>
          <w:numId w:val="0"/>
        </w:numPr>
        <w:spacing w:before="62" w:beforeLines="20" w:line="288" w:lineRule="auto"/>
        <w:ind w:leftChars="0" w:firstLine="480" w:firstLineChars="200"/>
        <w:rPr>
          <w:rFonts w:ascii="仿宋" w:hAnsi="仿宋" w:eastAsia="仿宋" w:cs="Times New Roman"/>
          <w:color w:val="auto"/>
          <w:sz w:val="24"/>
          <w:szCs w:val="24"/>
          <w:highlight w:val="red"/>
        </w:rPr>
      </w:pP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lang w:eastAsia="zh-CN"/>
        </w:rPr>
        <w:t>）</w:t>
      </w:r>
      <w:r>
        <w:rPr>
          <w:rFonts w:ascii="仿宋" w:hAnsi="仿宋" w:eastAsia="仿宋" w:cs="Times New Roman"/>
          <w:color w:val="auto"/>
          <w:sz w:val="24"/>
          <w:szCs w:val="24"/>
        </w:rPr>
        <w:t>具有良好的商业信誉和健全的财务会计制度；</w:t>
      </w:r>
    </w:p>
    <w:p w14:paraId="1E52408D">
      <w:pPr>
        <w:numPr>
          <w:ilvl w:val="0"/>
          <w:numId w:val="0"/>
        </w:numPr>
        <w:spacing w:before="62" w:beforeLines="20" w:line="288" w:lineRule="auto"/>
        <w:ind w:leftChars="0"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lang w:eastAsia="zh-CN"/>
        </w:rPr>
        <w:t>）</w:t>
      </w:r>
      <w:r>
        <w:rPr>
          <w:rFonts w:ascii="仿宋" w:hAnsi="仿宋" w:eastAsia="仿宋" w:cs="Times New Roman"/>
          <w:color w:val="auto"/>
          <w:sz w:val="24"/>
          <w:szCs w:val="24"/>
        </w:rPr>
        <w:t>具有履行合同所必需的设备和专业技术能力；</w:t>
      </w:r>
    </w:p>
    <w:p w14:paraId="338DB1DA">
      <w:pPr>
        <w:numPr>
          <w:ilvl w:val="0"/>
          <w:numId w:val="0"/>
        </w:numPr>
        <w:spacing w:before="62" w:beforeLines="20" w:line="288" w:lineRule="auto"/>
        <w:ind w:leftChars="0"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4</w:t>
      </w:r>
      <w:r>
        <w:rPr>
          <w:rFonts w:hint="eastAsia" w:ascii="仿宋" w:hAnsi="仿宋" w:eastAsia="仿宋" w:cs="Times New Roman"/>
          <w:color w:val="auto"/>
          <w:sz w:val="24"/>
          <w:szCs w:val="24"/>
          <w:lang w:eastAsia="zh-CN"/>
        </w:rPr>
        <w:t>）</w:t>
      </w:r>
      <w:r>
        <w:rPr>
          <w:rFonts w:ascii="仿宋" w:hAnsi="仿宋" w:eastAsia="仿宋" w:cs="Times New Roman"/>
          <w:color w:val="auto"/>
          <w:sz w:val="24"/>
          <w:szCs w:val="24"/>
        </w:rPr>
        <w:t>有依法缴纳税收和社会保障资金的良好记录；</w:t>
      </w:r>
    </w:p>
    <w:p w14:paraId="0E2A0A6E">
      <w:pPr>
        <w:pageBreakBefore w:val="0"/>
        <w:numPr>
          <w:ilvl w:val="0"/>
          <w:numId w:val="0"/>
        </w:numPr>
        <w:kinsoku/>
        <w:wordWrap/>
        <w:overflowPunct/>
        <w:topLinePunct w:val="0"/>
        <w:autoSpaceDE/>
        <w:autoSpaceDN/>
        <w:bidi w:val="0"/>
        <w:adjustRightInd/>
        <w:spacing w:before="62" w:beforeLines="20" w:line="360" w:lineRule="auto"/>
        <w:ind w:leftChars="0" w:firstLine="480" w:firstLineChars="200"/>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lang w:eastAsia="zh-CN"/>
        </w:rPr>
        <w:t>）</w:t>
      </w:r>
      <w:r>
        <w:rPr>
          <w:rFonts w:ascii="仿宋" w:hAnsi="仿宋" w:eastAsia="仿宋" w:cs="Times New Roman"/>
          <w:color w:val="auto"/>
          <w:sz w:val="24"/>
          <w:szCs w:val="24"/>
        </w:rPr>
        <w:t>参加政府采购活动前三年内，在经营活动中没有重大违法记录；</w:t>
      </w:r>
      <w:r>
        <w:rPr>
          <w:rFonts w:hint="eastAsia" w:ascii="仿宋" w:hAnsi="仿宋" w:eastAsia="仿宋" w:cs="Times New Roman"/>
          <w:color w:val="auto"/>
          <w:sz w:val="24"/>
          <w:szCs w:val="24"/>
          <w:lang w:eastAsia="zh-CN"/>
        </w:rPr>
        <w:t>（成立不足三年的，以实际成立时间开始）</w:t>
      </w:r>
    </w:p>
    <w:p w14:paraId="1492AB8E">
      <w:pPr>
        <w:pageBreakBefore w:val="0"/>
        <w:numPr>
          <w:ilvl w:val="0"/>
          <w:numId w:val="0"/>
        </w:numPr>
        <w:kinsoku/>
        <w:wordWrap/>
        <w:overflowPunct/>
        <w:topLinePunct w:val="0"/>
        <w:autoSpaceDE/>
        <w:autoSpaceDN/>
        <w:bidi w:val="0"/>
        <w:adjustRightInd/>
        <w:spacing w:before="62" w:beforeLines="20" w:line="360" w:lineRule="auto"/>
        <w:ind w:leftChars="0" w:firstLine="480" w:firstLineChars="200"/>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6</w:t>
      </w:r>
      <w:r>
        <w:rPr>
          <w:rFonts w:hint="eastAsia" w:ascii="仿宋" w:hAnsi="仿宋" w:eastAsia="仿宋" w:cs="Times New Roman"/>
          <w:color w:val="auto"/>
          <w:sz w:val="24"/>
          <w:szCs w:val="24"/>
          <w:lang w:eastAsia="zh-CN"/>
        </w:rPr>
        <w:t>）</w:t>
      </w:r>
      <w:r>
        <w:rPr>
          <w:rFonts w:ascii="仿宋" w:hAnsi="仿宋" w:eastAsia="仿宋" w:cs="Times New Roman"/>
          <w:color w:val="auto"/>
          <w:sz w:val="24"/>
          <w:szCs w:val="24"/>
        </w:rPr>
        <w:t xml:space="preserve">法律、行政法规规定的其他条件。 </w:t>
      </w:r>
    </w:p>
    <w:p w14:paraId="7834F7F3">
      <w:pPr>
        <w:pageBreakBefore w:val="0"/>
        <w:widowControl w:val="0"/>
        <w:numPr>
          <w:ilvl w:val="0"/>
          <w:numId w:val="0"/>
        </w:numPr>
        <w:kinsoku/>
        <w:wordWrap/>
        <w:overflowPunct/>
        <w:topLinePunct w:val="0"/>
        <w:autoSpaceDE/>
        <w:autoSpaceDN/>
        <w:bidi w:val="0"/>
        <w:adjustRightInd/>
        <w:snapToGrid/>
        <w:spacing w:before="62" w:beforeLines="20" w:line="360" w:lineRule="auto"/>
        <w:ind w:leftChars="0" w:firstLine="240" w:firstLineChars="100"/>
        <w:textAlignment w:val="auto"/>
        <w:rPr>
          <w:rFonts w:ascii="宋体" w:hAnsi="宋体" w:cs="Arial"/>
          <w:color w:val="FF0000"/>
          <w:kern w:val="0"/>
          <w:szCs w:val="21"/>
        </w:rPr>
      </w:pPr>
      <w:r>
        <w:rPr>
          <w:rFonts w:hint="eastAsia" w:ascii="仿宋" w:hAnsi="仿宋" w:eastAsia="仿宋" w:cs="Times New Roman"/>
          <w:color w:val="auto"/>
          <w:sz w:val="24"/>
          <w:szCs w:val="24"/>
          <w:lang w:val="en-US" w:eastAsia="zh-CN"/>
        </w:rPr>
        <w:t>（二）</w:t>
      </w:r>
      <w:r>
        <w:rPr>
          <w:rFonts w:ascii="仿宋" w:hAnsi="仿宋" w:eastAsia="仿宋" w:cs="Times New Roman"/>
          <w:color w:val="auto"/>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（网页打印件</w:t>
      </w:r>
      <w:r>
        <w:rPr>
          <w:rFonts w:hint="eastAsia" w:ascii="仿宋" w:hAnsi="仿宋" w:eastAsia="仿宋" w:cs="Times New Roman"/>
          <w:color w:val="auto"/>
          <w:sz w:val="24"/>
          <w:szCs w:val="24"/>
          <w:lang w:eastAsia="zh-CN"/>
        </w:rPr>
        <w:t>时间</w:t>
      </w:r>
      <w:r>
        <w:rPr>
          <w:rFonts w:ascii="仿宋" w:hAnsi="仿宋" w:eastAsia="仿宋" w:cs="Times New Roman"/>
          <w:color w:val="auto"/>
          <w:sz w:val="24"/>
          <w:szCs w:val="24"/>
        </w:rPr>
        <w:t>须自招标文件发布之日起至投标截止时间从上述网站中通过浏览器打印</w:t>
      </w:r>
      <w:r>
        <w:rPr>
          <w:rFonts w:hint="eastAsia" w:ascii="仿宋" w:hAnsi="仿宋" w:eastAsia="仿宋" w:cs="Times New Roman"/>
          <w:color w:val="auto"/>
          <w:sz w:val="24"/>
          <w:szCs w:val="24"/>
          <w:lang w:eastAsia="zh-CN"/>
        </w:rPr>
        <w:t>，开标时由资格审查人员或资格审查小组进行现场网上核对，出现结果不一致的由投标供应商自行承担法律责任。</w:t>
      </w:r>
      <w:r>
        <w:rPr>
          <w:rFonts w:ascii="仿宋" w:hAnsi="仿宋" w:eastAsia="仿宋" w:cs="Times New Roman"/>
          <w:color w:val="auto"/>
          <w:sz w:val="24"/>
          <w:szCs w:val="24"/>
        </w:rPr>
        <w:t>）</w:t>
      </w:r>
    </w:p>
    <w:p w14:paraId="467880FE">
      <w:pPr>
        <w:pageBreakBefore w:val="0"/>
        <w:widowControl w:val="0"/>
        <w:numPr>
          <w:ilvl w:val="0"/>
          <w:numId w:val="0"/>
        </w:numPr>
        <w:kinsoku/>
        <w:wordWrap/>
        <w:overflowPunct/>
        <w:topLinePunct w:val="0"/>
        <w:autoSpaceDE/>
        <w:autoSpaceDN/>
        <w:bidi w:val="0"/>
        <w:adjustRightInd/>
        <w:snapToGrid/>
        <w:spacing w:before="62" w:beforeLines="20" w:line="360" w:lineRule="auto"/>
        <w:ind w:leftChars="0" w:firstLine="240" w:firstLineChars="1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（三）本项目不接受联合体，分公司参与投标需提供总公司营业执照及授权。需提供总公司有效的营业制造及分公司有效的营业执照；</w:t>
      </w:r>
    </w:p>
    <w:p w14:paraId="0D6D6D9B">
      <w:pPr>
        <w:pStyle w:val="2"/>
        <w:numPr>
          <w:ilvl w:val="0"/>
          <w:numId w:val="0"/>
        </w:numPr>
        <w:ind w:firstLine="240" w:firstLineChars="10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 </w:t>
      </w:r>
      <w:r>
        <w:rPr>
          <w:rFonts w:hint="eastAsia" w:ascii="仿宋" w:hAnsi="仿宋" w:eastAsia="仿宋" w:cs="Times New Roman"/>
          <w:b/>
          <w:bCs/>
          <w:color w:val="auto"/>
          <w:kern w:val="2"/>
          <w:sz w:val="24"/>
          <w:szCs w:val="24"/>
          <w:lang w:val="en-US" w:eastAsia="zh-CN" w:bidi="ar-SA"/>
        </w:rPr>
        <w:t>本项目特殊资质要求：无</w:t>
      </w:r>
    </w:p>
    <w:p w14:paraId="4C8C0A60">
      <w:pPr>
        <w:pageBreakBefore w:val="0"/>
        <w:widowControl w:val="0"/>
        <w:numPr>
          <w:ilvl w:val="0"/>
          <w:numId w:val="0"/>
        </w:numPr>
        <w:kinsoku/>
        <w:wordWrap/>
        <w:overflowPunct/>
        <w:topLinePunct w:val="0"/>
        <w:autoSpaceDE/>
        <w:autoSpaceDN/>
        <w:bidi w:val="0"/>
        <w:adjustRightInd/>
        <w:snapToGrid/>
        <w:spacing w:before="62" w:beforeLines="20" w:line="360" w:lineRule="auto"/>
        <w:ind w:leftChars="0" w:firstLine="240" w:firstLineChars="100"/>
        <w:textAlignment w:val="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（四）</w:t>
      </w:r>
      <w:r>
        <w:rPr>
          <w:rFonts w:hint="eastAsia" w:ascii="仿宋" w:hAnsi="仿宋" w:eastAsia="仿宋" w:cs="Times New Roman"/>
          <w:b/>
          <w:bCs/>
          <w:color w:val="auto"/>
          <w:sz w:val="24"/>
          <w:szCs w:val="24"/>
          <w:highlight w:val="none"/>
          <w:lang w:val="en-US" w:eastAsia="zh-CN"/>
        </w:rPr>
        <w:t>本项目不专门面向中小企业预留</w:t>
      </w:r>
      <w:r>
        <w:rPr>
          <w:rFonts w:hint="eastAsia" w:ascii="仿宋" w:hAnsi="仿宋" w:eastAsia="仿宋" w:cs="Times New Roman"/>
          <w:color w:val="auto"/>
          <w:sz w:val="24"/>
          <w:szCs w:val="24"/>
          <w:highlight w:val="none"/>
          <w:lang w:val="en-US" w:eastAsia="zh-CN"/>
        </w:rPr>
        <w:t>。给予符合政策要求的小型和微型企业价格给予10%的扣除，用扣除后的价格参与评审。需提供《中小企业声明函》。</w:t>
      </w:r>
    </w:p>
    <w:p w14:paraId="15B1548C">
      <w:pPr>
        <w:numPr>
          <w:ilvl w:val="0"/>
          <w:numId w:val="4"/>
        </w:numPr>
        <w:rPr>
          <w:rFonts w:hint="default"/>
          <w:lang w:val="en-US" w:eastAsia="zh-CN"/>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报名及开标、时间、地点、方式及招标文件售价</w:t>
      </w:r>
    </w:p>
    <w:p w14:paraId="0F65F9F7">
      <w:pPr>
        <w:widowControl/>
        <w:spacing w:line="380" w:lineRule="exact"/>
        <w:ind w:firstLine="420" w:firstLineChars="200"/>
        <w:jc w:val="left"/>
        <w:rPr>
          <w:rFonts w:hint="eastAsia" w:ascii="宋体" w:hAnsi="宋体" w:cs="Arial"/>
          <w:b w:val="0"/>
          <w:bCs w:val="0"/>
          <w:color w:val="auto"/>
          <w:kern w:val="0"/>
          <w:szCs w:val="21"/>
        </w:rPr>
      </w:pPr>
      <w:r>
        <w:rPr>
          <w:rFonts w:hint="eastAsia" w:ascii="宋体" w:hAnsi="宋体" w:cs="Arial"/>
          <w:color w:val="auto"/>
          <w:kern w:val="0"/>
          <w:szCs w:val="21"/>
        </w:rPr>
        <w:t>报名开始时间</w:t>
      </w:r>
      <w:r>
        <w:rPr>
          <w:rFonts w:hint="eastAsia" w:ascii="宋体" w:hAnsi="宋体" w:cs="Arial"/>
          <w:color w:val="auto"/>
          <w:kern w:val="0"/>
          <w:szCs w:val="21"/>
          <w:lang w:eastAsia="zh-CN"/>
        </w:rPr>
        <w:t>（文件获取开始时间）</w:t>
      </w:r>
      <w:r>
        <w:rPr>
          <w:rFonts w:hint="eastAsia" w:ascii="宋体" w:hAnsi="宋体" w:cs="Arial"/>
          <w:color w:val="auto"/>
          <w:kern w:val="0"/>
          <w:szCs w:val="21"/>
        </w:rPr>
        <w:t>：</w:t>
      </w:r>
      <w:r>
        <w:rPr>
          <w:rFonts w:hint="eastAsia"/>
          <w:b w:val="0"/>
          <w:bCs w:val="0"/>
          <w:color w:val="auto"/>
          <w:lang w:eastAsia="zh-CN"/>
        </w:rPr>
        <w:t>202</w:t>
      </w:r>
      <w:r>
        <w:rPr>
          <w:rFonts w:hint="eastAsia"/>
          <w:b w:val="0"/>
          <w:bCs w:val="0"/>
          <w:color w:val="auto"/>
          <w:lang w:val="en-US" w:eastAsia="zh-CN"/>
        </w:rPr>
        <w:t>5</w:t>
      </w:r>
      <w:r>
        <w:rPr>
          <w:rFonts w:hint="eastAsia"/>
          <w:b w:val="0"/>
          <w:bCs w:val="0"/>
          <w:color w:val="auto"/>
          <w:lang w:eastAsia="zh-CN"/>
        </w:rPr>
        <w:t>年</w:t>
      </w:r>
      <w:r>
        <w:rPr>
          <w:rFonts w:hint="eastAsia"/>
          <w:b w:val="0"/>
          <w:bCs w:val="0"/>
          <w:color w:val="auto"/>
          <w:lang w:val="en-US" w:eastAsia="zh-CN"/>
        </w:rPr>
        <w:t>3</w:t>
      </w:r>
      <w:r>
        <w:rPr>
          <w:rFonts w:hint="eastAsia"/>
          <w:b w:val="0"/>
          <w:bCs w:val="0"/>
          <w:color w:val="auto"/>
          <w:lang w:eastAsia="zh-CN"/>
        </w:rPr>
        <w:t>月</w:t>
      </w:r>
      <w:r>
        <w:rPr>
          <w:rFonts w:hint="eastAsia"/>
          <w:b w:val="0"/>
          <w:bCs w:val="0"/>
          <w:color w:val="auto"/>
          <w:lang w:val="en-US" w:eastAsia="zh-CN"/>
        </w:rPr>
        <w:t>11</w:t>
      </w:r>
      <w:r>
        <w:rPr>
          <w:rFonts w:hint="eastAsia"/>
          <w:b w:val="0"/>
          <w:bCs w:val="0"/>
          <w:color w:val="auto"/>
          <w:lang w:eastAsia="zh-CN"/>
        </w:rPr>
        <w:t>日，</w:t>
      </w:r>
      <w:r>
        <w:rPr>
          <w:rFonts w:hint="eastAsia"/>
          <w:b w:val="0"/>
          <w:bCs w:val="0"/>
          <w:color w:val="auto"/>
          <w:lang w:val="en-US" w:eastAsia="zh-CN"/>
        </w:rPr>
        <w:t>北京时间：</w:t>
      </w:r>
      <w:r>
        <w:rPr>
          <w:rFonts w:hint="eastAsia" w:ascii="宋体" w:hAnsi="宋体" w:cs="Arial"/>
          <w:b w:val="0"/>
          <w:bCs w:val="0"/>
          <w:color w:val="auto"/>
          <w:kern w:val="0"/>
          <w:szCs w:val="21"/>
        </w:rPr>
        <w:t>10点00分</w:t>
      </w:r>
    </w:p>
    <w:p w14:paraId="6EDBC5A1">
      <w:pPr>
        <w:widowControl/>
        <w:spacing w:line="380" w:lineRule="exact"/>
        <w:ind w:firstLine="420" w:firstLineChars="200"/>
        <w:jc w:val="left"/>
        <w:rPr>
          <w:rFonts w:hint="eastAsia" w:ascii="宋体" w:hAnsi="宋体" w:cs="Arial"/>
          <w:b w:val="0"/>
          <w:bCs w:val="0"/>
          <w:color w:val="auto"/>
          <w:kern w:val="0"/>
          <w:szCs w:val="21"/>
        </w:rPr>
      </w:pPr>
      <w:r>
        <w:rPr>
          <w:rFonts w:hint="eastAsia" w:ascii="宋体" w:hAnsi="宋体" w:cs="Arial"/>
          <w:b w:val="0"/>
          <w:bCs w:val="0"/>
          <w:color w:val="auto"/>
          <w:kern w:val="0"/>
          <w:szCs w:val="21"/>
        </w:rPr>
        <w:t>报名截止时间</w:t>
      </w:r>
      <w:r>
        <w:rPr>
          <w:rFonts w:hint="eastAsia" w:ascii="宋体" w:hAnsi="宋体" w:cs="Arial"/>
          <w:b w:val="0"/>
          <w:bCs w:val="0"/>
          <w:color w:val="auto"/>
          <w:kern w:val="0"/>
          <w:szCs w:val="21"/>
          <w:lang w:eastAsia="zh-CN"/>
        </w:rPr>
        <w:t>（文件获取截止时间）</w:t>
      </w:r>
      <w:r>
        <w:rPr>
          <w:rFonts w:hint="eastAsia" w:ascii="宋体" w:hAnsi="宋体" w:cs="Arial"/>
          <w:b w:val="0"/>
          <w:bCs w:val="0"/>
          <w:color w:val="auto"/>
          <w:kern w:val="0"/>
          <w:szCs w:val="21"/>
        </w:rPr>
        <w:t>：</w:t>
      </w:r>
      <w:r>
        <w:rPr>
          <w:rFonts w:hint="eastAsia"/>
          <w:b w:val="0"/>
          <w:bCs w:val="0"/>
          <w:color w:val="auto"/>
          <w:lang w:eastAsia="zh-CN"/>
        </w:rPr>
        <w:t>202</w:t>
      </w:r>
      <w:r>
        <w:rPr>
          <w:rFonts w:hint="eastAsia"/>
          <w:b w:val="0"/>
          <w:bCs w:val="0"/>
          <w:color w:val="auto"/>
          <w:lang w:val="en-US" w:eastAsia="zh-CN"/>
        </w:rPr>
        <w:t>5</w:t>
      </w:r>
      <w:r>
        <w:rPr>
          <w:rFonts w:hint="eastAsia"/>
          <w:b w:val="0"/>
          <w:bCs w:val="0"/>
          <w:color w:val="auto"/>
          <w:lang w:eastAsia="zh-CN"/>
        </w:rPr>
        <w:t>年</w:t>
      </w:r>
      <w:r>
        <w:rPr>
          <w:rFonts w:hint="eastAsia"/>
          <w:b w:val="0"/>
          <w:bCs w:val="0"/>
          <w:color w:val="auto"/>
          <w:lang w:val="en-US" w:eastAsia="zh-CN"/>
        </w:rPr>
        <w:t>3</w:t>
      </w:r>
      <w:r>
        <w:rPr>
          <w:rFonts w:hint="eastAsia"/>
          <w:b w:val="0"/>
          <w:bCs w:val="0"/>
          <w:color w:val="auto"/>
          <w:lang w:eastAsia="zh-CN"/>
        </w:rPr>
        <w:t>月</w:t>
      </w:r>
      <w:r>
        <w:rPr>
          <w:rFonts w:hint="eastAsia"/>
          <w:b w:val="0"/>
          <w:bCs w:val="0"/>
          <w:color w:val="auto"/>
          <w:lang w:val="en-US" w:eastAsia="zh-CN"/>
        </w:rPr>
        <w:t>18</w:t>
      </w:r>
      <w:r>
        <w:rPr>
          <w:rFonts w:hint="eastAsia"/>
          <w:b w:val="0"/>
          <w:bCs w:val="0"/>
          <w:color w:val="auto"/>
          <w:lang w:eastAsia="zh-CN"/>
        </w:rPr>
        <w:t>日，北京时间：</w:t>
      </w:r>
      <w:r>
        <w:rPr>
          <w:rFonts w:hint="eastAsia" w:ascii="宋体" w:hAnsi="宋体" w:cs="Arial"/>
          <w:b w:val="0"/>
          <w:bCs w:val="0"/>
          <w:color w:val="auto"/>
          <w:kern w:val="0"/>
          <w:szCs w:val="21"/>
        </w:rPr>
        <w:t>20点00分</w:t>
      </w:r>
    </w:p>
    <w:p w14:paraId="2E924C0D">
      <w:pPr>
        <w:pStyle w:val="2"/>
        <w:ind w:firstLine="421"/>
        <w:rPr>
          <w:rFonts w:hint="eastAsia" w:ascii="宋体" w:hAnsi="宋体" w:eastAsia="宋体" w:cs="Arial"/>
          <w:b w:val="0"/>
          <w:bCs w:val="0"/>
          <w:color w:val="auto"/>
          <w:kern w:val="0"/>
          <w:sz w:val="21"/>
          <w:szCs w:val="21"/>
          <w:lang w:val="en-US" w:eastAsia="zh-CN" w:bidi="ar-SA"/>
        </w:rPr>
      </w:pPr>
      <w:r>
        <w:rPr>
          <w:rFonts w:hint="eastAsia" w:ascii="宋体" w:hAnsi="宋体" w:cs="Arial"/>
          <w:b w:val="0"/>
          <w:bCs w:val="0"/>
          <w:color w:val="auto"/>
          <w:kern w:val="0"/>
          <w:szCs w:val="21"/>
          <w:lang w:val="en-US" w:eastAsia="zh-CN"/>
        </w:rPr>
        <w:t>开标时间（投标截止时间）    ：</w:t>
      </w:r>
      <w:r>
        <w:rPr>
          <w:rFonts w:hint="eastAsia" w:ascii="宋体" w:hAnsi="宋体" w:eastAsia="宋体" w:cs="Arial"/>
          <w:b w:val="0"/>
          <w:bCs w:val="0"/>
          <w:color w:val="auto"/>
          <w:kern w:val="0"/>
          <w:sz w:val="21"/>
          <w:szCs w:val="21"/>
          <w:lang w:val="en-US" w:eastAsia="zh-CN" w:bidi="ar-SA"/>
        </w:rPr>
        <w:t>202</w:t>
      </w:r>
      <w:r>
        <w:rPr>
          <w:rFonts w:hint="eastAsia" w:ascii="宋体" w:hAnsi="宋体" w:cs="Arial"/>
          <w:b w:val="0"/>
          <w:bCs w:val="0"/>
          <w:color w:val="auto"/>
          <w:kern w:val="0"/>
          <w:sz w:val="21"/>
          <w:szCs w:val="21"/>
          <w:lang w:val="en-US" w:eastAsia="zh-CN" w:bidi="ar-SA"/>
        </w:rPr>
        <w:t>5</w:t>
      </w:r>
      <w:r>
        <w:rPr>
          <w:rFonts w:hint="eastAsia" w:ascii="宋体" w:hAnsi="宋体" w:eastAsia="宋体" w:cs="Arial"/>
          <w:b w:val="0"/>
          <w:bCs w:val="0"/>
          <w:color w:val="auto"/>
          <w:kern w:val="0"/>
          <w:sz w:val="21"/>
          <w:szCs w:val="21"/>
          <w:lang w:val="en-US" w:eastAsia="zh-CN" w:bidi="ar-SA"/>
        </w:rPr>
        <w:t>年</w:t>
      </w:r>
      <w:r>
        <w:rPr>
          <w:rFonts w:hint="eastAsia" w:ascii="宋体" w:hAnsi="宋体" w:cs="Arial"/>
          <w:b w:val="0"/>
          <w:bCs w:val="0"/>
          <w:color w:val="auto"/>
          <w:kern w:val="0"/>
          <w:sz w:val="21"/>
          <w:szCs w:val="21"/>
          <w:lang w:val="en-US" w:eastAsia="zh-CN" w:bidi="ar-SA"/>
        </w:rPr>
        <w:t>4</w:t>
      </w:r>
      <w:r>
        <w:rPr>
          <w:rFonts w:hint="eastAsia" w:ascii="宋体" w:hAnsi="宋体" w:eastAsia="宋体" w:cs="Arial"/>
          <w:b w:val="0"/>
          <w:bCs w:val="0"/>
          <w:color w:val="auto"/>
          <w:kern w:val="0"/>
          <w:sz w:val="21"/>
          <w:szCs w:val="21"/>
          <w:lang w:val="en-US" w:eastAsia="zh-CN" w:bidi="ar-SA"/>
        </w:rPr>
        <w:t>月</w:t>
      </w:r>
      <w:r>
        <w:rPr>
          <w:rFonts w:hint="eastAsia" w:ascii="宋体" w:hAnsi="宋体" w:cs="Arial"/>
          <w:b w:val="0"/>
          <w:bCs w:val="0"/>
          <w:color w:val="auto"/>
          <w:kern w:val="0"/>
          <w:sz w:val="21"/>
          <w:szCs w:val="21"/>
          <w:lang w:val="en-US" w:eastAsia="zh-CN" w:bidi="ar-SA"/>
        </w:rPr>
        <w:t>1</w:t>
      </w:r>
      <w:r>
        <w:rPr>
          <w:rFonts w:hint="eastAsia" w:ascii="宋体" w:hAnsi="宋体" w:eastAsia="宋体" w:cs="Arial"/>
          <w:b w:val="0"/>
          <w:bCs w:val="0"/>
          <w:color w:val="auto"/>
          <w:kern w:val="0"/>
          <w:sz w:val="21"/>
          <w:szCs w:val="21"/>
          <w:lang w:val="en-US" w:eastAsia="zh-CN" w:bidi="ar-SA"/>
        </w:rPr>
        <w:t>日</w:t>
      </w:r>
      <w:r>
        <w:rPr>
          <w:rFonts w:hint="eastAsia" w:ascii="宋体" w:hAnsi="宋体" w:cs="Arial"/>
          <w:b w:val="0"/>
          <w:bCs w:val="0"/>
          <w:color w:val="auto"/>
          <w:kern w:val="0"/>
          <w:sz w:val="21"/>
          <w:szCs w:val="21"/>
          <w:lang w:val="en-US" w:eastAsia="zh-CN" w:bidi="ar-SA"/>
        </w:rPr>
        <w:t>，</w:t>
      </w:r>
      <w:r>
        <w:rPr>
          <w:rFonts w:hint="eastAsia"/>
          <w:b w:val="0"/>
          <w:bCs w:val="0"/>
          <w:color w:val="auto"/>
          <w:lang w:eastAsia="zh-CN"/>
        </w:rPr>
        <w:t>北京时间：</w:t>
      </w:r>
      <w:r>
        <w:rPr>
          <w:rFonts w:hint="eastAsia" w:ascii="宋体" w:hAnsi="宋体" w:cs="Arial"/>
          <w:b w:val="0"/>
          <w:bCs w:val="0"/>
          <w:color w:val="auto"/>
          <w:kern w:val="0"/>
          <w:szCs w:val="21"/>
          <w:lang w:val="en-US" w:eastAsia="zh-CN"/>
        </w:rPr>
        <w:t>10</w:t>
      </w:r>
      <w:r>
        <w:rPr>
          <w:rFonts w:hint="eastAsia" w:ascii="宋体" w:hAnsi="宋体" w:cs="Arial"/>
          <w:b w:val="0"/>
          <w:bCs w:val="0"/>
          <w:color w:val="auto"/>
          <w:kern w:val="0"/>
          <w:szCs w:val="21"/>
        </w:rPr>
        <w:t>点</w:t>
      </w:r>
      <w:r>
        <w:rPr>
          <w:rFonts w:hint="eastAsia" w:ascii="宋体" w:hAnsi="宋体" w:cs="Arial"/>
          <w:b w:val="0"/>
          <w:bCs w:val="0"/>
          <w:color w:val="auto"/>
          <w:kern w:val="0"/>
          <w:szCs w:val="21"/>
          <w:lang w:val="en-US" w:eastAsia="zh-CN"/>
        </w:rPr>
        <w:t>30</w:t>
      </w:r>
      <w:r>
        <w:rPr>
          <w:rFonts w:hint="eastAsia" w:ascii="宋体" w:hAnsi="宋体" w:cs="Arial"/>
          <w:b w:val="0"/>
          <w:bCs w:val="0"/>
          <w:color w:val="auto"/>
          <w:kern w:val="0"/>
          <w:szCs w:val="21"/>
        </w:rPr>
        <w:t>分</w:t>
      </w:r>
      <w:r>
        <w:rPr>
          <w:rFonts w:hint="eastAsia" w:ascii="宋体" w:hAnsi="宋体" w:cs="Arial"/>
          <w:b w:val="0"/>
          <w:bCs w:val="0"/>
          <w:color w:val="auto"/>
          <w:kern w:val="0"/>
          <w:szCs w:val="21"/>
          <w:lang w:eastAsia="zh-CN"/>
        </w:rPr>
        <w:t>（电子评标室）</w:t>
      </w:r>
    </w:p>
    <w:p w14:paraId="580827EE">
      <w:pPr>
        <w:keepNext w:val="0"/>
        <w:keepLines w:val="0"/>
        <w:widowControl/>
        <w:suppressLineNumbers w:val="0"/>
        <w:ind w:firstLine="422" w:firstLineChars="200"/>
        <w:jc w:val="left"/>
        <w:rPr>
          <w:rFonts w:hint="eastAsia" w:ascii="宋体" w:hAnsi="宋体" w:eastAsia="宋体" w:cs="Arial"/>
          <w:b/>
          <w:bCs/>
          <w:color w:val="000000" w:themeColor="text1"/>
          <w:kern w:val="0"/>
          <w:sz w:val="21"/>
          <w:szCs w:val="21"/>
          <w:lang w:val="en-US" w:eastAsia="zh-CN" w:bidi="ar-SA"/>
          <w14:textFill>
            <w14:solidFill>
              <w14:schemeClr w14:val="tx1"/>
            </w14:solidFill>
          </w14:textFill>
        </w:rPr>
      </w:pPr>
      <w:r>
        <w:rPr>
          <w:rFonts w:hint="eastAsia" w:ascii="宋体" w:hAnsi="宋体" w:eastAsia="宋体" w:cs="Arial"/>
          <w:b/>
          <w:bCs/>
          <w:kern w:val="0"/>
          <w:szCs w:val="21"/>
          <w:lang w:val="en-US" w:eastAsia="zh-CN"/>
        </w:rPr>
        <w:t>评标时间：</w:t>
      </w:r>
      <w:r>
        <w:rPr>
          <w:rFonts w:hint="eastAsia" w:ascii="宋体" w:hAnsi="宋体" w:eastAsia="宋体"/>
          <w:color w:val="000000" w:themeColor="text1"/>
          <w:szCs w:val="21"/>
          <w:lang w:val="en-US" w:eastAsia="zh-CN"/>
          <w14:textFill>
            <w14:solidFill>
              <w14:schemeClr w14:val="tx1"/>
            </w14:solidFill>
          </w14:textFill>
        </w:rPr>
        <w:t>电子投标文件解密后</w:t>
      </w:r>
    </w:p>
    <w:p w14:paraId="7F990A28">
      <w:pPr>
        <w:pStyle w:val="2"/>
        <w:ind w:firstLine="421"/>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cs="Arial"/>
          <w:b/>
          <w:bCs/>
          <w:color w:val="000000" w:themeColor="text1"/>
          <w:kern w:val="0"/>
          <w:szCs w:val="21"/>
          <w:lang w:val="en-US" w:eastAsia="zh-CN"/>
          <w14:textFill>
            <w14:solidFill>
              <w14:schemeClr w14:val="tx1"/>
            </w14:solidFill>
          </w14:textFill>
        </w:rPr>
        <w:t>获取文件地点：</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政采云平台http://www.zcygov.cn/。</w:t>
      </w:r>
    </w:p>
    <w:p w14:paraId="17752316">
      <w:pPr>
        <w:widowControl/>
        <w:spacing w:line="380" w:lineRule="exact"/>
        <w:ind w:firstLine="422" w:firstLineChars="20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s="Arial"/>
          <w:b/>
          <w:bCs/>
          <w:kern w:val="0"/>
          <w:szCs w:val="21"/>
        </w:rPr>
        <w:t>开标地点（网址）：</w:t>
      </w:r>
      <w:r>
        <w:rPr>
          <w:rFonts w:hint="eastAsia" w:ascii="宋体" w:hAnsi="宋体" w:eastAsia="宋体"/>
          <w:color w:val="000000" w:themeColor="text1"/>
          <w:szCs w:val="21"/>
          <w:lang w:val="en-US" w:eastAsia="zh-CN"/>
          <w14:textFill>
            <w14:solidFill>
              <w14:schemeClr w14:val="tx1"/>
            </w14:solidFill>
          </w14:textFill>
        </w:rPr>
        <w:fldChar w:fldCharType="begin"/>
      </w:r>
      <w:r>
        <w:rPr>
          <w:rFonts w:hint="eastAsia" w:ascii="宋体" w:hAnsi="宋体" w:eastAsia="宋体"/>
          <w:color w:val="000000" w:themeColor="text1"/>
          <w:szCs w:val="21"/>
          <w:lang w:val="en-US" w:eastAsia="zh-CN"/>
          <w14:textFill>
            <w14:solidFill>
              <w14:schemeClr w14:val="tx1"/>
            </w14:solidFill>
          </w14:textFill>
        </w:rPr>
        <w:instrText xml:space="preserve"> HYPERLINK "https://www.zcygov.cn，投标供应商无需到达评标现场。" </w:instrText>
      </w:r>
      <w:r>
        <w:rPr>
          <w:rFonts w:hint="eastAsia" w:ascii="宋体" w:hAnsi="宋体" w:eastAsia="宋体"/>
          <w:color w:val="000000" w:themeColor="text1"/>
          <w:szCs w:val="21"/>
          <w:lang w:val="en-US" w:eastAsia="zh-CN"/>
          <w14:textFill>
            <w14:solidFill>
              <w14:schemeClr w14:val="tx1"/>
            </w14:solidFill>
          </w14:textFill>
        </w:rPr>
        <w:fldChar w:fldCharType="separate"/>
      </w:r>
      <w:r>
        <w:rPr>
          <w:rFonts w:hint="eastAsia" w:ascii="宋体" w:hAnsi="宋体" w:eastAsia="宋体"/>
          <w:color w:val="000000" w:themeColor="text1"/>
          <w:szCs w:val="21"/>
          <w:lang w:val="en-US" w:eastAsia="zh-CN"/>
          <w14:textFill>
            <w14:solidFill>
              <w14:schemeClr w14:val="tx1"/>
            </w14:solidFill>
          </w14:textFill>
        </w:rPr>
        <w:t>https://www.zcygov.cn</w:t>
      </w:r>
      <w:r>
        <w:rPr>
          <w:rFonts w:hint="eastAsia" w:ascii="宋体" w:hAnsi="宋体" w:eastAsia="宋体"/>
          <w:color w:val="000000" w:themeColor="text1"/>
          <w:szCs w:val="21"/>
          <w:lang w:val="en-US" w:eastAsia="zh-CN"/>
          <w14:textFill>
            <w14:solidFill>
              <w14:schemeClr w14:val="tx1"/>
            </w14:solidFill>
          </w14:textFill>
        </w:rPr>
        <w:fldChar w:fldCharType="end"/>
      </w:r>
      <w:r>
        <w:rPr>
          <w:rFonts w:hint="eastAsia" w:ascii="宋体" w:hAnsi="宋体" w:eastAsia="宋体"/>
          <w:color w:val="000000" w:themeColor="text1"/>
          <w:szCs w:val="21"/>
          <w:lang w:val="en-US" w:eastAsia="zh-CN"/>
          <w14:textFill>
            <w14:solidFill>
              <w14:schemeClr w14:val="tx1"/>
            </w14:solidFill>
          </w14:textFill>
        </w:rPr>
        <w:t>政采云电子开标大厅</w:t>
      </w:r>
    </w:p>
    <w:p w14:paraId="62747360">
      <w:pPr>
        <w:widowControl/>
        <w:spacing w:line="380" w:lineRule="exact"/>
        <w:ind w:firstLine="422"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开标地址：</w:t>
      </w:r>
      <w:r>
        <w:rPr>
          <w:rFonts w:hint="eastAsia" w:ascii="宋体" w:hAnsi="宋体" w:eastAsia="宋体"/>
          <w:color w:val="000000" w:themeColor="text1"/>
          <w:szCs w:val="21"/>
          <w:lang w:val="en-US" w:eastAsia="zh-CN"/>
          <w14:textFill>
            <w14:solidFill>
              <w14:schemeClr w14:val="tx1"/>
            </w14:solidFill>
          </w14:textFill>
        </w:rPr>
        <w:t>霍尔果斯市政务服务中心三楼公共资源交易中心电子评标室。（投标人无需到</w:t>
      </w:r>
      <w:r>
        <w:rPr>
          <w:rFonts w:hint="default" w:ascii="宋体" w:hAnsi="宋体" w:eastAsia="宋体"/>
          <w:color w:val="000000" w:themeColor="text1"/>
          <w:szCs w:val="21"/>
          <w:lang w:val="en-US" w:eastAsia="zh-CN"/>
          <w14:textFill>
            <w14:solidFill>
              <w14:schemeClr w14:val="tx1"/>
            </w14:solidFill>
          </w14:textFill>
        </w:rPr>
        <w:t>达评标地点</w:t>
      </w:r>
      <w:r>
        <w:rPr>
          <w:rFonts w:hint="eastAsia" w:ascii="宋体" w:hAnsi="宋体" w:eastAsia="宋体"/>
          <w:color w:val="000000" w:themeColor="text1"/>
          <w:szCs w:val="21"/>
          <w:lang w:val="en-US" w:eastAsia="zh-CN"/>
          <w14:textFill>
            <w14:solidFill>
              <w14:schemeClr w14:val="tx1"/>
            </w14:solidFill>
          </w14:textFill>
        </w:rPr>
        <w:t>、进行全流程电子化评标）</w:t>
      </w:r>
    </w:p>
    <w:p w14:paraId="79B972A6">
      <w:pPr>
        <w:ind w:firstLine="422" w:firstLineChars="200"/>
        <w:rPr>
          <w:rFonts w:hint="eastAsia" w:ascii="宋体" w:hAnsi="宋体" w:cs="Arial"/>
          <w:kern w:val="0"/>
          <w:szCs w:val="21"/>
          <w:lang w:val="en-US" w:eastAsia="zh-CN"/>
        </w:rPr>
      </w:pPr>
      <w:r>
        <w:rPr>
          <w:rFonts w:hint="eastAsia" w:ascii="宋体" w:hAnsi="宋体" w:eastAsia="宋体" w:cs="Arial"/>
          <w:b/>
          <w:bCs/>
          <w:kern w:val="0"/>
          <w:szCs w:val="21"/>
        </w:rPr>
        <w:t>招标文件售价</w:t>
      </w:r>
      <w:r>
        <w:rPr>
          <w:rFonts w:hint="eastAsia" w:ascii="宋体" w:hAnsi="宋体" w:eastAsia="宋体" w:cs="Arial"/>
          <w:kern w:val="0"/>
          <w:szCs w:val="21"/>
        </w:rPr>
        <w:t>：免费</w:t>
      </w:r>
    </w:p>
    <w:p w14:paraId="2B4217B3">
      <w:pPr>
        <w:widowControl/>
        <w:spacing w:line="380" w:lineRule="exact"/>
        <w:ind w:firstLine="422" w:firstLineChars="200"/>
        <w:jc w:val="left"/>
        <w:rPr>
          <w:rFonts w:hint="eastAsia" w:ascii="宋体" w:hAnsi="宋体" w:cs="Arial"/>
          <w:kern w:val="0"/>
          <w:szCs w:val="21"/>
        </w:rPr>
      </w:pPr>
      <w:r>
        <w:rPr>
          <w:rFonts w:hint="eastAsia"/>
          <w:b/>
          <w:bCs/>
          <w:lang w:val="en-US" w:eastAsia="zh-CN"/>
        </w:rPr>
        <w:t>文件获取方式：</w:t>
      </w:r>
      <w:r>
        <w:rPr>
          <w:rFonts w:hint="eastAsia" w:ascii="宋体" w:hAnsi="宋体" w:cs="Arial"/>
          <w:kern w:val="0"/>
          <w:szCs w:val="21"/>
        </w:rPr>
        <w:t>（1）供应商登陆政采云平台http://www.zcygov.cn/，在线申请获取采购文件（登录政府采购云平台 → 项目采购 → 获取采购文件，可下载招标文件，如有操作性问题，可与政采云在线客服进行咨询，咨询电话：95763）。</w:t>
      </w:r>
    </w:p>
    <w:p w14:paraId="5E2BF2AA">
      <w:pPr>
        <w:widowControl/>
        <w:spacing w:line="380" w:lineRule="exact"/>
        <w:ind w:firstLine="422" w:firstLineChars="200"/>
        <w:jc w:val="left"/>
        <w:rPr>
          <w:rFonts w:hint="eastAsia"/>
        </w:rPr>
      </w:pPr>
      <w:r>
        <w:rPr>
          <w:rFonts w:hint="eastAsia" w:eastAsia="宋体"/>
          <w:b/>
          <w:bCs/>
          <w:lang w:val="en-US" w:eastAsia="zh-CN"/>
        </w:rPr>
        <w:t>投标文件提交：</w:t>
      </w:r>
      <w:r>
        <w:rPr>
          <w:rFonts w:hint="eastAsia" w:ascii="宋体" w:hAnsi="宋体" w:eastAsia="宋体"/>
          <w:color w:val="000000" w:themeColor="text1"/>
          <w:szCs w:val="21"/>
          <w14:textFill>
            <w14:solidFill>
              <w14:schemeClr w14:val="tx1"/>
            </w14:solidFill>
          </w14:textFill>
        </w:rPr>
        <w:t>投标人应于</w:t>
      </w:r>
      <w:r>
        <w:rPr>
          <w:rFonts w:hint="eastAsia" w:ascii="宋体" w:hAnsi="宋体" w:eastAsia="宋体"/>
          <w:color w:val="000000" w:themeColor="text1"/>
          <w:szCs w:val="21"/>
          <w:lang w:eastAsia="zh-CN"/>
          <w14:textFill>
            <w14:solidFill>
              <w14:schemeClr w14:val="tx1"/>
            </w14:solidFill>
          </w14:textFill>
        </w:rPr>
        <w:t>投标截止时间</w:t>
      </w:r>
      <w:r>
        <w:rPr>
          <w:rFonts w:hint="eastAsia" w:ascii="宋体" w:hAnsi="宋体" w:eastAsia="宋体"/>
          <w:color w:val="000000" w:themeColor="text1"/>
          <w:szCs w:val="21"/>
          <w14:textFill>
            <w14:solidFill>
              <w14:schemeClr w14:val="tx1"/>
            </w14:solidFill>
          </w14:textFill>
        </w:rPr>
        <w:t>之前将电子投标文件上传到“政采云”平台。应按照本项目招标文件和政采云平台的要求编制、加密传输投标文件。供应商在使用系统进行投标的过程中遇到涉及平台使用的任何问题，可通过政采云平台自助查询、钉钉群及政采云在线客服、或致电政采云平台技术支持热线咨询，联系方式：95763。</w:t>
      </w:r>
    </w:p>
    <w:p w14:paraId="50B6B383">
      <w:pPr>
        <w:ind w:firstLine="422" w:firstLineChars="200"/>
        <w:rPr>
          <w:rFonts w:hint="eastAsia" w:ascii="宋体" w:hAnsi="宋体" w:eastAsia="宋体" w:cs="Arial"/>
          <w:kern w:val="0"/>
          <w:szCs w:val="21"/>
        </w:rPr>
      </w:pPr>
      <w:r>
        <w:rPr>
          <w:rFonts w:hint="eastAsia" w:ascii="宋体" w:hAnsi="宋体" w:eastAsia="宋体" w:cs="Arial"/>
          <w:b/>
          <w:bCs/>
          <w:kern w:val="0"/>
          <w:szCs w:val="21"/>
        </w:rPr>
        <w:t>招标文件售价</w:t>
      </w:r>
      <w:r>
        <w:rPr>
          <w:rFonts w:hint="eastAsia" w:ascii="宋体" w:hAnsi="宋体" w:eastAsia="宋体" w:cs="Arial"/>
          <w:kern w:val="0"/>
          <w:szCs w:val="21"/>
        </w:rPr>
        <w:t>：免费</w:t>
      </w:r>
    </w:p>
    <w:p w14:paraId="32C92E0A">
      <w:pPr>
        <w:ind w:firstLine="420" w:firstLineChars="200"/>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Arial"/>
          <w:kern w:val="0"/>
          <w:szCs w:val="21"/>
        </w:rPr>
        <w:br w:type="textWrapping"/>
      </w: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六、公告期限；</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不少于五个工作日</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p w14:paraId="32CD38BF">
      <w:pPr>
        <w:rPr>
          <w:color w:val="000000" w:themeColor="text1"/>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七、采购项目需要落实的政府采购政策：</w:t>
      </w:r>
      <w:r>
        <w:rPr>
          <w:color w:val="000000" w:themeColor="text1"/>
          <w14:textFill>
            <w14:solidFill>
              <w14:schemeClr w14:val="tx1"/>
            </w14:solidFill>
          </w14:textFill>
        </w:rPr>
        <w:t xml:space="preserve"> </w:t>
      </w:r>
    </w:p>
    <w:p w14:paraId="29A10A01">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14:paraId="28930264">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14:paraId="20E27687">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14:paraId="5319E4E2">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14:paraId="4EF0AA9A">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14:paraId="26C92BF2">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14:paraId="7F13E8FA">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14:paraId="7837C16F">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14:paraId="789F5810">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14:paraId="5A44832F">
      <w:pPr>
        <w:widowControl/>
        <w:spacing w:line="380" w:lineRule="exact"/>
        <w:ind w:left="0" w:leftChars="0" w:firstLine="420" w:firstLineChars="200"/>
        <w:jc w:val="left"/>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14:paraId="0D48F0AA">
      <w:pPr>
        <w:widowControl/>
        <w:spacing w:line="380" w:lineRule="exact"/>
        <w:ind w:left="0" w:leftChars="0" w:firstLine="420" w:firstLineChars="200"/>
        <w:jc w:val="left"/>
        <w:rPr>
          <w:rFonts w:hint="eastAsia" w:ascii="宋体" w:hAnsi="宋体" w:eastAsia="宋体" w:cs="Arial"/>
          <w:kern w:val="0"/>
          <w:szCs w:val="21"/>
          <w:lang w:val="en-US" w:eastAsia="zh-CN"/>
        </w:rPr>
      </w:pPr>
      <w:r>
        <w:rPr>
          <w:rFonts w:hint="eastAsia" w:ascii="宋体" w:hAnsi="宋体" w:cs="Arial"/>
          <w:kern w:val="0"/>
          <w:szCs w:val="21"/>
          <w:lang w:val="en-US" w:eastAsia="zh-CN"/>
        </w:rPr>
        <w:t xml:space="preserve">(11) </w:t>
      </w:r>
      <w:r>
        <w:rPr>
          <w:rFonts w:hint="eastAsia" w:ascii="宋体" w:hAnsi="宋体" w:eastAsia="宋体" w:cs="Arial"/>
          <w:kern w:val="0"/>
          <w:szCs w:val="21"/>
        </w:rPr>
        <w:t>财政部 工业和信息化部关于印发《数据库政府采购需求标准（2023年版）》财库〔2023〕34号的通知</w:t>
      </w:r>
      <w:r>
        <w:rPr>
          <w:rFonts w:hint="eastAsia" w:ascii="宋体" w:hAnsi="宋体" w:eastAsia="宋体" w:cs="Arial"/>
          <w:kern w:val="0"/>
          <w:szCs w:val="21"/>
          <w:lang w:val="en-US" w:eastAsia="zh-CN"/>
        </w:rPr>
        <w:t>;</w:t>
      </w:r>
      <w:r>
        <w:rPr>
          <w:rFonts w:hint="eastAsia" w:ascii="宋体" w:hAnsi="宋体" w:eastAsia="宋体" w:cs="Arial"/>
          <w:kern w:val="0"/>
          <w:szCs w:val="21"/>
        </w:rPr>
        <w:t>财政部 工业和信息化部关于印发《台式计算机政府采购需求标准（2023年版）》财库〔2023〕29号的通知</w:t>
      </w:r>
      <w:r>
        <w:rPr>
          <w:rFonts w:hint="eastAsia" w:ascii="宋体" w:hAnsi="宋体" w:eastAsia="宋体" w:cs="Arial"/>
          <w:kern w:val="0"/>
          <w:szCs w:val="21"/>
          <w:lang w:val="en-US" w:eastAsia="zh-CN"/>
        </w:rPr>
        <w:t>;</w:t>
      </w:r>
      <w:r>
        <w:rPr>
          <w:rFonts w:hint="eastAsia" w:ascii="宋体" w:hAnsi="宋体" w:eastAsia="宋体" w:cs="Arial"/>
          <w:kern w:val="0"/>
          <w:szCs w:val="21"/>
        </w:rPr>
        <w:t>财政部 工业和信息化部关于印发《便携式计算机政府采购需求标准（2023年版）》财库〔2023〕30号的通知</w:t>
      </w:r>
      <w:r>
        <w:rPr>
          <w:rFonts w:hint="eastAsia" w:ascii="宋体" w:hAnsi="宋体" w:eastAsia="宋体" w:cs="Arial"/>
          <w:kern w:val="0"/>
          <w:szCs w:val="21"/>
          <w:lang w:val="en-US" w:eastAsia="zh-CN"/>
        </w:rPr>
        <w:t>;</w:t>
      </w:r>
      <w:r>
        <w:rPr>
          <w:rFonts w:hint="eastAsia" w:ascii="宋体" w:hAnsi="宋体" w:eastAsia="宋体" w:cs="Arial"/>
          <w:kern w:val="0"/>
          <w:szCs w:val="21"/>
        </w:rPr>
        <w:t>财政部 工业和信息化部关于印发《一体式计算机政府采购需求标准（2023年版）》财库〔2023〕31号的通知</w:t>
      </w:r>
      <w:r>
        <w:rPr>
          <w:rFonts w:hint="eastAsia" w:ascii="宋体" w:hAnsi="宋体" w:eastAsia="宋体" w:cs="Arial"/>
          <w:kern w:val="0"/>
          <w:szCs w:val="21"/>
          <w:lang w:val="en-US" w:eastAsia="zh-CN"/>
        </w:rPr>
        <w:t>;</w:t>
      </w:r>
      <w:r>
        <w:rPr>
          <w:rFonts w:hint="eastAsia" w:ascii="宋体" w:hAnsi="宋体" w:eastAsia="宋体" w:cs="Arial"/>
          <w:kern w:val="0"/>
          <w:szCs w:val="21"/>
        </w:rPr>
        <w:t>财政部 工业和信息化部关于印发《工作站政府采购需求标准（2023年版）》财库〔2023〕32号的通知</w:t>
      </w:r>
      <w:r>
        <w:rPr>
          <w:rFonts w:hint="eastAsia" w:ascii="宋体" w:hAnsi="宋体" w:eastAsia="宋体" w:cs="Arial"/>
          <w:kern w:val="0"/>
          <w:szCs w:val="21"/>
          <w:lang w:val="en-US" w:eastAsia="zh-CN"/>
        </w:rPr>
        <w:t>;</w:t>
      </w:r>
      <w:r>
        <w:rPr>
          <w:rFonts w:hint="eastAsia" w:ascii="宋体" w:hAnsi="宋体" w:eastAsia="宋体" w:cs="Arial"/>
          <w:kern w:val="0"/>
          <w:szCs w:val="21"/>
        </w:rPr>
        <w:t>财政部 工业和信息化部关于印发《通用服务器政府采购需求标准（2023年版）》财库〔2023〕33号的通知</w:t>
      </w:r>
      <w:r>
        <w:rPr>
          <w:rFonts w:hint="eastAsia" w:ascii="宋体" w:hAnsi="宋体" w:eastAsia="宋体" w:cs="Arial"/>
          <w:kern w:val="0"/>
          <w:szCs w:val="21"/>
          <w:lang w:val="en-US" w:eastAsia="zh-CN"/>
        </w:rPr>
        <w:t>;</w:t>
      </w:r>
      <w:r>
        <w:rPr>
          <w:rFonts w:hint="eastAsia" w:ascii="宋体" w:hAnsi="宋体" w:eastAsia="宋体" w:cs="Arial"/>
          <w:kern w:val="0"/>
          <w:szCs w:val="21"/>
        </w:rPr>
        <w:t>财政部 工业和信息化部关于印发《数据库政府采购需求标准（2023年版）》 财库〔2023〕35号的通知</w:t>
      </w:r>
      <w:r>
        <w:rPr>
          <w:rFonts w:hint="eastAsia" w:ascii="宋体" w:hAnsi="宋体" w:cs="Arial"/>
          <w:kern w:val="0"/>
          <w:szCs w:val="21"/>
          <w:lang w:val="en-US" w:eastAsia="zh-CN"/>
        </w:rPr>
        <w:t>.</w:t>
      </w:r>
    </w:p>
    <w:p w14:paraId="5D40565E">
      <w:pPr>
        <w:widowControl/>
        <w:spacing w:line="400" w:lineRule="exact"/>
        <w:jc w:val="center"/>
        <w:outlineLvl w:val="0"/>
        <w:rPr>
          <w:rFonts w:hint="eastAsia" w:ascii="仿宋" w:hAnsi="仿宋" w:eastAsia="仿宋" w:cs="仿宋"/>
          <w:sz w:val="28"/>
          <w:szCs w:val="28"/>
        </w:rPr>
      </w:pPr>
      <w:r>
        <w:rPr>
          <w:rFonts w:hint="eastAsia" w:ascii="宋体" w:hAnsi="宋体"/>
          <w:b/>
          <w:color w:val="000000" w:themeColor="text1"/>
          <w14:textFill>
            <w14:solidFill>
              <w14:schemeClr w14:val="tx1"/>
            </w14:solidFill>
          </w14:textFill>
        </w:rPr>
        <w:t>注：本项目采购公告发布截止日后，请持续关注本项目后续网上发布变更、答疑澄清等内容。</w:t>
      </w:r>
    </w:p>
    <w:p w14:paraId="1D2D357B">
      <w:pPr>
        <w:widowControl/>
        <w:spacing w:line="380" w:lineRule="exact"/>
        <w:ind w:firstLine="420" w:firstLineChars="200"/>
        <w:jc w:val="left"/>
        <w:rPr>
          <w:rFonts w:hint="eastAsia" w:ascii="宋体" w:hAnsi="宋体" w:cs="Arial"/>
          <w:kern w:val="0"/>
          <w:szCs w:val="21"/>
        </w:rPr>
      </w:pPr>
    </w:p>
    <w:p w14:paraId="20ADFF67">
      <w:pPr>
        <w:widowControl/>
        <w:spacing w:line="380" w:lineRule="exact"/>
        <w:ind w:firstLine="422" w:firstLineChars="200"/>
        <w:jc w:val="left"/>
        <w:rPr>
          <w:rFonts w:hint="eastAsia" w:ascii="宋体" w:hAnsi="宋体" w:cs="Arial"/>
          <w:b/>
          <w:bCs/>
          <w:kern w:val="0"/>
          <w:szCs w:val="21"/>
        </w:rPr>
      </w:pPr>
      <w:r>
        <w:rPr>
          <w:rFonts w:hint="eastAsia" w:ascii="宋体" w:hAnsi="宋体" w:cs="Arial"/>
          <w:b/>
          <w:bCs/>
          <w:kern w:val="0"/>
          <w:szCs w:val="21"/>
        </w:rPr>
        <w:t>其他补充事宜：</w:t>
      </w:r>
    </w:p>
    <w:p w14:paraId="16E7178C">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val="en-US" w:eastAsia="zh-CN"/>
        </w:rPr>
        <w:t>投保企业或中标单位请以企业名义（基本户）通过电汇、转账、保函、电子保函等非现金形式缴纳或提交保证金到采购单位银行账户，不允许以个人名义或现金方式缴纳保证金。</w:t>
      </w:r>
    </w:p>
    <w:p w14:paraId="1484584B">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 xml:space="preserve">  按照《</w:t>
      </w:r>
      <w:r>
        <w:rPr>
          <w:rFonts w:hint="default" w:ascii="宋体" w:hAnsi="宋体" w:cs="Arial"/>
          <w:kern w:val="0"/>
          <w:szCs w:val="21"/>
          <w:lang w:val="en-US" w:eastAsia="zh-CN"/>
        </w:rPr>
        <w:t>关于在政府采购活动中进一步推动开展信用担保工作的通知</w:t>
      </w:r>
      <w:r>
        <w:rPr>
          <w:rFonts w:hint="eastAsia" w:ascii="宋体" w:hAnsi="宋体" w:cs="Arial"/>
          <w:kern w:val="0"/>
          <w:szCs w:val="21"/>
          <w:lang w:val="en-US" w:eastAsia="zh-CN"/>
        </w:rPr>
        <w:t>》新财购〔2023〕25号内容</w:t>
      </w:r>
      <w:r>
        <w:rPr>
          <w:rFonts w:hint="eastAsia" w:ascii="宋体" w:hAnsi="宋体" w:cs="Arial"/>
          <w:kern w:val="0"/>
          <w:szCs w:val="21"/>
          <w:lang w:eastAsia="zh-CN"/>
        </w:rPr>
        <w:t>；</w:t>
      </w:r>
      <w:r>
        <w:rPr>
          <w:rFonts w:hint="eastAsia" w:ascii="宋体" w:hAnsi="宋体" w:cs="Arial"/>
          <w:kern w:val="0"/>
          <w:szCs w:val="21"/>
        </w:rPr>
        <w:t>为支持和促进中小企业发展，进一步</w:t>
      </w:r>
      <w:r>
        <w:rPr>
          <w:rFonts w:hint="eastAsia" w:ascii="宋体" w:hAnsi="宋体" w:cs="Arial"/>
          <w:kern w:val="0"/>
          <w:szCs w:val="21"/>
          <w:lang w:eastAsia="zh-CN"/>
        </w:rPr>
        <w:t>落实</w:t>
      </w:r>
      <w:r>
        <w:rPr>
          <w:rFonts w:hint="eastAsia" w:ascii="宋体" w:hAnsi="宋体" w:cs="Arial"/>
          <w:kern w:val="0"/>
          <w:szCs w:val="21"/>
        </w:rPr>
        <w:t>政府采购政策功能，</w:t>
      </w:r>
      <w:r>
        <w:rPr>
          <w:rFonts w:hint="eastAsia" w:ascii="宋体" w:hAnsi="宋体" w:cs="Arial"/>
          <w:kern w:val="0"/>
          <w:szCs w:val="21"/>
          <w:lang w:val="en-US" w:eastAsia="zh-CN"/>
        </w:rPr>
        <w:t>鼓励</w:t>
      </w:r>
      <w:r>
        <w:rPr>
          <w:rFonts w:hint="eastAsia" w:ascii="宋体" w:hAnsi="宋体" w:cs="Arial"/>
          <w:kern w:val="0"/>
          <w:szCs w:val="21"/>
        </w:rPr>
        <w:t>供应商</w:t>
      </w:r>
      <w:r>
        <w:rPr>
          <w:rFonts w:hint="eastAsia" w:ascii="宋体" w:hAnsi="宋体" w:cs="Arial"/>
          <w:kern w:val="0"/>
          <w:szCs w:val="21"/>
          <w:lang w:val="en-US" w:eastAsia="zh-CN"/>
        </w:rPr>
        <w:t>使用政采云电子保函代替现金缴纳投标保证金或履约保证金</w:t>
      </w:r>
      <w:r>
        <w:rPr>
          <w:rFonts w:hint="eastAsia" w:ascii="宋体" w:hAnsi="宋体" w:cs="Arial"/>
          <w:kern w:val="0"/>
          <w:szCs w:val="21"/>
        </w:rPr>
        <w:t>，</w:t>
      </w:r>
      <w:r>
        <w:rPr>
          <w:rFonts w:hint="eastAsia" w:ascii="宋体" w:hAnsi="宋体" w:cs="Arial"/>
          <w:kern w:val="0"/>
          <w:szCs w:val="21"/>
          <w:lang w:val="en-US" w:eastAsia="zh-CN"/>
        </w:rPr>
        <w:t>在线完成保函的申请、审核、开票、出函等环节，投标企业注意（中标供应商注意）区分办理保函类型，并确认保证金缴纳的金额是按照招标文件要求缴纳金额及缴纳时间的有效期，如采用政采云电子保函，</w:t>
      </w:r>
      <w:r>
        <w:rPr>
          <w:rFonts w:hint="eastAsia" w:ascii="宋体" w:hAnsi="宋体" w:cs="Arial"/>
          <w:kern w:val="0"/>
          <w:szCs w:val="21"/>
        </w:rPr>
        <w:t>可登录【新疆政府采购网】-顶部通栏【电子保函】模块查看：</w:t>
      </w:r>
    </w:p>
    <w:p w14:paraId="018E7C45">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直达链接（电子保函）：</w:t>
      </w:r>
    </w:p>
    <w:p w14:paraId="5BE7CDFB">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https://jinrong.zcygov.cn/luban/finance/letter/xinjiang?pageModelFlag=650000</w:t>
      </w:r>
    </w:p>
    <w:p w14:paraId="66319F7C">
      <w:pPr>
        <w:widowControl/>
        <w:spacing w:line="380" w:lineRule="exact"/>
        <w:ind w:firstLine="420" w:firstLineChars="200"/>
        <w:jc w:val="left"/>
        <w:rPr>
          <w:rFonts w:hint="default" w:ascii="宋体" w:hAnsi="宋体" w:cs="Arial"/>
          <w:kern w:val="0"/>
          <w:szCs w:val="21"/>
          <w:lang w:val="en-US" w:eastAsia="zh-CN"/>
        </w:rPr>
      </w:pPr>
      <w:r>
        <w:rPr>
          <w:rFonts w:hint="eastAsia" w:ascii="宋体" w:hAnsi="宋体" w:cs="Arial"/>
          <w:kern w:val="0"/>
          <w:szCs w:val="21"/>
          <w:lang w:eastAsia="zh-CN"/>
        </w:rPr>
        <w:t>电子保函服务热线</w:t>
      </w:r>
      <w:r>
        <w:rPr>
          <w:rFonts w:hint="eastAsia" w:ascii="宋体" w:hAnsi="宋体" w:cs="Arial"/>
          <w:kern w:val="0"/>
          <w:szCs w:val="21"/>
        </w:rPr>
        <w:t>：</w:t>
      </w:r>
      <w:r>
        <w:rPr>
          <w:rFonts w:hint="eastAsia" w:ascii="宋体" w:hAnsi="宋体" w:cs="Arial"/>
          <w:kern w:val="0"/>
          <w:szCs w:val="21"/>
          <w:lang w:val="en-US" w:eastAsia="zh-CN"/>
        </w:rPr>
        <w:t>0991-2661159</w:t>
      </w:r>
    </w:p>
    <w:p w14:paraId="37B4458F">
      <w:pPr>
        <w:widowControl/>
        <w:numPr>
          <w:ilvl w:val="0"/>
          <w:numId w:val="5"/>
        </w:numPr>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供应商可以自主选择以上任一种形式递交保证金</w:t>
      </w:r>
      <w:r>
        <w:rPr>
          <w:rFonts w:hint="eastAsia" w:ascii="宋体" w:hAnsi="宋体" w:cs="Arial"/>
          <w:kern w:val="0"/>
          <w:szCs w:val="21"/>
        </w:rPr>
        <w:t>。</w:t>
      </w:r>
    </w:p>
    <w:p w14:paraId="2B089781">
      <w:pPr>
        <w:pStyle w:val="2"/>
        <w:numPr>
          <w:ilvl w:val="0"/>
          <w:numId w:val="5"/>
        </w:numPr>
        <w:ind w:left="0" w:leftChars="0"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投标人未按照招标文件要求提交投标保证金的，投标无效；中标人没有按照约定提交履约保证金的，按照合同约定承担相应法律责任。</w:t>
      </w:r>
    </w:p>
    <w:p w14:paraId="2D71C6CB">
      <w:pPr>
        <w:pStyle w:val="2"/>
        <w:numPr>
          <w:ilvl w:val="0"/>
          <w:numId w:val="0"/>
        </w:numPr>
        <w:ind w:leftChars="200"/>
        <w:rPr>
          <w:rFonts w:hint="eastAsia" w:ascii="宋体" w:hAnsi="宋体" w:eastAsia="宋体" w:cs="Arial"/>
          <w:kern w:val="0"/>
          <w:sz w:val="21"/>
          <w:szCs w:val="21"/>
          <w:lang w:val="en-US" w:eastAsia="zh-CN" w:bidi="ar-SA"/>
        </w:rPr>
      </w:pPr>
    </w:p>
    <w:p w14:paraId="705907B5">
      <w:pPr>
        <w:pStyle w:val="2"/>
      </w:pPr>
    </w:p>
    <w:p w14:paraId="47CC2503">
      <w:pPr>
        <w:widowControl/>
        <w:spacing w:line="400" w:lineRule="exact"/>
        <w:jc w:val="center"/>
        <w:outlineLvl w:val="0"/>
        <w:rPr>
          <w:rFonts w:ascii="宋体" w:hAnsi="宋体"/>
          <w:b/>
          <w:color w:val="000000" w:themeColor="text1"/>
          <w:sz w:val="32"/>
          <w:szCs w:val="32"/>
          <w14:textFill>
            <w14:solidFill>
              <w14:schemeClr w14:val="tx1"/>
            </w14:solidFill>
          </w14:textFill>
        </w:rPr>
      </w:pPr>
    </w:p>
    <w:p w14:paraId="49992982">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第二章 投标须知</w:t>
      </w:r>
      <w:bookmarkEnd w:id="5"/>
      <w:bookmarkEnd w:id="6"/>
    </w:p>
    <w:p w14:paraId="5A34CF53">
      <w:pPr>
        <w:pStyle w:val="14"/>
        <w:jc w:val="center"/>
        <w:outlineLvl w:val="1"/>
        <w:rPr>
          <w:rFonts w:hAnsi="宋体"/>
          <w:b/>
          <w:color w:val="000000" w:themeColor="text1"/>
          <w:sz w:val="30"/>
          <w:szCs w:val="30"/>
          <w14:textFill>
            <w14:solidFill>
              <w14:schemeClr w14:val="tx1"/>
            </w14:solidFill>
          </w14:textFill>
        </w:rPr>
      </w:pPr>
      <w:bookmarkStart w:id="7" w:name="_Toc474235942"/>
      <w:r>
        <w:rPr>
          <w:rFonts w:hint="eastAsia" w:hAnsi="宋体"/>
          <w:b/>
          <w:color w:val="000000" w:themeColor="text1"/>
          <w:sz w:val="30"/>
          <w:szCs w:val="30"/>
          <w14:textFill>
            <w14:solidFill>
              <w14:schemeClr w14:val="tx1"/>
            </w14:solidFill>
          </w14:textFill>
        </w:rPr>
        <w:t>投标须知前附表</w:t>
      </w:r>
      <w:bookmarkEnd w:id="7"/>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5582"/>
      </w:tblGrid>
      <w:tr w14:paraId="36830D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blHeader/>
          <w:jc w:val="center"/>
        </w:trPr>
        <w:tc>
          <w:tcPr>
            <w:tcW w:w="2267" w:type="dxa"/>
            <w:vAlign w:val="center"/>
          </w:tcPr>
          <w:p w14:paraId="09CA0CEB">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633" w:type="dxa"/>
            <w:vAlign w:val="center"/>
          </w:tcPr>
          <w:p w14:paraId="633EA838">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5582" w:type="dxa"/>
            <w:vAlign w:val="center"/>
          </w:tcPr>
          <w:p w14:paraId="1F3E8F44">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编列内容规定</w:t>
            </w:r>
          </w:p>
        </w:tc>
      </w:tr>
      <w:tr w14:paraId="4370C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482" w:type="dxa"/>
            <w:gridSpan w:val="3"/>
            <w:vAlign w:val="center"/>
          </w:tcPr>
          <w:p w14:paraId="5E9ED46C">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一、说明</w:t>
            </w:r>
          </w:p>
        </w:tc>
      </w:tr>
      <w:tr w14:paraId="7346A5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2267" w:type="dxa"/>
            <w:vAlign w:val="center"/>
          </w:tcPr>
          <w:p w14:paraId="063D57FD">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第二章第1.1款</w:t>
            </w:r>
          </w:p>
        </w:tc>
        <w:tc>
          <w:tcPr>
            <w:tcW w:w="1633" w:type="dxa"/>
            <w:vAlign w:val="center"/>
          </w:tcPr>
          <w:p w14:paraId="7A12C488">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5582" w:type="dxa"/>
            <w:vAlign w:val="center"/>
          </w:tcPr>
          <w:p w14:paraId="0405521A">
            <w:pPr>
              <w:widowControl/>
              <w:numPr>
                <w:ilvl w:val="0"/>
                <w:numId w:val="0"/>
              </w:numPr>
              <w:spacing w:line="380" w:lineRule="exact"/>
              <w:jc w:val="both"/>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霍尔果斯属地直通集中查验场建设项目（海关</w:t>
            </w:r>
            <w:r>
              <w:rPr>
                <w:rFonts w:hint="eastAsia" w:ascii="宋体" w:hAnsi="宋体"/>
                <w:color w:val="000000" w:themeColor="text1"/>
                <w:szCs w:val="21"/>
                <w:lang w:val="en-US" w:eastAsia="zh-CN"/>
                <w14:textFill>
                  <w14:solidFill>
                    <w14:schemeClr w14:val="tx1"/>
                  </w14:solidFill>
                </w14:textFill>
              </w:rPr>
              <w:t>H986</w:t>
            </w:r>
            <w:r>
              <w:rPr>
                <w:rFonts w:hint="eastAsia" w:ascii="宋体" w:hAnsi="宋体"/>
                <w:color w:val="000000" w:themeColor="text1"/>
                <w:szCs w:val="21"/>
                <w:lang w:eastAsia="zh-CN"/>
                <w14:textFill>
                  <w14:solidFill>
                    <w14:schemeClr w14:val="tx1"/>
                  </w14:solidFill>
                </w14:textFill>
              </w:rPr>
              <w:t>）采购</w:t>
            </w:r>
          </w:p>
        </w:tc>
      </w:tr>
      <w:tr w14:paraId="143F7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2267" w:type="dxa"/>
            <w:vAlign w:val="center"/>
          </w:tcPr>
          <w:p w14:paraId="4F2D19BB">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第二章第1.2款</w:t>
            </w:r>
          </w:p>
        </w:tc>
        <w:tc>
          <w:tcPr>
            <w:tcW w:w="1633" w:type="dxa"/>
            <w:vAlign w:val="center"/>
          </w:tcPr>
          <w:p w14:paraId="7911BB29">
            <w:pPr>
              <w:spacing w:line="38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CN"/>
                <w14:textFill>
                  <w14:solidFill>
                    <w14:schemeClr w14:val="tx1"/>
                  </w14:solidFill>
                </w14:textFill>
              </w:rPr>
              <w:t>内容</w:t>
            </w:r>
          </w:p>
        </w:tc>
        <w:tc>
          <w:tcPr>
            <w:tcW w:w="5582" w:type="dxa"/>
            <w:tcBorders>
              <w:bottom w:val="single" w:color="auto" w:sz="4" w:space="0"/>
            </w:tcBorders>
            <w:vAlign w:val="center"/>
          </w:tcPr>
          <w:p w14:paraId="7EB5B542">
            <w:pPr>
              <w:spacing w:line="380" w:lineRule="exac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（详见采购需求表，第五章）</w:t>
            </w:r>
          </w:p>
        </w:tc>
      </w:tr>
      <w:tr w14:paraId="0E636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2267" w:type="dxa"/>
            <w:vAlign w:val="center"/>
          </w:tcPr>
          <w:p w14:paraId="54E6CE0C">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第二章第1.3款</w:t>
            </w:r>
          </w:p>
        </w:tc>
        <w:tc>
          <w:tcPr>
            <w:tcW w:w="1633" w:type="dxa"/>
            <w:vAlign w:val="center"/>
          </w:tcPr>
          <w:p w14:paraId="2229ACD6">
            <w:pPr>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项目地点</w:t>
            </w:r>
          </w:p>
        </w:tc>
        <w:tc>
          <w:tcPr>
            <w:tcW w:w="5582" w:type="dxa"/>
            <w:vAlign w:val="center"/>
          </w:tcPr>
          <w:p w14:paraId="448D2D31">
            <w:pPr>
              <w:spacing w:line="38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霍尔果斯市六代国门限定区域</w:t>
            </w:r>
          </w:p>
        </w:tc>
      </w:tr>
      <w:tr w14:paraId="20F826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67" w:type="dxa"/>
            <w:vMerge w:val="restart"/>
            <w:vAlign w:val="center"/>
          </w:tcPr>
          <w:p w14:paraId="2E067743">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第二章第1.4款</w:t>
            </w:r>
          </w:p>
        </w:tc>
        <w:tc>
          <w:tcPr>
            <w:tcW w:w="1633" w:type="dxa"/>
            <w:vAlign w:val="center"/>
          </w:tcPr>
          <w:p w14:paraId="4A105138">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w:t>
            </w:r>
          </w:p>
        </w:tc>
        <w:tc>
          <w:tcPr>
            <w:tcW w:w="5582" w:type="dxa"/>
            <w:vAlign w:val="center"/>
          </w:tcPr>
          <w:p w14:paraId="358A21D0">
            <w:pPr>
              <w:spacing w:line="38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公开招标</w:t>
            </w:r>
          </w:p>
        </w:tc>
      </w:tr>
      <w:tr w14:paraId="0F41D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67" w:type="dxa"/>
            <w:vMerge w:val="continue"/>
            <w:vAlign w:val="center"/>
          </w:tcPr>
          <w:p w14:paraId="7010BD3F">
            <w:pPr>
              <w:spacing w:line="400" w:lineRule="exact"/>
              <w:jc w:val="center"/>
              <w:rPr>
                <w:rFonts w:hint="eastAsia" w:ascii="宋体" w:hAnsi="宋体"/>
                <w:color w:val="000000" w:themeColor="text1"/>
                <w:szCs w:val="21"/>
                <w14:textFill>
                  <w14:solidFill>
                    <w14:schemeClr w14:val="tx1"/>
                  </w14:solidFill>
                </w14:textFill>
              </w:rPr>
            </w:pPr>
          </w:p>
        </w:tc>
        <w:tc>
          <w:tcPr>
            <w:tcW w:w="1633" w:type="dxa"/>
            <w:vAlign w:val="center"/>
          </w:tcPr>
          <w:p w14:paraId="64C86218">
            <w:pPr>
              <w:spacing w:line="40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项目属性</w:t>
            </w:r>
          </w:p>
        </w:tc>
        <w:tc>
          <w:tcPr>
            <w:tcW w:w="5582" w:type="dxa"/>
            <w:vAlign w:val="center"/>
          </w:tcPr>
          <w:p w14:paraId="54FBB254">
            <w:pPr>
              <w:spacing w:line="380" w:lineRule="exact"/>
              <w:rPr>
                <w:rFonts w:hint="eastAsia" w:ascii="宋体" w:hAnsi="宋体" w:eastAsia="宋体" w:cs="Arial"/>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货物</w:t>
            </w:r>
          </w:p>
        </w:tc>
      </w:tr>
      <w:tr w14:paraId="02575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67" w:type="dxa"/>
            <w:vAlign w:val="center"/>
          </w:tcPr>
          <w:p w14:paraId="3EF9550D">
            <w:pPr>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633" w:type="dxa"/>
            <w:vAlign w:val="center"/>
          </w:tcPr>
          <w:p w14:paraId="06D5DB05">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highlight w:val="none"/>
                <w:lang w:eastAsia="zh-CN"/>
              </w:rPr>
              <w:t>供货期限</w:t>
            </w:r>
          </w:p>
        </w:tc>
        <w:tc>
          <w:tcPr>
            <w:tcW w:w="5582" w:type="dxa"/>
            <w:tcBorders>
              <w:bottom w:val="single" w:color="auto" w:sz="4" w:space="0"/>
            </w:tcBorders>
            <w:vAlign w:val="center"/>
          </w:tcPr>
          <w:p w14:paraId="2F6C690D">
            <w:pPr>
              <w:spacing w:line="380" w:lineRule="exact"/>
              <w:rPr>
                <w:rFonts w:hint="default" w:ascii="宋体" w:hAnsi="宋体" w:eastAsia="宋体" w:cs="Arial"/>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★签订合同后六个月内</w:t>
            </w:r>
          </w:p>
        </w:tc>
      </w:tr>
      <w:tr w14:paraId="5897A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3" w:hRule="atLeast"/>
          <w:jc w:val="center"/>
        </w:trPr>
        <w:tc>
          <w:tcPr>
            <w:tcW w:w="2267" w:type="dxa"/>
            <w:vAlign w:val="center"/>
          </w:tcPr>
          <w:p w14:paraId="4F2A2D4F">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第二章第2.1款</w:t>
            </w:r>
          </w:p>
        </w:tc>
        <w:tc>
          <w:tcPr>
            <w:tcW w:w="1633" w:type="dxa"/>
            <w:vAlign w:val="center"/>
          </w:tcPr>
          <w:p w14:paraId="705E3BDD">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5582" w:type="dxa"/>
            <w:vAlign w:val="center"/>
          </w:tcPr>
          <w:p w14:paraId="3D36E73D">
            <w:pPr>
              <w:spacing w:line="380" w:lineRule="exact"/>
              <w:rPr>
                <w:rFonts w:hint="eastAsia" w:ascii="宋体" w:hAnsi="宋体" w:eastAsia="宋体" w:cs="Arial"/>
                <w:color w:val="000000" w:themeColor="text1"/>
                <w:kern w:val="0"/>
                <w:sz w:val="24"/>
                <w:szCs w:val="21"/>
                <w:lang w:val="en-US" w:eastAsia="zh-CN" w:bidi="ar-SA"/>
                <w14:textFill>
                  <w14:solidFill>
                    <w14:schemeClr w14:val="tx1"/>
                  </w14:solidFill>
                </w14:textFill>
              </w:rPr>
            </w:pPr>
            <w:r>
              <w:rPr>
                <w:rFonts w:hint="eastAsia" w:ascii="宋体" w:hAnsi="宋体" w:eastAsia="宋体" w:cs="Arial"/>
                <w:color w:val="000000" w:themeColor="text1"/>
                <w:kern w:val="0"/>
                <w:sz w:val="24"/>
                <w:szCs w:val="21"/>
                <w:lang w:val="en-US" w:eastAsia="zh-CN" w:bidi="ar-SA"/>
                <w14:textFill>
                  <w14:solidFill>
                    <w14:schemeClr w14:val="tx1"/>
                  </w14:solidFill>
                </w14:textFill>
              </w:rPr>
              <w:t>采购人：</w:t>
            </w:r>
            <w:r>
              <w:rPr>
                <w:rFonts w:hint="eastAsia" w:ascii="宋体" w:hAnsi="宋体" w:cs="Arial"/>
                <w:color w:val="000000" w:themeColor="text1"/>
                <w:kern w:val="0"/>
                <w:szCs w:val="21"/>
                <w:lang w:val="en-US" w:eastAsia="zh-CN"/>
                <w14:textFill>
                  <w14:solidFill>
                    <w14:schemeClr w14:val="tx1"/>
                  </w14:solidFill>
                </w14:textFill>
              </w:rPr>
              <w:t>霍尔果斯经济开发区管理委员会口岸管理局</w:t>
            </w:r>
          </w:p>
          <w:p w14:paraId="789E8CF8">
            <w:pPr>
              <w:spacing w:line="380" w:lineRule="exact"/>
              <w:rPr>
                <w:rFonts w:hint="eastAsia" w:ascii="宋体" w:hAnsi="宋体" w:eastAsia="宋体" w:cs="Arial"/>
                <w:color w:val="000000" w:themeColor="text1"/>
                <w:kern w:val="0"/>
                <w:sz w:val="24"/>
                <w:szCs w:val="21"/>
                <w:lang w:val="en-US" w:eastAsia="zh-CN" w:bidi="ar-SA"/>
                <w14:textFill>
                  <w14:solidFill>
                    <w14:schemeClr w14:val="tx1"/>
                  </w14:solidFill>
                </w14:textFill>
              </w:rPr>
            </w:pPr>
            <w:r>
              <w:rPr>
                <w:rFonts w:hint="eastAsia" w:ascii="宋体" w:hAnsi="宋体" w:eastAsia="宋体" w:cs="Arial"/>
                <w:color w:val="000000" w:themeColor="text1"/>
                <w:kern w:val="0"/>
                <w:sz w:val="24"/>
                <w:szCs w:val="21"/>
                <w:lang w:val="en-US" w:eastAsia="zh-CN" w:bidi="ar-SA"/>
                <w14:textFill>
                  <w14:solidFill>
                    <w14:schemeClr w14:val="tx1"/>
                  </w14:solidFill>
                </w14:textFill>
              </w:rPr>
              <w:t>地  址：</w:t>
            </w:r>
            <w:r>
              <w:rPr>
                <w:rFonts w:hint="eastAsia" w:ascii="宋体" w:hAnsi="宋体" w:cs="Arial"/>
                <w:color w:val="000000" w:themeColor="text1"/>
                <w:kern w:val="0"/>
                <w:szCs w:val="21"/>
                <w:lang w:val="en-US" w:eastAsia="zh-CN"/>
                <w14:textFill>
                  <w14:solidFill>
                    <w14:schemeClr w14:val="tx1"/>
                  </w14:solidFill>
                </w14:textFill>
              </w:rPr>
              <w:t>霍尔果斯市第六代国门口岸管理局321室</w:t>
            </w:r>
          </w:p>
          <w:p w14:paraId="5E91ED12">
            <w:pPr>
              <w:spacing w:line="380" w:lineRule="exact"/>
              <w:rPr>
                <w:rFonts w:hint="eastAsia" w:ascii="宋体" w:hAnsi="宋体" w:eastAsia="宋体" w:cs="Arial"/>
                <w:color w:val="000000" w:themeColor="text1"/>
                <w:kern w:val="0"/>
                <w:sz w:val="24"/>
                <w:szCs w:val="21"/>
                <w:lang w:val="en-US" w:eastAsia="zh-CN" w:bidi="ar-SA"/>
                <w14:textFill>
                  <w14:solidFill>
                    <w14:schemeClr w14:val="tx1"/>
                  </w14:solidFill>
                </w14:textFill>
              </w:rPr>
            </w:pPr>
            <w:r>
              <w:rPr>
                <w:rFonts w:hint="eastAsia" w:ascii="宋体" w:hAnsi="宋体" w:eastAsia="宋体" w:cs="Arial"/>
                <w:color w:val="000000" w:themeColor="text1"/>
                <w:kern w:val="0"/>
                <w:sz w:val="24"/>
                <w:szCs w:val="21"/>
                <w:lang w:val="en-US" w:eastAsia="zh-CN" w:bidi="ar-SA"/>
                <w14:textFill>
                  <w14:solidFill>
                    <w14:schemeClr w14:val="tx1"/>
                  </w14:solidFill>
                </w14:textFill>
              </w:rPr>
              <w:t>联系人：朱能贵</w:t>
            </w:r>
          </w:p>
          <w:p w14:paraId="0F30B9D9">
            <w:pPr>
              <w:spacing w:line="380" w:lineRule="exact"/>
              <w:rPr>
                <w:rFonts w:ascii="宋体" w:hAnsi="宋体"/>
                <w:color w:val="000000" w:themeColor="text1"/>
                <w:szCs w:val="21"/>
                <w14:textFill>
                  <w14:solidFill>
                    <w14:schemeClr w14:val="tx1"/>
                  </w14:solidFill>
                </w14:textFill>
              </w:rPr>
            </w:pPr>
            <w:r>
              <w:rPr>
                <w:rFonts w:hint="eastAsia" w:ascii="宋体" w:hAnsi="宋体" w:eastAsia="宋体" w:cs="Arial"/>
                <w:color w:val="000000" w:themeColor="text1"/>
                <w:kern w:val="0"/>
                <w:sz w:val="24"/>
                <w:szCs w:val="21"/>
                <w:lang w:val="en-US" w:eastAsia="zh-CN" w:bidi="ar-SA"/>
                <w14:textFill>
                  <w14:solidFill>
                    <w14:schemeClr w14:val="tx1"/>
                  </w14:solidFill>
                </w14:textFill>
              </w:rPr>
              <w:t>联系电话：17735022157</w:t>
            </w:r>
          </w:p>
        </w:tc>
      </w:tr>
      <w:tr w14:paraId="061F4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13" w:hRule="atLeast"/>
          <w:jc w:val="center"/>
        </w:trPr>
        <w:tc>
          <w:tcPr>
            <w:tcW w:w="2267" w:type="dxa"/>
            <w:vAlign w:val="center"/>
          </w:tcPr>
          <w:p w14:paraId="53983676">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第二章第2.2款</w:t>
            </w:r>
          </w:p>
        </w:tc>
        <w:tc>
          <w:tcPr>
            <w:tcW w:w="1633" w:type="dxa"/>
            <w:vAlign w:val="center"/>
          </w:tcPr>
          <w:p w14:paraId="5D4FEE57">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tc>
        <w:tc>
          <w:tcPr>
            <w:tcW w:w="5582" w:type="dxa"/>
            <w:vAlign w:val="center"/>
          </w:tcPr>
          <w:p w14:paraId="0C4D9826">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  称：霍尔果斯经济开发区政府采购中心</w:t>
            </w:r>
          </w:p>
          <w:p w14:paraId="2857B6BB">
            <w:pPr>
              <w:pStyle w:val="9"/>
              <w:rPr>
                <w:rFonts w:hint="eastAsia"/>
                <w:lang w:val="en-US" w:eastAsia="zh-CN"/>
              </w:rPr>
            </w:pPr>
            <w:r>
              <w:rPr>
                <w:rFonts w:hint="eastAsia"/>
                <w:color w:val="000000" w:themeColor="text1"/>
                <w14:textFill>
                  <w14:solidFill>
                    <w14:schemeClr w14:val="tx1"/>
                  </w14:solidFill>
                </w14:textFill>
              </w:rPr>
              <w:t>地  址：</w:t>
            </w:r>
            <w:r>
              <w:rPr>
                <w:rFonts w:hint="eastAsia"/>
                <w:lang w:val="en-US" w:eastAsia="zh-CN"/>
              </w:rPr>
              <w:t>霍尔果斯市兰新路17号政务服务中心230办公室</w:t>
            </w:r>
          </w:p>
          <w:p w14:paraId="399FF7E7">
            <w:pPr>
              <w:pStyle w:val="9"/>
              <w:rPr>
                <w:rFonts w:hint="eastAsia" w:eastAsia="宋体"/>
                <w:lang w:eastAsia="zh-CN"/>
              </w:rPr>
            </w:pP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陈文杰</w:t>
            </w:r>
          </w:p>
          <w:p w14:paraId="166C278B">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联系电话：0999-8797331</w:t>
            </w:r>
          </w:p>
        </w:tc>
      </w:tr>
      <w:tr w14:paraId="0642F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0" w:hRule="atLeast"/>
          <w:jc w:val="center"/>
        </w:trPr>
        <w:tc>
          <w:tcPr>
            <w:tcW w:w="2267" w:type="dxa"/>
            <w:vAlign w:val="center"/>
          </w:tcPr>
          <w:p w14:paraId="25B5BDBE">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第二章第3.1款</w:t>
            </w:r>
          </w:p>
        </w:tc>
        <w:tc>
          <w:tcPr>
            <w:tcW w:w="1633" w:type="dxa"/>
            <w:vAlign w:val="center"/>
          </w:tcPr>
          <w:p w14:paraId="3B74869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投标人资格条件</w:t>
            </w:r>
          </w:p>
          <w:p w14:paraId="18D49EA4">
            <w:pPr>
              <w:jc w:val="center"/>
              <w:rPr>
                <w:color w:val="000000" w:themeColor="text1"/>
                <w14:textFill>
                  <w14:solidFill>
                    <w14:schemeClr w14:val="tx1"/>
                  </w14:solidFill>
                </w14:textFill>
              </w:rPr>
            </w:pPr>
          </w:p>
        </w:tc>
        <w:tc>
          <w:tcPr>
            <w:tcW w:w="5582" w:type="dxa"/>
            <w:vAlign w:val="center"/>
          </w:tcPr>
          <w:p w14:paraId="6DF8F395">
            <w:pPr>
              <w:adjustRightInd w:val="0"/>
              <w:snapToGrid w:val="0"/>
              <w:spacing w:line="360" w:lineRule="exact"/>
              <w:jc w:val="left"/>
            </w:pPr>
            <w:r>
              <w:rPr>
                <w:rFonts w:hint="eastAsia"/>
              </w:rPr>
              <w:t>1、符合政府采购法二十二条规定：</w:t>
            </w:r>
          </w:p>
          <w:p w14:paraId="1B1E7A24">
            <w:pPr>
              <w:adjustRightInd w:val="0"/>
              <w:snapToGrid w:val="0"/>
              <w:spacing w:line="360" w:lineRule="exact"/>
              <w:jc w:val="left"/>
            </w:pPr>
            <w:r>
              <w:rPr>
                <w:rFonts w:hint="eastAsia"/>
              </w:rPr>
              <w:t>（一）具有独立承担民事责任的能力；</w:t>
            </w:r>
          </w:p>
          <w:p w14:paraId="27BBE6D0">
            <w:pPr>
              <w:adjustRightInd w:val="0"/>
              <w:snapToGrid w:val="0"/>
              <w:spacing w:line="360" w:lineRule="exact"/>
              <w:jc w:val="left"/>
            </w:pPr>
            <w:r>
              <w:rPr>
                <w:rFonts w:hint="eastAsia"/>
              </w:rPr>
              <w:t>（二）具有良好的商业信誉和健全的财务会计制度；</w:t>
            </w:r>
          </w:p>
          <w:p w14:paraId="564490AD">
            <w:pPr>
              <w:adjustRightInd w:val="0"/>
              <w:snapToGrid w:val="0"/>
              <w:spacing w:line="360" w:lineRule="exact"/>
              <w:jc w:val="left"/>
            </w:pPr>
            <w:r>
              <w:rPr>
                <w:rFonts w:hint="eastAsia"/>
              </w:rPr>
              <w:t>（三）具有履行合同所必需的设备和专业技术能力；</w:t>
            </w:r>
          </w:p>
          <w:p w14:paraId="13691FF7">
            <w:pPr>
              <w:adjustRightInd w:val="0"/>
              <w:snapToGrid w:val="0"/>
              <w:spacing w:line="360" w:lineRule="exact"/>
              <w:jc w:val="left"/>
            </w:pPr>
            <w:r>
              <w:rPr>
                <w:rFonts w:hint="eastAsia"/>
              </w:rPr>
              <w:t>（四）有依法缴纳税收和社会保障资金的良好记录；</w:t>
            </w:r>
          </w:p>
          <w:p w14:paraId="4FF3A854">
            <w:pPr>
              <w:adjustRightInd w:val="0"/>
              <w:snapToGrid w:val="0"/>
              <w:spacing w:line="360" w:lineRule="exact"/>
              <w:jc w:val="left"/>
            </w:pPr>
            <w:r>
              <w:rPr>
                <w:rFonts w:hint="eastAsia"/>
              </w:rPr>
              <w:t>（五）参加政府采购活动前三年内，在经营活动中没有重大违法记录；</w:t>
            </w:r>
            <w:r>
              <w:rPr>
                <w:rFonts w:hint="eastAsia"/>
                <w:lang w:eastAsia="zh-CN"/>
              </w:rPr>
              <w:t>（成立不足三年的，以实际成立时间开始）</w:t>
            </w:r>
          </w:p>
          <w:p w14:paraId="5E43CEDE">
            <w:pPr>
              <w:adjustRightInd w:val="0"/>
              <w:snapToGrid w:val="0"/>
              <w:spacing w:line="360" w:lineRule="exact"/>
              <w:jc w:val="left"/>
            </w:pPr>
            <w:r>
              <w:rPr>
                <w:rFonts w:hint="eastAsia"/>
              </w:rPr>
              <w:t>（六）法律、行政法规规定的其他条件。</w:t>
            </w:r>
          </w:p>
          <w:p w14:paraId="264AA905">
            <w:pPr>
              <w:pageBreakBefore w:val="0"/>
              <w:widowControl w:val="0"/>
              <w:numPr>
                <w:ilvl w:val="0"/>
                <w:numId w:val="0"/>
              </w:numPr>
              <w:kinsoku/>
              <w:wordWrap/>
              <w:overflowPunct/>
              <w:topLinePunct w:val="0"/>
              <w:autoSpaceDE/>
              <w:autoSpaceDN/>
              <w:bidi w:val="0"/>
              <w:adjustRightInd/>
              <w:snapToGrid/>
              <w:spacing w:before="62" w:beforeLines="20" w:line="360" w:lineRule="auto"/>
              <w:ind w:leftChars="0" w:firstLine="210" w:firstLineChars="100"/>
              <w:textAlignment w:val="auto"/>
              <w:rPr>
                <w:rFonts w:hint="eastAsia"/>
              </w:rPr>
            </w:pPr>
            <w:r>
              <w:rPr>
                <w:rFonts w:hint="eastAsia"/>
              </w:rPr>
              <w:t>2、提供“信用中国”及“中国政府采购网”查询截图，未被“信用中国”（www.creditchina.gov.cn）、中国政府采购网（www.ccgp.gov.cn）列入失信被执行人、重大税收违法案件当事人名单、政府采购严重违法失信行为记录名单。</w:t>
            </w:r>
            <w:r>
              <w:rPr>
                <w:rFonts w:ascii="仿宋" w:hAnsi="仿宋" w:eastAsia="仿宋" w:cs="Times New Roman"/>
                <w:color w:val="auto"/>
                <w:sz w:val="24"/>
                <w:szCs w:val="24"/>
              </w:rPr>
              <w:t>（网页打印件</w:t>
            </w:r>
            <w:r>
              <w:rPr>
                <w:rFonts w:hint="eastAsia" w:ascii="仿宋" w:hAnsi="仿宋" w:eastAsia="仿宋" w:cs="Times New Roman"/>
                <w:color w:val="auto"/>
                <w:sz w:val="24"/>
                <w:szCs w:val="24"/>
                <w:lang w:eastAsia="zh-CN"/>
              </w:rPr>
              <w:t>时间</w:t>
            </w:r>
            <w:r>
              <w:rPr>
                <w:rFonts w:ascii="仿宋" w:hAnsi="仿宋" w:eastAsia="仿宋" w:cs="Times New Roman"/>
                <w:color w:val="auto"/>
                <w:sz w:val="24"/>
                <w:szCs w:val="24"/>
              </w:rPr>
              <w:t>须自招标文件发布之日起至投标截止时间从上述网站中通过浏览器打印</w:t>
            </w:r>
            <w:r>
              <w:rPr>
                <w:rFonts w:hint="eastAsia" w:ascii="仿宋" w:hAnsi="仿宋" w:eastAsia="仿宋" w:cs="Times New Roman"/>
                <w:color w:val="auto"/>
                <w:sz w:val="24"/>
                <w:szCs w:val="24"/>
                <w:lang w:eastAsia="zh-CN"/>
              </w:rPr>
              <w:t>，开标时由资格审查人员或资格审查小组进行现场网上核对，出现结果不一致的由投标供应商自行承担法律责任。</w:t>
            </w:r>
            <w:r>
              <w:rPr>
                <w:rFonts w:ascii="仿宋" w:hAnsi="仿宋" w:eastAsia="仿宋" w:cs="Times New Roman"/>
                <w:color w:val="auto"/>
                <w:sz w:val="24"/>
                <w:szCs w:val="24"/>
              </w:rPr>
              <w:t>）</w:t>
            </w:r>
          </w:p>
          <w:p w14:paraId="29D39687">
            <w:pPr>
              <w:adjustRightInd w:val="0"/>
              <w:snapToGrid w:val="0"/>
              <w:spacing w:line="360" w:lineRule="exact"/>
              <w:jc w:val="left"/>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本项目特殊资质要求：无</w:t>
            </w:r>
          </w:p>
        </w:tc>
      </w:tr>
      <w:tr w14:paraId="2BC56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67" w:type="dxa"/>
            <w:vAlign w:val="center"/>
          </w:tcPr>
          <w:p w14:paraId="4F2D06A8">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第二章第6.1款</w:t>
            </w:r>
          </w:p>
        </w:tc>
        <w:tc>
          <w:tcPr>
            <w:tcW w:w="1633" w:type="dxa"/>
            <w:vAlign w:val="center"/>
          </w:tcPr>
          <w:p w14:paraId="20A58418">
            <w:pPr>
              <w:adjustRightInd w:val="0"/>
              <w:snapToGrid w:val="0"/>
              <w:spacing w:line="34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5582" w:type="dxa"/>
            <w:vAlign w:val="center"/>
          </w:tcPr>
          <w:p w14:paraId="3B2D6C76">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14:paraId="45827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2267" w:type="dxa"/>
            <w:vAlign w:val="center"/>
          </w:tcPr>
          <w:p w14:paraId="69BEE9B9">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第二章第7.1款</w:t>
            </w:r>
          </w:p>
        </w:tc>
        <w:tc>
          <w:tcPr>
            <w:tcW w:w="1633" w:type="dxa"/>
            <w:vAlign w:val="center"/>
          </w:tcPr>
          <w:p w14:paraId="78432C75">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5582" w:type="dxa"/>
            <w:vAlign w:val="center"/>
          </w:tcPr>
          <w:p w14:paraId="5176AB40">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无需提供现场勘察证明</w:t>
            </w:r>
            <w:r>
              <w:rPr>
                <w:rFonts w:hint="eastAsia"/>
                <w:b/>
                <w:bCs/>
                <w:color w:val="000000" w:themeColor="text1"/>
                <w14:textFill>
                  <w14:solidFill>
                    <w14:schemeClr w14:val="tx1"/>
                  </w14:solidFill>
                </w14:textFill>
              </w:rPr>
              <w:t>。</w:t>
            </w:r>
          </w:p>
        </w:tc>
      </w:tr>
      <w:tr w14:paraId="30B94E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33" w:hRule="atLeast"/>
          <w:jc w:val="center"/>
        </w:trPr>
        <w:tc>
          <w:tcPr>
            <w:tcW w:w="2267" w:type="dxa"/>
            <w:vMerge w:val="restart"/>
            <w:vAlign w:val="center"/>
          </w:tcPr>
          <w:p w14:paraId="78B12AB8">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第二章第9.1款</w:t>
            </w:r>
          </w:p>
        </w:tc>
        <w:tc>
          <w:tcPr>
            <w:tcW w:w="1633" w:type="dxa"/>
            <w:vAlign w:val="center"/>
          </w:tcPr>
          <w:p w14:paraId="5C7F812F">
            <w:pPr>
              <w:spacing w:line="300" w:lineRule="exact"/>
              <w:rPr>
                <w:rFonts w:ascii="宋体" w:hAnsi="宋体" w:cs="宋体"/>
                <w:bCs/>
                <w:color w:val="000000" w:themeColor="text1"/>
                <w:kern w:val="0"/>
                <w:szCs w:val="21"/>
                <w14:textFill>
                  <w14:solidFill>
                    <w14:schemeClr w14:val="tx1"/>
                  </w14:solidFill>
                </w14:textFill>
              </w:rPr>
            </w:pPr>
            <w:r>
              <w:rPr>
                <w:rFonts w:ascii="宋体" w:hAnsi="宋体"/>
                <w:szCs w:val="21"/>
              </w:rPr>
              <w:t>政府采购优先采购节能产品</w:t>
            </w:r>
            <w:r>
              <w:rPr>
                <w:rFonts w:hint="eastAsia" w:ascii="宋体" w:hAnsi="宋体"/>
                <w:szCs w:val="21"/>
              </w:rPr>
              <w:t>、</w:t>
            </w:r>
            <w:r>
              <w:rPr>
                <w:rFonts w:ascii="宋体" w:hAnsi="宋体"/>
                <w:szCs w:val="21"/>
              </w:rPr>
              <w:t xml:space="preserve">环境标志产品 </w:t>
            </w:r>
          </w:p>
        </w:tc>
        <w:tc>
          <w:tcPr>
            <w:tcW w:w="5582" w:type="dxa"/>
            <w:vAlign w:val="center"/>
          </w:tcPr>
          <w:p w14:paraId="6EFC393C">
            <w:pPr>
              <w:pStyle w:val="20"/>
              <w:spacing w:before="0" w:beforeAutospacing="0" w:after="0" w:afterAutospacing="0" w:line="12" w:lineRule="atLeast"/>
              <w:ind w:firstLine="420" w:firstLineChars="200"/>
              <w:jc w:val="both"/>
              <w:textAlignment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DCF0BDF">
            <w:pPr>
              <w:pStyle w:val="20"/>
              <w:spacing w:before="0" w:beforeAutospacing="0" w:after="0" w:afterAutospacing="0" w:line="12" w:lineRule="atLeast"/>
              <w:ind w:firstLine="420"/>
              <w:jc w:val="both"/>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6903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1" w:hRule="atLeast"/>
          <w:jc w:val="center"/>
        </w:trPr>
        <w:tc>
          <w:tcPr>
            <w:tcW w:w="2267" w:type="dxa"/>
            <w:vMerge w:val="continue"/>
            <w:vAlign w:val="center"/>
          </w:tcPr>
          <w:p w14:paraId="1CB0EBD1">
            <w:pPr>
              <w:spacing w:line="400" w:lineRule="exact"/>
              <w:jc w:val="center"/>
              <w:rPr>
                <w:rFonts w:ascii="宋体" w:hAnsi="宋体"/>
                <w:color w:val="000000" w:themeColor="text1"/>
                <w:szCs w:val="21"/>
                <w14:textFill>
                  <w14:solidFill>
                    <w14:schemeClr w14:val="tx1"/>
                  </w14:solidFill>
                </w14:textFill>
              </w:rPr>
            </w:pPr>
          </w:p>
        </w:tc>
        <w:tc>
          <w:tcPr>
            <w:tcW w:w="1633" w:type="dxa"/>
            <w:vAlign w:val="center"/>
          </w:tcPr>
          <w:p w14:paraId="40D05269">
            <w:pPr>
              <w:spacing w:line="3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w:t>
            </w:r>
            <w:r>
              <w:rPr>
                <w:rFonts w:hint="eastAsia" w:ascii="宋体" w:hAnsi="宋体"/>
                <w:color w:val="000000" w:themeColor="text1"/>
                <w:szCs w:val="21"/>
                <w14:textFill>
                  <w14:solidFill>
                    <w14:schemeClr w14:val="tx1"/>
                  </w14:solidFill>
                </w14:textFill>
              </w:rPr>
              <w:t>中小企业发展</w:t>
            </w:r>
          </w:p>
        </w:tc>
        <w:tc>
          <w:tcPr>
            <w:tcW w:w="5582" w:type="dxa"/>
            <w:vAlign w:val="center"/>
          </w:tcPr>
          <w:p w14:paraId="50924C5B">
            <w:pPr>
              <w:pStyle w:val="9"/>
              <w:rPr>
                <w:rFonts w:hint="eastAsia" w:ascii="宋体" w:hAnsi="宋体" w:eastAsia="宋体"/>
                <w:color w:val="000000" w:themeColor="text1"/>
                <w:szCs w:val="21"/>
                <w:lang w:eastAsia="zh-CN"/>
                <w14:textFill>
                  <w14:solidFill>
                    <w14:schemeClr w14:val="tx1"/>
                  </w14:solidFill>
                </w14:textFill>
              </w:rPr>
            </w:pPr>
            <w:r>
              <w:rPr>
                <w:rFonts w:hint="eastAsia" w:ascii="仿宋" w:hAnsi="仿宋" w:eastAsia="仿宋" w:cs="Times New Roman"/>
                <w:b/>
                <w:bCs/>
                <w:color w:val="auto"/>
                <w:sz w:val="24"/>
                <w:szCs w:val="24"/>
                <w:lang w:val="en-US" w:eastAsia="zh-CN"/>
              </w:rPr>
              <w:t>本项目不专门面向中小企业预留</w:t>
            </w:r>
            <w:r>
              <w:rPr>
                <w:rFonts w:hint="eastAsia" w:ascii="仿宋" w:hAnsi="仿宋" w:eastAsia="仿宋" w:cs="Times New Roman"/>
                <w:color w:val="auto"/>
                <w:sz w:val="24"/>
                <w:szCs w:val="24"/>
                <w:lang w:val="en-US" w:eastAsia="zh-CN"/>
              </w:rPr>
              <w:t>。给予符合政策要求的小型和微型企业价格给予10%的扣除，用扣除后的价格参与评审。需提供《中小企业声明函》。</w:t>
            </w:r>
          </w:p>
        </w:tc>
      </w:tr>
      <w:tr w14:paraId="18ECD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67" w:type="dxa"/>
            <w:vAlign w:val="center"/>
          </w:tcPr>
          <w:p w14:paraId="09AF7366">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第二章第10.1款</w:t>
            </w:r>
          </w:p>
        </w:tc>
        <w:tc>
          <w:tcPr>
            <w:tcW w:w="1633" w:type="dxa"/>
            <w:vAlign w:val="center"/>
          </w:tcPr>
          <w:p w14:paraId="2EA9C066">
            <w:pPr>
              <w:spacing w:line="300" w:lineRule="exact"/>
              <w:rPr>
                <w:rFonts w:ascii="宋体" w:hAnsi="宋体"/>
                <w:szCs w:val="21"/>
                <w:highlight w:val="none"/>
              </w:rPr>
            </w:pPr>
            <w:r>
              <w:rPr>
                <w:rFonts w:hint="eastAsia" w:ascii="宋体" w:hAnsi="宋体"/>
                <w:szCs w:val="21"/>
                <w:highlight w:val="none"/>
              </w:rPr>
              <w:t>质保期</w:t>
            </w:r>
          </w:p>
        </w:tc>
        <w:tc>
          <w:tcPr>
            <w:tcW w:w="5582" w:type="dxa"/>
            <w:vAlign w:val="center"/>
          </w:tcPr>
          <w:p w14:paraId="6A99E55B">
            <w:pPr>
              <w:rPr>
                <w:rFonts w:hint="eastAsia" w:ascii="宋体" w:hAnsi="宋体" w:eastAsia="宋体"/>
                <w:szCs w:val="21"/>
                <w:highlight w:val="none"/>
                <w:lang w:eastAsia="zh-CN"/>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仿宋" w:hAnsi="仿宋" w:eastAsia="仿宋" w:cs="Times New Roman"/>
                <w:color w:val="auto"/>
                <w:kern w:val="2"/>
                <w:sz w:val="24"/>
                <w:szCs w:val="24"/>
                <w:highlight w:val="none"/>
                <w:lang w:val="en-US" w:eastAsia="zh-CN" w:bidi="ar-SA"/>
              </w:rPr>
              <w:t>本项目质保期2年。</w:t>
            </w:r>
          </w:p>
        </w:tc>
      </w:tr>
      <w:tr w14:paraId="6010D0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482" w:type="dxa"/>
            <w:gridSpan w:val="3"/>
            <w:vAlign w:val="center"/>
          </w:tcPr>
          <w:p w14:paraId="44CD6D2F">
            <w:pPr>
              <w:adjustRightInd w:val="0"/>
              <w:snapToGrid w:val="0"/>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14:paraId="05DE2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67" w:type="dxa"/>
            <w:vMerge w:val="restart"/>
            <w:vAlign w:val="center"/>
          </w:tcPr>
          <w:p w14:paraId="24D26FD9">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第二章第11.1款</w:t>
            </w:r>
          </w:p>
        </w:tc>
        <w:tc>
          <w:tcPr>
            <w:tcW w:w="1633" w:type="dxa"/>
            <w:tcBorders>
              <w:bottom w:val="single" w:color="auto" w:sz="4" w:space="0"/>
            </w:tcBorders>
            <w:vAlign w:val="center"/>
          </w:tcPr>
          <w:p w14:paraId="04399D0D">
            <w:pPr>
              <w:adjustRightInd w:val="0"/>
              <w:snapToGrid w:val="0"/>
              <w:spacing w:line="340" w:lineRule="exact"/>
              <w:rPr>
                <w:rFonts w:ascii="宋体" w:hAnsi="宋体"/>
                <w:color w:val="FF0000"/>
                <w:szCs w:val="21"/>
                <w:highlight w:val="red"/>
              </w:rPr>
            </w:pPr>
            <w:r>
              <w:rPr>
                <w:rFonts w:hint="eastAsia" w:ascii="宋体" w:hAnsi="宋体"/>
                <w:color w:val="FF0000"/>
                <w:szCs w:val="21"/>
              </w:rPr>
              <w:t>提交电子投标文件的截止时间</w:t>
            </w:r>
          </w:p>
        </w:tc>
        <w:tc>
          <w:tcPr>
            <w:tcW w:w="5582" w:type="dxa"/>
            <w:tcBorders>
              <w:bottom w:val="single" w:color="auto" w:sz="4" w:space="0"/>
            </w:tcBorders>
            <w:vAlign w:val="center"/>
          </w:tcPr>
          <w:p w14:paraId="2D3D56EE">
            <w:pPr>
              <w:adjustRightInd w:val="0"/>
              <w:snapToGrid w:val="0"/>
              <w:spacing w:line="340" w:lineRule="exact"/>
              <w:jc w:val="left"/>
              <w:rPr>
                <w:rFonts w:hint="eastAsia" w:ascii="宋体" w:hAnsi="宋体" w:eastAsia="宋体"/>
                <w:bCs/>
                <w:color w:val="FF0000"/>
                <w:szCs w:val="21"/>
                <w:lang w:eastAsia="zh-CN"/>
              </w:rPr>
            </w:pPr>
            <w:r>
              <w:rPr>
                <w:rFonts w:hint="eastAsia" w:ascii="宋体" w:hAnsi="宋体"/>
                <w:b/>
                <w:color w:val="FF0000"/>
                <w:szCs w:val="21"/>
                <w:highlight w:val="none"/>
                <w:u w:val="single"/>
                <w:lang w:eastAsia="zh-CN"/>
              </w:rPr>
              <w:t>202</w:t>
            </w:r>
            <w:r>
              <w:rPr>
                <w:rFonts w:hint="eastAsia" w:ascii="宋体" w:hAnsi="宋体"/>
                <w:b/>
                <w:color w:val="FF0000"/>
                <w:szCs w:val="21"/>
                <w:highlight w:val="none"/>
                <w:u w:val="single"/>
                <w:lang w:val="en-US" w:eastAsia="zh-CN"/>
              </w:rPr>
              <w:t>5</w:t>
            </w:r>
            <w:r>
              <w:rPr>
                <w:rFonts w:hint="eastAsia" w:ascii="宋体" w:hAnsi="宋体"/>
                <w:b/>
                <w:color w:val="FF0000"/>
                <w:szCs w:val="21"/>
                <w:highlight w:val="none"/>
                <w:u w:val="single"/>
                <w:lang w:eastAsia="zh-CN"/>
              </w:rPr>
              <w:t>年</w:t>
            </w:r>
            <w:r>
              <w:rPr>
                <w:rFonts w:hint="eastAsia" w:ascii="宋体" w:hAnsi="宋体"/>
                <w:b/>
                <w:color w:val="FF0000"/>
                <w:szCs w:val="21"/>
                <w:highlight w:val="none"/>
                <w:u w:val="single"/>
                <w:lang w:val="en-US" w:eastAsia="zh-CN"/>
              </w:rPr>
              <w:t>4</w:t>
            </w:r>
            <w:r>
              <w:rPr>
                <w:rFonts w:hint="eastAsia" w:ascii="宋体" w:hAnsi="宋体"/>
                <w:b/>
                <w:color w:val="FF0000"/>
                <w:szCs w:val="21"/>
                <w:highlight w:val="none"/>
                <w:u w:val="single"/>
                <w:lang w:eastAsia="zh-CN"/>
              </w:rPr>
              <w:t>月</w:t>
            </w:r>
            <w:r>
              <w:rPr>
                <w:rFonts w:hint="eastAsia" w:ascii="宋体" w:hAnsi="宋体"/>
                <w:b/>
                <w:color w:val="FF0000"/>
                <w:szCs w:val="21"/>
                <w:highlight w:val="none"/>
                <w:u w:val="single"/>
                <w:lang w:val="en-US" w:eastAsia="zh-CN"/>
              </w:rPr>
              <w:t>1</w:t>
            </w:r>
            <w:r>
              <w:rPr>
                <w:rFonts w:hint="eastAsia" w:ascii="宋体" w:hAnsi="宋体"/>
                <w:b/>
                <w:color w:val="FF0000"/>
                <w:szCs w:val="21"/>
                <w:highlight w:val="none"/>
                <w:u w:val="single"/>
                <w:lang w:eastAsia="zh-CN"/>
              </w:rPr>
              <w:t>日；北京时间：10:30</w:t>
            </w:r>
          </w:p>
        </w:tc>
      </w:tr>
      <w:tr w14:paraId="7109AC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57" w:hRule="atLeast"/>
          <w:jc w:val="center"/>
        </w:trPr>
        <w:tc>
          <w:tcPr>
            <w:tcW w:w="2267" w:type="dxa"/>
            <w:vMerge w:val="continue"/>
            <w:vAlign w:val="center"/>
          </w:tcPr>
          <w:p w14:paraId="07D5B9C6">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14:paraId="1AB3CFCB">
            <w:pPr>
              <w:adjustRightInd w:val="0"/>
              <w:snapToGrid w:val="0"/>
              <w:spacing w:line="340" w:lineRule="exact"/>
              <w:rPr>
                <w:rFonts w:ascii="宋体" w:hAnsi="宋体"/>
                <w:color w:val="auto"/>
                <w:szCs w:val="21"/>
              </w:rPr>
            </w:pPr>
            <w:r>
              <w:rPr>
                <w:rFonts w:hint="eastAsia" w:ascii="宋体" w:hAnsi="宋体"/>
                <w:color w:val="auto"/>
                <w:szCs w:val="21"/>
              </w:rPr>
              <w:t>电子投标文件解密时间</w:t>
            </w:r>
          </w:p>
        </w:tc>
        <w:tc>
          <w:tcPr>
            <w:tcW w:w="5582" w:type="dxa"/>
            <w:tcBorders>
              <w:top w:val="single" w:color="auto" w:sz="4" w:space="0"/>
              <w:left w:val="single" w:color="auto" w:sz="4" w:space="0"/>
              <w:bottom w:val="single" w:color="auto" w:sz="4" w:space="0"/>
            </w:tcBorders>
            <w:vAlign w:val="center"/>
          </w:tcPr>
          <w:p w14:paraId="64063C0E">
            <w:pPr>
              <w:pStyle w:val="14"/>
              <w:rPr>
                <w:rFonts w:ascii="宋体" w:hAnsi="宋体"/>
                <w:bCs/>
                <w:color w:val="auto"/>
                <w:szCs w:val="21"/>
              </w:rPr>
            </w:pPr>
            <w:r>
              <w:rPr>
                <w:rFonts w:hint="eastAsia" w:ascii="宋体" w:hAnsi="宋体"/>
                <w:bCs/>
                <w:color w:val="auto"/>
                <w:sz w:val="21"/>
                <w:szCs w:val="21"/>
              </w:rPr>
              <w:t>开标时间后30分钟内（</w:t>
            </w:r>
            <w:r>
              <w:rPr>
                <w:rFonts w:hint="eastAsia" w:ascii="宋体" w:hAnsi="宋体"/>
                <w:b/>
                <w:color w:val="auto"/>
                <w:sz w:val="21"/>
                <w:szCs w:val="21"/>
                <w:lang w:eastAsia="zh-CN"/>
              </w:rPr>
              <w:t>202</w:t>
            </w:r>
            <w:r>
              <w:rPr>
                <w:rFonts w:hint="eastAsia" w:ascii="宋体" w:hAnsi="宋体"/>
                <w:b/>
                <w:color w:val="auto"/>
                <w:sz w:val="21"/>
                <w:szCs w:val="21"/>
                <w:lang w:val="en-US" w:eastAsia="zh-CN"/>
              </w:rPr>
              <w:t>5</w:t>
            </w:r>
            <w:r>
              <w:rPr>
                <w:rFonts w:hint="eastAsia" w:ascii="宋体" w:hAnsi="宋体"/>
                <w:b/>
                <w:color w:val="auto"/>
                <w:sz w:val="21"/>
                <w:szCs w:val="21"/>
                <w:lang w:eastAsia="zh-CN"/>
              </w:rPr>
              <w:t>年</w:t>
            </w:r>
            <w:r>
              <w:rPr>
                <w:rFonts w:hint="eastAsia" w:ascii="宋体" w:hAnsi="宋体"/>
                <w:b/>
                <w:color w:val="auto"/>
                <w:sz w:val="21"/>
                <w:szCs w:val="21"/>
                <w:lang w:val="en-US" w:eastAsia="zh-CN"/>
              </w:rPr>
              <w:t>4</w:t>
            </w:r>
            <w:r>
              <w:rPr>
                <w:rFonts w:hint="eastAsia" w:ascii="宋体" w:hAnsi="宋体"/>
                <w:b/>
                <w:color w:val="auto"/>
                <w:sz w:val="21"/>
                <w:szCs w:val="21"/>
                <w:lang w:eastAsia="zh-CN"/>
              </w:rPr>
              <w:t>月</w:t>
            </w:r>
            <w:r>
              <w:rPr>
                <w:rFonts w:hint="eastAsia" w:ascii="宋体" w:hAnsi="宋体"/>
                <w:b/>
                <w:color w:val="auto"/>
                <w:sz w:val="21"/>
                <w:szCs w:val="21"/>
                <w:lang w:val="en-US" w:eastAsia="zh-CN"/>
              </w:rPr>
              <w:t>1</w:t>
            </w:r>
            <w:r>
              <w:rPr>
                <w:rFonts w:hint="eastAsia" w:ascii="宋体" w:hAnsi="宋体"/>
                <w:b/>
                <w:color w:val="auto"/>
                <w:sz w:val="21"/>
                <w:szCs w:val="21"/>
                <w:lang w:eastAsia="zh-CN"/>
              </w:rPr>
              <w:t>日；北京时间：10:30</w:t>
            </w:r>
            <w:r>
              <w:rPr>
                <w:rFonts w:hint="eastAsia" w:ascii="宋体" w:hAnsi="宋体"/>
                <w:b/>
                <w:color w:val="auto"/>
                <w:sz w:val="21"/>
                <w:szCs w:val="21"/>
              </w:rPr>
              <w:t>-1</w:t>
            </w:r>
            <w:r>
              <w:rPr>
                <w:rFonts w:hint="eastAsia" w:ascii="宋体" w:hAnsi="宋体"/>
                <w:b/>
                <w:color w:val="auto"/>
                <w:sz w:val="21"/>
                <w:szCs w:val="21"/>
                <w:lang w:val="en-US" w:eastAsia="zh-CN"/>
              </w:rPr>
              <w:t>1</w:t>
            </w:r>
            <w:r>
              <w:rPr>
                <w:rFonts w:hint="eastAsia" w:ascii="宋体" w:hAnsi="宋体"/>
                <w:b/>
                <w:color w:val="auto"/>
                <w:sz w:val="21"/>
                <w:szCs w:val="21"/>
              </w:rPr>
              <w:t>：00前</w:t>
            </w:r>
            <w:r>
              <w:rPr>
                <w:rFonts w:hint="eastAsia" w:ascii="宋体" w:hAnsi="宋体"/>
                <w:bCs/>
                <w:color w:val="auto"/>
                <w:sz w:val="21"/>
                <w:szCs w:val="21"/>
              </w:rPr>
              <w:t>）供应商登录“政采云”平台，用“项目采购-开标评标”功能进行解密投标文件。若供应商在规定时间内未按时解密的，视为无效投标。</w:t>
            </w:r>
            <w:r>
              <w:rPr>
                <w:rFonts w:hint="eastAsia" w:ascii="宋体" w:hAnsi="宋体"/>
                <w:bCs/>
                <w:color w:val="auto"/>
                <w:sz w:val="21"/>
                <w:szCs w:val="21"/>
                <w:u w:val="single"/>
              </w:rPr>
              <w:t>（解密时间开始时政采云平台将以短信形式向供应商在政采云平台预留的手机号发送短信通知，请供应商及时关注。）</w:t>
            </w:r>
          </w:p>
        </w:tc>
      </w:tr>
      <w:tr w14:paraId="02A56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57" w:hRule="atLeast"/>
          <w:jc w:val="center"/>
        </w:trPr>
        <w:tc>
          <w:tcPr>
            <w:tcW w:w="2267" w:type="dxa"/>
            <w:vMerge w:val="continue"/>
            <w:vAlign w:val="center"/>
          </w:tcPr>
          <w:p w14:paraId="4DCF3241">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14:paraId="637EB386">
            <w:pPr>
              <w:adjustRightInd w:val="0"/>
              <w:snapToGrid w:val="0"/>
              <w:spacing w:line="340" w:lineRule="exact"/>
              <w:rPr>
                <w:rFonts w:hint="eastAsia" w:ascii="宋体" w:hAnsi="宋体" w:eastAsia="宋体"/>
                <w:color w:val="auto"/>
                <w:szCs w:val="21"/>
                <w:lang w:eastAsia="zh-CN"/>
              </w:rPr>
            </w:pPr>
            <w:r>
              <w:rPr>
                <w:rFonts w:hint="eastAsia" w:ascii="宋体" w:hAnsi="宋体"/>
                <w:color w:val="auto"/>
                <w:szCs w:val="21"/>
                <w:lang w:eastAsia="zh-CN"/>
              </w:rPr>
              <w:t>保证金缴纳方式及时间要求：</w:t>
            </w:r>
          </w:p>
        </w:tc>
        <w:tc>
          <w:tcPr>
            <w:tcW w:w="5582" w:type="dxa"/>
            <w:tcBorders>
              <w:top w:val="single" w:color="auto" w:sz="4" w:space="0"/>
              <w:left w:val="single" w:color="auto" w:sz="4" w:space="0"/>
              <w:bottom w:val="single" w:color="auto" w:sz="4" w:space="0"/>
            </w:tcBorders>
            <w:vAlign w:val="center"/>
          </w:tcPr>
          <w:p w14:paraId="146D2238">
            <w:pPr>
              <w:pStyle w:val="14"/>
              <w:rPr>
                <w:rFonts w:hint="eastAsia" w:ascii="宋体" w:hAnsi="宋体"/>
                <w:b/>
                <w:bCs w:val="0"/>
                <w:color w:val="auto"/>
                <w:sz w:val="21"/>
                <w:szCs w:val="21"/>
                <w:lang w:eastAsia="zh-CN"/>
              </w:rPr>
            </w:pPr>
            <w:r>
              <w:rPr>
                <w:rFonts w:hint="eastAsia" w:ascii="宋体" w:hAnsi="宋体"/>
                <w:b/>
                <w:bCs w:val="0"/>
                <w:color w:val="auto"/>
                <w:sz w:val="21"/>
                <w:szCs w:val="21"/>
                <w:lang w:eastAsia="zh-CN"/>
              </w:rPr>
              <w:t>投标保证金：本项目不收取</w:t>
            </w:r>
          </w:p>
          <w:p w14:paraId="492EAA05">
            <w:pPr>
              <w:pStyle w:val="14"/>
              <w:rPr>
                <w:rFonts w:hint="default" w:ascii="宋体" w:hAnsi="宋体" w:eastAsia="宋体"/>
                <w:b/>
                <w:bCs w:val="0"/>
                <w:color w:val="auto"/>
                <w:sz w:val="21"/>
                <w:szCs w:val="21"/>
                <w:highlight w:val="red"/>
                <w:lang w:val="en-US" w:eastAsia="zh-CN"/>
              </w:rPr>
            </w:pPr>
            <w:r>
              <w:rPr>
                <w:rFonts w:hint="eastAsia" w:ascii="宋体" w:hAnsi="宋体"/>
                <w:b/>
                <w:bCs w:val="0"/>
                <w:color w:val="auto"/>
                <w:sz w:val="21"/>
                <w:szCs w:val="21"/>
                <w:lang w:eastAsia="zh-CN"/>
              </w:rPr>
              <w:t>履约保证金：</w:t>
            </w:r>
            <w:r>
              <w:rPr>
                <w:rFonts w:hint="eastAsia" w:ascii="宋体" w:hAnsi="宋体"/>
                <w:b/>
                <w:bCs w:val="0"/>
                <w:color w:val="auto"/>
                <w:sz w:val="21"/>
                <w:szCs w:val="21"/>
                <w:highlight w:val="red"/>
                <w:lang w:eastAsia="zh-CN"/>
              </w:rPr>
              <w:t>收取（本项目收取中标价的</w:t>
            </w:r>
            <w:r>
              <w:rPr>
                <w:rFonts w:hint="eastAsia" w:ascii="宋体" w:hAnsi="宋体"/>
                <w:b/>
                <w:bCs w:val="0"/>
                <w:color w:val="auto"/>
                <w:sz w:val="21"/>
                <w:szCs w:val="21"/>
                <w:highlight w:val="red"/>
                <w:lang w:val="en-US" w:eastAsia="zh-CN"/>
              </w:rPr>
              <w:t>10%）</w:t>
            </w:r>
          </w:p>
          <w:p w14:paraId="6F480ADC">
            <w:pPr>
              <w:pStyle w:val="14"/>
              <w:rPr>
                <w:rFonts w:hint="eastAsia" w:ascii="宋体" w:hAnsi="宋体"/>
                <w:b/>
                <w:bCs w:val="0"/>
                <w:color w:val="auto"/>
                <w:sz w:val="21"/>
                <w:szCs w:val="21"/>
                <w:lang w:val="en-US" w:eastAsia="zh-CN"/>
              </w:rPr>
            </w:pPr>
            <w:r>
              <w:rPr>
                <w:rFonts w:hint="eastAsia" w:ascii="宋体" w:hAnsi="宋体"/>
                <w:b/>
                <w:bCs w:val="0"/>
                <w:color w:val="auto"/>
                <w:sz w:val="21"/>
                <w:szCs w:val="21"/>
                <w:lang w:eastAsia="zh-CN"/>
              </w:rPr>
              <w:t>缴纳时间：</w:t>
            </w:r>
            <w:r>
              <w:rPr>
                <w:rFonts w:hint="eastAsia" w:ascii="宋体" w:hAnsi="宋体"/>
                <w:b/>
                <w:bCs w:val="0"/>
                <w:color w:val="auto"/>
                <w:sz w:val="21"/>
                <w:szCs w:val="21"/>
                <w:lang w:val="en-US" w:eastAsia="zh-CN"/>
              </w:rPr>
              <w:t xml:space="preserve">   签订合同后按照合同约定时间缴纳</w:t>
            </w:r>
          </w:p>
          <w:p w14:paraId="504B3EC8">
            <w:pPr>
              <w:pStyle w:val="9"/>
              <w:rPr>
                <w:rFonts w:hint="eastAsia" w:ascii="仿宋" w:hAnsi="仿宋" w:eastAsia="仿宋" w:cs="Times New Roman"/>
                <w:b/>
                <w:bCs/>
                <w:color w:val="auto"/>
                <w:sz w:val="24"/>
                <w:szCs w:val="24"/>
                <w:lang w:val="en-US" w:eastAsia="zh-CN"/>
              </w:rPr>
            </w:pPr>
            <w:r>
              <w:rPr>
                <w:rFonts w:hint="eastAsia" w:ascii="宋体" w:hAnsi="宋体"/>
                <w:b/>
                <w:bCs w:val="0"/>
                <w:color w:val="auto"/>
                <w:sz w:val="21"/>
                <w:szCs w:val="21"/>
                <w:lang w:eastAsia="zh-CN"/>
              </w:rPr>
              <w:t>投标保证金：</w:t>
            </w:r>
            <w:r>
              <w:rPr>
                <w:rFonts w:hint="eastAsia" w:ascii="仿宋" w:hAnsi="仿宋" w:eastAsia="仿宋" w:cs="Times New Roman"/>
                <w:color w:val="auto"/>
                <w:sz w:val="24"/>
                <w:szCs w:val="24"/>
                <w:lang w:val="en-US" w:eastAsia="zh-CN"/>
              </w:rPr>
              <w:t>投保企业或中标单位请以建议改为企业对公账户通过电汇、转账、保函、电子保函等非现金形式缴纳或提交保证金到采购单位银行账户，不允许以个人名义或现金方式缴纳保证金。</w:t>
            </w:r>
            <w:r>
              <w:rPr>
                <w:rFonts w:hint="eastAsia" w:ascii="仿宋" w:hAnsi="仿宋" w:eastAsia="仿宋" w:cs="Times New Roman"/>
                <w:b/>
                <w:bCs/>
                <w:color w:val="auto"/>
                <w:sz w:val="24"/>
                <w:szCs w:val="24"/>
                <w:lang w:val="en-US" w:eastAsia="zh-CN"/>
              </w:rPr>
              <w:t>投标保证金的缴纳截止时间为开标时间，且有效期应当不小于投标有效期</w:t>
            </w:r>
          </w:p>
          <w:p w14:paraId="0C556EEB">
            <w:pPr>
              <w:pStyle w:val="9"/>
              <w:rPr>
                <w:rFonts w:hint="eastAsia" w:ascii="仿宋" w:hAnsi="仿宋" w:eastAsia="仿宋" w:cs="Times New Roman"/>
                <w:b/>
                <w:bCs/>
                <w:color w:val="auto"/>
                <w:sz w:val="24"/>
                <w:szCs w:val="24"/>
                <w:lang w:val="en-US" w:eastAsia="zh-CN"/>
              </w:rPr>
            </w:pPr>
            <w:r>
              <w:rPr>
                <w:rFonts w:hint="eastAsia" w:ascii="宋体" w:hAnsi="宋体"/>
                <w:b/>
                <w:bCs w:val="0"/>
                <w:color w:val="auto"/>
                <w:sz w:val="21"/>
                <w:szCs w:val="21"/>
                <w:lang w:eastAsia="zh-CN"/>
              </w:rPr>
              <w:t>履约保证金：</w:t>
            </w:r>
            <w:r>
              <w:rPr>
                <w:rFonts w:hint="eastAsia" w:ascii="仿宋" w:hAnsi="仿宋" w:eastAsia="仿宋" w:cs="Times New Roman"/>
                <w:color w:val="auto"/>
                <w:sz w:val="24"/>
                <w:szCs w:val="24"/>
                <w:lang w:val="en-US" w:eastAsia="zh-CN"/>
              </w:rPr>
              <w:t>落实政府采购政策功能，鼓励供应商使用政采云电子保函代替现金缴纳投标保证金或履约保证金，在线完成保函的申请、审核、开票、出函等环节，投标企业注意区分办理保函类型；不允许以个人名义或现金方式缴纳保证金；</w:t>
            </w:r>
            <w:r>
              <w:rPr>
                <w:rFonts w:hint="eastAsia" w:ascii="仿宋" w:hAnsi="仿宋" w:eastAsia="仿宋" w:cs="Times New Roman"/>
                <w:b/>
                <w:bCs/>
                <w:color w:val="auto"/>
                <w:sz w:val="24"/>
                <w:szCs w:val="24"/>
                <w:lang w:val="en-US" w:eastAsia="zh-CN"/>
              </w:rPr>
              <w:t>履约保证金的缴纳截止时间为：合同约定；</w:t>
            </w:r>
          </w:p>
          <w:p w14:paraId="61A98739">
            <w:pPr>
              <w:pStyle w:val="9"/>
              <w:rPr>
                <w:rFonts w:hint="eastAsia" w:ascii="宋体" w:hAnsi="宋体" w:cs="Arial"/>
                <w:kern w:val="0"/>
                <w:szCs w:val="21"/>
                <w:lang w:val="en-US" w:eastAsia="zh-CN"/>
              </w:rPr>
            </w:pPr>
            <w:bookmarkStart w:id="25" w:name="_GoBack"/>
            <w:bookmarkEnd w:id="25"/>
          </w:p>
          <w:p w14:paraId="65DCBE15">
            <w:pPr>
              <w:pStyle w:val="14"/>
              <w:adjustRightInd w:val="0"/>
              <w:snapToGrid w:val="0"/>
              <w:spacing w:line="360" w:lineRule="auto"/>
              <w:ind w:firstLine="241" w:firstLineChars="100"/>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采购人账户信息：</w:t>
            </w:r>
          </w:p>
          <w:p w14:paraId="43D69FEA">
            <w:pPr>
              <w:pStyle w:val="14"/>
              <w:adjustRightInd w:val="0"/>
              <w:snapToGrid w:val="0"/>
              <w:spacing w:line="360" w:lineRule="auto"/>
              <w:ind w:firstLine="241" w:firstLineChars="100"/>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 xml:space="preserve">  单位账号：3006031229200464782</w:t>
            </w:r>
          </w:p>
          <w:p w14:paraId="5F87ABD1">
            <w:pPr>
              <w:pStyle w:val="14"/>
              <w:adjustRightInd w:val="0"/>
              <w:snapToGrid w:val="0"/>
              <w:spacing w:line="360" w:lineRule="auto"/>
              <w:ind w:firstLine="723" w:firstLineChars="300"/>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开户行：中国工商银行股份有限公司伊犁霍尔果斯支行</w:t>
            </w:r>
          </w:p>
          <w:p w14:paraId="6126ED27">
            <w:pPr>
              <w:pStyle w:val="14"/>
              <w:adjustRightInd w:val="0"/>
              <w:snapToGrid w:val="0"/>
              <w:spacing w:line="360" w:lineRule="auto"/>
              <w:ind w:firstLine="723" w:firstLineChars="300"/>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联系人：魏敦</w:t>
            </w:r>
          </w:p>
          <w:p w14:paraId="7ED3F063">
            <w:pPr>
              <w:pStyle w:val="14"/>
              <w:adjustRightInd w:val="0"/>
              <w:snapToGrid w:val="0"/>
              <w:spacing w:line="360" w:lineRule="auto"/>
              <w:ind w:firstLine="723" w:firstLineChars="300"/>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联系方式：19390988551</w:t>
            </w:r>
          </w:p>
          <w:p w14:paraId="6F59DB9B">
            <w:pPr>
              <w:pStyle w:val="14"/>
              <w:rPr>
                <w:rFonts w:hint="default" w:ascii="宋体" w:hAnsi="宋体"/>
                <w:b/>
                <w:bCs w:val="0"/>
                <w:color w:val="auto"/>
                <w:sz w:val="21"/>
                <w:szCs w:val="21"/>
                <w:lang w:val="en-US" w:eastAsia="zh-CN"/>
              </w:rPr>
            </w:pPr>
          </w:p>
        </w:tc>
      </w:tr>
      <w:tr w14:paraId="58CEA9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482" w:type="dxa"/>
            <w:gridSpan w:val="3"/>
            <w:vAlign w:val="center"/>
          </w:tcPr>
          <w:p w14:paraId="201A9708">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三、投标文件的编写</w:t>
            </w:r>
          </w:p>
        </w:tc>
      </w:tr>
      <w:tr w14:paraId="55C88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4" w:hRule="exact"/>
          <w:jc w:val="center"/>
        </w:trPr>
        <w:tc>
          <w:tcPr>
            <w:tcW w:w="2267" w:type="dxa"/>
            <w:vAlign w:val="center"/>
          </w:tcPr>
          <w:p w14:paraId="2E27FDC5">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第二章第15.4款</w:t>
            </w:r>
          </w:p>
        </w:tc>
        <w:tc>
          <w:tcPr>
            <w:tcW w:w="1633" w:type="dxa"/>
            <w:vAlign w:val="center"/>
          </w:tcPr>
          <w:p w14:paraId="0A7D20B0">
            <w:pPr>
              <w:adjustRightInd w:val="0"/>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预算总价</w:t>
            </w:r>
          </w:p>
        </w:tc>
        <w:tc>
          <w:tcPr>
            <w:tcW w:w="5582" w:type="dxa"/>
            <w:tcBorders>
              <w:bottom w:val="single" w:color="auto" w:sz="4" w:space="0"/>
            </w:tcBorders>
            <w:vAlign w:val="center"/>
          </w:tcPr>
          <w:p w14:paraId="662A6D14">
            <w:pPr>
              <w:pStyle w:val="13"/>
              <w:ind w:left="0"/>
              <w:rPr>
                <w:rFonts w:hint="default" w:eastAsia="宋体"/>
                <w:i w:val="0"/>
                <w:iCs w:val="0"/>
                <w:lang w:val="en-US" w:eastAsia="zh-CN"/>
              </w:rPr>
            </w:pPr>
            <w:r>
              <w:rPr>
                <w:rFonts w:hint="eastAsia" w:ascii="宋体" w:hAnsi="宋体" w:cs="Times New Roman"/>
                <w:bCs/>
                <w:i w:val="0"/>
                <w:iCs w:val="0"/>
                <w:color w:val="000000" w:themeColor="text1"/>
                <w:kern w:val="2"/>
                <w:sz w:val="21"/>
                <w:szCs w:val="21"/>
                <w:lang w:val="en-US" w:eastAsia="zh-CN" w:bidi="ar-SA"/>
                <w14:textFill>
                  <w14:solidFill>
                    <w14:schemeClr w14:val="tx1"/>
                  </w14:solidFill>
                </w14:textFill>
              </w:rPr>
              <w:t>22800000</w:t>
            </w:r>
            <w:r>
              <w:rPr>
                <w:rFonts w:hint="eastAsia" w:ascii="宋体" w:hAnsi="宋体" w:eastAsia="宋体" w:cs="Times New Roman"/>
                <w:bCs/>
                <w:i w:val="0"/>
                <w:iCs w:val="0"/>
                <w:color w:val="000000" w:themeColor="text1"/>
                <w:kern w:val="2"/>
                <w:sz w:val="21"/>
                <w:szCs w:val="21"/>
                <w:lang w:val="en-US" w:eastAsia="zh-CN" w:bidi="ar-SA"/>
                <w14:textFill>
                  <w14:solidFill>
                    <w14:schemeClr w14:val="tx1"/>
                  </w14:solidFill>
                </w14:textFill>
              </w:rPr>
              <w:t>元</w:t>
            </w:r>
          </w:p>
        </w:tc>
      </w:tr>
      <w:tr w14:paraId="547AB4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2" w:hRule="atLeast"/>
          <w:jc w:val="center"/>
        </w:trPr>
        <w:tc>
          <w:tcPr>
            <w:tcW w:w="2267" w:type="dxa"/>
            <w:vAlign w:val="center"/>
          </w:tcPr>
          <w:p w14:paraId="187CE684">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第二章第16.</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款</w:t>
            </w:r>
          </w:p>
        </w:tc>
        <w:tc>
          <w:tcPr>
            <w:tcW w:w="1633" w:type="dxa"/>
            <w:vAlign w:val="center"/>
          </w:tcPr>
          <w:p w14:paraId="1CFBE694">
            <w:pPr>
              <w:adjustRightInd w:val="0"/>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5582" w:type="dxa"/>
            <w:tcBorders>
              <w:bottom w:val="single" w:color="auto" w:sz="4" w:space="0"/>
            </w:tcBorders>
            <w:vAlign w:val="center"/>
          </w:tcPr>
          <w:p w14:paraId="4DA927E1">
            <w:pPr>
              <w:adjustRightInd w:val="0"/>
              <w:snapToGrid w:val="0"/>
              <w:spacing w:line="340" w:lineRule="exact"/>
              <w:rPr>
                <w:rFonts w:ascii="宋体" w:hAnsi="宋体"/>
                <w:bCs/>
                <w:color w:val="000000" w:themeColor="text1"/>
                <w:szCs w:val="21"/>
                <w14:textFill>
                  <w14:solidFill>
                    <w14:schemeClr w14:val="tx1"/>
                  </w14:solidFill>
                </w14:textFill>
              </w:rPr>
            </w:pPr>
            <w:r>
              <w:rPr>
                <w:rFonts w:hint="eastAsia" w:ascii="宋体" w:hAnsi="宋体" w:eastAsia="宋体" w:cs="Times New Roman"/>
                <w:bCs/>
                <w:color w:val="auto"/>
                <w:kern w:val="2"/>
                <w:sz w:val="21"/>
                <w:szCs w:val="21"/>
                <w:highlight w:val="none"/>
                <w:lang w:val="zh-CN" w:eastAsia="zh-CN" w:bidi="ar-SA"/>
              </w:rPr>
              <w:t>近</w:t>
            </w:r>
            <w:r>
              <w:rPr>
                <w:rFonts w:hint="eastAsia" w:ascii="宋体" w:hAnsi="宋体" w:cs="Times New Roman"/>
                <w:bCs/>
                <w:color w:val="auto"/>
                <w:kern w:val="2"/>
                <w:sz w:val="21"/>
                <w:szCs w:val="21"/>
                <w:highlight w:val="none"/>
                <w:lang w:val="zh-CN" w:eastAsia="zh-CN" w:bidi="ar-SA"/>
              </w:rPr>
              <w:t>四</w:t>
            </w:r>
            <w:r>
              <w:rPr>
                <w:rFonts w:hint="eastAsia" w:ascii="宋体" w:hAnsi="宋体" w:eastAsia="宋体" w:cs="Times New Roman"/>
                <w:bCs/>
                <w:color w:val="auto"/>
                <w:kern w:val="2"/>
                <w:sz w:val="21"/>
                <w:szCs w:val="21"/>
                <w:highlight w:val="none"/>
                <w:lang w:val="zh-CN" w:eastAsia="zh-CN" w:bidi="ar-SA"/>
              </w:rPr>
              <w:t>年类似本项目的业绩：（自</w:t>
            </w:r>
            <w:r>
              <w:rPr>
                <w:rFonts w:hint="eastAsia" w:ascii="宋体" w:hAnsi="宋体" w:eastAsia="宋体" w:cs="Times New Roman"/>
                <w:bCs/>
                <w:color w:val="auto"/>
                <w:kern w:val="2"/>
                <w:sz w:val="21"/>
                <w:szCs w:val="21"/>
                <w:highlight w:val="none"/>
                <w:lang w:val="en-US" w:eastAsia="zh-CN" w:bidi="ar-SA"/>
              </w:rPr>
              <w:t>202</w:t>
            </w:r>
            <w:r>
              <w:rPr>
                <w:rFonts w:hint="eastAsia" w:ascii="宋体" w:hAnsi="宋体" w:cs="Times New Roman"/>
                <w:bCs/>
                <w:color w:val="auto"/>
                <w:kern w:val="2"/>
                <w:sz w:val="21"/>
                <w:szCs w:val="21"/>
                <w:highlight w:val="none"/>
                <w:lang w:val="en-US" w:eastAsia="zh-CN" w:bidi="ar-SA"/>
              </w:rPr>
              <w:t>0</w:t>
            </w:r>
            <w:r>
              <w:rPr>
                <w:rFonts w:hint="eastAsia" w:ascii="宋体" w:hAnsi="宋体" w:eastAsia="宋体" w:cs="Times New Roman"/>
                <w:bCs/>
                <w:color w:val="auto"/>
                <w:kern w:val="2"/>
                <w:sz w:val="21"/>
                <w:szCs w:val="21"/>
                <w:highlight w:val="none"/>
                <w:lang w:val="en-US" w:eastAsia="zh-CN" w:bidi="ar-SA"/>
              </w:rPr>
              <w:t>年</w:t>
            </w:r>
            <w:r>
              <w:rPr>
                <w:rFonts w:hint="eastAsia" w:ascii="宋体" w:hAnsi="宋体" w:cs="Times New Roman"/>
                <w:bCs/>
                <w:color w:val="auto"/>
                <w:kern w:val="2"/>
                <w:sz w:val="21"/>
                <w:szCs w:val="21"/>
                <w:highlight w:val="none"/>
                <w:lang w:val="en-US" w:eastAsia="zh-CN" w:bidi="ar-SA"/>
              </w:rPr>
              <w:t>1</w:t>
            </w:r>
            <w:r>
              <w:rPr>
                <w:rFonts w:hint="eastAsia" w:ascii="宋体" w:hAnsi="宋体" w:eastAsia="宋体" w:cs="Times New Roman"/>
                <w:bCs/>
                <w:color w:val="auto"/>
                <w:kern w:val="2"/>
                <w:sz w:val="21"/>
                <w:szCs w:val="21"/>
                <w:highlight w:val="none"/>
                <w:lang w:val="en-US" w:eastAsia="zh-CN" w:bidi="ar-SA"/>
              </w:rPr>
              <w:t>月1日至今）。</w:t>
            </w:r>
            <w:r>
              <w:rPr>
                <w:rFonts w:hint="eastAsia" w:ascii="宋体" w:hAnsi="宋体" w:eastAsia="宋体" w:cs="Times New Roman"/>
                <w:bCs/>
                <w:color w:val="auto"/>
                <w:kern w:val="2"/>
                <w:sz w:val="21"/>
                <w:szCs w:val="21"/>
                <w:highlight w:val="none"/>
                <w:lang w:val="zh-CN" w:eastAsia="zh-CN" w:bidi="ar-SA"/>
              </w:rPr>
              <w:t>证明材料扫描件编制于投标文件内（具体查看评分因素）。</w:t>
            </w:r>
          </w:p>
        </w:tc>
      </w:tr>
      <w:tr w14:paraId="1EB6C5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2267" w:type="dxa"/>
            <w:vAlign w:val="center"/>
          </w:tcPr>
          <w:p w14:paraId="5EBBEDEF">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第二章第17.1款</w:t>
            </w:r>
          </w:p>
        </w:tc>
        <w:tc>
          <w:tcPr>
            <w:tcW w:w="1633" w:type="dxa"/>
            <w:vAlign w:val="center"/>
          </w:tcPr>
          <w:p w14:paraId="56A04895">
            <w:pPr>
              <w:adjustRightInd w:val="0"/>
              <w:snapToGrid w:val="0"/>
              <w:spacing w:line="400" w:lineRule="exact"/>
              <w:ind w:left="-533" w:leftChars="-254" w:firstLine="533" w:firstLine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5582" w:type="dxa"/>
            <w:vAlign w:val="center"/>
          </w:tcPr>
          <w:p w14:paraId="27C83C76">
            <w:pPr>
              <w:adjustRightInd w:val="0"/>
              <w:snapToGrid w:val="0"/>
              <w:spacing w:line="400" w:lineRule="exact"/>
              <w:jc w:val="left"/>
              <w:rPr>
                <w:rFonts w:hint="default"/>
                <w:lang w:val="en-US"/>
              </w:rPr>
            </w:pPr>
            <w:r>
              <w:rPr>
                <w:rFonts w:hint="eastAsia"/>
                <w:lang w:val="en-US" w:eastAsia="zh-CN"/>
              </w:rPr>
              <w:t>本项目不收取</w:t>
            </w:r>
          </w:p>
        </w:tc>
      </w:tr>
      <w:tr w14:paraId="4F25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2267" w:type="dxa"/>
            <w:vAlign w:val="center"/>
          </w:tcPr>
          <w:p w14:paraId="3F6272B8">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第二章第18.1款</w:t>
            </w:r>
          </w:p>
        </w:tc>
        <w:tc>
          <w:tcPr>
            <w:tcW w:w="1633" w:type="dxa"/>
            <w:vAlign w:val="center"/>
          </w:tcPr>
          <w:p w14:paraId="2A46B4CF">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投标文件有效期</w:t>
            </w:r>
          </w:p>
        </w:tc>
        <w:tc>
          <w:tcPr>
            <w:tcW w:w="5582" w:type="dxa"/>
            <w:vAlign w:val="center"/>
          </w:tcPr>
          <w:p w14:paraId="26CFA556">
            <w:pPr>
              <w:adjustRightInd w:val="0"/>
              <w:snapToGrid w:val="0"/>
              <w:spacing w:line="400" w:lineRule="exact"/>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90</w:t>
            </w:r>
            <w:r>
              <w:rPr>
                <w:rFonts w:hint="eastAsia" w:ascii="宋体" w:hAnsi="宋体"/>
                <w:color w:val="000000" w:themeColor="text1"/>
                <w:szCs w:val="21"/>
                <w14:textFill>
                  <w14:solidFill>
                    <w14:schemeClr w14:val="tx1"/>
                  </w14:solidFill>
                </w14:textFill>
              </w:rPr>
              <w:t>日历日</w:t>
            </w:r>
            <w:r>
              <w:rPr>
                <w:rFonts w:hint="eastAsia" w:ascii="宋体" w:hAnsi="宋体"/>
                <w:color w:val="000000" w:themeColor="text1"/>
                <w:szCs w:val="21"/>
                <w:lang w:eastAsia="zh-CN"/>
                <w14:textFill>
                  <w14:solidFill>
                    <w14:schemeClr w14:val="tx1"/>
                  </w14:solidFill>
                </w14:textFill>
              </w:rPr>
              <w:t>（包含第</w:t>
            </w:r>
            <w:r>
              <w:rPr>
                <w:rFonts w:hint="eastAsia" w:ascii="宋体" w:hAnsi="宋体"/>
                <w:color w:val="000000" w:themeColor="text1"/>
                <w:szCs w:val="21"/>
                <w:lang w:val="en-US" w:eastAsia="zh-CN"/>
                <w14:textFill>
                  <w14:solidFill>
                    <w14:schemeClr w14:val="tx1"/>
                  </w14:solidFill>
                </w14:textFill>
              </w:rPr>
              <w:t>90日</w:t>
            </w:r>
            <w:r>
              <w:rPr>
                <w:rFonts w:hint="eastAsia" w:ascii="宋体" w:hAnsi="宋体"/>
                <w:color w:val="000000" w:themeColor="text1"/>
                <w:szCs w:val="21"/>
                <w:lang w:eastAsia="zh-CN"/>
                <w14:textFill>
                  <w14:solidFill>
                    <w14:schemeClr w14:val="tx1"/>
                  </w14:solidFill>
                </w14:textFill>
              </w:rPr>
              <w:t>）</w:t>
            </w:r>
          </w:p>
        </w:tc>
      </w:tr>
      <w:tr w14:paraId="07F97E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2267" w:type="dxa"/>
            <w:vAlign w:val="center"/>
          </w:tcPr>
          <w:p w14:paraId="47C5E86D">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第二章第19.1款</w:t>
            </w:r>
          </w:p>
        </w:tc>
        <w:tc>
          <w:tcPr>
            <w:tcW w:w="1633" w:type="dxa"/>
            <w:vAlign w:val="center"/>
          </w:tcPr>
          <w:p w14:paraId="569AE22A">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5582" w:type="dxa"/>
            <w:vAlign w:val="center"/>
          </w:tcPr>
          <w:p w14:paraId="0A76D582">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电子加密投标文件一份</w:t>
            </w:r>
          </w:p>
        </w:tc>
      </w:tr>
      <w:tr w14:paraId="550F9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482" w:type="dxa"/>
            <w:gridSpan w:val="3"/>
            <w:vAlign w:val="center"/>
          </w:tcPr>
          <w:p w14:paraId="3431620A">
            <w:pPr>
              <w:adjustRightInd w:val="0"/>
              <w:snapToGrid w:val="0"/>
              <w:spacing w:line="400" w:lineRule="exac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四、投标文件递交</w:t>
            </w:r>
          </w:p>
        </w:tc>
      </w:tr>
      <w:tr w14:paraId="45CAD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7" w:hRule="atLeast"/>
          <w:jc w:val="center"/>
        </w:trPr>
        <w:tc>
          <w:tcPr>
            <w:tcW w:w="2267" w:type="dxa"/>
            <w:vAlign w:val="center"/>
          </w:tcPr>
          <w:p w14:paraId="1DFBBA1E">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第二章第22.1款</w:t>
            </w:r>
          </w:p>
        </w:tc>
        <w:tc>
          <w:tcPr>
            <w:tcW w:w="1633" w:type="dxa"/>
            <w:vAlign w:val="center"/>
          </w:tcPr>
          <w:p w14:paraId="7C7550BC">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5582" w:type="dxa"/>
            <w:vAlign w:val="center"/>
          </w:tcPr>
          <w:p w14:paraId="72FD0E67">
            <w:pPr>
              <w:adjustRightInd w:val="0"/>
              <w:snapToGrid w:val="0"/>
              <w:spacing w:line="400" w:lineRule="exac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w:t>
            </w:r>
            <w:r>
              <w:rPr>
                <w:rFonts w:hint="eastAsia" w:ascii="宋体" w:hAnsi="宋体"/>
                <w:bCs/>
                <w:color w:val="000000" w:themeColor="text1"/>
                <w:szCs w:val="21"/>
                <w14:textFill>
                  <w14:solidFill>
                    <w14:schemeClr w14:val="tx1"/>
                  </w14:solidFill>
                </w14:textFill>
              </w:rPr>
              <w:t>（</w:t>
            </w:r>
            <w:r>
              <w:fldChar w:fldCharType="begin"/>
            </w:r>
            <w:r>
              <w:instrText xml:space="preserve"> HYPERLINK "https://www.zcygov.cn，投标供应商无需到达评标现场。" </w:instrText>
            </w:r>
            <w:r>
              <w:fldChar w:fldCharType="separate"/>
            </w:r>
            <w:r>
              <w:rPr>
                <w:rFonts w:hint="eastAsia" w:ascii="宋体" w:hAnsi="宋体" w:cs="Arial"/>
                <w:bCs/>
                <w:kern w:val="0"/>
                <w:szCs w:val="21"/>
              </w:rPr>
              <w:t>https://www.zcygov.cn</w:t>
            </w:r>
            <w:r>
              <w:rPr>
                <w:rFonts w:hint="eastAsia" w:ascii="宋体" w:hAnsi="宋体" w:cs="Arial"/>
                <w:bCs/>
                <w:kern w:val="0"/>
                <w:szCs w:val="21"/>
              </w:rPr>
              <w:fldChar w:fldCharType="end"/>
            </w:r>
            <w:r>
              <w:rPr>
                <w:rFonts w:hint="eastAsia" w:ascii="宋体" w:hAnsi="宋体" w:cs="Arial"/>
                <w:bCs/>
                <w:kern w:val="0"/>
                <w:szCs w:val="21"/>
              </w:rPr>
              <w:t>）</w:t>
            </w:r>
            <w:r>
              <w:rPr>
                <w:rFonts w:hint="eastAsia" w:ascii="宋体" w:hAnsi="宋体"/>
                <w:b/>
                <w:color w:val="000000" w:themeColor="text1"/>
                <w:szCs w:val="21"/>
                <w14:textFill>
                  <w14:solidFill>
                    <w14:schemeClr w14:val="tx1"/>
                  </w14:solidFill>
                </w14:textFill>
              </w:rPr>
              <w:t>在线投标，投标人无需到达评标现场。</w:t>
            </w:r>
          </w:p>
        </w:tc>
      </w:tr>
      <w:tr w14:paraId="1EC696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9482" w:type="dxa"/>
            <w:gridSpan w:val="3"/>
            <w:vAlign w:val="center"/>
          </w:tcPr>
          <w:p w14:paraId="35380EBB">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五、开标和评标</w:t>
            </w:r>
          </w:p>
        </w:tc>
      </w:tr>
      <w:tr w14:paraId="59C26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jc w:val="center"/>
        </w:trPr>
        <w:tc>
          <w:tcPr>
            <w:tcW w:w="2267" w:type="dxa"/>
            <w:vAlign w:val="center"/>
          </w:tcPr>
          <w:p w14:paraId="769924F3">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第二章第25.1款</w:t>
            </w:r>
          </w:p>
        </w:tc>
        <w:tc>
          <w:tcPr>
            <w:tcW w:w="1633" w:type="dxa"/>
            <w:vAlign w:val="center"/>
          </w:tcPr>
          <w:p w14:paraId="2A83B659">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5582" w:type="dxa"/>
            <w:vAlign w:val="center"/>
          </w:tcPr>
          <w:p w14:paraId="0268356E">
            <w:pPr>
              <w:adjustRightInd w:val="0"/>
              <w:snapToGrid w:val="0"/>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综合评分法</w:t>
            </w:r>
          </w:p>
        </w:tc>
      </w:tr>
      <w:tr w14:paraId="71F409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482" w:type="dxa"/>
            <w:gridSpan w:val="3"/>
            <w:vAlign w:val="center"/>
          </w:tcPr>
          <w:p w14:paraId="02999AA8">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六、中标结果信息公布与履约保证金</w:t>
            </w:r>
          </w:p>
        </w:tc>
      </w:tr>
      <w:tr w14:paraId="5A234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267" w:type="dxa"/>
            <w:vAlign w:val="center"/>
          </w:tcPr>
          <w:p w14:paraId="09F42510">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第二章第30.1款</w:t>
            </w:r>
          </w:p>
        </w:tc>
        <w:tc>
          <w:tcPr>
            <w:tcW w:w="1633" w:type="dxa"/>
            <w:vAlign w:val="center"/>
          </w:tcPr>
          <w:p w14:paraId="2DB4210F">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财政部门指定的媒体</w:t>
            </w:r>
          </w:p>
        </w:tc>
        <w:tc>
          <w:tcPr>
            <w:tcW w:w="5582" w:type="dxa"/>
            <w:vAlign w:val="center"/>
          </w:tcPr>
          <w:p w14:paraId="70E4CCF2">
            <w:pPr>
              <w:adjustRightInd w:val="0"/>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新疆政府采购网</w:t>
            </w:r>
          </w:p>
        </w:tc>
      </w:tr>
      <w:tr w14:paraId="0EAB8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324" w:hRule="atLeast"/>
          <w:jc w:val="center"/>
        </w:trPr>
        <w:tc>
          <w:tcPr>
            <w:tcW w:w="2267" w:type="dxa"/>
            <w:vAlign w:val="center"/>
          </w:tcPr>
          <w:p w14:paraId="33E0636F">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款</w:t>
            </w:r>
          </w:p>
        </w:tc>
        <w:tc>
          <w:tcPr>
            <w:tcW w:w="1633" w:type="dxa"/>
            <w:vAlign w:val="center"/>
          </w:tcPr>
          <w:p w14:paraId="5F6B3056">
            <w:pPr>
              <w:adjustRightInd w:val="0"/>
              <w:snapToGrid w:val="0"/>
              <w:spacing w:line="400" w:lineRule="exact"/>
              <w:rPr>
                <w:rFonts w:hint="eastAsia" w:ascii="宋体" w:hAnsi="宋体" w:eastAsia="宋体"/>
                <w:color w:val="000000" w:themeColor="text1"/>
                <w:szCs w:val="21"/>
                <w:highlight w:val="cyan"/>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保证金</w:t>
            </w:r>
            <w:r>
              <w:rPr>
                <w:rFonts w:hint="eastAsia" w:ascii="宋体" w:hAnsi="宋体"/>
                <w:color w:val="000000" w:themeColor="text1"/>
                <w:szCs w:val="21"/>
                <w:lang w:eastAsia="zh-CN"/>
                <w14:textFill>
                  <w14:solidFill>
                    <w14:schemeClr w14:val="tx1"/>
                  </w14:solidFill>
                </w14:textFill>
              </w:rPr>
              <w:t>的概念</w:t>
            </w:r>
          </w:p>
        </w:tc>
        <w:tc>
          <w:tcPr>
            <w:tcW w:w="5582" w:type="dxa"/>
            <w:vAlign w:val="center"/>
          </w:tcPr>
          <w:p w14:paraId="18134449">
            <w:pPr>
              <w:pStyle w:val="9"/>
              <w:rPr>
                <w:rFonts w:hint="eastAsia" w:ascii="仿宋" w:hAnsi="仿宋" w:eastAsia="仿宋" w:cs="Times New Roman"/>
                <w:color w:val="auto"/>
                <w:sz w:val="24"/>
                <w:szCs w:val="24"/>
                <w:lang w:val="en-US" w:eastAsia="zh-CN"/>
              </w:rPr>
            </w:pPr>
          </w:p>
          <w:p w14:paraId="45A5B9AA">
            <w:pPr>
              <w:pStyle w:val="9"/>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投保企业或中标单位请以建议改为企业对公账户通过电汇、转账、保函、电子保函等非现金形式缴纳或提交保证金到采购单位银行账户，不允许以个人名义或现金方式缴纳保证金。</w:t>
            </w:r>
          </w:p>
          <w:p w14:paraId="210464E9">
            <w:pPr>
              <w:spacing w:before="62" w:beforeLines="20" w:line="288" w:lineRule="auto"/>
              <w:rPr>
                <w:rFonts w:hint="eastAsia" w:ascii="仿宋" w:hAnsi="仿宋" w:eastAsia="仿宋" w:cs="Times New Roman"/>
                <w:color w:val="auto"/>
                <w:sz w:val="24"/>
                <w:szCs w:val="24"/>
              </w:rPr>
            </w:pPr>
            <w:r>
              <w:rPr>
                <w:rFonts w:hint="eastAsia"/>
                <w:lang w:val="en-US" w:eastAsia="zh-CN"/>
              </w:rPr>
              <w:t xml:space="preserve">  按照</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val="en-US" w:eastAsia="zh-CN"/>
              </w:rPr>
              <w:t>关于在政府采购活动中进一步推动开展信用担保工作的通知</w:t>
            </w:r>
            <w:r>
              <w:rPr>
                <w:rFonts w:hint="eastAsia" w:ascii="仿宋" w:hAnsi="仿宋" w:eastAsia="仿宋" w:cs="Times New Roman"/>
                <w:color w:val="auto"/>
                <w:sz w:val="24"/>
                <w:szCs w:val="24"/>
                <w:lang w:val="en-US" w:eastAsia="zh-CN"/>
              </w:rPr>
              <w:t>》新财购〔2023〕25号内容</w:t>
            </w:r>
            <w:r>
              <w:rPr>
                <w:rFonts w:hint="eastAsia" w:ascii="仿宋_GB2312" w:hAnsi="宋体" w:eastAsia="仿宋_GB2312" w:cs="仿宋_GB2312"/>
                <w:i w:val="0"/>
                <w:iCs w:val="0"/>
                <w:caps w:val="0"/>
                <w:color w:val="000000"/>
                <w:spacing w:val="0"/>
                <w:sz w:val="25"/>
                <w:szCs w:val="25"/>
                <w:lang w:eastAsia="zh-CN"/>
              </w:rPr>
              <w:t>；</w:t>
            </w:r>
            <w:r>
              <w:rPr>
                <w:rFonts w:hint="eastAsia" w:ascii="仿宋" w:hAnsi="仿宋" w:eastAsia="仿宋" w:cs="Times New Roman"/>
                <w:color w:val="auto"/>
                <w:sz w:val="24"/>
                <w:szCs w:val="24"/>
              </w:rPr>
              <w:t>为支持和促进中小企业发展，</w:t>
            </w:r>
            <w:r>
              <w:rPr>
                <w:rFonts w:hint="eastAsia" w:ascii="仿宋" w:hAnsi="仿宋" w:eastAsia="仿宋" w:cs="Times New Roman"/>
                <w:b/>
                <w:bCs/>
                <w:color w:val="auto"/>
                <w:sz w:val="24"/>
                <w:szCs w:val="24"/>
              </w:rPr>
              <w:t>进一步</w:t>
            </w:r>
            <w:r>
              <w:rPr>
                <w:rFonts w:hint="eastAsia" w:ascii="仿宋" w:hAnsi="仿宋" w:eastAsia="仿宋" w:cs="Times New Roman"/>
                <w:b/>
                <w:bCs/>
                <w:color w:val="auto"/>
                <w:sz w:val="24"/>
                <w:szCs w:val="24"/>
                <w:highlight w:val="none"/>
                <w:lang w:eastAsia="zh-CN"/>
              </w:rPr>
              <w:t>落实</w:t>
            </w:r>
            <w:r>
              <w:rPr>
                <w:rFonts w:hint="eastAsia" w:ascii="仿宋" w:hAnsi="仿宋" w:eastAsia="仿宋" w:cs="Times New Roman"/>
                <w:b/>
                <w:bCs/>
                <w:color w:val="auto"/>
                <w:sz w:val="24"/>
                <w:szCs w:val="24"/>
              </w:rPr>
              <w:t>政府采购政策功能，</w:t>
            </w:r>
            <w:r>
              <w:rPr>
                <w:rFonts w:hint="eastAsia" w:ascii="仿宋" w:hAnsi="仿宋" w:eastAsia="仿宋" w:cs="Times New Roman"/>
                <w:b/>
                <w:bCs/>
                <w:color w:val="auto"/>
                <w:sz w:val="24"/>
                <w:szCs w:val="24"/>
                <w:lang w:val="en-US" w:eastAsia="zh-CN"/>
              </w:rPr>
              <w:t>鼓励</w:t>
            </w:r>
            <w:r>
              <w:rPr>
                <w:rFonts w:hint="eastAsia" w:ascii="仿宋" w:hAnsi="仿宋" w:eastAsia="仿宋" w:cs="Times New Roman"/>
                <w:b/>
                <w:bCs/>
                <w:color w:val="auto"/>
                <w:sz w:val="24"/>
                <w:szCs w:val="24"/>
              </w:rPr>
              <w:t>供应商</w:t>
            </w:r>
            <w:r>
              <w:rPr>
                <w:rFonts w:hint="eastAsia" w:ascii="仿宋" w:hAnsi="仿宋" w:eastAsia="仿宋" w:cs="Times New Roman"/>
                <w:b/>
                <w:bCs/>
                <w:color w:val="auto"/>
                <w:sz w:val="24"/>
                <w:szCs w:val="24"/>
                <w:lang w:val="en-US" w:eastAsia="zh-CN"/>
              </w:rPr>
              <w:t>使用政采云电子保函代替现金缴纳投标保证金或履约保证金</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在线完成保函的申请、审核、开票、出函等环节，投标企业注意（中标供应商注意）区分办理保函类型，并确认保证金缴纳的金额是按照招标文件要求缴纳金额及缴纳时间的有效期，如采用政采云电子保函，</w:t>
            </w:r>
            <w:r>
              <w:rPr>
                <w:rFonts w:hint="eastAsia" w:ascii="仿宋" w:hAnsi="仿宋" w:eastAsia="仿宋" w:cs="Times New Roman"/>
                <w:color w:val="auto"/>
                <w:sz w:val="24"/>
                <w:szCs w:val="24"/>
                <w:highlight w:val="none"/>
              </w:rPr>
              <w:t>可</w:t>
            </w:r>
            <w:r>
              <w:rPr>
                <w:rFonts w:hint="eastAsia" w:ascii="仿宋" w:hAnsi="仿宋" w:eastAsia="仿宋" w:cs="Times New Roman"/>
                <w:color w:val="auto"/>
                <w:sz w:val="24"/>
                <w:szCs w:val="24"/>
              </w:rPr>
              <w:t>登录【新疆政府采购网】-顶部通栏【电子保函】模块查看：</w:t>
            </w:r>
          </w:p>
          <w:p w14:paraId="5AAFFF10">
            <w:pPr>
              <w:spacing w:before="62" w:beforeLines="20" w:line="288"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直达链接（电子保函）：</w:t>
            </w:r>
          </w:p>
          <w:p w14:paraId="5605B6FD">
            <w:pPr>
              <w:spacing w:before="62" w:beforeLines="20" w:line="288"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https://jinrong.zcygov.cn/luban/finance/letter/xinjiang?pageModelFlag=650000</w:t>
            </w:r>
          </w:p>
          <w:p w14:paraId="7A7AA98C">
            <w:pPr>
              <w:pStyle w:val="9"/>
              <w:rPr>
                <w:rFonts w:hint="default"/>
                <w:lang w:val="en-US" w:eastAsia="zh-CN"/>
              </w:rPr>
            </w:pPr>
            <w:r>
              <w:rPr>
                <w:rFonts w:hint="eastAsia"/>
                <w:lang w:eastAsia="zh-CN"/>
              </w:rPr>
              <w:t>电子保函服务热线</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0991-2661159</w:t>
            </w:r>
          </w:p>
          <w:p w14:paraId="69838236">
            <w:pPr>
              <w:widowControl w:val="0"/>
              <w:numPr>
                <w:ilvl w:val="0"/>
                <w:numId w:val="0"/>
              </w:numPr>
              <w:overflowPunct w:val="0"/>
              <w:spacing w:line="276" w:lineRule="auto"/>
              <w:rPr>
                <w:rFonts w:hint="eastAsia" w:ascii="黑体" w:hAnsi="黑体" w:eastAsia="黑体" w:cs="黑体"/>
                <w:b w:val="0"/>
                <w:bCs w:val="0"/>
                <w:color w:val="auto"/>
                <w:highlight w:val="none"/>
              </w:rPr>
            </w:pPr>
            <w:r>
              <w:rPr>
                <w:rFonts w:hint="eastAsia" w:ascii="仿宋" w:hAnsi="仿宋" w:eastAsia="仿宋" w:cs="Times New Roman"/>
                <w:color w:val="auto"/>
                <w:kern w:val="2"/>
                <w:sz w:val="24"/>
                <w:szCs w:val="24"/>
                <w:lang w:val="en-US" w:eastAsia="zh-CN" w:bidi="ar-SA"/>
              </w:rPr>
              <w:t>2、供应商可以自主选择以上任一种形式递交保证金</w:t>
            </w:r>
            <w:r>
              <w:rPr>
                <w:rFonts w:hint="eastAsia" w:ascii="黑体" w:hAnsi="黑体" w:eastAsia="黑体" w:cs="黑体"/>
                <w:b w:val="0"/>
                <w:bCs w:val="0"/>
                <w:color w:val="auto"/>
                <w:highlight w:val="none"/>
              </w:rPr>
              <w:t>。</w:t>
            </w:r>
          </w:p>
          <w:p w14:paraId="5B743F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baseline"/>
              <w:rPr>
                <w:sz w:val="28"/>
                <w:szCs w:val="28"/>
              </w:rPr>
            </w:pPr>
            <w:r>
              <w:rPr>
                <w:rFonts w:hint="eastAsia" w:ascii="仿宋" w:hAnsi="仿宋" w:eastAsia="仿宋" w:cs="Times New Roman"/>
                <w:color w:val="auto"/>
                <w:kern w:val="2"/>
                <w:sz w:val="24"/>
                <w:szCs w:val="24"/>
                <w:lang w:val="en-US" w:eastAsia="zh-CN" w:bidi="ar-SA"/>
              </w:rPr>
              <w:t>3、</w:t>
            </w:r>
            <w:r>
              <w:rPr>
                <w:rFonts w:hint="eastAsia" w:ascii="仿宋" w:hAnsi="仿宋" w:cs="Times New Roman"/>
                <w:b/>
                <w:bCs/>
                <w:color w:val="auto"/>
                <w:kern w:val="2"/>
                <w:sz w:val="24"/>
                <w:szCs w:val="24"/>
                <w:lang w:val="en-US" w:eastAsia="zh-CN" w:bidi="ar-SA"/>
              </w:rPr>
              <w:t>投标保证金：</w:t>
            </w:r>
            <w:r>
              <w:rPr>
                <w:rFonts w:hint="eastAsia" w:ascii="仿宋" w:hAnsi="仿宋" w:eastAsia="仿宋" w:cs="Times New Roman"/>
                <w:color w:val="auto"/>
                <w:kern w:val="2"/>
                <w:sz w:val="24"/>
                <w:szCs w:val="24"/>
                <w:lang w:val="en-US" w:eastAsia="zh-CN" w:bidi="ar-SA"/>
              </w:rPr>
              <w:t>投标保证金不得超过采购项目预算金额的2%。采购人应当自中标通知书发出之日起5个工作日内退还</w:t>
            </w:r>
            <w:r>
              <w:rPr>
                <w:rFonts w:hint="eastAsia" w:ascii="仿宋" w:hAnsi="仿宋" w:eastAsia="仿宋" w:cs="Times New Roman"/>
                <w:b/>
                <w:bCs/>
                <w:color w:val="auto"/>
                <w:kern w:val="2"/>
                <w:sz w:val="24"/>
                <w:szCs w:val="24"/>
                <w:lang w:val="en-US" w:eastAsia="zh-CN" w:bidi="ar-SA"/>
              </w:rPr>
              <w:t>未中标</w:t>
            </w:r>
            <w:r>
              <w:rPr>
                <w:rFonts w:hint="eastAsia" w:ascii="仿宋" w:hAnsi="仿宋" w:eastAsia="仿宋" w:cs="Times New Roman"/>
                <w:color w:val="auto"/>
                <w:kern w:val="2"/>
                <w:sz w:val="24"/>
                <w:szCs w:val="24"/>
                <w:lang w:val="en-US" w:eastAsia="zh-CN" w:bidi="ar-SA"/>
              </w:rPr>
              <w:t>供应商的投标保证金</w:t>
            </w:r>
            <w:r>
              <w:rPr>
                <w:rFonts w:hint="eastAsia" w:ascii="仿宋" w:hAnsi="仿宋" w:cs="Times New Roman"/>
                <w:color w:val="auto"/>
                <w:kern w:val="2"/>
                <w:sz w:val="24"/>
                <w:szCs w:val="24"/>
                <w:lang w:val="en-US" w:eastAsia="zh-CN" w:bidi="ar-SA"/>
              </w:rPr>
              <w:t>;</w:t>
            </w:r>
            <w:r>
              <w:rPr>
                <w:rFonts w:hint="eastAsia" w:ascii="仿宋" w:hAnsi="仿宋" w:eastAsia="仿宋" w:cs="Times New Roman"/>
                <w:color w:val="auto"/>
                <w:kern w:val="2"/>
                <w:sz w:val="24"/>
                <w:szCs w:val="24"/>
                <w:lang w:val="en-US" w:eastAsia="zh-CN" w:bidi="ar-SA"/>
              </w:rPr>
              <w:t>自政府采购合同签订之日起5个工作日内退还</w:t>
            </w:r>
            <w:r>
              <w:rPr>
                <w:rFonts w:hint="eastAsia" w:ascii="仿宋" w:hAnsi="仿宋" w:eastAsia="仿宋" w:cs="Times New Roman"/>
                <w:b/>
                <w:bCs/>
                <w:color w:val="auto"/>
                <w:kern w:val="2"/>
                <w:sz w:val="24"/>
                <w:szCs w:val="24"/>
                <w:lang w:val="en-US" w:eastAsia="zh-CN" w:bidi="ar-SA"/>
              </w:rPr>
              <w:t>中标</w:t>
            </w:r>
            <w:r>
              <w:rPr>
                <w:rFonts w:hint="eastAsia" w:ascii="仿宋" w:hAnsi="仿宋" w:eastAsia="仿宋" w:cs="Times New Roman"/>
                <w:color w:val="auto"/>
                <w:kern w:val="2"/>
                <w:sz w:val="24"/>
                <w:szCs w:val="24"/>
                <w:lang w:val="en-US" w:eastAsia="zh-CN" w:bidi="ar-SA"/>
              </w:rPr>
              <w:t>供应商的投标保证金。</w:t>
            </w:r>
          </w:p>
          <w:p w14:paraId="30F32A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baseline"/>
              <w:rPr>
                <w:rFonts w:hint="eastAsia" w:ascii="黑体" w:hAnsi="黑体" w:eastAsia="黑体" w:cs="黑体"/>
                <w:b/>
                <w:bCs/>
                <w:color w:val="auto"/>
                <w:kern w:val="2"/>
                <w:sz w:val="21"/>
                <w:szCs w:val="24"/>
                <w:highlight w:val="none"/>
                <w:lang w:val="en-US" w:eastAsia="zh-CN" w:bidi="ar-SA"/>
              </w:rPr>
            </w:pPr>
            <w:r>
              <w:rPr>
                <w:rFonts w:hint="eastAsia" w:ascii="黑体" w:hAnsi="黑体" w:eastAsia="黑体" w:cs="黑体"/>
                <w:b/>
                <w:bCs/>
                <w:color w:val="auto"/>
                <w:kern w:val="2"/>
                <w:sz w:val="21"/>
                <w:szCs w:val="24"/>
                <w:highlight w:val="none"/>
                <w:lang w:val="en-US" w:eastAsia="zh-CN" w:bidi="ar-SA"/>
              </w:rPr>
              <w:t>3.</w:t>
            </w:r>
            <w:r>
              <w:rPr>
                <w:rFonts w:hint="eastAsia" w:ascii="仿宋" w:hAnsi="仿宋" w:eastAsia="仿宋" w:cs="Times New Roman"/>
                <w:b/>
                <w:bCs/>
                <w:color w:val="auto"/>
                <w:kern w:val="2"/>
                <w:sz w:val="24"/>
                <w:szCs w:val="24"/>
                <w:lang w:val="en-US" w:eastAsia="zh-CN" w:bidi="ar-SA"/>
              </w:rPr>
              <w:t>履约保证金：</w:t>
            </w:r>
            <w:r>
              <w:rPr>
                <w:rFonts w:hint="eastAsia" w:ascii="仿宋" w:hAnsi="仿宋" w:eastAsia="仿宋" w:cs="Times New Roman"/>
                <w:color w:val="auto"/>
                <w:kern w:val="2"/>
                <w:sz w:val="24"/>
                <w:szCs w:val="24"/>
                <w:lang w:val="en-US" w:eastAsia="zh-CN" w:bidi="ar-SA"/>
              </w:rPr>
              <w:t>履约保证金的数额不得超过政府采购合同金额的10%</w:t>
            </w:r>
            <w:r>
              <w:rPr>
                <w:rFonts w:hint="eastAsia" w:ascii="仿宋" w:hAnsi="仿宋" w:cs="Times New Roman"/>
                <w:color w:val="auto"/>
                <w:kern w:val="2"/>
                <w:sz w:val="24"/>
                <w:szCs w:val="24"/>
                <w:lang w:val="en-US" w:eastAsia="zh-CN" w:bidi="ar-SA"/>
              </w:rPr>
              <w:t>；</w:t>
            </w:r>
            <w:r>
              <w:rPr>
                <w:rFonts w:hint="eastAsia" w:ascii="仿宋" w:hAnsi="仿宋" w:eastAsia="仿宋" w:cs="Times New Roman"/>
                <w:b/>
                <w:bCs/>
                <w:color w:val="auto"/>
                <w:kern w:val="2"/>
                <w:sz w:val="24"/>
                <w:szCs w:val="24"/>
                <w:lang w:val="en-US" w:eastAsia="zh-CN" w:bidi="ar-SA"/>
              </w:rPr>
              <w:t>履约保证金的退还时间及不予退还的情形由采购人及中标供应商在合同中约定；</w:t>
            </w:r>
          </w:p>
          <w:p w14:paraId="02E40651">
            <w:pPr>
              <w:adjustRightInd w:val="0"/>
              <w:snapToGrid w:val="0"/>
              <w:spacing w:line="320" w:lineRule="exact"/>
              <w:jc w:val="left"/>
              <w:rPr>
                <w:rFonts w:ascii="宋体" w:hAnsi="宋体"/>
                <w:color w:val="000000" w:themeColor="text1"/>
                <w:szCs w:val="21"/>
                <w:highlight w:val="cyan"/>
                <w14:textFill>
                  <w14:solidFill>
                    <w14:schemeClr w14:val="tx1"/>
                  </w14:solidFill>
                </w14:textFill>
              </w:rPr>
            </w:pPr>
          </w:p>
        </w:tc>
      </w:tr>
      <w:tr w14:paraId="0F5C8E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59" w:hRule="atLeast"/>
          <w:jc w:val="center"/>
        </w:trPr>
        <w:tc>
          <w:tcPr>
            <w:tcW w:w="2267" w:type="dxa"/>
            <w:vAlign w:val="center"/>
          </w:tcPr>
          <w:p w14:paraId="70DE80FE">
            <w:pPr>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633" w:type="dxa"/>
            <w:vAlign w:val="center"/>
          </w:tcPr>
          <w:p w14:paraId="2AF11C30">
            <w:pPr>
              <w:adjustRightInd w:val="0"/>
              <w:snapToGrid w:val="0"/>
              <w:spacing w:line="400" w:lineRule="exact"/>
              <w:rPr>
                <w:rFonts w:hint="eastAsia" w:ascii="宋体" w:hAnsi="宋体"/>
                <w:color w:val="000000" w:themeColor="text1"/>
                <w:szCs w:val="21"/>
                <w14:textFill>
                  <w14:solidFill>
                    <w14:schemeClr w14:val="tx1"/>
                  </w14:solidFill>
                </w14:textFill>
              </w:rPr>
            </w:pPr>
          </w:p>
        </w:tc>
        <w:tc>
          <w:tcPr>
            <w:tcW w:w="5582" w:type="dxa"/>
            <w:vAlign w:val="center"/>
          </w:tcPr>
          <w:p w14:paraId="399E209C">
            <w:pPr>
              <w:adjustRightInd w:val="0"/>
              <w:snapToGrid w:val="0"/>
              <w:spacing w:line="320" w:lineRule="exact"/>
              <w:jc w:val="left"/>
              <w:rPr>
                <w:rFonts w:hint="eastAsia" w:ascii="仿宋" w:hAnsi="仿宋" w:eastAsia="仿宋" w:cs="Times New Roman"/>
                <w:color w:val="auto"/>
                <w:kern w:val="2"/>
                <w:sz w:val="24"/>
                <w:szCs w:val="24"/>
                <w:lang w:val="en-US" w:eastAsia="zh-CN" w:bidi="ar-SA"/>
              </w:rPr>
            </w:pPr>
            <w:r>
              <w:rPr>
                <w:rFonts w:hint="eastAsia" w:ascii="宋体" w:hAnsi="宋体"/>
                <w:color w:val="auto"/>
                <w:sz w:val="21"/>
                <w:szCs w:val="21"/>
                <w:highlight w:val="none"/>
                <w:lang w:val="en-US" w:eastAsia="zh-CN"/>
              </w:rPr>
              <w:t>4、</w:t>
            </w:r>
            <w:r>
              <w:rPr>
                <w:rFonts w:hint="eastAsia" w:ascii="仿宋" w:hAnsi="仿宋" w:eastAsia="仿宋" w:cs="Times New Roman"/>
                <w:color w:val="auto"/>
                <w:kern w:val="2"/>
                <w:sz w:val="24"/>
                <w:szCs w:val="24"/>
                <w:lang w:val="en-US" w:eastAsia="zh-CN" w:bidi="ar-SA"/>
              </w:rPr>
              <w:t>投标人未按照招标文件要求提交投标保证金的，投标无效；中标人没有按照约定提交履约保证金的，按照合同约定承担相应法律责任。</w:t>
            </w:r>
          </w:p>
        </w:tc>
      </w:tr>
      <w:tr w14:paraId="0C9A5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482" w:type="dxa"/>
            <w:gridSpan w:val="3"/>
            <w:vAlign w:val="center"/>
          </w:tcPr>
          <w:p w14:paraId="32B55C17">
            <w:pPr>
              <w:adjustRightInd w:val="0"/>
              <w:snapToGrid w:val="0"/>
              <w:spacing w:line="400" w:lineRule="exact"/>
              <w:rPr>
                <w:rFonts w:ascii="宋体" w:hAnsi="宋体"/>
                <w:b/>
                <w:szCs w:val="21"/>
              </w:rPr>
            </w:pPr>
            <w:r>
              <w:rPr>
                <w:rFonts w:hint="eastAsia" w:ascii="宋体" w:hAnsi="宋体"/>
                <w:b/>
                <w:szCs w:val="21"/>
              </w:rPr>
              <w:t>七、其他规定</w:t>
            </w:r>
          </w:p>
        </w:tc>
      </w:tr>
      <w:tr w14:paraId="5B4E7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2267" w:type="dxa"/>
            <w:vAlign w:val="center"/>
          </w:tcPr>
          <w:p w14:paraId="7DDE21CD">
            <w:pPr>
              <w:adjustRightInd w:val="0"/>
              <w:snapToGrid w:val="0"/>
              <w:spacing w:line="400" w:lineRule="exact"/>
              <w:jc w:val="center"/>
              <w:rPr>
                <w:rFonts w:ascii="宋体" w:hAnsi="宋体"/>
                <w:bCs/>
                <w:szCs w:val="21"/>
              </w:rPr>
            </w:pPr>
            <w:r>
              <w:rPr>
                <w:rFonts w:hint="eastAsia" w:ascii="宋体" w:hAnsi="宋体"/>
                <w:bCs/>
                <w:szCs w:val="21"/>
              </w:rPr>
              <w:t>付款方式</w:t>
            </w:r>
          </w:p>
        </w:tc>
        <w:tc>
          <w:tcPr>
            <w:tcW w:w="7215" w:type="dxa"/>
            <w:gridSpan w:val="2"/>
            <w:vAlign w:val="center"/>
          </w:tcPr>
          <w:p w14:paraId="3A751563">
            <w:pPr>
              <w:adjustRightInd w:val="0"/>
              <w:snapToGrid w:val="0"/>
              <w:spacing w:line="400" w:lineRule="exact"/>
              <w:jc w:val="left"/>
              <w:rPr>
                <w:rFonts w:hint="eastAsia" w:ascii="宋体" w:hAnsi="宋体" w:eastAsia="宋体"/>
                <w:bCs/>
                <w:szCs w:val="21"/>
                <w:lang w:val="en-US" w:eastAsia="zh-CN"/>
              </w:rPr>
            </w:pPr>
            <w:r>
              <w:rPr>
                <w:rFonts w:hint="eastAsia" w:ascii="宋体" w:hAnsi="宋体"/>
                <w:bCs/>
                <w:szCs w:val="21"/>
              </w:rPr>
              <w:t>合同签订后付合同款的30%，货物到达供货地点且组装完毕后付合同款的80%，验收合格后付合同款的100%</w:t>
            </w:r>
          </w:p>
        </w:tc>
      </w:tr>
      <w:tr w14:paraId="05CA5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267" w:type="dxa"/>
            <w:vAlign w:val="center"/>
          </w:tcPr>
          <w:p w14:paraId="3E3B6628">
            <w:pPr>
              <w:adjustRightInd w:val="0"/>
              <w:snapToGrid w:val="0"/>
              <w:spacing w:line="400" w:lineRule="exact"/>
              <w:jc w:val="center"/>
              <w:rPr>
                <w:rFonts w:ascii="宋体" w:hAnsi="宋体"/>
                <w:color w:val="000000" w:themeColor="text1"/>
                <w:szCs w:val="21"/>
                <w14:textFill>
                  <w14:solidFill>
                    <w14:schemeClr w14:val="tx1"/>
                  </w14:solidFill>
                </w14:textFill>
              </w:rPr>
            </w:pPr>
            <w:bookmarkStart w:id="8" w:name="_Toc420948007"/>
            <w:r>
              <w:rPr>
                <w:rFonts w:hint="eastAsia" w:ascii="宋体" w:hAnsi="宋体"/>
                <w:color w:val="000000" w:themeColor="text1"/>
                <w:szCs w:val="21"/>
                <w14:textFill>
                  <w14:solidFill>
                    <w14:schemeClr w14:val="tx1"/>
                  </w14:solidFill>
                </w14:textFill>
              </w:rPr>
              <w:t>招标代理服务费</w:t>
            </w:r>
          </w:p>
        </w:tc>
        <w:tc>
          <w:tcPr>
            <w:tcW w:w="7215" w:type="dxa"/>
            <w:gridSpan w:val="2"/>
            <w:vAlign w:val="center"/>
          </w:tcPr>
          <w:p w14:paraId="26C16F65">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14:paraId="2D2547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267" w:type="dxa"/>
            <w:vAlign w:val="center"/>
          </w:tcPr>
          <w:p w14:paraId="32567654">
            <w:pPr>
              <w:adjustRightInd w:val="0"/>
              <w:snapToGrid w:val="0"/>
              <w:spacing w:line="40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投标报价</w:t>
            </w:r>
          </w:p>
        </w:tc>
        <w:tc>
          <w:tcPr>
            <w:tcW w:w="7215" w:type="dxa"/>
            <w:gridSpan w:val="2"/>
            <w:vAlign w:val="center"/>
          </w:tcPr>
          <w:p w14:paraId="4FFE526D">
            <w:pPr>
              <w:adjustRightInd w:val="0"/>
              <w:snapToGrid w:val="0"/>
              <w:spacing w:line="400" w:lineRule="exact"/>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zh-CN" w:eastAsia="zh-CN"/>
                <w14:textFill>
                  <w14:solidFill>
                    <w14:schemeClr w14:val="tx1"/>
                  </w14:solidFill>
                </w14:textFill>
              </w:rPr>
              <w:t>含税全包价，包括但不限于服务过程中所发生的一切费用：服务费、差旅费、人员培训、车辆交通费、办公用品、运输费、仓储、安装费等一切费用。</w:t>
            </w:r>
          </w:p>
        </w:tc>
      </w:tr>
      <w:tr w14:paraId="63929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2267" w:type="dxa"/>
            <w:vAlign w:val="center"/>
          </w:tcPr>
          <w:p w14:paraId="147F33FF">
            <w:pPr>
              <w:jc w:val="center"/>
              <w:rPr>
                <w:rFonts w:ascii="宋体" w:hAnsi="宋体" w:cs="宋体"/>
                <w:b/>
                <w:bCs/>
                <w:szCs w:val="21"/>
              </w:rPr>
            </w:pPr>
            <w:r>
              <w:rPr>
                <w:rFonts w:hint="eastAsia" w:ascii="宋体" w:hAnsi="宋体" w:cs="宋体"/>
                <w:b/>
                <w:bCs/>
                <w:szCs w:val="21"/>
              </w:rPr>
              <w:t>关于政采云平台线上电子招投标的注意事项</w:t>
            </w:r>
          </w:p>
          <w:p w14:paraId="444ED754">
            <w:pPr>
              <w:spacing w:before="62" w:beforeLines="20" w:line="288" w:lineRule="auto"/>
              <w:rPr>
                <w:rFonts w:ascii="宋体" w:hAnsi="宋体"/>
                <w:color w:val="000000" w:themeColor="text1"/>
                <w:szCs w:val="21"/>
                <w14:textFill>
                  <w14:solidFill>
                    <w14:schemeClr w14:val="tx1"/>
                  </w14:solidFill>
                </w14:textFill>
              </w:rPr>
            </w:pPr>
          </w:p>
        </w:tc>
        <w:tc>
          <w:tcPr>
            <w:tcW w:w="7215" w:type="dxa"/>
            <w:gridSpan w:val="2"/>
            <w:vAlign w:val="center"/>
          </w:tcPr>
          <w:p w14:paraId="1F302921">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14:paraId="34C7FFC8">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14:paraId="216115BF">
            <w:pPr>
              <w:adjustRightInd w:val="0"/>
              <w:snapToGrid w:val="0"/>
              <w:spacing w:line="400" w:lineRule="exact"/>
              <w:jc w:val="left"/>
              <w:rPr>
                <w:b/>
                <w:bCs/>
              </w:rPr>
            </w:pPr>
            <w:r>
              <w:rPr>
                <w:rFonts w:hint="eastAsia"/>
                <w:b/>
                <w:bCs/>
              </w:rPr>
              <w:t>3、备注:</w:t>
            </w:r>
          </w:p>
          <w:p w14:paraId="08A24DF0">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14:paraId="6A25DD7C">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5C08F6F6">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14:paraId="6AF49F37">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14:paraId="268E9AA9">
            <w:pPr>
              <w:adjustRightInd w:val="0"/>
              <w:snapToGrid w:val="0"/>
              <w:spacing w:line="400" w:lineRule="exact"/>
              <w:jc w:val="left"/>
            </w:pPr>
            <w:r>
              <w:rPr>
                <w:rFonts w:hint="eastAsia"/>
              </w:rPr>
              <w:t>（5）建议投标人使用带有摄像头和麦克风的设备，以备评标演示时使用，投标人自行承担因投标人设备原因而产生的不利后果。浏览器要求：建议使用者谷歌Chrome浏览器或360极速浏览器。</w:t>
            </w:r>
          </w:p>
        </w:tc>
      </w:tr>
      <w:tr w14:paraId="27E57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2267" w:type="dxa"/>
            <w:vAlign w:val="center"/>
          </w:tcPr>
          <w:p w14:paraId="7A5DDE19">
            <w:pPr>
              <w:spacing w:before="62" w:beforeLines="20" w:line="288"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CA办理及技术支持</w:t>
            </w:r>
          </w:p>
        </w:tc>
        <w:tc>
          <w:tcPr>
            <w:tcW w:w="7215" w:type="dxa"/>
            <w:gridSpan w:val="2"/>
            <w:vAlign w:val="center"/>
          </w:tcPr>
          <w:p w14:paraId="26ABB36F">
            <w:pPr>
              <w:pStyle w:val="14"/>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14:paraId="3E4AF35F">
            <w:pPr>
              <w:pStyle w:val="14"/>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14:paraId="55657CCA">
      <w:pPr>
        <w:adjustRightInd w:val="0"/>
        <w:snapToGrid w:val="0"/>
        <w:spacing w:line="360" w:lineRule="auto"/>
        <w:jc w:val="center"/>
        <w:outlineLvl w:val="1"/>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bookmarkStart w:id="9" w:name="_Toc474235943"/>
      <w:r>
        <w:rPr>
          <w:rFonts w:hint="eastAsia" w:ascii="宋体" w:hAnsi="宋体"/>
          <w:b/>
          <w:color w:val="000000" w:themeColor="text1"/>
          <w:sz w:val="24"/>
          <w14:textFill>
            <w14:solidFill>
              <w14:schemeClr w14:val="tx1"/>
            </w14:solidFill>
          </w14:textFill>
        </w:rPr>
        <w:t>投标须知正文</w:t>
      </w:r>
      <w:bookmarkEnd w:id="8"/>
      <w:bookmarkEnd w:id="9"/>
    </w:p>
    <w:p w14:paraId="40095F98">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0" w:name="_Toc420948008"/>
      <w:bookmarkStart w:id="11" w:name="_Toc474235944"/>
      <w:r>
        <w:rPr>
          <w:rFonts w:hint="eastAsia" w:ascii="宋体" w:hAnsi="宋体"/>
          <w:b/>
          <w:color w:val="000000" w:themeColor="text1"/>
          <w:sz w:val="24"/>
          <w14:textFill>
            <w14:solidFill>
              <w14:schemeClr w14:val="tx1"/>
            </w14:solidFill>
          </w14:textFill>
        </w:rPr>
        <w:t>一、</w:t>
      </w:r>
      <w:bookmarkEnd w:id="10"/>
      <w:r>
        <w:rPr>
          <w:rFonts w:hint="eastAsia" w:ascii="宋体" w:hAnsi="宋体"/>
          <w:b/>
          <w:color w:val="000000" w:themeColor="text1"/>
          <w:sz w:val="24"/>
          <w14:textFill>
            <w14:solidFill>
              <w14:schemeClr w14:val="tx1"/>
            </w14:solidFill>
          </w14:textFill>
        </w:rPr>
        <w:t>总则</w:t>
      </w:r>
      <w:bookmarkEnd w:id="11"/>
    </w:p>
    <w:p w14:paraId="1A5807A7">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14:paraId="3A8D4F7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586083B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3D7F7F4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582109E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7D32574A">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eastAsia="zh-CN"/>
          <w14:textFill>
            <w14:solidFill>
              <w14:schemeClr w14:val="tx1"/>
            </w14:solidFill>
          </w14:textFill>
        </w:rPr>
        <w:t>履约期限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42D277C0">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14:paraId="2D8F6992">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041420FB">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14:paraId="0DD59D28">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“投标人”是指响应招标文件要求、参加招标采购的法人、其他组织或者自然人。</w:t>
      </w:r>
    </w:p>
    <w:p w14:paraId="701FB22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“货物”是指各种形态和种类的物品，包括原材料、燃料、设备、产品等，详见《政府采购品目分类目录》(</w:t>
      </w:r>
      <w:r>
        <w:rPr>
          <w:rStyle w:val="26"/>
          <w:rFonts w:ascii="宋体" w:hAnsi="宋体"/>
          <w:b w:val="0"/>
          <w:color w:val="000000" w:themeColor="text1"/>
          <w14:textFill>
            <w14:solidFill>
              <w14:schemeClr w14:val="tx1"/>
            </w14:solidFill>
          </w14:textFill>
        </w:rPr>
        <w:t>财库</w:t>
      </w:r>
      <w:r>
        <w:rPr>
          <w:rStyle w:val="26"/>
          <w:rFonts w:hint="eastAsia" w:ascii="宋体" w:hAnsi="宋体"/>
          <w:b w:val="0"/>
          <w:color w:val="000000" w:themeColor="text1"/>
          <w14:textFill>
            <w14:solidFill>
              <w14:schemeClr w14:val="tx1"/>
            </w14:solidFill>
          </w14:textFill>
        </w:rPr>
        <w:t>[</w:t>
      </w:r>
      <w:r>
        <w:rPr>
          <w:rStyle w:val="26"/>
          <w:rFonts w:ascii="宋体" w:hAnsi="宋体"/>
          <w:b w:val="0"/>
          <w:color w:val="000000" w:themeColor="text1"/>
          <w14:textFill>
            <w14:solidFill>
              <w14:schemeClr w14:val="tx1"/>
            </w14:solidFill>
          </w14:textFill>
        </w:rPr>
        <w:t>20</w:t>
      </w:r>
      <w:r>
        <w:rPr>
          <w:rStyle w:val="26"/>
          <w:rFonts w:hint="eastAsia" w:ascii="宋体" w:hAnsi="宋体"/>
          <w:b w:val="0"/>
          <w:color w:val="000000" w:themeColor="text1"/>
          <w14:textFill>
            <w14:solidFill>
              <w14:schemeClr w14:val="tx1"/>
            </w14:solidFill>
          </w14:textFill>
        </w:rPr>
        <w:t>22]31</w:t>
      </w:r>
      <w:r>
        <w:rPr>
          <w:rStyle w:val="26"/>
          <w:rFonts w:ascii="宋体" w:hAnsi="宋体"/>
          <w:b w:val="0"/>
          <w:color w:val="000000" w:themeColor="text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14:paraId="38E15841">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14:paraId="0320E424">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2.6偏离</w:t>
      </w:r>
    </w:p>
    <w:p w14:paraId="364EE71A">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2.6.1本条所称偏离为投标文件对招标文件的偏离，即不满足、或不响应招标文件的要求。偏离分为对招标文件的实质性要求条款偏离和对招标文件的一般商务</w:t>
      </w:r>
      <w:r>
        <w:rPr>
          <w:rFonts w:hint="eastAsia" w:ascii="宋体" w:hAnsi="宋体" w:cs="宋体"/>
          <w:color w:val="000000" w:themeColor="text1"/>
          <w:kern w:val="0"/>
          <w:szCs w:val="21"/>
          <w:lang w:eastAsia="zh-CN"/>
          <w14:textFill>
            <w14:solidFill>
              <w14:schemeClr w14:val="tx1"/>
            </w14:solidFill>
          </w14:textFill>
        </w:rPr>
        <w:t>及</w:t>
      </w:r>
      <w:r>
        <w:rPr>
          <w:rFonts w:hint="eastAsia" w:ascii="宋体" w:hAnsi="宋体" w:cs="宋体"/>
          <w:color w:val="000000" w:themeColor="text1"/>
          <w:kern w:val="0"/>
          <w:szCs w:val="21"/>
          <w14:textFill>
            <w14:solidFill>
              <w14:schemeClr w14:val="tx1"/>
            </w14:solidFill>
          </w14:textFill>
        </w:rPr>
        <w:t>技术条款偏离。</w:t>
      </w:r>
    </w:p>
    <w:p w14:paraId="22ACC178">
      <w:pPr>
        <w:pStyle w:val="9"/>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2.6.2除法律、法规和规章规定外，招标文件中用“拒绝”、“不接受”、“无效”、“不得”</w:t>
      </w:r>
      <w:r>
        <w:rPr>
          <w:rFonts w:hint="eastAsia"/>
          <w:lang w:eastAsia="zh-CN"/>
        </w:rPr>
        <w:t>带★号的为实质性条款、</w:t>
      </w:r>
      <w:r>
        <w:rPr>
          <w:rFonts w:hint="eastAsia" w:ascii="宋体" w:hAnsi="宋体" w:cs="宋体"/>
          <w:b/>
          <w:color w:val="000000" w:themeColor="text1"/>
          <w:kern w:val="0"/>
          <w:szCs w:val="21"/>
          <w14:textFill>
            <w14:solidFill>
              <w14:schemeClr w14:val="tx1"/>
            </w14:solidFill>
          </w14:textFill>
        </w:rPr>
        <w:t>等文字规定的条款</w:t>
      </w:r>
      <w:r>
        <w:rPr>
          <w:rFonts w:hint="eastAsia" w:ascii="宋体" w:hAnsi="宋体" w:cs="宋体"/>
          <w:b/>
          <w:color w:val="000000" w:themeColor="text1"/>
          <w:kern w:val="0"/>
          <w:szCs w:val="21"/>
          <w:lang w:eastAsia="zh-CN"/>
          <w14:textFill>
            <w14:solidFill>
              <w14:schemeClr w14:val="tx1"/>
            </w14:solidFill>
          </w14:textFill>
        </w:rPr>
        <w:t>均</w:t>
      </w:r>
      <w:r>
        <w:rPr>
          <w:rFonts w:hint="eastAsia" w:ascii="宋体" w:hAnsi="宋体" w:cs="宋体"/>
          <w:b/>
          <w:color w:val="000000" w:themeColor="text1"/>
          <w:kern w:val="0"/>
          <w:szCs w:val="21"/>
          <w14:textFill>
            <w14:solidFill>
              <w14:schemeClr w14:val="tx1"/>
            </w14:solidFill>
          </w14:textFill>
        </w:rPr>
        <w:t>为实质性要求条款，对其中任何一条的偏离，在评标时将其视为无效投标。未用上述文字规定或符号标注的条款为非实质性要求条款(即一般条款)。</w:t>
      </w:r>
    </w:p>
    <w:p w14:paraId="7F07FCD4">
      <w:pPr>
        <w:adjustRightInd w:val="0"/>
        <w:snapToGrid w:val="0"/>
        <w:spacing w:line="360" w:lineRule="auto"/>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2.7.特别说明</w:t>
      </w:r>
    </w:p>
    <w:p w14:paraId="4B8BF180">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2.7.1投标人投标所使用的资格、信誉、荣誉、业绩与企业认证等必须为投标人所拥有。</w:t>
      </w:r>
    </w:p>
    <w:p w14:paraId="435F9265">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2.7.2投标人应仔细阅读招标文件的所有内容，按照招标文件的要求提交投标文件，并对所提供的全部资料的真实性承担法律责任。</w:t>
      </w:r>
    </w:p>
    <w:p w14:paraId="3A7E173F">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2.7.3投标人在投标活动中提供任何虚假材料，其投标无效并承担相应法律责任。</w:t>
      </w:r>
    </w:p>
    <w:p w14:paraId="545794DF">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14:paraId="44EA4CA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14:paraId="0BB23B8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14:paraId="6AFB9B1F">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14:paraId="1D712D0B">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14:paraId="11C0B51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14:paraId="3ABE293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投标人具有履行合同所必需的设备和专业技术能力，在人员、设备、资金等方面具有相应能力；投标人提供的的产品必须是</w:t>
      </w:r>
      <w:r>
        <w:rPr>
          <w:rFonts w:hint="eastAsia" w:ascii="宋体" w:hAnsi="宋体"/>
          <w:color w:val="auto"/>
          <w:szCs w:val="21"/>
        </w:rPr>
        <w:t>必须</w:t>
      </w:r>
      <w:r>
        <w:rPr>
          <w:rFonts w:hint="eastAsia" w:ascii="宋体" w:hAnsi="宋体"/>
          <w:color w:val="auto"/>
          <w:szCs w:val="21"/>
          <w:lang w:eastAsia="zh-CN"/>
        </w:rPr>
        <w:t>满足国家相关规范要求及质量要求</w:t>
      </w:r>
      <w:r>
        <w:rPr>
          <w:rFonts w:hint="eastAsia" w:ascii="宋体" w:hAnsi="宋体"/>
          <w:color w:val="000000" w:themeColor="text1"/>
          <w:szCs w:val="21"/>
          <w14:textFill>
            <w14:solidFill>
              <w14:schemeClr w14:val="tx1"/>
            </w14:solidFill>
          </w14:textFill>
        </w:rPr>
        <w:t>；在项目地具有技术支持和后续服务等能力。</w:t>
      </w:r>
    </w:p>
    <w:p w14:paraId="1EBF708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3725325D">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14:paraId="770721D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4.1投标人应承担其参加本招标活动自身所发生的费用。招标文件所提供的资料，是采购人现有的能被投标人利用的资料，采购人对投标人做出的任何推论、理解和结论均不负责任。</w:t>
      </w:r>
    </w:p>
    <w:p w14:paraId="3F3BD17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A180424">
      <w:pPr>
        <w:pStyle w:val="14"/>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14:paraId="6864393B">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5.1投标人代表为投标人法定代表人的，应提供法定代表人身份证明。投标人代表不是投标人法定代表人的，应提供法定代表人授权书。</w:t>
      </w:r>
    </w:p>
    <w:p w14:paraId="4E4EC110">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14:paraId="012FFCC6">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中另有规定，本次招标采购不接受为联合体形式的投标人。</w:t>
      </w:r>
    </w:p>
    <w:p w14:paraId="516F6278">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14:paraId="728926A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对招标采购项目现场设备型号、数量和周围环境进行现场考察。</w:t>
      </w:r>
    </w:p>
    <w:p w14:paraId="37574F2F">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 财产损失由投标人自己负责。</w:t>
      </w:r>
    </w:p>
    <w:p w14:paraId="38C6F30A">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7.3采购人不对投标人据此而做出的推论、理解和结论负责。一旦中标，投标人不得以任何借口，而提出额外补偿，或延长合同期限的要求。</w:t>
      </w:r>
    </w:p>
    <w:p w14:paraId="1BA3AC51">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14:paraId="53FECEE0">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14:textFill>
            <w14:solidFill>
              <w14:schemeClr w14:val="tx1"/>
            </w14:solidFill>
          </w14:textFill>
        </w:rPr>
        <w:t>招标采购活动</w:t>
      </w:r>
      <w:r>
        <w:rPr>
          <w:rFonts w:hint="eastAsia" w:ascii="宋体" w:hAnsi="宋体" w:cs="宋体"/>
          <w:color w:val="000000" w:themeColor="text1"/>
          <w:kern w:val="0"/>
          <w:szCs w:val="21"/>
          <w14:textFill>
            <w14:solidFill>
              <w14:schemeClr w14:val="tx1"/>
            </w14:solidFill>
          </w14:textFill>
        </w:rPr>
        <w:t>。</w:t>
      </w:r>
    </w:p>
    <w:p w14:paraId="79B824EC">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本章第8.1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14:textFill>
            <w14:solidFill>
              <w14:schemeClr w14:val="tx1"/>
            </w14:solidFill>
          </w14:textFill>
        </w:rPr>
        <w:t>招标文件要求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14:paraId="3520CECD">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14:paraId="440C010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投标人在签署相关承诺，提供相关信息前，应认真阅读财政部门相关政策规定。符合本章第9.1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的，应提供相关证明材料。</w:t>
      </w:r>
    </w:p>
    <w:p w14:paraId="3C798DEC">
      <w:pPr>
        <w:pStyle w:val="14"/>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9.2电子版投标文件内所有资格证明文件，投标人须逐页加盖电子签章。</w:t>
      </w:r>
    </w:p>
    <w:p w14:paraId="08AD7F86">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2" w:name="_Toc420948009"/>
      <w:bookmarkStart w:id="13" w:name="_Toc474235945"/>
      <w:r>
        <w:rPr>
          <w:rFonts w:hint="eastAsia" w:ascii="宋体" w:hAnsi="宋体"/>
          <w:b/>
          <w:color w:val="000000" w:themeColor="text1"/>
          <w:sz w:val="24"/>
          <w14:textFill>
            <w14:solidFill>
              <w14:schemeClr w14:val="tx1"/>
            </w14:solidFill>
          </w14:textFill>
        </w:rPr>
        <w:t>二、招标</w:t>
      </w:r>
      <w:bookmarkEnd w:id="12"/>
      <w:r>
        <w:rPr>
          <w:rFonts w:hint="eastAsia" w:ascii="宋体" w:hAnsi="宋体"/>
          <w:b/>
          <w:color w:val="000000" w:themeColor="text1"/>
          <w:sz w:val="24"/>
          <w14:textFill>
            <w14:solidFill>
              <w14:schemeClr w14:val="tx1"/>
            </w14:solidFill>
          </w14:textFill>
        </w:rPr>
        <w:t>文件</w:t>
      </w:r>
      <w:bookmarkEnd w:id="13"/>
    </w:p>
    <w:p w14:paraId="4CD89A97">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10.招标文件的组成</w:t>
      </w:r>
    </w:p>
    <w:p w14:paraId="6BBA4861">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 招标文件由下列文件组成：</w:t>
      </w:r>
    </w:p>
    <w:p w14:paraId="6494AD30">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第一章 招标公告</w:t>
      </w:r>
    </w:p>
    <w:p w14:paraId="5B3028CD">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第二章 投标须知</w:t>
      </w:r>
    </w:p>
    <w:p w14:paraId="0BF7771D">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第三章 评标方法及标准</w:t>
      </w:r>
    </w:p>
    <w:p w14:paraId="3CBE81BA">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第四章 政府采购合同格式条款</w:t>
      </w:r>
    </w:p>
    <w:p w14:paraId="4FD4526C">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第五章 采购需求</w:t>
      </w:r>
    </w:p>
    <w:p w14:paraId="111CD2E1">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第六章 投标文件格式</w:t>
      </w:r>
    </w:p>
    <w:p w14:paraId="2992751D">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w:t>
      </w:r>
      <w:r>
        <w:rPr>
          <w:rFonts w:hint="eastAsia" w:ascii="宋体" w:hAnsi="宋体"/>
          <w:bCs/>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bCs/>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提交投标文件截止时间前对招标文件澄清或者修改内容，为招标文件的组成部分。</w:t>
      </w:r>
    </w:p>
    <w:p w14:paraId="66B4AB0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10.3</w:t>
      </w:r>
      <w:r>
        <w:rPr>
          <w:rFonts w:hint="eastAsia" w:ascii="宋体" w:hAnsi="宋体"/>
          <w:color w:val="000000" w:themeColor="text1"/>
          <w:szCs w:val="21"/>
          <w14:textFill>
            <w14:solidFill>
              <w14:schemeClr w14:val="tx1"/>
            </w14:solidFill>
          </w14:textFill>
        </w:rPr>
        <w:t>投标人应仔细阅读</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的全部内容，按照</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要求编制投标文件。任何对</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的忽略或误解不能作为投标文件存在缺陷或瑕疵的理由，其风险由投标人承担。</w:t>
      </w:r>
    </w:p>
    <w:p w14:paraId="4E53AB1E">
      <w:pPr>
        <w:pStyle w:val="14"/>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11.</w:t>
      </w:r>
      <w:r>
        <w:rPr>
          <w:rFonts w:hint="eastAsia" w:ascii="宋体" w:hAnsi="宋体" w:cs="宋体"/>
          <w:b/>
          <w:color w:val="000000" w:themeColor="text1"/>
          <w:kern w:val="0"/>
          <w:sz w:val="21"/>
          <w:szCs w:val="21"/>
          <w14:textFill>
            <w14:solidFill>
              <w14:schemeClr w14:val="tx1"/>
            </w14:solidFill>
          </w14:textFill>
        </w:rPr>
        <w:t>提交投标文件</w:t>
      </w:r>
      <w:r>
        <w:rPr>
          <w:rFonts w:hint="eastAsia" w:ascii="宋体" w:hAnsi="宋体"/>
          <w:b/>
          <w:color w:val="000000" w:themeColor="text1"/>
          <w:sz w:val="21"/>
          <w:szCs w:val="21"/>
          <w14:textFill>
            <w14:solidFill>
              <w14:schemeClr w14:val="tx1"/>
            </w14:solidFill>
          </w14:textFill>
        </w:rPr>
        <w:t>的</w:t>
      </w:r>
      <w:r>
        <w:rPr>
          <w:rFonts w:hint="eastAsia" w:ascii="宋体" w:hAnsi="宋体" w:cs="宋体"/>
          <w:b/>
          <w:color w:val="000000" w:themeColor="text1"/>
          <w:kern w:val="0"/>
          <w:sz w:val="21"/>
          <w:szCs w:val="21"/>
          <w14:textFill>
            <w14:solidFill>
              <w14:schemeClr w14:val="tx1"/>
            </w14:solidFill>
          </w14:textFill>
        </w:rPr>
        <w:t>截止</w:t>
      </w:r>
      <w:r>
        <w:rPr>
          <w:rFonts w:hint="eastAsia" w:ascii="宋体" w:hAnsi="宋体"/>
          <w:b/>
          <w:color w:val="000000" w:themeColor="text1"/>
          <w:sz w:val="21"/>
          <w:szCs w:val="21"/>
          <w14:textFill>
            <w14:solidFill>
              <w14:schemeClr w14:val="tx1"/>
            </w14:solidFill>
          </w14:textFill>
        </w:rPr>
        <w:t>时间</w:t>
      </w:r>
    </w:p>
    <w:p w14:paraId="1FAEF8E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11.1投标人</w:t>
      </w:r>
      <w:r>
        <w:rPr>
          <w:rFonts w:hint="eastAsia" w:ascii="宋体" w:hAnsi="宋体" w:cs="宋体"/>
          <w:color w:val="000000" w:themeColor="text1"/>
          <w:kern w:val="0"/>
          <w:sz w:val="21"/>
          <w:szCs w:val="21"/>
          <w14:textFill>
            <w14:solidFill>
              <w14:schemeClr w14:val="tx1"/>
            </w14:solidFill>
          </w14:textFill>
        </w:rPr>
        <w:t>提交投标文件截止</w:t>
      </w:r>
      <w:r>
        <w:rPr>
          <w:rFonts w:hint="eastAsia" w:ascii="宋体" w:hAnsi="宋体"/>
          <w:color w:val="000000" w:themeColor="text1"/>
          <w:sz w:val="21"/>
          <w:szCs w:val="21"/>
          <w14:textFill>
            <w14:solidFill>
              <w14:schemeClr w14:val="tx1"/>
            </w14:solidFill>
          </w14:textFill>
        </w:rPr>
        <w:t>时间见</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w:t>
      </w:r>
    </w:p>
    <w:p w14:paraId="1F0DE815">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12.招标文件的澄清</w:t>
      </w:r>
      <w:r>
        <w:rPr>
          <w:rFonts w:hint="eastAsia" w:ascii="宋体" w:hAnsi="宋体"/>
          <w:b/>
          <w:color w:val="000000" w:themeColor="text1"/>
          <w:kern w:val="0"/>
          <w:szCs w:val="21"/>
          <w:lang w:val="zh-CN"/>
          <w14:textFill>
            <w14:solidFill>
              <w14:schemeClr w14:val="tx1"/>
            </w14:solidFill>
          </w14:textFill>
        </w:rPr>
        <w:t>或者</w:t>
      </w:r>
      <w:r>
        <w:rPr>
          <w:rFonts w:hint="eastAsia" w:ascii="宋体" w:hAnsi="宋体"/>
          <w:b/>
          <w:bCs/>
          <w:color w:val="000000" w:themeColor="text1"/>
          <w:szCs w:val="21"/>
          <w14:textFill>
            <w14:solidFill>
              <w14:schemeClr w14:val="tx1"/>
            </w14:solidFill>
          </w14:textFill>
        </w:rPr>
        <w:t>修改</w:t>
      </w:r>
    </w:p>
    <w:p w14:paraId="04C3FC11">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bookmarkStart w:id="14" w:name="_Toc420948010"/>
      <w:r>
        <w:rPr>
          <w:rFonts w:hint="eastAsia" w:ascii="宋体" w:hAnsi="宋体"/>
          <w:color w:val="000000" w:themeColor="text1"/>
          <w:sz w:val="21"/>
          <w:szCs w:val="21"/>
          <w14:textFill>
            <w14:solidFill>
              <w14:schemeClr w14:val="tx1"/>
            </w14:solidFill>
          </w14:textFill>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http://www.ccgp-xinjiang.gov.cn)或通过政采云平台自行获取，投标人应自行查阅澄清公告或更正公告，澄清或者修改文件作为招标文件的组成部分对投标人具有约束力。</w:t>
      </w:r>
    </w:p>
    <w:p w14:paraId="1CC1796A">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 如果澄清或者修改发出的时间距规定的投标截止时间不足十五日，将相应顺延投标截止时间。</w:t>
      </w:r>
    </w:p>
    <w:p w14:paraId="7A609334">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12.3采购代理机构可以视采购具体情况，延长投标截止时间和开标时间，但应当在规定的提交投标文件的截止时间三日前，将变更时间书面通知所有招标文件收受人，并在指定的媒体上发布更正公告。</w:t>
      </w:r>
    </w:p>
    <w:p w14:paraId="1736B7D6">
      <w:pPr>
        <w:pStyle w:val="14"/>
        <w:adjustRightInd w:val="0"/>
        <w:snapToGrid w:val="0"/>
        <w:spacing w:line="360" w:lineRule="auto"/>
        <w:ind w:firstLine="420" w:firstLineChars="200"/>
        <w:rPr>
          <w:rFonts w:hint="eastAsia" w:ascii="宋体" w:hAnsi="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12.4投标人认为招标文件存在歧视性条款的，应在收到招标文件之日或招标文件公告期限届满之日起7个工作日内以书面形式向本代理机构提出。</w:t>
      </w:r>
    </w:p>
    <w:p w14:paraId="4F34C030">
      <w:pPr>
        <w:adjustRightInd w:val="0"/>
        <w:snapToGrid w:val="0"/>
        <w:spacing w:line="360" w:lineRule="auto"/>
        <w:outlineLvl w:val="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三、投标文件</w:t>
      </w:r>
    </w:p>
    <w:p w14:paraId="07085B5A">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13.一般要求</w:t>
      </w:r>
    </w:p>
    <w:p w14:paraId="19814CE0">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应仔细阅读招标文件的所有内容，按招标文件的要求编制投标文件，并保证所提供的全部资料的真实性，以使其投标文件对招标文件做出实质性的投标。</w:t>
      </w:r>
    </w:p>
    <w:p w14:paraId="36512C1B">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投标人提交的投标文件及投标人与采购人或采购代理机构就有关招标的所有来往函电均使用中文。投标人可以提交其它语言的资料，但应附中文注释，在有差异时以中文为准。</w:t>
      </w:r>
    </w:p>
    <w:p w14:paraId="2473BA98">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13.3 </w:t>
      </w:r>
      <w:r>
        <w:rPr>
          <w:rFonts w:hint="eastAsia" w:ascii="宋体" w:hAnsi="宋体"/>
          <w:color w:val="000000" w:themeColor="text1"/>
          <w:sz w:val="21"/>
          <w:szCs w:val="21"/>
          <w14:textFill>
            <w14:solidFill>
              <w14:schemeClr w14:val="tx1"/>
            </w14:solidFill>
          </w14:textFill>
        </w:rPr>
        <w:t>计量单位应使用我国法定计量单位，未列明时应默认为我国法定计量单位。</w:t>
      </w:r>
    </w:p>
    <w:p w14:paraId="2A497BD3">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 投标文件应采用书面形式</w:t>
      </w:r>
      <w:r>
        <w:rPr>
          <w:rFonts w:hint="eastAsia" w:ascii="宋体" w:hAnsi="宋体"/>
          <w:color w:val="000000" w:themeColor="text1"/>
          <w:sz w:val="21"/>
          <w:szCs w:val="21"/>
          <w:lang w:eastAsia="zh-CN"/>
          <w14:textFill>
            <w14:solidFill>
              <w14:schemeClr w14:val="tx1"/>
            </w14:solidFill>
          </w14:textFill>
        </w:rPr>
        <w:t>（政采云电子投标视为书面形式）</w:t>
      </w:r>
      <w:r>
        <w:rPr>
          <w:rFonts w:hint="eastAsia" w:ascii="宋体" w:hAnsi="宋体"/>
          <w:color w:val="000000" w:themeColor="text1"/>
          <w:sz w:val="21"/>
          <w:szCs w:val="21"/>
          <w14:textFill>
            <w14:solidFill>
              <w14:schemeClr w14:val="tx1"/>
            </w14:solidFill>
          </w14:textFill>
        </w:rPr>
        <w:t>，传真、电子邮件形式的投标文件概不接受。</w:t>
      </w:r>
    </w:p>
    <w:p w14:paraId="609BAD7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 投标人应按招标文件中提供的投标文件格式填写。</w:t>
      </w:r>
    </w:p>
    <w:p w14:paraId="23D920A9">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的组成</w:t>
      </w:r>
    </w:p>
    <w:p w14:paraId="45FAAEC3">
      <w:pPr>
        <w:adjustRightInd w:val="0"/>
        <w:snapToGrid w:val="0"/>
        <w:spacing w:line="360" w:lineRule="auto"/>
        <w:ind w:firstLine="420" w:firstLineChars="200"/>
        <w:jc w:val="left"/>
        <w:rPr>
          <w:rFonts w:ascii="宋体" w:hAnsi="宋体"/>
          <w:szCs w:val="21"/>
        </w:rPr>
      </w:pPr>
      <w:r>
        <w:rPr>
          <w:rFonts w:hint="eastAsia" w:ascii="宋体" w:hAnsi="宋体"/>
        </w:rPr>
        <w:t>14.1 投标文件包括但不限于下列内容：</w:t>
      </w:r>
      <w:r>
        <w:rPr>
          <w:rFonts w:hint="eastAsia" w:ascii="宋体" w:hAnsi="宋体"/>
          <w:szCs w:val="21"/>
        </w:rPr>
        <w:t xml:space="preserve"> </w:t>
      </w:r>
    </w:p>
    <w:p w14:paraId="42FFDAEE">
      <w:pPr>
        <w:pStyle w:val="14"/>
        <w:adjustRightInd w:val="0"/>
        <w:snapToGrid w:val="0"/>
        <w:spacing w:line="360" w:lineRule="auto"/>
        <w:ind w:firstLine="420" w:firstLineChars="200"/>
        <w:rPr>
          <w:rFonts w:ascii="宋体" w:hAnsi="宋体"/>
          <w:sz w:val="21"/>
          <w:szCs w:val="21"/>
        </w:rPr>
      </w:pPr>
      <w:r>
        <w:rPr>
          <w:rFonts w:hint="eastAsia" w:ascii="宋体" w:hAnsi="宋体"/>
          <w:sz w:val="21"/>
          <w:szCs w:val="21"/>
        </w:rPr>
        <w:t>（1）投标函</w:t>
      </w:r>
    </w:p>
    <w:p w14:paraId="7D5442E5">
      <w:pPr>
        <w:pStyle w:val="14"/>
        <w:adjustRightInd w:val="0"/>
        <w:snapToGrid w:val="0"/>
        <w:spacing w:line="360" w:lineRule="auto"/>
        <w:ind w:firstLine="420" w:firstLineChars="200"/>
        <w:rPr>
          <w:rFonts w:ascii="宋体" w:hAnsi="宋体"/>
          <w:sz w:val="21"/>
          <w:szCs w:val="21"/>
        </w:rPr>
      </w:pPr>
      <w:r>
        <w:rPr>
          <w:rFonts w:hint="eastAsia" w:ascii="宋体" w:hAnsi="宋体"/>
          <w:sz w:val="21"/>
          <w:szCs w:val="21"/>
        </w:rPr>
        <w:t>（2）开标一览表及投标报价明细表</w:t>
      </w:r>
    </w:p>
    <w:p w14:paraId="0A2ACDBD">
      <w:pPr>
        <w:pStyle w:val="14"/>
        <w:adjustRightInd w:val="0"/>
        <w:snapToGrid w:val="0"/>
        <w:spacing w:line="360" w:lineRule="auto"/>
        <w:ind w:firstLine="420" w:firstLineChars="200"/>
        <w:rPr>
          <w:rFonts w:hint="eastAsia" w:ascii="宋体" w:hAnsi="宋体"/>
          <w:sz w:val="21"/>
          <w:szCs w:val="21"/>
          <w:lang w:eastAsia="zh-CN"/>
        </w:rPr>
      </w:pPr>
      <w:r>
        <w:rPr>
          <w:rFonts w:hint="eastAsia" w:ascii="宋体" w:hAnsi="宋体"/>
          <w:sz w:val="21"/>
          <w:szCs w:val="21"/>
        </w:rPr>
        <w:t>（3）投标人的资格证明文件</w:t>
      </w:r>
      <w:r>
        <w:rPr>
          <w:rFonts w:hint="eastAsia" w:ascii="宋体" w:hAnsi="宋体"/>
          <w:sz w:val="21"/>
          <w:szCs w:val="21"/>
          <w:lang w:eastAsia="zh-CN"/>
        </w:rPr>
        <w:t>（资格审查和符合性审查）</w:t>
      </w:r>
    </w:p>
    <w:p w14:paraId="70B9ED71">
      <w:pPr>
        <w:pStyle w:val="14"/>
        <w:adjustRightInd w:val="0"/>
        <w:snapToGrid w:val="0"/>
        <w:spacing w:line="360" w:lineRule="auto"/>
        <w:ind w:firstLine="420" w:firstLineChars="200"/>
        <w:rPr>
          <w:rFonts w:hint="eastAsia" w:ascii="宋体" w:hAnsi="宋体"/>
          <w:sz w:val="21"/>
          <w:szCs w:val="21"/>
          <w:lang w:eastAsia="zh-CN"/>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）偏离表</w:t>
      </w:r>
      <w:r>
        <w:rPr>
          <w:rFonts w:hint="eastAsia" w:ascii="宋体" w:hAnsi="宋体"/>
          <w:sz w:val="21"/>
          <w:szCs w:val="21"/>
          <w:lang w:eastAsia="zh-CN"/>
        </w:rPr>
        <w:t>（根据采购需求填写相应表格）</w:t>
      </w:r>
    </w:p>
    <w:p w14:paraId="78C30D1B">
      <w:pPr>
        <w:pStyle w:val="14"/>
        <w:adjustRightInd w:val="0"/>
        <w:snapToGrid w:val="0"/>
        <w:spacing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）货物说明</w:t>
      </w:r>
    </w:p>
    <w:p w14:paraId="2025E766">
      <w:pPr>
        <w:pStyle w:val="14"/>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）方案</w:t>
      </w:r>
      <w:r>
        <w:rPr>
          <w:rFonts w:hint="eastAsia" w:ascii="宋体" w:hAnsi="宋体"/>
          <w:sz w:val="21"/>
          <w:szCs w:val="21"/>
          <w:lang w:eastAsia="zh-CN"/>
        </w:rPr>
        <w:t>（根据评审因素提供相应资料）</w:t>
      </w:r>
    </w:p>
    <w:p w14:paraId="63D9DBD9">
      <w:pPr>
        <w:pStyle w:val="14"/>
        <w:adjustRightInd w:val="0"/>
        <w:snapToGrid w:val="0"/>
        <w:spacing w:line="360" w:lineRule="auto"/>
        <w:ind w:firstLine="420" w:firstLineChars="200"/>
        <w:rPr>
          <w:rFonts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7）</w:t>
      </w:r>
      <w:r>
        <w:rPr>
          <w:rFonts w:hint="eastAsia" w:ascii="宋体" w:hAnsi="宋体"/>
          <w:sz w:val="21"/>
          <w:szCs w:val="21"/>
        </w:rPr>
        <w:t>投标人认为需提供的其他资料</w:t>
      </w:r>
    </w:p>
    <w:p w14:paraId="7AE6C58F">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15.报价</w:t>
      </w:r>
    </w:p>
    <w:p w14:paraId="618F48A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15.1投标人应当根据招标文件要求和范围，以</w:t>
      </w:r>
      <w:r>
        <w:rPr>
          <w:rFonts w:hint="eastAsia" w:ascii="宋体" w:hAnsi="宋体"/>
          <w:bCs/>
          <w:color w:val="000000" w:themeColor="text1"/>
          <w:szCs w:val="21"/>
          <w14:textFill>
            <w14:solidFill>
              <w14:schemeClr w14:val="tx1"/>
            </w14:solidFill>
          </w14:textFill>
        </w:rPr>
        <w:t>人民币</w:t>
      </w:r>
      <w:r>
        <w:rPr>
          <w:rFonts w:hint="eastAsia" w:ascii="宋体" w:hAnsi="宋体" w:eastAsia="宋体" w:cs="Times New Roman"/>
          <w:bCs/>
          <w:color w:val="000000" w:themeColor="text1"/>
          <w:szCs w:val="21"/>
          <w14:textFill>
            <w14:solidFill>
              <w14:schemeClr w14:val="tx1"/>
            </w14:solidFill>
          </w14:textFill>
        </w:rPr>
        <w:t>报价，以元为</w:t>
      </w:r>
      <w:r>
        <w:rPr>
          <w:rFonts w:hint="eastAsia" w:ascii="宋体" w:hAnsi="宋体"/>
          <w:color w:val="000000" w:themeColor="text1"/>
          <w:szCs w:val="21"/>
          <w14:textFill>
            <w14:solidFill>
              <w14:schemeClr w14:val="tx1"/>
            </w14:solidFill>
          </w14:textFill>
        </w:rPr>
        <w:t>单位，</w:t>
      </w:r>
      <w:r>
        <w:rPr>
          <w:rFonts w:hint="eastAsia" w:ascii="宋体" w:hAnsi="宋体"/>
          <w:b/>
          <w:bCs/>
          <w:color w:val="000000" w:themeColor="text1"/>
          <w:szCs w:val="21"/>
          <w14:textFill>
            <w14:solidFill>
              <w14:schemeClr w14:val="tx1"/>
            </w14:solidFill>
          </w14:textFill>
        </w:rPr>
        <w:t>保留小数点后两位</w:t>
      </w:r>
      <w:r>
        <w:rPr>
          <w:rFonts w:hint="eastAsia" w:ascii="宋体" w:hAnsi="宋体"/>
          <w:color w:val="000000" w:themeColor="text1"/>
          <w:szCs w:val="21"/>
          <w14:textFill>
            <w14:solidFill>
              <w14:schemeClr w14:val="tx1"/>
            </w14:solidFill>
          </w14:textFill>
        </w:rPr>
        <w:t>。</w:t>
      </w:r>
    </w:p>
    <w:p w14:paraId="1262B74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15.2投标报价是履行合同的最终价格，应包括为完成本项目采购范围内所有货物、</w:t>
      </w:r>
      <w:r>
        <w:rPr>
          <w:rFonts w:hint="eastAsia" w:ascii="宋体" w:hAnsi="宋体"/>
          <w:b/>
          <w:bCs/>
          <w:color w:val="000000" w:themeColor="text1"/>
          <w:szCs w:val="21"/>
          <w14:textFill>
            <w14:solidFill>
              <w14:schemeClr w14:val="tx1"/>
            </w14:solidFill>
          </w14:textFill>
        </w:rPr>
        <w:t>配套工具及</w:t>
      </w:r>
      <w:r>
        <w:rPr>
          <w:rFonts w:hint="eastAsia" w:ascii="宋体" w:hAnsi="宋体"/>
          <w:b/>
          <w:bCs/>
          <w:color w:val="000000" w:themeColor="text1"/>
          <w:szCs w:val="21"/>
          <w:lang w:eastAsia="zh-CN"/>
          <w14:textFill>
            <w14:solidFill>
              <w14:schemeClr w14:val="tx1"/>
            </w14:solidFill>
          </w14:textFill>
        </w:rPr>
        <w:t>软件</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施工费、</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、培训、保险、税金及其它附带服务的全部费用。投标人漏报的单价或每项单价报价中漏报、少报的费用，视为此项费用已隐含在其他报价中，中标后不予调整。</w:t>
      </w:r>
    </w:p>
    <w:p w14:paraId="0F990273">
      <w:pPr>
        <w:pStyle w:val="29"/>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15.3投标人应按第五章“采购需求”要求及第六章“投标文件组成”格式填写。投标人在</w:t>
      </w:r>
      <w:r>
        <w:rPr>
          <w:rFonts w:hint="eastAsia" w:ascii="宋体" w:hAnsi="宋体"/>
          <w:bCs/>
          <w:color w:val="000000" w:themeColor="text1"/>
          <w14:textFill>
            <w14:solidFill>
              <w14:schemeClr w14:val="tx1"/>
            </w14:solidFill>
          </w14:textFill>
        </w:rPr>
        <w:t>本章第11.1</w:t>
      </w:r>
      <w:r>
        <w:rPr>
          <w:rFonts w:hint="eastAsia" w:ascii="宋体" w:hAnsi="宋体" w:cs="宋体"/>
          <w:color w:val="000000" w:themeColor="text1"/>
          <w:lang w:val="zh-CN"/>
          <w14:textFill>
            <w14:solidFill>
              <w14:schemeClr w14:val="tx1"/>
            </w14:solidFill>
          </w14:textFill>
        </w:rPr>
        <w:t>款</w:t>
      </w:r>
      <w:r>
        <w:rPr>
          <w:rFonts w:hint="eastAsia" w:ascii="宋体" w:hAnsi="宋体"/>
          <w:bCs/>
          <w:color w:val="000000" w:themeColor="text1"/>
          <w14:textFill>
            <w14:solidFill>
              <w14:schemeClr w14:val="tx1"/>
            </w14:solidFill>
          </w14:textFill>
        </w:rPr>
        <w:t>规定的</w:t>
      </w:r>
      <w:r>
        <w:rPr>
          <w:rFonts w:hint="eastAsia" w:ascii="宋体" w:hAnsi="宋体" w:cs="宋体"/>
          <w:color w:val="000000" w:themeColor="text1"/>
          <w14:textFill>
            <w14:solidFill>
              <w14:schemeClr w14:val="tx1"/>
            </w14:solidFill>
          </w14:textFill>
        </w:rPr>
        <w:t>提交投标文件截止之日前</w:t>
      </w:r>
      <w:r>
        <w:rPr>
          <w:rFonts w:hint="eastAsia" w:ascii="宋体" w:hAnsi="宋体"/>
          <w:color w:val="000000" w:themeColor="text1"/>
          <w14:textFill>
            <w14:solidFill>
              <w14:schemeClr w14:val="tx1"/>
            </w14:solidFill>
          </w14:textFill>
        </w:rPr>
        <w:t>修改开标一览表中的报价，应同时修改其按第六章要求填写的相应表格中的报价。此修改须符合本章第21.1款的有关要求。</w:t>
      </w:r>
    </w:p>
    <w:p w14:paraId="68F5EA50">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15.4投标文件中标明的价格在合同执行过程中是固定不变的，不得以任何理由予以变更。以可变动价格提交的报价将被认为是非实质投标而被拒绝。</w:t>
      </w:r>
    </w:p>
    <w:p w14:paraId="3445417C">
      <w:pPr>
        <w:pStyle w:val="14"/>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15.5</w:t>
      </w:r>
      <w:r>
        <w:rPr>
          <w:rFonts w:hint="eastAsia" w:ascii="宋体" w:hAnsi="宋体"/>
          <w:b/>
          <w:color w:val="000000" w:themeColor="text1"/>
          <w:sz w:val="21"/>
          <w:szCs w:val="21"/>
          <w14:textFill>
            <w14:solidFill>
              <w14:schemeClr w14:val="tx1"/>
            </w14:solidFill>
          </w14:textFill>
        </w:rPr>
        <w:t>投标人的报价不得超过采购项目</w:t>
      </w:r>
      <w:r>
        <w:rPr>
          <w:rFonts w:hint="eastAsia" w:ascii="宋体" w:hAnsi="宋体"/>
          <w:b/>
          <w:color w:val="000000" w:themeColor="text1"/>
          <w:sz w:val="21"/>
          <w:szCs w:val="21"/>
          <w:lang w:eastAsia="zh-CN"/>
          <w14:textFill>
            <w14:solidFill>
              <w14:schemeClr w14:val="tx1"/>
            </w14:solidFill>
          </w14:textFill>
        </w:rPr>
        <w:t>预算单价或</w:t>
      </w:r>
      <w:r>
        <w:rPr>
          <w:rFonts w:hint="eastAsia" w:ascii="宋体" w:hAnsi="宋体"/>
          <w:b/>
          <w:color w:val="000000" w:themeColor="text1"/>
          <w:sz w:val="21"/>
          <w:szCs w:val="21"/>
          <w14:textFill>
            <w14:solidFill>
              <w14:schemeClr w14:val="tx1"/>
            </w14:solidFill>
          </w14:textFill>
        </w:rPr>
        <w:t>预算总金额，</w:t>
      </w:r>
      <w:r>
        <w:rPr>
          <w:rFonts w:hint="eastAsia" w:ascii="宋体" w:hAnsi="宋体"/>
          <w:color w:val="000000" w:themeColor="text1"/>
          <w:sz w:val="21"/>
          <w:szCs w:val="21"/>
          <w14:textFill>
            <w14:solidFill>
              <w14:schemeClr w14:val="tx1"/>
            </w14:solidFill>
          </w14:textFill>
        </w:rPr>
        <w:t>采购项目预算或其计算方法见</w:t>
      </w:r>
      <w:r>
        <w:rPr>
          <w:rFonts w:hint="eastAsia" w:ascii="宋体" w:hAnsi="宋体"/>
          <w:b/>
          <w:color w:val="000000" w:themeColor="text1"/>
          <w:sz w:val="21"/>
          <w:szCs w:val="21"/>
          <w14:textFill>
            <w14:solidFill>
              <w14:schemeClr w14:val="tx1"/>
            </w14:solidFill>
          </w14:textFill>
        </w:rPr>
        <w:t>招标须知前附表</w:t>
      </w:r>
      <w:r>
        <w:rPr>
          <w:rFonts w:hint="eastAsia" w:ascii="宋体" w:hAnsi="宋体"/>
          <w:color w:val="000000" w:themeColor="text1"/>
          <w:sz w:val="21"/>
          <w:szCs w:val="21"/>
          <w14:textFill>
            <w14:solidFill>
              <w14:schemeClr w14:val="tx1"/>
            </w14:solidFill>
          </w14:textFill>
        </w:rPr>
        <w:t>。</w:t>
      </w:r>
    </w:p>
    <w:p w14:paraId="2F24B984">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16.</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投标人满足招标文件规定的资格证明文件</w:t>
      </w:r>
    </w:p>
    <w:p w14:paraId="0D15E0BB">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olor w:val="000000" w:themeColor="text1"/>
          <w:szCs w:val="21"/>
          <w14:textFill>
            <w14:solidFill>
              <w14:schemeClr w14:val="tx1"/>
            </w14:solidFill>
          </w14:textFill>
        </w:rPr>
        <w:t>投标人应提供资格证明材料，以证实其各项条件能满足本章第3.1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规定的投标人资格条件要求。</w:t>
      </w:r>
    </w:p>
    <w:p w14:paraId="2A8AB88F">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16.2投标人应当提交满足招标文件规定的业绩证明文件，该证明文件作为投标文件的一部分，业绩证明文件要求详见</w:t>
      </w:r>
      <w:r>
        <w:rPr>
          <w:rFonts w:hint="eastAsia" w:ascii="宋体" w:hAnsi="宋体" w:cs="宋体"/>
          <w:b/>
          <w:color w:val="000000" w:themeColor="text1"/>
          <w:kern w:val="0"/>
          <w:szCs w:val="21"/>
          <w14:textFill>
            <w14:solidFill>
              <w14:schemeClr w14:val="tx1"/>
            </w14:solidFill>
          </w14:textFill>
        </w:rPr>
        <w:t>投标须知前附表</w:t>
      </w:r>
      <w:r>
        <w:rPr>
          <w:rFonts w:hint="eastAsia" w:ascii="宋体" w:hAnsi="宋体" w:cs="宋体"/>
          <w:color w:val="000000" w:themeColor="text1"/>
          <w:kern w:val="0"/>
          <w:szCs w:val="21"/>
          <w14:textFill>
            <w14:solidFill>
              <w14:schemeClr w14:val="tx1"/>
            </w14:solidFill>
          </w14:textFill>
        </w:rPr>
        <w:t>。</w:t>
      </w:r>
    </w:p>
    <w:p w14:paraId="45D5E64B">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16.3投标单位在</w:t>
      </w:r>
      <w:r>
        <w:rPr>
          <w:rFonts w:hint="eastAsia" w:ascii="宋体" w:hAnsi="宋体" w:cs="宋体"/>
          <w:color w:val="000000" w:themeColor="text1"/>
          <w:kern w:val="0"/>
          <w:szCs w:val="21"/>
          <w:lang w:eastAsia="zh-CN"/>
          <w14:textFill>
            <w14:solidFill>
              <w14:schemeClr w14:val="tx1"/>
            </w14:solidFill>
          </w14:textFill>
        </w:rPr>
        <w:t>投标报价明细表</w:t>
      </w:r>
      <w:r>
        <w:rPr>
          <w:rFonts w:hint="eastAsia" w:ascii="宋体" w:hAnsi="宋体" w:cs="宋体"/>
          <w:color w:val="000000" w:themeColor="text1"/>
          <w:kern w:val="0"/>
          <w:szCs w:val="21"/>
          <w14:textFill>
            <w14:solidFill>
              <w14:schemeClr w14:val="tx1"/>
            </w14:solidFill>
          </w14:textFill>
        </w:rPr>
        <w:t>中应当</w:t>
      </w:r>
      <w:r>
        <w:rPr>
          <w:rFonts w:hint="eastAsia" w:ascii="宋体" w:hAnsi="宋体" w:cs="宋体"/>
          <w:color w:val="000000" w:themeColor="text1"/>
          <w:kern w:val="0"/>
          <w:szCs w:val="21"/>
          <w:lang w:eastAsia="zh-CN"/>
          <w14:textFill>
            <w14:solidFill>
              <w14:schemeClr w14:val="tx1"/>
            </w14:solidFill>
          </w14:textFill>
        </w:rPr>
        <w:t>填写完整</w:t>
      </w:r>
      <w:r>
        <w:rPr>
          <w:rFonts w:hint="eastAsia" w:ascii="宋体" w:hAnsi="宋体" w:cs="宋体"/>
          <w:color w:val="000000" w:themeColor="text1"/>
          <w:kern w:val="0"/>
          <w:szCs w:val="21"/>
          <w14:textFill>
            <w14:solidFill>
              <w14:schemeClr w14:val="tx1"/>
            </w14:solidFill>
          </w14:textFill>
        </w:rPr>
        <w:t>货物的品牌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型号、规格参数、制造商及原产地等，交货时应出具原产地证明及出厂合格证明。</w:t>
      </w:r>
    </w:p>
    <w:p w14:paraId="029AD1C0">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16.4上述证明文件可以是文字资料、图纸和数据，</w:t>
      </w:r>
      <w:r>
        <w:rPr>
          <w:rFonts w:hint="eastAsia" w:ascii="宋体" w:hAnsi="宋体" w:cs="宋体"/>
          <w:color w:val="000000" w:themeColor="text1"/>
          <w:kern w:val="0"/>
          <w:szCs w:val="21"/>
          <w:lang w:eastAsia="zh-CN"/>
          <w14:textFill>
            <w14:solidFill>
              <w14:schemeClr w14:val="tx1"/>
            </w14:solidFill>
          </w14:textFill>
        </w:rPr>
        <w:t>必</w:t>
      </w:r>
      <w:r>
        <w:rPr>
          <w:rFonts w:hint="eastAsia" w:ascii="宋体" w:hAnsi="宋体" w:cs="宋体"/>
          <w:color w:val="000000" w:themeColor="text1"/>
          <w:kern w:val="0"/>
          <w:szCs w:val="21"/>
          <w14:textFill>
            <w14:solidFill>
              <w14:schemeClr w14:val="tx1"/>
            </w14:solidFill>
          </w14:textFill>
        </w:rPr>
        <w:t>须提供：</w:t>
      </w:r>
    </w:p>
    <w:p w14:paraId="4D3314D8">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（1）货物主要性能和参数的详细说明； </w:t>
      </w:r>
    </w:p>
    <w:p w14:paraId="0FFF685F">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（2）对照招标文件技术规格，逐条说明所提供货物和服务对招标文件的技术规格条文的响应与偏离。对有具体参数要求的指标，投标单位应提供具体参数值；</w:t>
      </w:r>
    </w:p>
    <w:p w14:paraId="121E7CD7">
      <w:pPr>
        <w:adjustRightInd w:val="0"/>
        <w:snapToGrid w:val="0"/>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17.投标保证金</w:t>
      </w:r>
    </w:p>
    <w:p w14:paraId="691246EB">
      <w:pPr>
        <w:pStyle w:val="14"/>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规定交纳投标</w:t>
      </w:r>
      <w:r>
        <w:rPr>
          <w:rFonts w:hint="eastAsia" w:ascii="宋体" w:hAnsi="宋体"/>
          <w:bCs/>
          <w:color w:val="000000" w:themeColor="text1"/>
          <w:sz w:val="21"/>
          <w:szCs w:val="21"/>
          <w14:textFill>
            <w14:solidFill>
              <w14:schemeClr w14:val="tx1"/>
            </w14:solidFill>
          </w14:textFill>
        </w:rPr>
        <w:t>保证金的</w:t>
      </w:r>
      <w:r>
        <w:rPr>
          <w:rFonts w:hint="eastAsia" w:ascii="宋体" w:hAnsi="宋体"/>
          <w:color w:val="000000" w:themeColor="text1"/>
          <w:sz w:val="21"/>
          <w:szCs w:val="21"/>
          <w14:textFill>
            <w14:solidFill>
              <w14:schemeClr w14:val="tx1"/>
            </w14:solidFill>
          </w14:textFill>
        </w:rPr>
        <w:t>，应按</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规定的</w:t>
      </w:r>
      <w:r>
        <w:rPr>
          <w:rFonts w:hint="eastAsia" w:ascii="宋体" w:hAnsi="宋体"/>
          <w:bCs/>
          <w:color w:val="000000" w:themeColor="text1"/>
          <w:sz w:val="21"/>
          <w:szCs w:val="21"/>
          <w14:textFill>
            <w14:solidFill>
              <w14:schemeClr w14:val="tx1"/>
            </w14:solidFill>
          </w14:textFill>
        </w:rPr>
        <w:t>形式、金额，</w:t>
      </w:r>
      <w:r>
        <w:rPr>
          <w:rFonts w:hint="eastAsia" w:ascii="宋体" w:hAnsi="宋体"/>
          <w:color w:val="000000" w:themeColor="text1"/>
          <w:sz w:val="21"/>
          <w:szCs w:val="21"/>
          <w14:textFill>
            <w14:solidFill>
              <w14:schemeClr w14:val="tx1"/>
            </w14:solidFill>
          </w14:textFill>
        </w:rPr>
        <w:t>在本章第11.1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w:t>
      </w:r>
      <w:r>
        <w:rPr>
          <w:rFonts w:hint="eastAsia" w:ascii="宋体" w:hAnsi="宋体"/>
          <w:color w:val="000000" w:themeColor="text1"/>
          <w:sz w:val="21"/>
          <w:szCs w:val="21"/>
          <w14:textFill>
            <w14:solidFill>
              <w14:schemeClr w14:val="tx1"/>
            </w14:solidFill>
          </w14:textFill>
        </w:rPr>
        <w:t>前，</w:t>
      </w:r>
      <w:r>
        <w:rPr>
          <w:rFonts w:hint="eastAsia" w:ascii="宋体" w:hAnsi="宋体"/>
          <w:bCs/>
          <w:color w:val="000000" w:themeColor="text1"/>
          <w:sz w:val="21"/>
          <w:szCs w:val="21"/>
          <w14:textFill>
            <w14:solidFill>
              <w14:schemeClr w14:val="tx1"/>
            </w14:solidFill>
          </w14:textFill>
        </w:rPr>
        <w:t>提交投标保证金</w:t>
      </w:r>
      <w:r>
        <w:rPr>
          <w:rFonts w:hint="eastAsia" w:ascii="宋体" w:hAnsi="宋体"/>
          <w:color w:val="000000" w:themeColor="text1"/>
          <w:sz w:val="21"/>
          <w:szCs w:val="21"/>
          <w14:textFill>
            <w14:solidFill>
              <w14:schemeClr w14:val="tx1"/>
            </w14:solidFill>
          </w14:textFill>
        </w:rPr>
        <w:t>。</w:t>
      </w:r>
    </w:p>
    <w:p w14:paraId="57590D3F">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val="en-US" w:eastAsia="zh-CN"/>
        </w:rPr>
        <w:t>17.2投保企业或中标单位请以企业名义（基本户）通过电汇、转账、保函、电子保函等非现金形式缴纳或提交保证金到采购单位银行账户，不允许以个人名义或现金方式缴纳保证金。</w:t>
      </w:r>
    </w:p>
    <w:p w14:paraId="209AAB6D">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 xml:space="preserve">  按照《</w:t>
      </w:r>
      <w:r>
        <w:rPr>
          <w:rFonts w:hint="default" w:ascii="宋体" w:hAnsi="宋体" w:cs="Arial"/>
          <w:kern w:val="0"/>
          <w:szCs w:val="21"/>
          <w:lang w:val="en-US" w:eastAsia="zh-CN"/>
        </w:rPr>
        <w:t>关于在政府采购活动中进一步推动开展信用担保工作的通知</w:t>
      </w:r>
      <w:r>
        <w:rPr>
          <w:rFonts w:hint="eastAsia" w:ascii="宋体" w:hAnsi="宋体" w:cs="Arial"/>
          <w:kern w:val="0"/>
          <w:szCs w:val="21"/>
          <w:lang w:val="en-US" w:eastAsia="zh-CN"/>
        </w:rPr>
        <w:t>》新财购〔2023〕25号内容</w:t>
      </w:r>
      <w:r>
        <w:rPr>
          <w:rFonts w:hint="eastAsia" w:ascii="宋体" w:hAnsi="宋体" w:cs="Arial"/>
          <w:kern w:val="0"/>
          <w:szCs w:val="21"/>
          <w:lang w:eastAsia="zh-CN"/>
        </w:rPr>
        <w:t>；</w:t>
      </w:r>
      <w:r>
        <w:rPr>
          <w:rFonts w:hint="eastAsia" w:ascii="宋体" w:hAnsi="宋体" w:cs="Arial"/>
          <w:kern w:val="0"/>
          <w:szCs w:val="21"/>
        </w:rPr>
        <w:t>为支持和促进中小企业发展，进一步</w:t>
      </w:r>
      <w:r>
        <w:rPr>
          <w:rFonts w:hint="eastAsia" w:ascii="宋体" w:hAnsi="宋体" w:cs="Arial"/>
          <w:kern w:val="0"/>
          <w:szCs w:val="21"/>
          <w:lang w:eastAsia="zh-CN"/>
        </w:rPr>
        <w:t>落实</w:t>
      </w:r>
      <w:r>
        <w:rPr>
          <w:rFonts w:hint="eastAsia" w:ascii="宋体" w:hAnsi="宋体" w:cs="Arial"/>
          <w:kern w:val="0"/>
          <w:szCs w:val="21"/>
        </w:rPr>
        <w:t>政府采购政策功能，</w:t>
      </w:r>
      <w:r>
        <w:rPr>
          <w:rFonts w:hint="eastAsia" w:ascii="宋体" w:hAnsi="宋体" w:cs="Arial"/>
          <w:kern w:val="0"/>
          <w:szCs w:val="21"/>
          <w:lang w:val="en-US" w:eastAsia="zh-CN"/>
        </w:rPr>
        <w:t>鼓励</w:t>
      </w:r>
      <w:r>
        <w:rPr>
          <w:rFonts w:hint="eastAsia" w:ascii="宋体" w:hAnsi="宋体" w:cs="Arial"/>
          <w:kern w:val="0"/>
          <w:szCs w:val="21"/>
        </w:rPr>
        <w:t>供应商</w:t>
      </w:r>
      <w:r>
        <w:rPr>
          <w:rFonts w:hint="eastAsia" w:ascii="宋体" w:hAnsi="宋体" w:cs="Arial"/>
          <w:kern w:val="0"/>
          <w:szCs w:val="21"/>
          <w:lang w:val="en-US" w:eastAsia="zh-CN"/>
        </w:rPr>
        <w:t>使用政采云电子保函代替现金缴纳投标保证金或履约保证金</w:t>
      </w:r>
      <w:r>
        <w:rPr>
          <w:rFonts w:hint="eastAsia" w:ascii="宋体" w:hAnsi="宋体" w:cs="Arial"/>
          <w:kern w:val="0"/>
          <w:szCs w:val="21"/>
        </w:rPr>
        <w:t>，</w:t>
      </w:r>
      <w:r>
        <w:rPr>
          <w:rFonts w:hint="eastAsia" w:ascii="宋体" w:hAnsi="宋体" w:cs="Arial"/>
          <w:kern w:val="0"/>
          <w:szCs w:val="21"/>
          <w:lang w:val="en-US" w:eastAsia="zh-CN"/>
        </w:rPr>
        <w:t>在线完成保函的申请、审核、开票、出函等环节，投标企业注意（中标供应商注意）区分办理保函类型，并确认保证金缴纳的金额是按照招标文件要求缴纳金额及缴纳时间的有效期，如采用政采云电子保函，</w:t>
      </w:r>
      <w:r>
        <w:rPr>
          <w:rFonts w:hint="eastAsia" w:ascii="宋体" w:hAnsi="宋体" w:cs="Arial"/>
          <w:kern w:val="0"/>
          <w:szCs w:val="21"/>
        </w:rPr>
        <w:t>可登录【新疆政府采购网】-顶部通栏【电子保函】模块查看：</w:t>
      </w:r>
    </w:p>
    <w:p w14:paraId="0E430764">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直达链接（电子保函）：</w:t>
      </w:r>
    </w:p>
    <w:p w14:paraId="78B6A87A">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https://jinrong.zcygov.cn/luban/finance/letter/xinjiang?pageModelFlag=650000</w:t>
      </w:r>
    </w:p>
    <w:p w14:paraId="3EECB4A1">
      <w:pPr>
        <w:widowControl/>
        <w:spacing w:line="380" w:lineRule="exact"/>
        <w:ind w:firstLine="420" w:firstLineChars="200"/>
        <w:jc w:val="left"/>
        <w:rPr>
          <w:rFonts w:hint="default" w:ascii="宋体" w:hAnsi="宋体" w:cs="Arial"/>
          <w:kern w:val="0"/>
          <w:szCs w:val="21"/>
          <w:lang w:val="en-US" w:eastAsia="zh-CN"/>
        </w:rPr>
      </w:pPr>
      <w:r>
        <w:rPr>
          <w:rFonts w:hint="eastAsia" w:ascii="宋体" w:hAnsi="宋体" w:cs="Arial"/>
          <w:kern w:val="0"/>
          <w:szCs w:val="21"/>
          <w:lang w:eastAsia="zh-CN"/>
        </w:rPr>
        <w:t>电子保函服务热线</w:t>
      </w:r>
      <w:r>
        <w:rPr>
          <w:rFonts w:hint="eastAsia" w:ascii="宋体" w:hAnsi="宋体" w:cs="Arial"/>
          <w:kern w:val="0"/>
          <w:szCs w:val="21"/>
        </w:rPr>
        <w:t>：</w:t>
      </w:r>
      <w:r>
        <w:rPr>
          <w:rFonts w:hint="eastAsia" w:ascii="宋体" w:hAnsi="宋体" w:cs="Arial"/>
          <w:kern w:val="0"/>
          <w:szCs w:val="21"/>
          <w:lang w:val="en-US" w:eastAsia="zh-CN"/>
        </w:rPr>
        <w:t>0991-2661159</w:t>
      </w:r>
    </w:p>
    <w:p w14:paraId="40B3B8FE">
      <w:pPr>
        <w:widowControl/>
        <w:numPr>
          <w:ilvl w:val="0"/>
          <w:numId w:val="5"/>
        </w:numPr>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供应商可以自主选择以上任一种形式递交保证金</w:t>
      </w:r>
      <w:r>
        <w:rPr>
          <w:rFonts w:hint="eastAsia" w:ascii="宋体" w:hAnsi="宋体" w:cs="Arial"/>
          <w:kern w:val="0"/>
          <w:szCs w:val="21"/>
        </w:rPr>
        <w:t>。</w:t>
      </w:r>
    </w:p>
    <w:p w14:paraId="60645BAD">
      <w:pPr>
        <w:pStyle w:val="2"/>
        <w:numPr>
          <w:ilvl w:val="0"/>
          <w:numId w:val="5"/>
        </w:numPr>
        <w:ind w:left="0" w:leftChars="0"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eastAsia="宋体" w:cs="Arial"/>
          <w:kern w:val="0"/>
          <w:sz w:val="21"/>
          <w:szCs w:val="21"/>
          <w:lang w:val="en-US" w:eastAsia="zh-CN" w:bidi="ar-SA"/>
        </w:rPr>
        <w:t>投标人未按照招标文件要求提交投标保证金的，投标无效；中标人没有按照约定提交履约保证金的，按照合同约定承担相应法律责任。</w:t>
      </w:r>
    </w:p>
    <w:p w14:paraId="17C34A84">
      <w:pPr>
        <w:pStyle w:val="14"/>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投标文件有效期</w:t>
      </w:r>
    </w:p>
    <w:p w14:paraId="3E376888">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18.1投标文件</w:t>
      </w:r>
      <w:r>
        <w:rPr>
          <w:rFonts w:hint="eastAsia" w:ascii="宋体" w:hAnsi="宋体"/>
          <w:color w:val="000000" w:themeColor="text1"/>
          <w:szCs w:val="21"/>
          <w14:textFill>
            <w14:solidFill>
              <w14:schemeClr w14:val="tx1"/>
            </w14:solidFill>
          </w14:textFill>
        </w:rPr>
        <w:t>有效期见</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文件对投标人具有法律约束力，</w:t>
      </w:r>
      <w:r>
        <w:rPr>
          <w:rFonts w:hint="eastAsia" w:ascii="宋体" w:hAnsi="宋体" w:cs="Arial"/>
          <w:color w:val="000000" w:themeColor="text1"/>
          <w14:textFill>
            <w14:solidFill>
              <w14:schemeClr w14:val="tx1"/>
            </w14:solidFill>
          </w14:textFill>
        </w:rPr>
        <w:t>从</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14:textFill>
            <w14:solidFill>
              <w14:schemeClr w14:val="tx1"/>
            </w14:solidFill>
          </w14:textFill>
        </w:rPr>
        <w:t>之日</w:t>
      </w:r>
      <w:r>
        <w:rPr>
          <w:rFonts w:hint="eastAsia" w:ascii="宋体" w:hAnsi="宋体" w:cs="Arial"/>
          <w:color w:val="000000" w:themeColor="text1"/>
          <w14:textFill>
            <w14:solidFill>
              <w14:schemeClr w14:val="tx1"/>
            </w14:solidFill>
          </w14:textFill>
        </w:rPr>
        <w:t>起计算。</w:t>
      </w:r>
      <w:r>
        <w:rPr>
          <w:rFonts w:hint="eastAsia" w:ascii="宋体" w:hAnsi="宋体"/>
          <w:color w:val="000000" w:themeColor="text1"/>
          <w14:textFill>
            <w14:solidFill>
              <w14:schemeClr w14:val="tx1"/>
            </w14:solidFill>
          </w14:textFill>
        </w:rPr>
        <w:t>投标文件有效期不足的将被视为无效投标。</w:t>
      </w:r>
    </w:p>
    <w:p w14:paraId="2429BB28">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19.投标文件的签署及规定</w:t>
      </w:r>
    </w:p>
    <w:p w14:paraId="7BA23B5C">
      <w:pPr>
        <w:pStyle w:val="14"/>
        <w:adjustRightInd w:val="0"/>
        <w:snapToGrid w:val="0"/>
        <w:spacing w:line="360" w:lineRule="auto"/>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19.1采用电子签章或公章。</w:t>
      </w:r>
      <w:r>
        <w:rPr>
          <w:rFonts w:hint="eastAsia" w:ascii="宋体" w:hAnsi="宋体"/>
          <w:color w:val="000000" w:themeColor="text1"/>
          <w:sz w:val="21"/>
          <w:szCs w:val="21"/>
          <w:lang w:eastAsia="zh-CN"/>
          <w14:textFill>
            <w14:solidFill>
              <w14:schemeClr w14:val="tx1"/>
            </w14:solidFill>
          </w14:textFill>
        </w:rPr>
        <w:t>不包括发票章、业务章、合同章等</w:t>
      </w:r>
    </w:p>
    <w:p w14:paraId="7A0D4475">
      <w:pPr>
        <w:adjustRightInd w:val="0"/>
        <w:snapToGrid w:val="0"/>
        <w:spacing w:line="360" w:lineRule="auto"/>
        <w:outlineLvl w:val="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四、投标文件的递交</w:t>
      </w:r>
    </w:p>
    <w:p w14:paraId="30C2DDA0">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的密封和标记</w:t>
      </w:r>
    </w:p>
    <w:p w14:paraId="4E200512">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20.1“电子加密投标文件”的递交：在线上传递交。投标人应在投标截止时间前将“电子加密投标文件”成功上传递交至“政府采购云平台”，否则投标无效。</w:t>
      </w:r>
    </w:p>
    <w:p w14:paraId="35A01E0C">
      <w:pPr>
        <w:autoSpaceDE w:val="0"/>
        <w:autoSpaceDN w:val="0"/>
        <w:snapToGrid w:val="0"/>
        <w:spacing w:line="360" w:lineRule="auto"/>
        <w:ind w:firstLine="42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20.2“电子加密投标文件”成功上传递交后，投标人可自行打印投标文件接收回执。</w:t>
      </w:r>
    </w:p>
    <w:p w14:paraId="0A12F80E">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20.3投标文件如果未按上述规定上传，</w:t>
      </w:r>
      <w:r>
        <w:rPr>
          <w:rFonts w:hint="eastAsia" w:ascii="宋体" w:hAnsi="宋体"/>
          <w:b w:val="0"/>
          <w:bCs/>
          <w:color w:val="000000" w:themeColor="text1"/>
          <w:szCs w:val="21"/>
          <w14:textFill>
            <w14:solidFill>
              <w14:schemeClr w14:val="tx1"/>
            </w14:solidFill>
          </w14:textFill>
        </w:rPr>
        <w:t>采购人或采购代理机构将视为无效投标</w:t>
      </w:r>
      <w:r>
        <w:rPr>
          <w:rFonts w:hint="eastAsia" w:ascii="宋体" w:hAnsi="宋体"/>
          <w:color w:val="000000" w:themeColor="text1"/>
          <w:szCs w:val="21"/>
          <w14:textFill>
            <w14:solidFill>
              <w14:schemeClr w14:val="tx1"/>
            </w14:solidFill>
          </w14:textFill>
        </w:rPr>
        <w:t>。</w:t>
      </w:r>
    </w:p>
    <w:p w14:paraId="446F6913">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21.投标文件的</w:t>
      </w:r>
      <w:r>
        <w:rPr>
          <w:rFonts w:hint="eastAsia" w:ascii="宋体" w:hAnsi="宋体" w:cs="宋体"/>
          <w:b/>
          <w:color w:val="000000" w:themeColor="text1"/>
          <w:kern w:val="0"/>
          <w:szCs w:val="21"/>
          <w:lang w:val="zh-CN"/>
          <w14:textFill>
            <w14:solidFill>
              <w14:schemeClr w14:val="tx1"/>
            </w14:solidFill>
          </w14:textFill>
        </w:rPr>
        <w:t>补充、修改或者撤回</w:t>
      </w:r>
    </w:p>
    <w:p w14:paraId="068F10CA">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21.1投标人</w:t>
      </w:r>
      <w:r>
        <w:rPr>
          <w:rFonts w:hint="eastAsia" w:ascii="宋体" w:hAnsi="宋体" w:cs="宋体"/>
          <w:color w:val="000000" w:themeColor="text1"/>
          <w:kern w:val="0"/>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提交投标文件截止时间前，可以对所提交的投标文件进行补充、修改或者撤回，并书面通知采购人、采购代理机构。</w:t>
      </w:r>
      <w:r>
        <w:rPr>
          <w:rFonts w:hint="eastAsia" w:ascii="宋体" w:hAnsi="宋体"/>
          <w:color w:val="000000" w:themeColor="text1"/>
          <w:sz w:val="21"/>
          <w:szCs w:val="21"/>
          <w14:textFill>
            <w14:solidFill>
              <w14:schemeClr w14:val="tx1"/>
            </w14:solidFill>
          </w14:textFill>
        </w:rPr>
        <w:t>该通知应有投标人法定代表人或其委托代理人签字。</w:t>
      </w:r>
    </w:p>
    <w:p w14:paraId="2B7BC188">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21.2</w:t>
      </w:r>
      <w:r>
        <w:rPr>
          <w:rFonts w:hint="eastAsia" w:ascii="宋体" w:hAnsi="宋体" w:cs="宋体"/>
          <w:color w:val="000000" w:themeColor="text1"/>
          <w:kern w:val="0"/>
          <w:sz w:val="21"/>
          <w:szCs w:val="21"/>
          <w:lang w:val="zh-CN"/>
          <w14:textFill>
            <w14:solidFill>
              <w14:schemeClr w14:val="tx1"/>
            </w14:solidFill>
          </w14:textFill>
        </w:rPr>
        <w:t>补充、修改的内容与投标文件不一致时，以补充、修改的内容为准。</w:t>
      </w:r>
    </w:p>
    <w:p w14:paraId="769F5D4C">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22.投标文件的递交与接收</w:t>
      </w:r>
    </w:p>
    <w:p w14:paraId="4F48CC9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投标人应在</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szCs w:val="21"/>
          <w14:textFill>
            <w14:solidFill>
              <w14:schemeClr w14:val="tx1"/>
            </w14:solidFill>
          </w14:textFill>
        </w:rPr>
        <w:t>前，将投标文件送</w:t>
      </w:r>
      <w:r>
        <w:rPr>
          <w:rFonts w:hint="eastAsia" w:ascii="宋体" w:hAnsi="宋体" w:cs="Arial"/>
          <w:color w:val="000000" w:themeColor="text1"/>
          <w:szCs w:val="21"/>
          <w14:textFill>
            <w14:solidFill>
              <w14:schemeClr w14:val="tx1"/>
            </w14:solidFill>
          </w14:textFill>
        </w:rPr>
        <w:t>达（上传)</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中指定的地点（网址）。</w:t>
      </w:r>
      <w:r>
        <w:rPr>
          <w:rFonts w:hint="eastAsia" w:ascii="宋体" w:hAnsi="宋体" w:cs="宋体"/>
          <w:color w:val="000000" w:themeColor="text1"/>
          <w:kern w:val="0"/>
          <w14:textFill>
            <w14:solidFill>
              <w14:schemeClr w14:val="tx1"/>
            </w14:solidFill>
          </w14:textFill>
        </w:rPr>
        <w:t>在截止时间后送达的投标文件，采购人、采购代理机构应当拒收。</w:t>
      </w:r>
    </w:p>
    <w:p w14:paraId="7802BF7C">
      <w:pPr>
        <w:pStyle w:val="20"/>
        <w:adjustRightInd w:val="0"/>
        <w:snapToGrid w:val="0"/>
        <w:spacing w:before="156" w:beforeLines="50" w:beforeAutospacing="0" w:after="0" w:afterAutospacing="0" w:line="360" w:lineRule="auto"/>
        <w:outlineLvl w:val="2"/>
        <w:rPr>
          <w:b/>
          <w:color w:val="000000" w:themeColor="text1"/>
          <w:sz w:val="21"/>
          <w:szCs w:val="21"/>
          <w14:textFill>
            <w14:solidFill>
              <w14:schemeClr w14:val="tx1"/>
            </w14:solidFill>
          </w14:textFill>
        </w:rPr>
      </w:pPr>
      <w:r>
        <w:rPr>
          <w:rFonts w:hint="eastAsia"/>
          <w:b/>
          <w:color w:val="000000" w:themeColor="text1"/>
          <w14:textFill>
            <w14:solidFill>
              <w14:schemeClr w14:val="tx1"/>
            </w14:solidFill>
          </w14:textFill>
        </w:rPr>
        <w:t>五、</w:t>
      </w:r>
      <w:r>
        <w:rPr>
          <w:rFonts w:cs="Times New Roman"/>
          <w:b/>
          <w:color w:val="000000" w:themeColor="text1"/>
          <w:kern w:val="2"/>
          <w14:textFill>
            <w14:solidFill>
              <w14:schemeClr w14:val="tx1"/>
            </w14:solidFill>
          </w14:textFill>
        </w:rPr>
        <w:t>开标和评标</w:t>
      </w:r>
    </w:p>
    <w:p w14:paraId="18247AB2">
      <w:pPr>
        <w:pStyle w:val="14"/>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23.开标</w:t>
      </w:r>
    </w:p>
    <w:p w14:paraId="3DA2F3A2">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采购组织机构将按照招标文件规定的时间通过“政府采购云平台”组织开标，所有投标人均应当准时在线参加。投标人自行承担因不参加在线开标而产生的不利后果。</w:t>
      </w:r>
    </w:p>
    <w:p w14:paraId="4D2AC6A0">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向各投标投标人发出电子加密投标文件【开始解密】通知，各投标投标人代表应当在接到解密通知后</w:t>
      </w:r>
      <w:r>
        <w:rPr>
          <w:rFonts w:hint="eastAsia" w:ascii="宋体" w:hAnsi="宋体"/>
          <w:b/>
          <w:bCs/>
          <w:color w:val="000000" w:themeColor="text1"/>
          <w:szCs w:val="21"/>
          <w14:textFill>
            <w14:solidFill>
              <w14:schemeClr w14:val="tx1"/>
            </w14:solidFill>
          </w14:textFill>
        </w:rPr>
        <w:t>30分钟内自行完成“电子加密投标文件”的在线解密，如未按时解密则视为无效投标。</w:t>
      </w:r>
    </w:p>
    <w:p w14:paraId="4D2F6D94">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23.3 开启《开标一览表》，公布投标投标人报价，各投标投标人代表应当在</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0分钟内CA签字确认，如未按时签字确认视为默认投标报价。</w:t>
      </w:r>
    </w:p>
    <w:p w14:paraId="25F5959E">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23.4 开启资格证明文件，由采购人在监督下进行资格审查；评审小组对通过资格审查的投标投标人进行符合性审查。</w:t>
      </w:r>
    </w:p>
    <w:p w14:paraId="0A371AB5">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 通过电子交易平台公布无效投标人名单及导致无效的原因。</w:t>
      </w:r>
    </w:p>
    <w:p w14:paraId="78A7CE4B">
      <w:pPr>
        <w:autoSpaceDE w:val="0"/>
        <w:autoSpaceDN w:val="0"/>
        <w:adjustRightIn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23.6 </w:t>
      </w:r>
      <w:r>
        <w:rPr>
          <w:rFonts w:hint="eastAsia" w:ascii="宋体" w:hAnsi="宋体"/>
          <w:color w:val="000000" w:themeColor="text1"/>
          <w:szCs w:val="21"/>
          <w:highlight w:val="none"/>
          <w14:textFill>
            <w14:solidFill>
              <w14:schemeClr w14:val="tx1"/>
            </w14:solidFill>
          </w14:textFill>
        </w:rPr>
        <w:t>开启在线评标，</w:t>
      </w:r>
      <w:r>
        <w:rPr>
          <w:rFonts w:hint="eastAsia" w:ascii="宋体" w:hAnsi="宋体"/>
          <w:color w:val="000000" w:themeColor="text1"/>
          <w:szCs w:val="21"/>
          <w:highlight w:val="none"/>
          <w:lang w:eastAsia="zh-CN"/>
          <w14:textFill>
            <w14:solidFill>
              <w14:schemeClr w14:val="tx1"/>
            </w14:solidFill>
          </w14:textFill>
        </w:rPr>
        <w:t>报价符合性评审。对符合要求享受中小企业扶持政策的供应商报价，按照</w:t>
      </w:r>
      <w:r>
        <w:rPr>
          <w:rFonts w:hint="eastAsia" w:ascii="宋体" w:hAnsi="宋体"/>
          <w:color w:val="000000" w:themeColor="text1"/>
          <w:szCs w:val="21"/>
          <w:highlight w:val="none"/>
          <w14:textFill>
            <w14:solidFill>
              <w14:schemeClr w14:val="tx1"/>
            </w14:solidFill>
          </w14:textFill>
        </w:rPr>
        <w:t>《政府采购促进中小企业发展管理办法》（财库[2020]46号）文件</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的规定</w:t>
      </w:r>
      <w:r>
        <w:rPr>
          <w:rFonts w:hint="eastAsia" w:cs="Times New Roman"/>
          <w:color w:val="000000" w:themeColor="text1"/>
          <w:kern w:val="2"/>
          <w:sz w:val="21"/>
          <w:szCs w:val="21"/>
          <w:highlight w:val="none"/>
          <w:lang w:val="en-US" w:eastAsia="zh-CN"/>
          <w14:textFill>
            <w14:solidFill>
              <w14:schemeClr w14:val="tx1"/>
            </w14:solidFill>
          </w14:textFill>
        </w:rPr>
        <w:t>执行</w:t>
      </w:r>
      <w:r>
        <w:rPr>
          <w:rFonts w:hint="eastAsia" w:ascii="宋体" w:hAnsi="宋体"/>
          <w:color w:val="000000" w:themeColor="text1"/>
          <w:szCs w:val="21"/>
          <w:highlight w:val="none"/>
          <w14:textFill>
            <w14:solidFill>
              <w14:schemeClr w14:val="tx1"/>
            </w14:solidFill>
          </w14:textFill>
        </w:rPr>
        <w:t>。</w:t>
      </w:r>
    </w:p>
    <w:p w14:paraId="32D9EE4C">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23.7 报价符合性评审汇总，报价评审。</w:t>
      </w:r>
    </w:p>
    <w:p w14:paraId="3EF45751">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23.7 汇总报价评审，得出有效投标（响应）供应商评分排名。</w:t>
      </w:r>
    </w:p>
    <w:p w14:paraId="324B46F9">
      <w:pPr>
        <w:pStyle w:val="13"/>
        <w:rPr>
          <w:rFonts w:ascii="宋体" w:hAnsi="宋体"/>
          <w:i w:val="0"/>
          <w:iCs w:val="0"/>
          <w:color w:val="000000" w:themeColor="text1"/>
          <w:sz w:val="21"/>
          <w:szCs w:val="21"/>
          <w14:textFill>
            <w14:solidFill>
              <w14:schemeClr w14:val="tx1"/>
            </w14:solidFill>
          </w14:textFill>
        </w:rPr>
      </w:pPr>
      <w:r>
        <w:rPr>
          <w:rFonts w:hint="eastAsia" w:ascii="宋体" w:hAnsi="宋体"/>
          <w:i w:val="0"/>
          <w:iCs w:val="0"/>
          <w:color w:val="000000" w:themeColor="text1"/>
          <w:sz w:val="21"/>
          <w:szCs w:val="21"/>
          <w14:textFill>
            <w14:solidFill>
              <w14:schemeClr w14:val="tx1"/>
            </w14:solidFill>
          </w14:textFill>
        </w:rPr>
        <w:t>23.8 推荐3</w:t>
      </w:r>
      <w:r>
        <w:rPr>
          <w:rFonts w:hint="eastAsia" w:ascii="宋体" w:hAnsi="宋体"/>
          <w:i w:val="0"/>
          <w:iCs w:val="0"/>
          <w:color w:val="000000" w:themeColor="text1"/>
          <w:sz w:val="21"/>
          <w:szCs w:val="21"/>
          <w:lang w:eastAsia="zh-CN"/>
          <w14:textFill>
            <w14:solidFill>
              <w14:schemeClr w14:val="tx1"/>
            </w14:solidFill>
          </w14:textFill>
        </w:rPr>
        <w:t>名</w:t>
      </w:r>
      <w:r>
        <w:rPr>
          <w:rFonts w:hint="eastAsia" w:ascii="宋体" w:hAnsi="宋体"/>
          <w:i w:val="0"/>
          <w:iCs w:val="0"/>
          <w:color w:val="000000" w:themeColor="text1"/>
          <w:sz w:val="21"/>
          <w:szCs w:val="21"/>
          <w14:textFill>
            <w14:solidFill>
              <w14:schemeClr w14:val="tx1"/>
            </w14:solidFill>
          </w14:textFill>
        </w:rPr>
        <w:t>中标候选供应商名单，采购人在</w:t>
      </w:r>
      <w:r>
        <w:rPr>
          <w:rFonts w:hint="eastAsia" w:ascii="宋体" w:hAnsi="宋体"/>
          <w:i w:val="0"/>
          <w:iCs w:val="0"/>
          <w:color w:val="000000" w:themeColor="text1"/>
          <w:sz w:val="21"/>
          <w:szCs w:val="21"/>
          <w:lang w:val="en-US" w:eastAsia="zh-CN"/>
          <w14:textFill>
            <w14:solidFill>
              <w14:schemeClr w14:val="tx1"/>
            </w14:solidFill>
          </w14:textFill>
        </w:rPr>
        <w:t>5</w:t>
      </w:r>
      <w:r>
        <w:rPr>
          <w:rFonts w:hint="eastAsia" w:ascii="宋体" w:hAnsi="宋体"/>
          <w:i w:val="0"/>
          <w:iCs w:val="0"/>
          <w:color w:val="000000" w:themeColor="text1"/>
          <w:sz w:val="21"/>
          <w:szCs w:val="21"/>
          <w14:textFill>
            <w14:solidFill>
              <w14:schemeClr w14:val="tx1"/>
            </w14:solidFill>
          </w14:textFill>
        </w:rPr>
        <w:t>个工作日内确认中标供应商，公示结果。</w:t>
      </w:r>
    </w:p>
    <w:p w14:paraId="7357B50C">
      <w:pPr>
        <w:tabs>
          <w:tab w:val="left" w:pos="0"/>
        </w:tabs>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24.评标委员会</w:t>
      </w:r>
    </w:p>
    <w:p w14:paraId="1BB3B1CF">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24.1评标委员会由采购人代表和评审专家组成，成员人数应当为5人以上单数，其中评审专家不得少于成员总数的三分之二。</w:t>
      </w:r>
    </w:p>
    <w:p w14:paraId="53519D51">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采购项目符合下列情形之一的，评标委员会成员人数应当为7人以上单数：</w:t>
      </w:r>
    </w:p>
    <w:p w14:paraId="2656783B">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（一）采购预算金额在1000万元以上；</w:t>
      </w:r>
    </w:p>
    <w:p w14:paraId="69945A45">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（二）技术复杂；</w:t>
      </w:r>
    </w:p>
    <w:p w14:paraId="105C7C64">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（三）社会影响较大。</w:t>
      </w:r>
    </w:p>
    <w:p w14:paraId="7D8E4161">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评审专家对本单位的采购项目只能作为采购人代表参与评标</w:t>
      </w:r>
    </w:p>
    <w:p w14:paraId="549BCF5E">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24.2评标委员会成员与投标人存在利害关系的，应当回避。</w:t>
      </w:r>
    </w:p>
    <w:p w14:paraId="641A0288">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25</w:t>
      </w:r>
      <w:r>
        <w:rPr>
          <w:rFonts w:hint="eastAsia" w:ascii="宋体" w:hAnsi="宋体"/>
          <w:b/>
          <w:color w:val="000000" w:themeColor="text1"/>
          <w:sz w:val="21"/>
          <w:szCs w:val="21"/>
          <w14:textFill>
            <w14:solidFill>
              <w14:schemeClr w14:val="tx1"/>
            </w14:solidFill>
          </w14:textFill>
        </w:rPr>
        <w:t>.评标</w:t>
      </w:r>
    </w:p>
    <w:p w14:paraId="66220CDD">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25.1 评标委员会按照第三章“评标方法及标准”规定的评标方法、评审因素、标准和程序以及有关法律、法规及规章对投标文件进行评审。</w:t>
      </w:r>
    </w:p>
    <w:p w14:paraId="72E1220D">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26.确定中标人</w:t>
      </w:r>
    </w:p>
    <w:p w14:paraId="66CC9FB0">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26.1</w:t>
      </w:r>
      <w:r>
        <w:rPr>
          <w:rFonts w:hint="eastAsia" w:ascii="宋体" w:hAnsi="宋体" w:eastAsia="宋体" w:cs="宋体"/>
          <w:color w:val="auto"/>
          <w:spacing w:val="-2"/>
          <w:sz w:val="21"/>
          <w:szCs w:val="21"/>
        </w:rPr>
        <w:t>本次采购项目的评审采用</w:t>
      </w:r>
      <w:r>
        <w:rPr>
          <w:rFonts w:hint="eastAsia" w:ascii="宋体" w:hAnsi="宋体" w:cs="宋体"/>
          <w:color w:val="auto"/>
          <w:spacing w:val="-2"/>
          <w:sz w:val="21"/>
          <w:szCs w:val="21"/>
          <w:lang w:eastAsia="zh-CN"/>
        </w:rPr>
        <w:t>综合评分法</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综合评分</w:t>
      </w:r>
      <w:r>
        <w:rPr>
          <w:rFonts w:hint="eastAsia" w:ascii="宋体" w:hAnsi="宋体" w:eastAsia="宋体" w:cs="宋体"/>
          <w:color w:val="auto"/>
          <w:spacing w:val="-2"/>
          <w:sz w:val="21"/>
          <w:szCs w:val="21"/>
          <w:lang w:eastAsia="zh-CN"/>
        </w:rPr>
        <w:t>法，是指投标文件满足招标文件全部实质性要求且按照评审因素的量化指标评审得分最高的供应商为中标候选人的评标方法。</w:t>
      </w:r>
    </w:p>
    <w:p w14:paraId="63419365">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26.2采购代理机构应当在评审结束后2个工作日内将结果确认单送采购人确认。</w:t>
      </w:r>
    </w:p>
    <w:p w14:paraId="7E50F90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26.3采购人应当在收到评标报告后5个工作日内，从评标报告提出中标候选人中，合同将授予实质上响应采购文件要求，经评定认为具备履行合同义务能力、技术和商务条件都符合采购文件要求的、政策享受优惠后</w:t>
      </w:r>
      <w:r>
        <w:rPr>
          <w:rFonts w:hint="eastAsia" w:ascii="宋体" w:hAnsi="宋体" w:eastAsia="宋体" w:cs="宋体"/>
          <w:color w:val="auto"/>
          <w:spacing w:val="-2"/>
          <w:sz w:val="21"/>
          <w:szCs w:val="21"/>
        </w:rPr>
        <w:t>且</w:t>
      </w:r>
      <w:r>
        <w:rPr>
          <w:rFonts w:hint="eastAsia" w:ascii="宋体" w:hAnsi="宋体" w:cs="宋体"/>
          <w:color w:val="auto"/>
          <w:spacing w:val="-2"/>
          <w:sz w:val="21"/>
          <w:szCs w:val="21"/>
          <w:lang w:eastAsia="zh-CN"/>
        </w:rPr>
        <w:t>评分最高</w:t>
      </w:r>
      <w:r>
        <w:rPr>
          <w:rFonts w:hint="eastAsia" w:ascii="宋体" w:hAnsi="宋体" w:eastAsia="宋体" w:cs="宋体"/>
          <w:color w:val="auto"/>
          <w:spacing w:val="-2"/>
          <w:sz w:val="21"/>
          <w:szCs w:val="21"/>
        </w:rPr>
        <w:t>的原则确定成交供应商</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投标得分相同的</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按照报价由低到高选择</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得分报价均相同的</w:t>
      </w:r>
      <w:r>
        <w:rPr>
          <w:rFonts w:hint="eastAsia" w:ascii="宋体" w:hAnsi="宋体"/>
          <w:color w:val="000000" w:themeColor="text1"/>
          <w:sz w:val="21"/>
          <w:szCs w:val="21"/>
          <w14:textFill>
            <w14:solidFill>
              <w14:schemeClr w14:val="tx1"/>
            </w14:solidFill>
          </w14:textFill>
        </w:rPr>
        <w:t>，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14:paraId="7701E5BC">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14:paraId="69C20D1F">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27.招标终止</w:t>
      </w:r>
    </w:p>
    <w:p w14:paraId="66C5CB0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14:paraId="5CEC8799">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27.2 </w:t>
      </w:r>
      <w:r>
        <w:rPr>
          <w:rFonts w:hint="eastAsia" w:ascii="宋体" w:hAnsi="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14:paraId="10DEA3DA">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（1）电子交易平台发生故障而无法登录访问的； </w:t>
      </w:r>
    </w:p>
    <w:p w14:paraId="60416529">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（2）电子交易平台应用或数据库出现错误，不能进行正常操作的；</w:t>
      </w:r>
    </w:p>
    <w:p w14:paraId="22B21584">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（3）电子交易平台发现严重安全漏洞，有潜在泄密危险的；</w:t>
      </w:r>
    </w:p>
    <w:p w14:paraId="1B285FBE">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（4）病毒发作导致不能进行正常操作的；</w:t>
      </w:r>
    </w:p>
    <w:p w14:paraId="098C204E">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（5）其他无法保证电子交易的公平、公正和安全的情况。</w:t>
      </w:r>
    </w:p>
    <w:p w14:paraId="61AD17B7">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14:paraId="609D1E67">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28.重新评审</w:t>
      </w:r>
    </w:p>
    <w:p w14:paraId="79D4526A">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14:paraId="48E24565">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29.纪律与保密事项</w:t>
      </w:r>
    </w:p>
    <w:p w14:paraId="05F309BD">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29.1评标委员会成员以及与评标工作有关的人员不得泄露评审情况以及评标过程中获悉的国家秘密、商业秘密。</w:t>
      </w:r>
    </w:p>
    <w:p w14:paraId="77A28B47">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29.2投标人不得与采购人、采购代理机构、其他投标人恶意串通；不得向采购人、采购代理机构或者评标委员会成员行贿或者提供其他不正当利益；不得提供虚假材料谋取中标；不得以任何方式干扰、影响采购工作。</w:t>
      </w:r>
    </w:p>
    <w:p w14:paraId="34B2E2F6">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29.3</w:t>
      </w:r>
      <w:r>
        <w:rPr>
          <w:rFonts w:ascii="宋体" w:hAnsi="宋体"/>
          <w:color w:val="000000" w:themeColor="text1"/>
          <w:sz w:val="21"/>
          <w:szCs w:val="21"/>
          <w14:textFill>
            <w14:solidFill>
              <w14:schemeClr w14:val="tx1"/>
            </w14:solidFill>
          </w14:textFill>
        </w:rPr>
        <w:t>有下列情形之一的，属于恶意串通，中标无效，并依照《政府采购法》第七十七条的规定追究法律责任：</w:t>
      </w:r>
    </w:p>
    <w:p w14:paraId="4FA9BEF6">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（1）投标人直接或者间接从采购人、采购代理机构获得其他投标人的投标情况，并修改其投标文件的；</w:t>
      </w:r>
    </w:p>
    <w:p w14:paraId="39E9FCC8">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（2）采购人、采购代理机构授意投标人撤换、修改投标文件的；</w:t>
      </w:r>
    </w:p>
    <w:p w14:paraId="7ABE68AB">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（3）投标人之间协商技术方案、合同条款以及报价等投标文件实质性内容的；</w:t>
      </w:r>
    </w:p>
    <w:p w14:paraId="173B1B20">
      <w:pPr>
        <w:pStyle w:val="14"/>
        <w:adjustRightInd w:val="0"/>
        <w:snapToGrid w:val="0"/>
        <w:spacing w:line="360" w:lineRule="auto"/>
        <w:ind w:firstLine="420" w:firstLineChars="200"/>
        <w:rPr>
          <w:rFonts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pacing w:val="-4"/>
          <w:sz w:val="21"/>
          <w:szCs w:val="21"/>
          <w14:textFill>
            <w14:solidFill>
              <w14:schemeClr w14:val="tx1"/>
            </w14:solidFill>
          </w14:textFill>
        </w:rPr>
        <w:t>属于同一集团、协会、商会等组织成员的投标人按照该组织要求协同参加政府采购活动的；</w:t>
      </w:r>
    </w:p>
    <w:p w14:paraId="1C677D48">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（5）投标人之间事先约定由某一特定投标人中标的；</w:t>
      </w:r>
    </w:p>
    <w:p w14:paraId="7983477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（6）投标人之间商定部分投标人放弃提交投标文件或者退出招标或者放弃中标的；</w:t>
      </w:r>
    </w:p>
    <w:p w14:paraId="38722DB3">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（7）投标人与采购人、采购代理机构以及评标委员会成员之间、投标人相互之间，为谋求特定投标人中标或者排斥其他投标人的其他串通行为的。</w:t>
      </w:r>
    </w:p>
    <w:p w14:paraId="1AA52917">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w:t>
      </w:r>
      <w:r>
        <w:rPr>
          <w:rFonts w:ascii="宋体" w:hAnsi="宋体"/>
          <w:color w:val="000000" w:themeColor="text1"/>
          <w:sz w:val="21"/>
          <w:szCs w:val="21"/>
          <w14:textFill>
            <w14:solidFill>
              <w14:schemeClr w14:val="tx1"/>
            </w14:solidFill>
          </w14:textFill>
        </w:rPr>
        <w:t>）法律、行政法规或规章规定的其他串通行为。</w:t>
      </w:r>
    </w:p>
    <w:p w14:paraId="1FF0B78C">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六、中标结果信息公布与授予合同</w:t>
      </w:r>
    </w:p>
    <w:p w14:paraId="6105E0BD">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30.中标信息的公布</w:t>
      </w:r>
    </w:p>
    <w:p w14:paraId="06CE089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30.1中标人确定后2个工作日内，采购人或者采购代理机构应将中标结果信息在投标须知前附表指定的媒体上（新疆政府采购网www.ccgp-xinjiang.gov.cn）公布。</w:t>
      </w:r>
    </w:p>
    <w:p w14:paraId="1DD132CF">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31.询问及质疑</w:t>
      </w:r>
    </w:p>
    <w:p w14:paraId="5927DD55">
      <w:pPr>
        <w:spacing w:line="360" w:lineRule="auto"/>
        <w:ind w:firstLine="420" w:firstLineChars="200"/>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31.1投标人对政府采购活动事项有疑问的，可以向采购人或采购代理机构提出询问。采购人或采购代理机构将在三个工作日内作出答复。</w:t>
      </w:r>
      <w:r>
        <w:rPr>
          <w:rFonts w:hint="eastAsia" w:ascii="宋体" w:hAnsi="宋体" w:eastAsia="宋体" w:cs="Times New Roman"/>
          <w:color w:val="000000" w:themeColor="text1"/>
          <w:sz w:val="21"/>
          <w:szCs w:val="21"/>
          <w14:textFill>
            <w14:solidFill>
              <w14:schemeClr w14:val="tx1"/>
            </w14:solidFill>
          </w14:textFill>
        </w:rPr>
        <w:t>供应商在法定质疑期内一次性提出针对同一采购程序环节的质疑。提出质疑的供应商（以下简称质疑供应商）应当是参与所质疑项目采购活动的供应商。</w:t>
      </w:r>
    </w:p>
    <w:p w14:paraId="1C74808D">
      <w:pPr>
        <w:pStyle w:val="14"/>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p>
    <w:p w14:paraId="42CC764C">
      <w:pPr>
        <w:pStyle w:val="14"/>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1）对采购需求、评分标准、特定资质要求等事项的询问及质疑，向采购人提出并由采购人答复。</w:t>
      </w:r>
    </w:p>
    <w:p w14:paraId="6BB39881">
      <w:pPr>
        <w:pStyle w:val="14"/>
        <w:adjustRightInd w:val="0"/>
        <w:snapToGrid w:val="0"/>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（2）对采购文件内容填写、强制认证、开标时间等事项的询问及质疑，向采购代理机构提出并由代理机构答复。</w:t>
      </w:r>
    </w:p>
    <w:p w14:paraId="324CC647">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31.2投标人若认为招标文件、招标过程和中标结果使自己的权益受到损害，应当在下列时间内以书面形式向采购人或采购代理机构提出：</w:t>
      </w:r>
    </w:p>
    <w:p w14:paraId="5E58AE53">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潜在供应商已依法获取其可质疑的采购文件的，可以对该文件提出质疑。对采购文件提出质疑的，应当在获取采购文件或者采购文件公告期限届满之日起7个工作日内提出。</w:t>
      </w:r>
    </w:p>
    <w:p w14:paraId="500B4AE0">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（2）关于中标结果的质疑，应在中标结果信息发布后七个工作日内提出。</w:t>
      </w:r>
    </w:p>
    <w:p w14:paraId="20FC98E6">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31.3 投标人提出质疑的，应提供质疑书原件。采购人或采购代理机构应当向质疑投标人签收回执。</w:t>
      </w:r>
    </w:p>
    <w:p w14:paraId="769C5563">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31.4 供应商提出质疑应当提交质疑函和必要的证明材料。质疑函应当包括下列内容：</w:t>
      </w:r>
    </w:p>
    <w:p w14:paraId="0769A936">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（一）供应商的姓名或者名称、地址、邮编、联系人及联系电话；</w:t>
      </w:r>
    </w:p>
    <w:p w14:paraId="131E0EC4">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（二）质疑项目的名称、编号；</w:t>
      </w:r>
    </w:p>
    <w:p w14:paraId="496AC266">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（三）具体、明确的质疑事项和与质疑事项相关的请求；</w:t>
      </w:r>
    </w:p>
    <w:p w14:paraId="7A2F5425">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（四）事实依据；</w:t>
      </w:r>
    </w:p>
    <w:p w14:paraId="4A952CD9">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（五）必要的法律依据；</w:t>
      </w:r>
    </w:p>
    <w:p w14:paraId="7365A1CA">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（六）提出质疑的日期。</w:t>
      </w:r>
    </w:p>
    <w:p w14:paraId="3EA0CA48">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31.5供应商为自然人的，应当由本人签字；供应商为法人或者其他组织的，应当由法定代表人、主要负责人，或者其授权代表签字或者盖章，并加盖公章。</w:t>
      </w:r>
    </w:p>
    <w:p w14:paraId="2E553175">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31.6 采购人或采购代理机构将在签收回执之日起七个工作日内作出书面答复，并以书面形式通知质疑投标人和其他有关的投标人。</w:t>
      </w:r>
    </w:p>
    <w:p w14:paraId="72C3159C">
      <w:pPr>
        <w:pStyle w:val="14"/>
        <w:adjustRightInd w:val="0"/>
        <w:snapToGrid w:val="0"/>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20AC5233">
      <w:pPr>
        <w:pStyle w:val="14"/>
        <w:adjustRightInd w:val="0"/>
        <w:snapToGrid w:val="0"/>
        <w:spacing w:line="360" w:lineRule="auto"/>
        <w:ind w:firstLine="480" w:firstLineChars="200"/>
        <w:rPr>
          <w:rFonts w:hint="eastAsia" w:ascii="宋体" w:hAnsi="宋体" w:eastAsia="宋体" w:cs="Times New Roman"/>
          <w:color w:val="000000" w:themeColor="text1"/>
          <w:sz w:val="21"/>
          <w:szCs w:val="21"/>
          <w14:textFill>
            <w14:solidFill>
              <w14:schemeClr w14:val="tx1"/>
            </w14:solidFill>
          </w14:textFill>
        </w:rPr>
      </w:pPr>
      <w:r>
        <w:rPr>
          <w:rFonts w:hint="eastAsia" w:ascii="仿宋" w:hAnsi="仿宋" w:eastAsia="仿宋"/>
          <w:color w:val="auto"/>
          <w:sz w:val="24"/>
          <w:szCs w:val="24"/>
          <w:lang w:val="en-US" w:eastAsia="zh-CN"/>
        </w:rPr>
        <w:t>31.8</w:t>
      </w:r>
      <w:r>
        <w:rPr>
          <w:rFonts w:hint="eastAsia" w:ascii="宋体" w:hAnsi="宋体" w:eastAsia="宋体" w:cs="Times New Roman"/>
          <w:color w:val="000000" w:themeColor="text1"/>
          <w:sz w:val="21"/>
          <w:szCs w:val="21"/>
          <w14:textFill>
            <w14:solidFill>
              <w14:schemeClr w14:val="tx1"/>
            </w14:solidFill>
          </w14:textFill>
        </w:rPr>
        <w:t>采购人或者采购代理机构在收到质疑书后7个工作日内做出书面答复，并以书面形式通知质疑人和其他有关供应商，但答复不得涉及商业秘密</w:t>
      </w:r>
    </w:p>
    <w:p w14:paraId="6C80DD5C">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32.中标通知</w:t>
      </w:r>
    </w:p>
    <w:p w14:paraId="712DFA93">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32.1中标人确定后，采购人或采购代理机构将以书面形式向中标人发出中标通知书。中标通知书对采购人和中标人具有同等法律效力。</w:t>
      </w:r>
    </w:p>
    <w:p w14:paraId="734B45CB">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32.2 中标通知书是合同文件的组成部分。</w:t>
      </w:r>
    </w:p>
    <w:p w14:paraId="5A9422A0">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32.3 中标人在收到采购代理机构的中标通知书</w:t>
      </w:r>
      <w:r>
        <w:rPr>
          <w:rFonts w:hint="eastAsia" w:ascii="宋体" w:hAnsi="宋体"/>
          <w:color w:val="000000" w:themeColor="text1"/>
          <w:sz w:val="21"/>
          <w:szCs w:val="21"/>
          <w:lang w:eastAsia="zh-CN"/>
          <w14:textFill>
            <w14:solidFill>
              <w14:schemeClr w14:val="tx1"/>
            </w14:solidFill>
          </w14:textFill>
        </w:rPr>
        <w:t>后</w:t>
      </w:r>
      <w:r>
        <w:rPr>
          <w:rFonts w:hint="eastAsia" w:ascii="宋体" w:hAnsi="宋体"/>
          <w:color w:val="000000" w:themeColor="text1"/>
          <w:sz w:val="21"/>
          <w:szCs w:val="21"/>
          <w:lang w:val="en-US" w:eastAsia="zh-CN"/>
          <w14:textFill>
            <w14:solidFill>
              <w14:schemeClr w14:val="tx1"/>
            </w14:solidFill>
          </w14:textFill>
        </w:rPr>
        <w:t>30日内与采购人签订合同，且</w:t>
      </w:r>
      <w:r>
        <w:rPr>
          <w:rFonts w:hint="eastAsia" w:ascii="宋体" w:hAnsi="宋体"/>
          <w:color w:val="000000" w:themeColor="text1"/>
          <w:sz w:val="21"/>
          <w:szCs w:val="21"/>
          <w14:textFill>
            <w14:solidFill>
              <w14:schemeClr w14:val="tx1"/>
            </w14:solidFill>
          </w14:textFill>
        </w:rPr>
        <w:t>应按照</w:t>
      </w:r>
      <w:r>
        <w:rPr>
          <w:rFonts w:hint="eastAsia" w:ascii="宋体" w:hAnsi="宋体"/>
          <w:b/>
          <w:bCs/>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的规定，向采购人提交履约保证金。</w:t>
      </w:r>
    </w:p>
    <w:p w14:paraId="764DAACD">
      <w:pPr>
        <w:pStyle w:val="14"/>
        <w:adjustRightInd w:val="0"/>
        <w:snapToGrid w:val="0"/>
        <w:spacing w:line="360" w:lineRule="auto"/>
        <w:ind w:firstLine="420" w:firstLineChars="200"/>
        <w:rPr>
          <w:rFonts w:ascii="宋体" w:hAnsi="宋体"/>
          <w:color w:val="FF0000"/>
          <w:sz w:val="21"/>
          <w:szCs w:val="21"/>
        </w:rPr>
      </w:pPr>
      <w:r>
        <w:rPr>
          <w:rFonts w:hint="eastAsia" w:ascii="宋体" w:hAnsi="宋体"/>
          <w:color w:val="000000" w:themeColor="text1"/>
          <w:sz w:val="21"/>
          <w:szCs w:val="21"/>
          <w14:textFill>
            <w14:solidFill>
              <w14:schemeClr w14:val="tx1"/>
            </w14:solidFill>
          </w14:textFill>
        </w:rPr>
        <w:t>32.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bCs/>
          <w:sz w:val="21"/>
          <w:szCs w:val="21"/>
        </w:rPr>
        <w:t>如中标人未按照招标文件要求交付使用期的时间内交货，将按照</w:t>
      </w:r>
      <w:r>
        <w:rPr>
          <w:rFonts w:hint="eastAsia" w:ascii="宋体" w:hAnsi="宋体"/>
          <w:bCs/>
          <w:sz w:val="21"/>
          <w:szCs w:val="21"/>
          <w:lang w:eastAsia="zh-CN"/>
        </w:rPr>
        <w:t>合同约定</w:t>
      </w:r>
      <w:r>
        <w:rPr>
          <w:rFonts w:hint="eastAsia" w:ascii="宋体" w:hAnsi="宋体"/>
          <w:bCs/>
          <w:sz w:val="21"/>
          <w:szCs w:val="21"/>
        </w:rPr>
        <w:t>的违约金，从支付款项中扣除。</w:t>
      </w:r>
    </w:p>
    <w:p w14:paraId="231A4850">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33.签订合同</w:t>
      </w:r>
    </w:p>
    <w:p w14:paraId="7A52C1BC">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33.1 招标文件、中标人的投标文件及其补充的投标文件等均为签订政府采购合同的依据。</w:t>
      </w:r>
    </w:p>
    <w:p w14:paraId="3800BFA7">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2448C6E">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33.3 中标人应当按照合同约定履行义务。中标人不得向他人转让中标项目，也不得将中标项目分包后分别向他人转让。</w:t>
      </w:r>
    </w:p>
    <w:p w14:paraId="40D5B926">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33.4 中标人有下列情形之一的，责令限期改正，情节严重的，列入不良行为记录名单，在1至3年内禁止参加政府采购活动，并予以通报：</w:t>
      </w:r>
    </w:p>
    <w:p w14:paraId="5CB17DC3">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（一）中标后无正当理由不与采购人签订合同的；</w:t>
      </w:r>
    </w:p>
    <w:p w14:paraId="3DB4703E">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（二）未按照招标文件确定的事项签订政府采购合同，或者与采购人另行订立背离合同实质性内容的协议的；</w:t>
      </w:r>
    </w:p>
    <w:p w14:paraId="16123A83">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（三）拒绝履行合同义务的；</w:t>
      </w:r>
    </w:p>
    <w:p w14:paraId="2EA8C4A5">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（四）违反法律、规章、规范性文件规定的。</w:t>
      </w:r>
    </w:p>
    <w:p w14:paraId="27F0147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33.5采购人应当自政府采购合同签订之日起2个工作日内，将政府采购合同在省级以上人民政府财政部门指定的媒体上公告，但政府采购合同中涉及国家秘密、商业秘密的内容除外。</w:t>
      </w:r>
    </w:p>
    <w:p w14:paraId="4218A0BD">
      <w:pPr>
        <w:pStyle w:val="14"/>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34. 政府采购合同履行中数量的变更</w:t>
      </w:r>
    </w:p>
    <w:p w14:paraId="7572C01F">
      <w:pPr>
        <w:pStyle w:val="14"/>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sectPr>
          <w:pgSz w:w="11906" w:h="16838"/>
          <w:pgMar w:top="1474" w:right="1531" w:bottom="1474" w:left="1531" w:header="851" w:footer="992" w:gutter="0"/>
          <w:cols w:space="720" w:num="1"/>
          <w:docGrid w:type="lines" w:linePitch="312" w:charSpace="0"/>
        </w:sectPr>
      </w:pPr>
      <w:r>
        <w:rPr>
          <w:rFonts w:hint="eastAsia" w:ascii="宋体" w:hAnsi="宋体"/>
          <w:color w:val="000000" w:themeColor="text1"/>
          <w:sz w:val="21"/>
          <w:szCs w:val="21"/>
          <w14:textFill>
            <w14:solidFill>
              <w14:schemeClr w14:val="tx1"/>
            </w14:solidFill>
          </w14:textFill>
        </w:rPr>
        <w:t>34.1政府采购合同履行中，采购人需追加与合同标的相同的货物服务的，在不改变合同其他条款的前提下，可以与中标人协商签订补充合同，但所有补充合同的采购金额不得超过原合同采购金额的</w:t>
      </w:r>
      <w:r>
        <w:rPr>
          <w:rFonts w:hint="eastAsia" w:ascii="宋体" w:hAnsi="宋体"/>
          <w:color w:val="000000" w:themeColor="text1"/>
          <w:sz w:val="21"/>
          <w:szCs w:val="21"/>
          <w:lang w:val="en-US" w:eastAsia="zh-CN"/>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w:t>
      </w:r>
    </w:p>
    <w:p w14:paraId="65598336">
      <w:pPr>
        <w:pStyle w:val="14"/>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第三章 评标方法及标准</w:t>
      </w:r>
    </w:p>
    <w:p w14:paraId="533FB2B9">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一、资格审核</w:t>
      </w:r>
    </w:p>
    <w:p w14:paraId="5468A42F">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1.评标前投标文件的初步</w:t>
      </w:r>
      <w:r>
        <w:rPr>
          <w:rFonts w:hint="eastAsia" w:ascii="宋体" w:hAnsi="宋体"/>
          <w:b/>
          <w:color w:val="000000" w:themeColor="text1"/>
          <w:szCs w:val="21"/>
          <w14:textFill>
            <w14:solidFill>
              <w14:schemeClr w14:val="tx1"/>
            </w14:solidFill>
          </w14:textFill>
        </w:rPr>
        <w:t>审核</w:t>
      </w:r>
    </w:p>
    <w:p w14:paraId="607657F9">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1.1初步</w:t>
      </w:r>
      <w:r>
        <w:rPr>
          <w:rFonts w:hint="eastAsia" w:ascii="宋体" w:hAnsi="宋体"/>
          <w:color w:val="000000" w:themeColor="text1"/>
          <w:szCs w:val="21"/>
          <w14:textFill>
            <w14:solidFill>
              <w14:schemeClr w14:val="tx1"/>
            </w14:solidFill>
          </w14:textFill>
        </w:rPr>
        <w:t>评审为资格性检查和符合性检查。</w:t>
      </w:r>
    </w:p>
    <w:p w14:paraId="66DD81DC">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资格性检查。根据法律法规和招标文件的规定，对投标文件中的资格证明、投标保证金等进行审查，以确定投标人是否具备投标资格。</w:t>
      </w:r>
    </w:p>
    <w:p w14:paraId="37C494B9">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14:paraId="529B533C">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1.1.3投标人不得通过修正或撤销不合要求的偏离从而使其投标成为实质上响应的投标。</w:t>
      </w:r>
    </w:p>
    <w:tbl>
      <w:tblPr>
        <w:tblStyle w:val="23"/>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14:paraId="2BAF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14:paraId="1A941E6B">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7836" w:type="dxa"/>
            <w:vAlign w:val="center"/>
          </w:tcPr>
          <w:p w14:paraId="09A3ED08">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r>
      <w:tr w14:paraId="403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restart"/>
            <w:vAlign w:val="center"/>
          </w:tcPr>
          <w:p w14:paraId="4474B3A3">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w:t>
            </w:r>
            <w:r>
              <w:rPr>
                <w:rFonts w:hint="eastAsia" w:ascii="宋体" w:hAnsi="宋体"/>
                <w:b/>
                <w:color w:val="000000" w:themeColor="text1"/>
                <w:szCs w:val="21"/>
                <w:lang w:eastAsia="zh-CN"/>
                <w14:textFill>
                  <w14:solidFill>
                    <w14:schemeClr w14:val="tx1"/>
                  </w14:solidFill>
                </w14:textFill>
              </w:rPr>
              <w:t>审查</w:t>
            </w:r>
          </w:p>
        </w:tc>
        <w:tc>
          <w:tcPr>
            <w:tcW w:w="7836" w:type="dxa"/>
            <w:vAlign w:val="center"/>
          </w:tcPr>
          <w:p w14:paraId="326FD36D">
            <w:pPr>
              <w:spacing w:line="40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1、营业执照；</w:t>
            </w:r>
          </w:p>
        </w:tc>
      </w:tr>
      <w:tr w14:paraId="39F6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continue"/>
            <w:vAlign w:val="center"/>
          </w:tcPr>
          <w:p w14:paraId="3515B811">
            <w:pPr>
              <w:spacing w:line="400" w:lineRule="exact"/>
              <w:jc w:val="center"/>
              <w:rPr>
                <w:rFonts w:ascii="宋体" w:hAnsi="宋体"/>
                <w:b/>
                <w:color w:val="000000" w:themeColor="text1"/>
                <w:szCs w:val="21"/>
                <w14:textFill>
                  <w14:solidFill>
                    <w14:schemeClr w14:val="tx1"/>
                  </w14:solidFill>
                </w14:textFill>
              </w:rPr>
            </w:pPr>
          </w:p>
        </w:tc>
        <w:tc>
          <w:tcPr>
            <w:tcW w:w="7836" w:type="dxa"/>
            <w:vAlign w:val="center"/>
          </w:tcPr>
          <w:p w14:paraId="4D74060A">
            <w:pPr>
              <w:spacing w:line="40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法人提供法定代表人身份证明，</w:t>
            </w:r>
            <w:r>
              <w:rPr>
                <w:rFonts w:hint="eastAsia"/>
                <w:b/>
                <w:bCs/>
                <w:color w:val="000000" w:themeColor="text1"/>
                <w14:textFill>
                  <w14:solidFill>
                    <w14:schemeClr w14:val="tx1"/>
                  </w14:solidFill>
                </w14:textFill>
              </w:rPr>
              <w:t>或</w:t>
            </w:r>
            <w:r>
              <w:rPr>
                <w:rFonts w:hint="eastAsia"/>
                <w:color w:val="000000" w:themeColor="text1"/>
                <w14:textFill>
                  <w14:solidFill>
                    <w14:schemeClr w14:val="tx1"/>
                  </w14:solidFill>
                </w14:textFill>
              </w:rPr>
              <w:t>委托代理人提供授权委托书；</w:t>
            </w:r>
          </w:p>
        </w:tc>
      </w:tr>
      <w:tr w14:paraId="22E2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continue"/>
            <w:vAlign w:val="center"/>
          </w:tcPr>
          <w:p w14:paraId="443C2478">
            <w:pPr>
              <w:spacing w:line="400" w:lineRule="exact"/>
              <w:jc w:val="center"/>
              <w:rPr>
                <w:rFonts w:ascii="宋体" w:hAnsi="宋体"/>
                <w:b/>
                <w:color w:val="000000" w:themeColor="text1"/>
                <w:szCs w:val="21"/>
                <w14:textFill>
                  <w14:solidFill>
                    <w14:schemeClr w14:val="tx1"/>
                  </w14:solidFill>
                </w14:textFill>
              </w:rPr>
            </w:pPr>
          </w:p>
        </w:tc>
        <w:tc>
          <w:tcPr>
            <w:tcW w:w="7836" w:type="dxa"/>
            <w:vAlign w:val="center"/>
          </w:tcPr>
          <w:p w14:paraId="1BAE68CF">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rFonts w:hint="eastAsia"/>
              </w:rPr>
              <w:t>具有良好的商业信誉和健全的财务会计制度，</w:t>
            </w:r>
            <w:r>
              <w:rPr>
                <w:rFonts w:hint="eastAsia"/>
                <w:lang w:eastAsia="zh-CN"/>
              </w:rPr>
              <w:t>可</w:t>
            </w:r>
            <w:r>
              <w:rPr>
                <w:rFonts w:hint="eastAsia"/>
              </w:rPr>
              <w:t>提供《政府采购供应商信用承诺函》；</w:t>
            </w:r>
          </w:p>
        </w:tc>
      </w:tr>
      <w:tr w14:paraId="6891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continue"/>
            <w:vAlign w:val="center"/>
          </w:tcPr>
          <w:p w14:paraId="4B76D259">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14:paraId="28EB96CD">
            <w:pPr>
              <w:adjustRightInd w:val="0"/>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rPr>
              <w:t>具有履行合同所必需的设备和专业技术能力，</w:t>
            </w:r>
            <w:r>
              <w:rPr>
                <w:rFonts w:hint="eastAsia"/>
                <w:lang w:eastAsia="zh-CN"/>
              </w:rPr>
              <w:t>可</w:t>
            </w:r>
            <w:r>
              <w:rPr>
                <w:rFonts w:hint="eastAsia"/>
                <w:color w:val="000000" w:themeColor="text1"/>
                <w14:textFill>
                  <w14:solidFill>
                    <w14:schemeClr w14:val="tx1"/>
                  </w14:solidFill>
                </w14:textFill>
              </w:rPr>
              <w:t> </w:t>
            </w:r>
            <w:r>
              <w:rPr>
                <w:rFonts w:hint="eastAsia"/>
              </w:rPr>
              <w:t>提供《政府采购供应商信用承诺函》；</w:t>
            </w:r>
          </w:p>
        </w:tc>
      </w:tr>
      <w:tr w14:paraId="068E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continue"/>
            <w:vAlign w:val="center"/>
          </w:tcPr>
          <w:p w14:paraId="274BF970">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14:paraId="26E1F133">
            <w:pPr>
              <w:adjustRightInd w:val="0"/>
              <w:snapToGrid w:val="0"/>
              <w:spacing w:line="400" w:lineRule="exact"/>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w:t>
            </w:r>
            <w:r>
              <w:rPr>
                <w:rFonts w:hint="eastAsia"/>
              </w:rPr>
              <w:t>有依法缴纳税收和社会保障资金的良好记录，</w:t>
            </w:r>
            <w:r>
              <w:rPr>
                <w:rFonts w:hint="eastAsia"/>
                <w:lang w:eastAsia="zh-CN"/>
              </w:rPr>
              <w:t>可</w:t>
            </w:r>
            <w:r>
              <w:rPr>
                <w:rFonts w:hint="eastAsia"/>
              </w:rPr>
              <w:t>提供《政府采购供应商信用承诺函》</w:t>
            </w:r>
          </w:p>
        </w:tc>
      </w:tr>
      <w:tr w14:paraId="034D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continue"/>
            <w:vAlign w:val="center"/>
          </w:tcPr>
          <w:p w14:paraId="5CF75E49">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14:paraId="0D73ED5A">
            <w:pPr>
              <w:adjustRightInd w:val="0"/>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6、无重大违法记录，</w:t>
            </w:r>
            <w:r>
              <w:rPr>
                <w:rFonts w:hint="eastAsia"/>
                <w:lang w:eastAsia="zh-CN"/>
              </w:rPr>
              <w:t>可</w:t>
            </w:r>
            <w:r>
              <w:rPr>
                <w:rFonts w:hint="eastAsia"/>
              </w:rPr>
              <w:t>提供《政府采购供应商信用承诺函》；</w:t>
            </w:r>
          </w:p>
        </w:tc>
      </w:tr>
      <w:tr w14:paraId="6309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96" w:type="dxa"/>
            <w:vMerge w:val="continue"/>
            <w:vAlign w:val="center"/>
          </w:tcPr>
          <w:p w14:paraId="6A07CD0D">
            <w:pPr>
              <w:spacing w:line="400" w:lineRule="exact"/>
              <w:jc w:val="center"/>
              <w:rPr>
                <w:rFonts w:ascii="宋体" w:hAnsi="宋体"/>
                <w:color w:val="000000" w:themeColor="text1"/>
                <w:szCs w:val="21"/>
                <w14:textFill>
                  <w14:solidFill>
                    <w14:schemeClr w14:val="tx1"/>
                  </w14:solidFill>
                </w14:textFill>
              </w:rPr>
            </w:pPr>
          </w:p>
        </w:tc>
        <w:tc>
          <w:tcPr>
            <w:tcW w:w="7836" w:type="dxa"/>
            <w:vAlign w:val="center"/>
          </w:tcPr>
          <w:p w14:paraId="15493490">
            <w:pPr>
              <w:pageBreakBefore w:val="0"/>
              <w:widowControl w:val="0"/>
              <w:numPr>
                <w:ilvl w:val="0"/>
                <w:numId w:val="0"/>
              </w:numPr>
              <w:kinsoku/>
              <w:wordWrap/>
              <w:overflowPunct/>
              <w:topLinePunct w:val="0"/>
              <w:autoSpaceDE/>
              <w:autoSpaceDN/>
              <w:bidi w:val="0"/>
              <w:adjustRightInd/>
              <w:snapToGrid/>
              <w:spacing w:before="62" w:beforeLines="20"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7、“信用中国”（www.creditchina.gov.cn）和中国政府采购网（www.ccgp.gov.cn）网站上未被列入失信被执行人、重大税收违法案件当事人名单以及政府采购严重违法失信行为记录名单；</w:t>
            </w:r>
            <w:r>
              <w:rPr>
                <w:rFonts w:ascii="仿宋" w:hAnsi="仿宋" w:eastAsia="仿宋" w:cs="Times New Roman"/>
                <w:color w:val="auto"/>
                <w:sz w:val="24"/>
                <w:szCs w:val="24"/>
              </w:rPr>
              <w:t>（网页打印件</w:t>
            </w:r>
            <w:r>
              <w:rPr>
                <w:rFonts w:hint="eastAsia" w:ascii="仿宋" w:hAnsi="仿宋" w:eastAsia="仿宋" w:cs="Times New Roman"/>
                <w:color w:val="auto"/>
                <w:sz w:val="24"/>
                <w:szCs w:val="24"/>
                <w:lang w:eastAsia="zh-CN"/>
              </w:rPr>
              <w:t>时间</w:t>
            </w:r>
            <w:r>
              <w:rPr>
                <w:rFonts w:ascii="仿宋" w:hAnsi="仿宋" w:eastAsia="仿宋" w:cs="Times New Roman"/>
                <w:color w:val="auto"/>
                <w:sz w:val="24"/>
                <w:szCs w:val="24"/>
              </w:rPr>
              <w:t>须自招标文件发布之日起至投标截止时间从上述网站中通过浏览器打印</w:t>
            </w:r>
            <w:r>
              <w:rPr>
                <w:rFonts w:hint="eastAsia" w:ascii="仿宋" w:hAnsi="仿宋" w:eastAsia="仿宋" w:cs="Times New Roman"/>
                <w:color w:val="auto"/>
                <w:sz w:val="24"/>
                <w:szCs w:val="24"/>
                <w:lang w:eastAsia="zh-CN"/>
              </w:rPr>
              <w:t>，开标时由资格审查人员或资格审查小组进行现场网上核对，出现结果不一致的由投标供应商自行承担法律责任。</w:t>
            </w:r>
            <w:r>
              <w:rPr>
                <w:rFonts w:ascii="仿宋" w:hAnsi="仿宋" w:eastAsia="仿宋" w:cs="Times New Roman"/>
                <w:color w:val="auto"/>
                <w:sz w:val="24"/>
                <w:szCs w:val="24"/>
              </w:rPr>
              <w:t>）</w:t>
            </w:r>
          </w:p>
        </w:tc>
      </w:tr>
      <w:tr w14:paraId="25D2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996" w:type="dxa"/>
            <w:vMerge w:val="continue"/>
            <w:vAlign w:val="center"/>
          </w:tcPr>
          <w:p w14:paraId="789859FA">
            <w:pPr>
              <w:spacing w:line="400" w:lineRule="exact"/>
              <w:jc w:val="center"/>
              <w:rPr>
                <w:rFonts w:ascii="宋体" w:hAnsi="宋体"/>
                <w:color w:val="000000" w:themeColor="text1"/>
                <w:szCs w:val="21"/>
                <w14:textFill>
                  <w14:solidFill>
                    <w14:schemeClr w14:val="tx1"/>
                  </w14:solidFill>
                </w14:textFill>
              </w:rPr>
            </w:pPr>
          </w:p>
        </w:tc>
        <w:tc>
          <w:tcPr>
            <w:tcW w:w="7836" w:type="dxa"/>
            <w:vAlign w:val="center"/>
          </w:tcPr>
          <w:p w14:paraId="6032242F">
            <w:pPr>
              <w:pStyle w:val="2"/>
              <w:numPr>
                <w:ilvl w:val="0"/>
                <w:numId w:val="0"/>
              </w:numPr>
              <w:rPr>
                <w:rFonts w:hint="eastAsia"/>
                <w:color w:val="000000" w:themeColor="text1"/>
                <w14:textFill>
                  <w14:solidFill>
                    <w14:schemeClr w14:val="tx1"/>
                  </w14:solidFill>
                </w14:textFill>
              </w:rPr>
            </w:pPr>
            <w:r>
              <w:rPr>
                <w:rFonts w:hint="eastAsia" w:ascii="仿宋" w:hAnsi="仿宋" w:eastAsia="仿宋" w:cs="Times New Roman"/>
                <w:b/>
                <w:bCs/>
                <w:color w:val="auto"/>
                <w:sz w:val="24"/>
                <w:szCs w:val="24"/>
                <w:lang w:val="en-US" w:eastAsia="zh-CN"/>
              </w:rPr>
              <w:t>8.</w:t>
            </w:r>
            <w:r>
              <w:rPr>
                <w:rFonts w:hint="eastAsia" w:ascii="仿宋" w:hAnsi="仿宋" w:eastAsia="仿宋" w:cs="Times New Roman"/>
                <w:color w:val="auto"/>
                <w:kern w:val="2"/>
                <w:sz w:val="24"/>
                <w:szCs w:val="24"/>
                <w:lang w:val="en-US" w:eastAsia="zh-CN" w:bidi="ar-SA"/>
              </w:rPr>
              <w:t xml:space="preserve"> </w:t>
            </w:r>
            <w:r>
              <w:rPr>
                <w:rFonts w:hint="eastAsia" w:ascii="仿宋" w:hAnsi="仿宋" w:eastAsia="仿宋" w:cs="Times New Roman"/>
                <w:b/>
                <w:bCs/>
                <w:color w:val="auto"/>
                <w:kern w:val="2"/>
                <w:sz w:val="24"/>
                <w:szCs w:val="24"/>
                <w:lang w:val="en-US" w:eastAsia="zh-CN" w:bidi="ar-SA"/>
              </w:rPr>
              <w:t>本项目特殊资质要求：无</w:t>
            </w:r>
          </w:p>
        </w:tc>
      </w:tr>
      <w:tr w14:paraId="572D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Merge w:val="restart"/>
            <w:vAlign w:val="center"/>
          </w:tcPr>
          <w:p w14:paraId="5A2A3529">
            <w:pPr>
              <w:spacing w:line="40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符</w:t>
            </w:r>
          </w:p>
          <w:p w14:paraId="0F93EC45">
            <w:pPr>
              <w:spacing w:line="40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w:t>
            </w:r>
          </w:p>
          <w:p w14:paraId="6870CA4B">
            <w:pPr>
              <w:spacing w:line="40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性</w:t>
            </w:r>
          </w:p>
          <w:p w14:paraId="05213533">
            <w:pPr>
              <w:spacing w:line="400" w:lineRule="exact"/>
              <w:jc w:val="center"/>
              <w:rPr>
                <w:rFonts w:hint="eastAsia" w:ascii="宋体" w:hAnsi="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审</w:t>
            </w:r>
          </w:p>
          <w:p w14:paraId="21769FBE">
            <w:pPr>
              <w:spacing w:line="4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查</w:t>
            </w:r>
          </w:p>
        </w:tc>
        <w:tc>
          <w:tcPr>
            <w:tcW w:w="7836" w:type="dxa"/>
            <w:vAlign w:val="center"/>
          </w:tcPr>
          <w:p w14:paraId="598031CF">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1.投标文件按照招标文件要求上传、解密、签署电子章的；</w:t>
            </w:r>
          </w:p>
        </w:tc>
      </w:tr>
      <w:tr w14:paraId="4486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exact"/>
        </w:trPr>
        <w:tc>
          <w:tcPr>
            <w:tcW w:w="996" w:type="dxa"/>
            <w:vMerge w:val="continue"/>
            <w:vAlign w:val="center"/>
          </w:tcPr>
          <w:p w14:paraId="7CEC0B2A">
            <w:pPr>
              <w:spacing w:line="400" w:lineRule="exact"/>
              <w:jc w:val="center"/>
              <w:rPr>
                <w:rFonts w:ascii="宋体" w:hAnsi="宋体"/>
                <w:color w:val="000000" w:themeColor="text1"/>
                <w:szCs w:val="21"/>
                <w:highlight w:val="none"/>
                <w14:textFill>
                  <w14:solidFill>
                    <w14:schemeClr w14:val="tx1"/>
                  </w14:solidFill>
                </w14:textFill>
              </w:rPr>
            </w:pPr>
          </w:p>
        </w:tc>
        <w:tc>
          <w:tcPr>
            <w:tcW w:w="7836" w:type="dxa"/>
            <w:vAlign w:val="center"/>
          </w:tcPr>
          <w:p w14:paraId="092ADCC7">
            <w:pPr>
              <w:spacing w:line="400" w:lineRule="exac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开标一览表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内报价具有唯一性，</w:t>
            </w:r>
            <w:r>
              <w:rPr>
                <w:rFonts w:hint="eastAsia" w:ascii="宋体" w:hAnsi="宋体"/>
                <w:color w:val="000000" w:themeColor="text1"/>
                <w:szCs w:val="21"/>
                <w:highlight w:val="none"/>
                <w:lang w:eastAsia="zh-CN"/>
                <w14:textFill>
                  <w14:solidFill>
                    <w14:schemeClr w14:val="tx1"/>
                  </w14:solidFill>
                </w14:textFill>
              </w:rPr>
              <w:t>且</w:t>
            </w:r>
            <w:r>
              <w:rPr>
                <w:rFonts w:hint="eastAsia" w:ascii="宋体" w:hAnsi="宋体"/>
                <w:color w:val="000000" w:themeColor="text1"/>
                <w:szCs w:val="21"/>
                <w:highlight w:val="none"/>
                <w14:textFill>
                  <w14:solidFill>
                    <w14:schemeClr w14:val="tx1"/>
                  </w14:solidFill>
                </w14:textFill>
              </w:rPr>
              <w:t>报价未超过招标文件中规定</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color w:val="000000" w:themeColor="text1"/>
                <w:szCs w:val="21"/>
                <w:highlight w:val="none"/>
                <w:lang w:val="en-US" w:eastAsia="zh-CN"/>
                <w14:textFill>
                  <w14:solidFill>
                    <w14:schemeClr w14:val="tx1"/>
                  </w14:solidFill>
                </w14:textFill>
              </w:rPr>
              <w:t>预算总金额；</w:t>
            </w:r>
            <w:r>
              <w:rPr>
                <w:rFonts w:hint="eastAsia" w:ascii="宋体" w:hAnsi="宋体"/>
                <w:color w:val="000000" w:themeColor="text1"/>
                <w:szCs w:val="21"/>
                <w:highlight w:val="none"/>
                <w:lang w:eastAsia="zh-CN"/>
                <w14:textFill>
                  <w14:solidFill>
                    <w14:schemeClr w14:val="tx1"/>
                  </w14:solidFill>
                </w14:textFill>
              </w:rPr>
              <w:t>供货期限及质保期满足招标文件要求；签字盖章齐全；</w:t>
            </w:r>
          </w:p>
        </w:tc>
      </w:tr>
      <w:tr w14:paraId="01E1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exact"/>
        </w:trPr>
        <w:tc>
          <w:tcPr>
            <w:tcW w:w="996" w:type="dxa"/>
            <w:vMerge w:val="continue"/>
            <w:vAlign w:val="center"/>
          </w:tcPr>
          <w:p w14:paraId="340646FC">
            <w:pPr>
              <w:spacing w:line="400" w:lineRule="exact"/>
              <w:jc w:val="center"/>
              <w:rPr>
                <w:rFonts w:ascii="宋体" w:hAnsi="宋体"/>
                <w:color w:val="000000" w:themeColor="text1"/>
                <w:szCs w:val="21"/>
                <w:highlight w:val="none"/>
                <w14:textFill>
                  <w14:solidFill>
                    <w14:schemeClr w14:val="tx1"/>
                  </w14:solidFill>
                </w14:textFill>
              </w:rPr>
            </w:pPr>
          </w:p>
        </w:tc>
        <w:tc>
          <w:tcPr>
            <w:tcW w:w="7836" w:type="dxa"/>
            <w:vAlign w:val="center"/>
          </w:tcPr>
          <w:p w14:paraId="322207BE">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《参数偏离表》满足招标文件实质性要求，供货期限</w:t>
            </w:r>
            <w:r>
              <w:rPr>
                <w:rFonts w:hint="eastAsia" w:ascii="宋体" w:hAnsi="宋体"/>
                <w:color w:val="000000" w:themeColor="text1"/>
                <w:szCs w:val="21"/>
                <w:highlight w:val="none"/>
                <w14:textFill>
                  <w14:solidFill>
                    <w14:schemeClr w14:val="tx1"/>
                  </w14:solidFill>
                </w14:textFill>
              </w:rPr>
              <w:t>、质保期</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满足招标文件要求；</w:t>
            </w:r>
            <w:r>
              <w:rPr>
                <w:rFonts w:hint="eastAsia" w:ascii="宋体" w:hAnsi="宋体"/>
                <w:color w:val="000000" w:themeColor="text1"/>
                <w:szCs w:val="21"/>
                <w:highlight w:val="none"/>
                <w:lang w:eastAsia="zh-CN"/>
                <w14:textFill>
                  <w14:solidFill>
                    <w14:schemeClr w14:val="tx1"/>
                  </w14:solidFill>
                </w14:textFill>
              </w:rPr>
              <w:t>提供《参数偏离表》，实质性条款若有负偏离则视为无效投标，且签字盖章齐全；</w:t>
            </w:r>
          </w:p>
        </w:tc>
      </w:tr>
      <w:tr w14:paraId="4D7E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vAlign w:val="center"/>
          </w:tcPr>
          <w:p w14:paraId="397F1913">
            <w:pPr>
              <w:spacing w:line="400" w:lineRule="exact"/>
              <w:jc w:val="center"/>
              <w:rPr>
                <w:rFonts w:ascii="宋体" w:hAnsi="宋体"/>
                <w:color w:val="000000" w:themeColor="text1"/>
                <w:szCs w:val="21"/>
                <w:highlight w:val="none"/>
                <w14:textFill>
                  <w14:solidFill>
                    <w14:schemeClr w14:val="tx1"/>
                  </w14:solidFill>
                </w14:textFill>
              </w:rPr>
            </w:pPr>
          </w:p>
        </w:tc>
        <w:tc>
          <w:tcPr>
            <w:tcW w:w="7836" w:type="dxa"/>
            <w:vAlign w:val="center"/>
          </w:tcPr>
          <w:p w14:paraId="7EF90F52">
            <w:pPr>
              <w:spacing w:line="400" w:lineRule="exact"/>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《投标函》；</w:t>
            </w:r>
            <w:r>
              <w:rPr>
                <w:rFonts w:hint="eastAsia"/>
                <w:color w:val="000000" w:themeColor="text1"/>
                <w:szCs w:val="21"/>
                <w:highlight w:val="none"/>
                <w:lang w:val="en-US" w:eastAsia="zh-CN"/>
                <w14:textFill>
                  <w14:solidFill>
                    <w14:schemeClr w14:val="tx1"/>
                  </w14:solidFill>
                </w14:textFill>
              </w:rPr>
              <w:t>投标有效期满足招标文件要求（包含第90天）。签字盖章齐全；</w:t>
            </w:r>
          </w:p>
        </w:tc>
      </w:tr>
      <w:tr w14:paraId="386F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996" w:type="dxa"/>
            <w:vMerge w:val="continue"/>
            <w:vAlign w:val="center"/>
          </w:tcPr>
          <w:p w14:paraId="1B53ECA4">
            <w:pPr>
              <w:spacing w:line="400" w:lineRule="exact"/>
              <w:jc w:val="center"/>
              <w:rPr>
                <w:rFonts w:ascii="宋体" w:hAnsi="宋体"/>
                <w:color w:val="000000" w:themeColor="text1"/>
                <w:szCs w:val="21"/>
                <w:highlight w:val="none"/>
                <w14:textFill>
                  <w14:solidFill>
                    <w14:schemeClr w14:val="tx1"/>
                  </w14:solidFill>
                </w14:textFill>
              </w:rPr>
            </w:pPr>
          </w:p>
        </w:tc>
        <w:tc>
          <w:tcPr>
            <w:tcW w:w="7836" w:type="dxa"/>
            <w:vAlign w:val="center"/>
          </w:tcPr>
          <w:p w14:paraId="513AD976">
            <w:pPr>
              <w:spacing w:line="400" w:lineRule="exac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《投标报价明细表》</w:t>
            </w:r>
            <w:r>
              <w:rPr>
                <w:rFonts w:hint="eastAsia" w:ascii="宋体" w:hAnsi="宋体"/>
                <w:color w:val="000000" w:themeColor="text1"/>
                <w:szCs w:val="21"/>
                <w:highlight w:val="none"/>
                <w14:textFill>
                  <w14:solidFill>
                    <w14:schemeClr w14:val="tx1"/>
                  </w14:solidFill>
                </w14:textFill>
              </w:rPr>
              <w:t>1、投标报价明细表，填写完整，产品相关信息按照表格要求进行填写； 2、签字盖章齐全。</w:t>
            </w:r>
          </w:p>
        </w:tc>
      </w:tr>
      <w:tr w14:paraId="41FF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6" w:type="dxa"/>
            <w:vAlign w:val="center"/>
          </w:tcPr>
          <w:p w14:paraId="524DFEB5">
            <w:pPr>
              <w:spacing w:line="400" w:lineRule="exac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结论</w:t>
            </w:r>
          </w:p>
        </w:tc>
        <w:tc>
          <w:tcPr>
            <w:tcW w:w="7836" w:type="dxa"/>
            <w:vAlign w:val="center"/>
          </w:tcPr>
          <w:p w14:paraId="2C7E67E3">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是否通过资格审查，进入下一阶段报价评审。</w:t>
            </w:r>
          </w:p>
        </w:tc>
      </w:tr>
    </w:tbl>
    <w:p w14:paraId="3AEF7033">
      <w:pPr>
        <w:tabs>
          <w:tab w:val="left" w:pos="0"/>
        </w:tabs>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p>
    <w:p w14:paraId="7D3F38A0">
      <w:pPr>
        <w:tabs>
          <w:tab w:val="left" w:pos="0"/>
        </w:tabs>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注：表中全部符合，则为有效投标，进入专家评标阶段。</w:t>
      </w:r>
    </w:p>
    <w:p w14:paraId="310BCCD6">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有下列情形之一时，采购人或采购代理机构应予此次招标活动无效，并将理由通知所有投标人：</w:t>
      </w:r>
    </w:p>
    <w:p w14:paraId="02B20C38">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（1）符合专业条件的投标人或者对招标文件作实质性响应的投标人不足三家的；</w:t>
      </w:r>
    </w:p>
    <w:p w14:paraId="1A337430">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（2）出现影响招标公正的违法、违规行为的；</w:t>
      </w:r>
    </w:p>
    <w:p w14:paraId="05A1A74A">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w:t>
      </w:r>
    </w:p>
    <w:p w14:paraId="6D8D999F">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1.3邀请招标数额标准以上的采购项目，投标截止后投标人不足3家或者通过资格审查或符合性审查的投标人不足3家的，除采购任务取消情形外，按照以下方式处理：</w:t>
      </w:r>
    </w:p>
    <w:p w14:paraId="221DF214">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（1）招标文件存在不合理条款或者招标程序不符合规定的，采购人、采购代理机构改正后依法重新招标；</w:t>
      </w:r>
    </w:p>
    <w:p w14:paraId="202E37B4">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14:paraId="1757063F">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1.4有下列情形之一的，视为投标人串通投标，其投标无效：</w:t>
      </w:r>
    </w:p>
    <w:p w14:paraId="20EDF241">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w:t>
      </w:r>
    </w:p>
    <w:p w14:paraId="5A2971D9">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14:paraId="6A5CD858">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（3）不同投标人的投标文件载明的项目管理成员或者联系人员为同一人；</w:t>
      </w:r>
    </w:p>
    <w:p w14:paraId="33479244">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（4）不同投标人的投标文件异常一致或者投标报价呈规律性差别；</w:t>
      </w:r>
    </w:p>
    <w:p w14:paraId="54DD75CA">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14:paraId="3F1F07A3">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（6）不同投标人的投标保证金从同一单位或者个人的账户转出。</w:t>
      </w:r>
    </w:p>
    <w:p w14:paraId="3AD8D827">
      <w:pPr>
        <w:tabs>
          <w:tab w:val="left" w:pos="0"/>
        </w:tabs>
        <w:adjustRightInd w:val="0"/>
        <w:snapToGrid w:val="0"/>
        <w:spacing w:before="156" w:beforeLines="50"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二、评标程序</w:t>
      </w:r>
    </w:p>
    <w:p w14:paraId="16D2A1AB">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评标委员会</w:t>
      </w:r>
    </w:p>
    <w:p w14:paraId="3D3F7B2B">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2.1</w:t>
      </w:r>
      <w:r>
        <w:rPr>
          <w:rFonts w:hint="eastAsia" w:ascii="宋体" w:hAnsi="宋体" w:eastAsia="宋体" w:cs="Times New Roman"/>
          <w:color w:val="000000" w:themeColor="text1"/>
          <w:szCs w:val="21"/>
          <w14:textFill>
            <w14:solidFill>
              <w14:schemeClr w14:val="tx1"/>
            </w14:solidFill>
          </w14:textFill>
        </w:rPr>
        <w:t>评标由依法组成的评标委员会负责。</w:t>
      </w:r>
      <w:r>
        <w:rPr>
          <w:rFonts w:hint="eastAsia" w:ascii="宋体" w:hAnsi="宋体" w:eastAsia="宋体" w:cs="Times New Roman"/>
          <w:color w:val="000000" w:themeColor="text1"/>
          <w:szCs w:val="21"/>
          <w:lang w:eastAsia="zh-CN"/>
          <w14:textFill>
            <w14:solidFill>
              <w14:schemeClr w14:val="tx1"/>
            </w14:solidFill>
          </w14:textFill>
        </w:rPr>
        <w:t>评标委员会的主要责任</w:t>
      </w:r>
      <w:r>
        <w:rPr>
          <w:rFonts w:hint="eastAsia" w:ascii="宋体" w:hAnsi="宋体" w:eastAsia="宋体" w:cs="Times New Roman"/>
          <w:color w:val="000000" w:themeColor="text1"/>
          <w:szCs w:val="21"/>
          <w:lang w:val="en-US" w:eastAsia="zh-CN"/>
          <w14:textFill>
            <w14:solidFill>
              <w14:schemeClr w14:val="tx1"/>
            </w14:solidFill>
          </w14:textFill>
        </w:rPr>
        <w:t>:</w:t>
      </w:r>
    </w:p>
    <w:p w14:paraId="464F1C73">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评标委员会负责具体评标事务，并独立履行下列职责：</w:t>
      </w:r>
    </w:p>
    <w:p w14:paraId="6E5AF575">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（一）审查、评价投标文件是否符合招标文件的商务、技术等实质性要求；</w:t>
      </w:r>
    </w:p>
    <w:p w14:paraId="48C8E5A9">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（二）要求投标人对投标文件有关事项作出澄清或者说明；</w:t>
      </w:r>
    </w:p>
    <w:p w14:paraId="5EBE5C36">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（三）对投标文件进行比较和评价；</w:t>
      </w:r>
    </w:p>
    <w:p w14:paraId="308BD0C2">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（四）确定中标候选人名单，以及根据采购人委托直接确定中标人；</w:t>
      </w:r>
    </w:p>
    <w:p w14:paraId="123B7955">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（五）向采购人、采购代理机构或者有关部门报告评标中发现的违法行为。</w:t>
      </w:r>
    </w:p>
    <w:p w14:paraId="6593B65E">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2.2</w:t>
      </w:r>
      <w:r>
        <w:rPr>
          <w:rFonts w:hint="eastAsia" w:ascii="宋体" w:hAnsi="宋体" w:eastAsia="宋体" w:cs="Times New Roman"/>
          <w:color w:val="000000" w:themeColor="text1"/>
          <w:szCs w:val="21"/>
          <w14:textFill>
            <w14:solidFill>
              <w14:schemeClr w14:val="tx1"/>
            </w14:solidFill>
          </w14:textFill>
        </w:rPr>
        <w:t>评标时，评标委员会各成员应当独立对每个投标人的投标文件进行评价，并汇总每个投标人的得分。</w:t>
      </w:r>
    </w:p>
    <w:p w14:paraId="2DBDA158">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2.3</w:t>
      </w:r>
      <w:r>
        <w:rPr>
          <w:rFonts w:hint="eastAsia" w:ascii="宋体" w:hAnsi="宋体" w:eastAsia="宋体" w:cs="Times New Roman"/>
          <w:color w:val="000000" w:themeColor="text1"/>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14:paraId="214A2F32">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2.4</w:t>
      </w:r>
      <w:r>
        <w:rPr>
          <w:rFonts w:hint="eastAsia" w:ascii="宋体" w:hAnsi="宋体" w:eastAsia="宋体" w:cs="Times New Roman"/>
          <w:color w:val="000000" w:themeColor="text1"/>
          <w:szCs w:val="21"/>
          <w14:textFill>
            <w14:solidFill>
              <w14:schemeClr w14:val="tx1"/>
            </w14:solidFill>
          </w14:textFill>
        </w:rPr>
        <w:t>评标委员会应当按照招标文件中规定的评标方法和标准，对符合性审查合格的投标文件进行商务和技术评估，综合比较与评价。</w:t>
      </w:r>
    </w:p>
    <w:p w14:paraId="5281F6E4">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2.5</w:t>
      </w:r>
      <w:r>
        <w:rPr>
          <w:rFonts w:hint="eastAsia" w:ascii="宋体" w:hAnsi="宋体" w:eastAsia="宋体" w:cs="Times New Roman"/>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Times New Roman"/>
          <w:color w:val="000000" w:themeColor="text1"/>
          <w:szCs w:val="21"/>
          <w:lang w:val="en-US" w:eastAsia="zh-CN"/>
          <w14:textFill>
            <w14:solidFill>
              <w14:schemeClr w14:val="tx1"/>
            </w14:solidFill>
          </w14:textFill>
        </w:rPr>
        <w:t>.</w:t>
      </w:r>
    </w:p>
    <w:p w14:paraId="3FCC6AC4">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2.6</w:t>
      </w:r>
      <w:r>
        <w:rPr>
          <w:rFonts w:hint="eastAsia" w:ascii="宋体" w:hAnsi="宋体" w:eastAsia="宋体" w:cs="Times New Roman"/>
          <w:color w:val="000000" w:themeColor="text1"/>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060D77F6">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2.7</w:t>
      </w:r>
      <w:r>
        <w:rPr>
          <w:rFonts w:hint="eastAsia" w:ascii="宋体" w:hAnsi="宋体" w:eastAsia="宋体" w:cs="Times New Roman"/>
          <w:color w:val="000000" w:themeColor="text1"/>
          <w:szCs w:val="21"/>
          <w14:textFill>
            <w14:solidFill>
              <w14:schemeClr w14:val="tx1"/>
            </w14:solidFill>
          </w14:textFill>
        </w:rPr>
        <w:t>评标委员会及其成员不得有下列行为：</w:t>
      </w:r>
    </w:p>
    <w:p w14:paraId="7EDB2501">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（一）确定参与评标至评标结束前私自接触投标人；</w:t>
      </w:r>
    </w:p>
    <w:p w14:paraId="760F237A">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（二）接受投标人提出的与投标文件不一致的澄清或者说明</w:t>
      </w:r>
      <w:r>
        <w:rPr>
          <w:rFonts w:hint="eastAsia" w:ascii="宋体" w:hAnsi="宋体" w:eastAsia="宋体" w:cs="Times New Roman"/>
          <w:color w:val="000000" w:themeColor="text1"/>
          <w:szCs w:val="21"/>
          <w:lang w:val="en-US" w:eastAsia="zh-CN"/>
          <w14:textFill>
            <w14:solidFill>
              <w14:schemeClr w14:val="tx1"/>
            </w14:solidFill>
          </w14:textFill>
        </w:rPr>
        <w:t>;</w:t>
      </w:r>
    </w:p>
    <w:p w14:paraId="46A0372A">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（三）违反评标纪律发表倾向性意见或者征询采购人的倾向性意见；</w:t>
      </w:r>
    </w:p>
    <w:p w14:paraId="035A8221">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（四）对需要专业判断的主观评审因素协商评分；</w:t>
      </w:r>
    </w:p>
    <w:p w14:paraId="4437D1EE">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（五）在评标过程中擅离职守，影响评标程序正常进行的；</w:t>
      </w:r>
    </w:p>
    <w:p w14:paraId="3800F26B">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（六）记录、复制或者带走任何评标资料；</w:t>
      </w:r>
    </w:p>
    <w:p w14:paraId="7E3011D0">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（七）其他不遵守评标纪律的行为。</w:t>
      </w:r>
    </w:p>
    <w:p w14:paraId="326DB48B">
      <w:pPr>
        <w:tabs>
          <w:tab w:val="left" w:pos="0"/>
        </w:tabs>
        <w:adjustRightInd w:val="0"/>
        <w:snapToGrid w:val="0"/>
        <w:spacing w:before="156" w:beforeLines="50"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评标委员会成员有前款第一至五项行为之一的，其评审意见无效，并不得获取评审劳务报酬和报销异地评审差旅费。</w:t>
      </w:r>
    </w:p>
    <w:p w14:paraId="7A54A4B2">
      <w:pPr>
        <w:tabs>
          <w:tab w:val="left" w:pos="0"/>
        </w:tabs>
        <w:adjustRightInd w:val="0"/>
        <w:snapToGrid w:val="0"/>
        <w:spacing w:before="156" w:beforeLines="50" w:line="360" w:lineRule="auto"/>
        <w:ind w:firstLine="420" w:firstLineChars="200"/>
        <w:rPr>
          <w:rFonts w:hint="default" w:eastAsia="宋体"/>
          <w:lang w:val="en-US" w:eastAsia="zh-CN"/>
        </w:rPr>
      </w:pPr>
      <w:r>
        <w:rPr>
          <w:rFonts w:hint="eastAsia" w:ascii="宋体" w:hAnsi="宋体" w:eastAsia="宋体" w:cs="Times New Roman"/>
          <w:color w:val="000000" w:themeColor="text1"/>
          <w:szCs w:val="21"/>
          <w:lang w:val="en-US" w:eastAsia="zh-CN"/>
          <w14:textFill>
            <w14:solidFill>
              <w14:schemeClr w14:val="tx1"/>
            </w14:solidFill>
          </w14:textFill>
        </w:rPr>
        <w:t>2.8</w:t>
      </w:r>
      <w:r>
        <w:rPr>
          <w:rFonts w:hint="eastAsia" w:ascii="宋体" w:hAnsi="宋体" w:eastAsia="宋体" w:cs="Times New Roman"/>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E3870C">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评标方法</w:t>
      </w:r>
    </w:p>
    <w:p w14:paraId="605D1295">
      <w:pPr>
        <w:tabs>
          <w:tab w:val="left" w:pos="0"/>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3.1评标方法：</w:t>
      </w:r>
      <w:r>
        <w:rPr>
          <w:rFonts w:hint="eastAsia" w:ascii="宋体" w:hAnsi="宋体"/>
          <w:b/>
          <w:bCs/>
          <w:color w:val="000000" w:themeColor="text1"/>
          <w:szCs w:val="21"/>
          <w:lang w:eastAsia="zh-CN"/>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，是指投标文件满足招标文件全部实质性要求且按照评审因素的量化指标评审得分最高的供应商为中标候选人的评标方法。</w:t>
      </w:r>
    </w:p>
    <w:p w14:paraId="28357914">
      <w:pPr>
        <w:tabs>
          <w:tab w:val="left" w:pos="0"/>
        </w:tabs>
        <w:adjustRightInd w:val="0"/>
        <w:snapToGrid w:val="0"/>
        <w:spacing w:before="156" w:beforeLines="50" w:line="360" w:lineRule="auto"/>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3.2本招标项目</w:t>
      </w:r>
      <w:r>
        <w:rPr>
          <w:rFonts w:hint="eastAsia" w:ascii="宋体" w:hAnsi="宋体"/>
          <w:color w:val="000000" w:themeColor="text1"/>
          <w:szCs w:val="21"/>
          <w14:textFill>
            <w14:solidFill>
              <w14:schemeClr w14:val="tx1"/>
            </w14:solidFill>
          </w14:textFill>
        </w:rPr>
        <w:t>的评标因素：价格、技术、信誉、业绩、服务、对招标文件的响应程度，以及相应的比重或者权值等，但不包括第二章“投标须知”第3.1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w:t>
      </w:r>
    </w:p>
    <w:p w14:paraId="0FEEBB6F">
      <w:pPr>
        <w:adjustRightInd w:val="0"/>
        <w:snapToGrid w:val="0"/>
        <w:spacing w:before="156" w:beforeLines="50" w:line="360" w:lineRule="auto"/>
        <w:ind w:right="-109" w:rightChars="-5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4.澄清有关问题</w:t>
      </w:r>
    </w:p>
    <w:p w14:paraId="5C24F3D4">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65760E1D">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4.2投标人不得对下列内容进行澄清或补充：</w:t>
      </w:r>
    </w:p>
    <w:p w14:paraId="70A62C7B">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（1）开标时，未宣读的投标价格、价格折扣等实质性内容。</w:t>
      </w:r>
    </w:p>
    <w:p w14:paraId="2CA0A45D">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（2）招标文件规定的实质性要求。</w:t>
      </w:r>
    </w:p>
    <w:p w14:paraId="0EB42DF0">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4.3投标文件报价出现前后不一致的，除招标文件另有规定外，按照下列规定修正：</w:t>
      </w:r>
    </w:p>
    <w:p w14:paraId="45555F0F">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（1）电子交易平台生成的开标一览表内容与投标文件中相应内容不一致的，以电子交易平台生成的开标一览表为准；</w:t>
      </w:r>
    </w:p>
    <w:p w14:paraId="32648ABA">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（2）大写金额和小写金额不一致的，以大写金额为准；</w:t>
      </w:r>
    </w:p>
    <w:p w14:paraId="7ADC2270">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（3）单价金额小数点或者百分比有明显错位的，以电子交易平台生成的开标一览表为准，并修改单价；</w:t>
      </w:r>
    </w:p>
    <w:p w14:paraId="01C234D8">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14:paraId="68FD3CB6">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14:paraId="0BD05486">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对不同文字文本投标文件的解释发生异议的，以中文文本为准。若投标人拒绝接受上述修正，在评标时将其视为无效投标。</w:t>
      </w:r>
    </w:p>
    <w:p w14:paraId="2D84B808">
      <w:pPr>
        <w:tabs>
          <w:tab w:val="left" w:pos="0"/>
        </w:tabs>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74E8DE">
      <w:pPr>
        <w:tabs>
          <w:tab w:val="left" w:pos="0"/>
        </w:tabs>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4.5评标委员会成员对需要共同认定的事项存在争议的，应当按照少数服从多数的原则作出结论。持不同意见的评标委员会成员应当在评标报告上签署不同意见及理由，否则视为同意评标报告。</w:t>
      </w:r>
    </w:p>
    <w:p w14:paraId="007C097B">
      <w:pPr>
        <w:tabs>
          <w:tab w:val="left" w:pos="0"/>
        </w:tabs>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投标人的澄清、说明或者补正应该采用书面形式，并加盖公章，或者由法定代表人或其授权的代理人签字。投标人的澄清、说明或者补正不得超出投标文件的范围或者改变投标文件的实质性内容。</w:t>
      </w:r>
    </w:p>
    <w:p w14:paraId="2507CCFE">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 有效的书面澄清材料，是投标文件的补充材料，成为投标文件的组成部分。</w:t>
      </w:r>
    </w:p>
    <w:p w14:paraId="51BB8C4F">
      <w:pPr>
        <w:tabs>
          <w:tab w:val="left" w:pos="0"/>
        </w:tabs>
        <w:adjustRightInd w:val="0"/>
        <w:snapToGrid w:val="0"/>
        <w:spacing w:before="156" w:before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5.投标文件的详细</w:t>
      </w:r>
      <w:r>
        <w:rPr>
          <w:rFonts w:hint="eastAsia" w:ascii="宋体" w:hAnsi="宋体"/>
          <w:b/>
          <w:color w:val="000000" w:themeColor="text1"/>
          <w:szCs w:val="21"/>
          <w14:textFill>
            <w14:solidFill>
              <w14:schemeClr w14:val="tx1"/>
            </w14:solidFill>
          </w14:textFill>
        </w:rPr>
        <w:t>评审</w:t>
      </w:r>
    </w:p>
    <w:p w14:paraId="38A08CEB">
      <w:pPr>
        <w:tabs>
          <w:tab w:val="left" w:pos="0"/>
        </w:tabs>
        <w:adjustRightInd w:val="0"/>
        <w:snapToGrid w:val="0"/>
        <w:spacing w:before="156" w:beforeLines="5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5.1评标委员会应按照招标文件中规定的评标方法、</w:t>
      </w:r>
      <w:r>
        <w:rPr>
          <w:rFonts w:hint="eastAsia" w:ascii="宋体" w:hAnsi="宋体"/>
          <w:color w:val="000000" w:themeColor="text1"/>
          <w:szCs w:val="21"/>
          <w14:textFill>
            <w14:solidFill>
              <w14:schemeClr w14:val="tx1"/>
            </w14:solidFill>
          </w14:textFill>
        </w:rPr>
        <w:t>标准和评标因素，</w:t>
      </w:r>
      <w:r>
        <w:rPr>
          <w:rFonts w:hint="eastAsia" w:ascii="宋体" w:hAnsi="宋体"/>
          <w:bCs/>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资格性检查</w:t>
      </w:r>
      <w:r>
        <w:rPr>
          <w:rFonts w:hint="eastAsia" w:ascii="宋体" w:hAnsi="宋体"/>
          <w:bCs/>
          <w:color w:val="000000" w:themeColor="text1"/>
          <w:szCs w:val="21"/>
          <w14:textFill>
            <w14:solidFill>
              <w14:schemeClr w14:val="tx1"/>
            </w14:solidFill>
          </w14:textFill>
        </w:rPr>
        <w:t>合格的投标文件进行详细评审。</w:t>
      </w:r>
    </w:p>
    <w:p w14:paraId="2826B3DA">
      <w:pPr>
        <w:widowControl/>
        <w:adjustRightInd w:val="0"/>
        <w:snapToGrid w:val="0"/>
        <w:spacing w:before="156" w:beforeLines="50"/>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评标时，评标委员会各成员应当</w:t>
      </w:r>
      <w:r>
        <w:rPr>
          <w:rFonts w:hint="eastAsia" w:ascii="宋体" w:hAnsi="宋体"/>
          <w:b/>
          <w:color w:val="000000" w:themeColor="text1"/>
          <w:szCs w:val="21"/>
          <w14:textFill>
            <w14:solidFill>
              <w14:schemeClr w14:val="tx1"/>
            </w14:solidFill>
          </w14:textFill>
        </w:rPr>
        <w:t>独立</w:t>
      </w:r>
      <w:r>
        <w:rPr>
          <w:rFonts w:hint="eastAsia" w:ascii="宋体" w:hAnsi="宋体"/>
          <w:color w:val="000000" w:themeColor="text1"/>
          <w:szCs w:val="21"/>
          <w14:textFill>
            <w14:solidFill>
              <w14:schemeClr w14:val="tx1"/>
            </w14:solidFill>
          </w14:textFill>
        </w:rPr>
        <w:t>对每个投标人的</w:t>
      </w:r>
      <w:r>
        <w:rPr>
          <w:rFonts w:hint="eastAsia" w:ascii="宋体" w:hAnsi="宋体"/>
          <w:bCs/>
          <w:color w:val="000000" w:themeColor="text1"/>
          <w:szCs w:val="21"/>
          <w14:textFill>
            <w14:solidFill>
              <w14:schemeClr w14:val="tx1"/>
            </w14:solidFill>
          </w14:textFill>
        </w:rPr>
        <w:t>投标文件</w:t>
      </w:r>
      <w:r>
        <w:rPr>
          <w:rFonts w:hint="eastAsia" w:ascii="宋体" w:hAnsi="宋体"/>
          <w:color w:val="000000" w:themeColor="text1"/>
          <w:szCs w:val="21"/>
          <w14:textFill>
            <w14:solidFill>
              <w14:schemeClr w14:val="tx1"/>
            </w14:solidFill>
          </w14:textFill>
        </w:rPr>
        <w:t>进行评价、评分，然后汇总每个投标人每项评分因素的得分。</w:t>
      </w:r>
    </w:p>
    <w:p w14:paraId="60BD32CE">
      <w:pPr>
        <w:ind w:firstLine="420" w:firstLineChars="200"/>
        <w:rPr>
          <w:rFonts w:ascii="宋体" w:hAnsi="宋体" w:cs="宋体"/>
          <w:b/>
          <w:bCs/>
          <w:szCs w:val="21"/>
        </w:rPr>
      </w:pPr>
      <w:r>
        <w:rPr>
          <w:rFonts w:hint="eastAsia" w:ascii="宋体" w:hAnsi="宋体"/>
          <w:color w:val="000000" w:themeColor="text1"/>
          <w:szCs w:val="21"/>
          <w14:textFill>
            <w14:solidFill>
              <w14:schemeClr w14:val="tx1"/>
            </w14:solidFill>
          </w14:textFill>
        </w:rPr>
        <w:t>5.3</w:t>
      </w:r>
      <w:r>
        <w:rPr>
          <w:rFonts w:hint="eastAsia" w:ascii="宋体" w:hAnsi="宋体" w:cs="宋体"/>
          <w:b/>
          <w:bCs/>
          <w:szCs w:val="21"/>
          <w:lang w:bidi="ar"/>
        </w:rPr>
        <w:t>有下列情况之一的投标文件应作无效文件处理：</w:t>
      </w:r>
    </w:p>
    <w:p w14:paraId="5A45707D">
      <w:pPr>
        <w:spacing w:line="380" w:lineRule="exact"/>
        <w:ind w:firstLine="420" w:firstLineChars="200"/>
        <w:rPr>
          <w:rFonts w:ascii="宋体" w:hAnsi="宋体" w:cs="宋体"/>
          <w:szCs w:val="21"/>
        </w:rPr>
      </w:pPr>
      <w:r>
        <w:rPr>
          <w:rFonts w:hint="eastAsia" w:ascii="宋体" w:hAnsi="宋体" w:cs="宋体"/>
          <w:szCs w:val="21"/>
          <w:lang w:bidi="ar"/>
        </w:rPr>
        <w:t>（1）未在规定时间内按时解密的；</w:t>
      </w:r>
    </w:p>
    <w:p w14:paraId="69D5EC77">
      <w:pPr>
        <w:spacing w:line="380" w:lineRule="exact"/>
        <w:ind w:firstLine="420" w:firstLineChars="200"/>
        <w:rPr>
          <w:rFonts w:hint="default" w:ascii="宋体" w:hAnsi="宋体" w:eastAsia="宋体" w:cs="宋体"/>
          <w:b/>
          <w:bCs/>
          <w:szCs w:val="21"/>
          <w:lang w:val="en-US" w:eastAsia="zh-CN"/>
        </w:rPr>
      </w:pPr>
      <w:r>
        <w:rPr>
          <w:rFonts w:hint="eastAsia" w:ascii="宋体" w:hAnsi="宋体" w:cs="宋体"/>
          <w:szCs w:val="21"/>
          <w:lang w:bidi="ar"/>
        </w:rPr>
        <w:t>（2）应交未交投标保证金的；</w:t>
      </w:r>
    </w:p>
    <w:p w14:paraId="2FF82C04">
      <w:pPr>
        <w:spacing w:line="380" w:lineRule="exact"/>
        <w:ind w:firstLine="420" w:firstLineChars="200"/>
        <w:rPr>
          <w:rFonts w:ascii="宋体" w:hAnsi="宋体" w:cs="宋体"/>
          <w:szCs w:val="21"/>
        </w:rPr>
      </w:pPr>
      <w:r>
        <w:rPr>
          <w:rFonts w:hint="eastAsia" w:ascii="宋体" w:hAnsi="宋体" w:cs="宋体"/>
          <w:szCs w:val="21"/>
          <w:lang w:bidi="ar"/>
        </w:rPr>
        <w:t>（3）不具备采购文件中规定资格要求的；</w:t>
      </w:r>
    </w:p>
    <w:p w14:paraId="6E0AB3B4">
      <w:pPr>
        <w:spacing w:line="380" w:lineRule="exact"/>
        <w:ind w:firstLine="420" w:firstLineChars="200"/>
        <w:rPr>
          <w:rFonts w:ascii="宋体" w:hAnsi="宋体" w:cs="宋体"/>
          <w:szCs w:val="21"/>
        </w:rPr>
      </w:pPr>
      <w:r>
        <w:rPr>
          <w:rFonts w:hint="eastAsia" w:ascii="宋体" w:hAnsi="宋体" w:cs="宋体"/>
          <w:szCs w:val="21"/>
          <w:lang w:bidi="ar"/>
        </w:rPr>
        <w:t>（4）投标文件未按规定由供应商法定代表人或其授权代理人签字和加盖公章的；</w:t>
      </w:r>
    </w:p>
    <w:p w14:paraId="44515593">
      <w:pPr>
        <w:spacing w:line="380" w:lineRule="exact"/>
        <w:ind w:firstLine="420" w:firstLineChars="200"/>
        <w:rPr>
          <w:rFonts w:ascii="宋体" w:hAnsi="宋体" w:cs="宋体"/>
          <w:szCs w:val="21"/>
        </w:rPr>
      </w:pPr>
      <w:r>
        <w:rPr>
          <w:rFonts w:hint="eastAsia" w:ascii="宋体" w:hAnsi="宋体" w:cs="宋体"/>
          <w:szCs w:val="21"/>
          <w:lang w:bidi="ar"/>
        </w:rPr>
        <w:t>（5）</w:t>
      </w:r>
      <w:r>
        <w:rPr>
          <w:rFonts w:hint="eastAsia" w:ascii="宋体" w:hAnsi="宋体" w:cs="宋体"/>
          <w:spacing w:val="15"/>
          <w:kern w:val="0"/>
          <w:szCs w:val="21"/>
          <w:lang w:bidi="ar"/>
        </w:rPr>
        <w:t>投标文件未按照采购文件规定要求签章的；</w:t>
      </w:r>
    </w:p>
    <w:p w14:paraId="0D24E188">
      <w:pPr>
        <w:spacing w:line="380" w:lineRule="exact"/>
        <w:ind w:firstLine="420" w:firstLineChars="200"/>
        <w:rPr>
          <w:rFonts w:ascii="宋体" w:hAnsi="宋体" w:cs="宋体"/>
          <w:szCs w:val="21"/>
        </w:rPr>
      </w:pPr>
      <w:r>
        <w:rPr>
          <w:rFonts w:hint="eastAsia" w:ascii="宋体" w:hAnsi="宋体" w:cs="宋体"/>
          <w:szCs w:val="21"/>
          <w:lang w:bidi="ar"/>
        </w:rPr>
        <w:t>（6）投标文件载明的采购项目</w:t>
      </w:r>
      <w:r>
        <w:rPr>
          <w:rFonts w:hint="eastAsia" w:ascii="宋体" w:hAnsi="宋体" w:cs="宋体"/>
          <w:szCs w:val="21"/>
          <w:lang w:eastAsia="zh-CN" w:bidi="ar"/>
        </w:rPr>
        <w:t>完工期限</w:t>
      </w:r>
      <w:r>
        <w:rPr>
          <w:rFonts w:hint="eastAsia" w:ascii="宋体" w:hAnsi="宋体" w:cs="宋体"/>
          <w:szCs w:val="21"/>
          <w:lang w:bidi="ar"/>
        </w:rPr>
        <w:t>超过采购文件规定期限的；</w:t>
      </w:r>
    </w:p>
    <w:p w14:paraId="2647C1C2">
      <w:pPr>
        <w:spacing w:line="380" w:lineRule="exact"/>
        <w:ind w:firstLine="420" w:firstLineChars="200"/>
        <w:rPr>
          <w:rFonts w:ascii="宋体" w:hAnsi="宋体" w:cs="宋体"/>
          <w:szCs w:val="21"/>
        </w:rPr>
      </w:pPr>
      <w:r>
        <w:rPr>
          <w:rFonts w:hint="eastAsia" w:ascii="宋体" w:hAnsi="宋体" w:cs="宋体"/>
          <w:szCs w:val="21"/>
          <w:lang w:bidi="ar"/>
        </w:rPr>
        <w:t>（7）评标过程中拒绝澄清相关事宜和问题的；</w:t>
      </w:r>
    </w:p>
    <w:p w14:paraId="7085E5AD">
      <w:pPr>
        <w:spacing w:line="380" w:lineRule="exact"/>
        <w:ind w:firstLine="420" w:firstLineChars="200"/>
        <w:rPr>
          <w:rFonts w:hint="eastAsia" w:ascii="宋体" w:hAnsi="宋体" w:cs="宋体"/>
          <w:szCs w:val="21"/>
          <w:lang w:bidi="ar"/>
        </w:rPr>
      </w:pPr>
      <w:r>
        <w:rPr>
          <w:rFonts w:hint="eastAsia" w:ascii="宋体" w:hAnsi="宋体" w:cs="宋体"/>
          <w:szCs w:val="21"/>
          <w:lang w:bidi="ar"/>
        </w:rPr>
        <w:t>（8）投标文件不真实，有欺骗行为的；</w:t>
      </w:r>
    </w:p>
    <w:p w14:paraId="561285E1">
      <w:pPr>
        <w:spacing w:line="380" w:lineRule="exact"/>
        <w:ind w:firstLine="420" w:firstLineChars="200"/>
        <w:rPr>
          <w:rFonts w:hint="eastAsia" w:ascii="宋体" w:hAnsi="宋体" w:cs="宋体"/>
          <w:szCs w:val="21"/>
          <w:lang w:bidi="ar"/>
        </w:rPr>
      </w:pPr>
      <w:r>
        <w:rPr>
          <w:rFonts w:hint="eastAsia" w:ascii="宋体" w:hAnsi="宋体" w:cs="宋体"/>
          <w:szCs w:val="21"/>
          <w:lang w:bidi="ar"/>
        </w:rPr>
        <w:t>（9）报价超过招标文件中规定的</w:t>
      </w:r>
      <w:r>
        <w:rPr>
          <w:rFonts w:hint="eastAsia" w:ascii="宋体" w:hAnsi="宋体" w:cs="宋体"/>
          <w:szCs w:val="21"/>
          <w:lang w:val="en-US" w:eastAsia="zh-CN" w:bidi="ar"/>
        </w:rPr>
        <w:t>预算总价或预算单价的；</w:t>
      </w:r>
    </w:p>
    <w:p w14:paraId="6FDE7C96">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（10）投标文件附有采购人和组织采购方不能接受的其它条件的；</w:t>
      </w:r>
    </w:p>
    <w:p w14:paraId="2ECF82D5">
      <w:pPr>
        <w:spacing w:line="380" w:lineRule="exact"/>
        <w:ind w:firstLine="420" w:firstLineChars="200"/>
        <w:rPr>
          <w:rFonts w:hint="eastAsia" w:ascii="宋体" w:hAnsi="宋体" w:eastAsia="宋体" w:cs="宋体"/>
          <w:szCs w:val="21"/>
          <w:lang w:val="en-US"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11）不满足采购文件实质性要求的；</w:t>
      </w:r>
    </w:p>
    <w:p w14:paraId="690B0B96">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12</w:t>
      </w:r>
      <w:r>
        <w:rPr>
          <w:rFonts w:hint="eastAsia" w:ascii="宋体" w:hAnsi="宋体" w:eastAsia="宋体" w:cs="宋体"/>
          <w:szCs w:val="21"/>
          <w:lang w:eastAsia="zh-CN" w:bidi="ar"/>
        </w:rPr>
        <w:t>）投标文件含有采购人不能接受的附加条件的;</w:t>
      </w:r>
    </w:p>
    <w:p w14:paraId="69F82135">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13</w:t>
      </w:r>
      <w:r>
        <w:rPr>
          <w:rFonts w:hint="eastAsia" w:ascii="宋体" w:hAnsi="宋体" w:eastAsia="宋体" w:cs="宋体"/>
          <w:szCs w:val="21"/>
          <w:lang w:eastAsia="zh-CN" w:bidi="ar"/>
        </w:rPr>
        <w:t>）法律、法规和招标文件规定的其他无效情形。</w:t>
      </w:r>
    </w:p>
    <w:p w14:paraId="32C74105">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 xml:space="preserve"> </w:t>
      </w:r>
      <w:r>
        <w:rPr>
          <w:rFonts w:hint="eastAsia" w:ascii="宋体" w:hAnsi="宋体" w:eastAsia="宋体" w:cs="宋体"/>
          <w:szCs w:val="21"/>
          <w:lang w:val="en-US" w:eastAsia="zh-CN" w:bidi="ar"/>
        </w:rPr>
        <w:t>5.3.1</w:t>
      </w:r>
      <w:r>
        <w:rPr>
          <w:rFonts w:hint="eastAsia" w:ascii="宋体" w:hAnsi="宋体" w:eastAsia="宋体" w:cs="宋体"/>
          <w:szCs w:val="21"/>
          <w:lang w:eastAsia="zh-CN" w:bidi="ar"/>
        </w:rPr>
        <w:t>评标委员会或者其成员存在下列情形导致评标结果无效的，采购人、采购代理机构可以重新组建评标委员会进行评标，并书面报告本级财政部门，但采购合同已经履行的除外：</w:t>
      </w:r>
    </w:p>
    <w:p w14:paraId="1A4AC87B">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　　（一）评标委员会组成不符合本办法规定的；</w:t>
      </w:r>
    </w:p>
    <w:p w14:paraId="4830256D">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　　（二）有本办法第六十二条第一至五项情形的；</w:t>
      </w:r>
    </w:p>
    <w:p w14:paraId="375BC61C">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　　（三）评标委员会及其成员独立评标受到非法干预的；</w:t>
      </w:r>
    </w:p>
    <w:p w14:paraId="35FB7B02">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　　（四）有政府采购法实施条例第七十五条规定的违法行为的。</w:t>
      </w:r>
    </w:p>
    <w:p w14:paraId="55F95813">
      <w:pPr>
        <w:spacing w:line="380" w:lineRule="exact"/>
        <w:ind w:firstLine="420" w:firstLineChars="200"/>
        <w:rPr>
          <w:rFonts w:hint="eastAsia" w:ascii="宋体" w:hAnsi="宋体" w:eastAsia="宋体" w:cs="宋体"/>
          <w:szCs w:val="21"/>
          <w:lang w:eastAsia="zh-CN" w:bidi="ar"/>
        </w:rPr>
      </w:pPr>
      <w:r>
        <w:rPr>
          <w:rFonts w:hint="eastAsia" w:ascii="宋体" w:hAnsi="宋体" w:eastAsia="宋体" w:cs="宋体"/>
          <w:szCs w:val="21"/>
          <w:lang w:eastAsia="zh-CN" w:bidi="ar"/>
        </w:rPr>
        <w:t>　　有违法违规行为的原评标委员会成员不得参加重新组建的评标委员会。</w:t>
      </w:r>
    </w:p>
    <w:p w14:paraId="3C52675A">
      <w:pPr>
        <w:spacing w:line="380" w:lineRule="exact"/>
        <w:ind w:firstLine="482" w:firstLineChars="200"/>
        <w:rPr>
          <w:rFonts w:hint="eastAsia" w:ascii="宋体" w:hAnsi="宋体" w:eastAsia="宋体" w:cs="宋体"/>
          <w:b/>
          <w:bCs/>
          <w:sz w:val="24"/>
          <w:szCs w:val="24"/>
          <w:highlight w:val="none"/>
          <w:lang w:val="en-US" w:eastAsia="zh-CN" w:bidi="ar"/>
        </w:rPr>
      </w:pPr>
    </w:p>
    <w:p w14:paraId="2493D418">
      <w:pPr>
        <w:spacing w:line="380" w:lineRule="exact"/>
        <w:ind w:firstLine="482" w:firstLineChars="200"/>
        <w:rPr>
          <w:rFonts w:hint="eastAsia" w:ascii="宋体" w:hAnsi="宋体" w:eastAsia="宋体" w:cs="宋体"/>
          <w:b/>
          <w:bCs/>
          <w:sz w:val="24"/>
          <w:szCs w:val="24"/>
          <w:highlight w:val="none"/>
          <w:lang w:val="en-US" w:eastAsia="zh-CN" w:bidi="ar"/>
        </w:rPr>
      </w:pPr>
      <w:r>
        <w:rPr>
          <w:rFonts w:hint="eastAsia" w:ascii="宋体" w:hAnsi="宋体" w:eastAsia="宋体" w:cs="宋体"/>
          <w:b/>
          <w:bCs/>
          <w:sz w:val="24"/>
          <w:szCs w:val="24"/>
          <w:highlight w:val="none"/>
          <w:lang w:val="en-US" w:eastAsia="zh-CN" w:bidi="ar"/>
        </w:rPr>
        <w:t>其他说明：</w:t>
      </w:r>
    </w:p>
    <w:p w14:paraId="4D9BB712">
      <w:pPr>
        <w:spacing w:line="380" w:lineRule="exact"/>
        <w:ind w:firstLine="422" w:firstLineChars="200"/>
        <w:rPr>
          <w:rFonts w:hint="eastAsia" w:ascii="宋体" w:hAnsi="宋体" w:cs="宋体"/>
          <w:b/>
          <w:bCs/>
          <w:szCs w:val="21"/>
          <w:highlight w:val="none"/>
          <w:lang w:val="en-US" w:eastAsia="zh-CN" w:bidi="ar"/>
        </w:rPr>
      </w:pPr>
      <w:r>
        <w:rPr>
          <w:rFonts w:hint="eastAsia" w:ascii="宋体" w:hAnsi="宋体" w:cs="宋体"/>
          <w:b/>
          <w:bCs/>
          <w:szCs w:val="21"/>
          <w:highlight w:val="none"/>
          <w:lang w:val="en-US" w:eastAsia="zh-CN" w:bidi="ar"/>
        </w:rPr>
        <w:t>“第五章 采购需求”中标“★”为实质条款，不得负偏离，否则投标无效；</w:t>
      </w:r>
    </w:p>
    <w:p w14:paraId="18201181">
      <w:pPr>
        <w:spacing w:line="380" w:lineRule="exact"/>
        <w:ind w:firstLine="422" w:firstLineChars="200"/>
        <w:rPr>
          <w:rFonts w:hint="eastAsia" w:ascii="宋体" w:hAnsi="宋体" w:cs="宋体"/>
          <w:b/>
          <w:bCs/>
          <w:szCs w:val="21"/>
          <w:highlight w:val="none"/>
          <w:lang w:val="en-US" w:eastAsia="zh-CN" w:bidi="ar"/>
        </w:rPr>
      </w:pPr>
      <w:r>
        <w:rPr>
          <w:rFonts w:hint="eastAsia" w:ascii="宋体" w:hAnsi="宋体" w:cs="宋体"/>
          <w:b/>
          <w:bCs/>
          <w:szCs w:val="21"/>
          <w:highlight w:val="none"/>
          <w:lang w:val="en-US" w:eastAsia="zh-CN" w:bidi="ar"/>
        </w:rPr>
        <w:t>采购文件“第五章 采购需求”中加注“</w:t>
      </w:r>
      <w:r>
        <w:rPr>
          <w:rFonts w:hint="eastAsia" w:ascii="宋体" w:hAnsi="宋体" w:cs="宋体"/>
          <w:b/>
          <w:bCs/>
          <w:szCs w:val="21"/>
          <w:highlight w:val="red"/>
          <w:lang w:val="en-US" w:eastAsia="zh-CN" w:bidi="ar"/>
        </w:rPr>
        <w:t>▲</w:t>
      </w:r>
      <w:r>
        <w:rPr>
          <w:rFonts w:hint="eastAsia" w:ascii="宋体" w:hAnsi="宋体" w:cs="宋体"/>
          <w:b/>
          <w:bCs/>
          <w:szCs w:val="21"/>
          <w:highlight w:val="none"/>
          <w:lang w:val="en-US" w:eastAsia="zh-CN" w:bidi="ar"/>
        </w:rPr>
        <w:t>”产品为强制节能认证产品，不满足则导致投标无效。</w:t>
      </w:r>
    </w:p>
    <w:p w14:paraId="41E49B8F">
      <w:pPr>
        <w:spacing w:line="380" w:lineRule="exact"/>
        <w:ind w:firstLine="422" w:firstLineChars="200"/>
        <w:rPr>
          <w:rFonts w:hint="eastAsia" w:ascii="宋体" w:hAnsi="宋体" w:cs="宋体"/>
          <w:b/>
          <w:bCs/>
          <w:szCs w:val="21"/>
          <w:highlight w:val="none"/>
          <w:lang w:val="en-US" w:eastAsia="zh-CN" w:bidi="ar"/>
        </w:rPr>
      </w:pPr>
      <w:r>
        <w:rPr>
          <w:rFonts w:hint="eastAsia" w:ascii="宋体" w:hAnsi="宋体" w:cs="宋体"/>
          <w:b/>
          <w:bCs/>
          <w:szCs w:val="21"/>
          <w:highlight w:val="none"/>
          <w:lang w:val="en-US" w:eastAsia="zh-CN" w:bidi="ar"/>
        </w:rPr>
        <w:t>采购文件“第五章 采购需求”中加注“■”产品为强制认证产品，不满足则导致投标无效。</w:t>
      </w:r>
    </w:p>
    <w:p w14:paraId="10453F3E">
      <w:pPr>
        <w:spacing w:line="380" w:lineRule="exact"/>
        <w:ind w:firstLine="422" w:firstLineChars="200"/>
        <w:rPr>
          <w:rFonts w:hint="eastAsia" w:ascii="宋体" w:hAnsi="宋体" w:cs="宋体"/>
          <w:b/>
          <w:bCs/>
          <w:szCs w:val="21"/>
          <w:highlight w:val="none"/>
          <w:lang w:val="en-US" w:eastAsia="zh-CN" w:bidi="ar"/>
        </w:rPr>
      </w:pPr>
    </w:p>
    <w:p w14:paraId="6A8A6DED">
      <w:pPr>
        <w:spacing w:line="380" w:lineRule="exact"/>
        <w:ind w:firstLine="422" w:firstLineChars="200"/>
        <w:rPr>
          <w:rFonts w:hint="eastAsia" w:ascii="宋体" w:hAnsi="宋体" w:cs="宋体"/>
          <w:b/>
          <w:bCs/>
          <w:szCs w:val="21"/>
          <w:highlight w:val="none"/>
          <w:lang w:val="en-US" w:eastAsia="zh-CN" w:bidi="ar"/>
        </w:rPr>
      </w:pPr>
      <w:r>
        <w:rPr>
          <w:rFonts w:hint="eastAsia" w:ascii="宋体" w:hAnsi="宋体" w:cs="宋体"/>
          <w:b/>
          <w:bCs/>
          <w:szCs w:val="21"/>
          <w:highlight w:val="none"/>
          <w:lang w:val="en-US" w:eastAsia="zh-CN" w:bidi="ar"/>
        </w:rPr>
        <w:t>说明：采购文件“第五章 采购需求”中加注“⊙” 代表核心产品。</w:t>
      </w:r>
    </w:p>
    <w:p w14:paraId="3547F281">
      <w:pPr>
        <w:ind w:firstLine="420" w:firstLineChars="200"/>
        <w:rPr>
          <w:rFonts w:hint="eastAsia" w:ascii="宋体" w:hAnsi="宋体" w:cs="宋体"/>
          <w:color w:val="000000" w:themeColor="text1"/>
          <w:kern w:val="0"/>
          <w:szCs w:val="21"/>
          <w14:textFill>
            <w14:solidFill>
              <w14:schemeClr w14:val="tx1"/>
            </w14:solidFill>
          </w14:textFill>
        </w:rPr>
      </w:pPr>
    </w:p>
    <w:p w14:paraId="1C37C5FC">
      <w:pPr>
        <w:ind w:firstLine="420" w:firstLineChars="200"/>
        <w:rPr>
          <w:rFonts w:hint="eastAsia" w:ascii="宋体" w:hAnsi="宋体" w:eastAsia="宋体" w:cs="宋体"/>
          <w:b/>
          <w:bCs/>
          <w:kern w:val="2"/>
          <w:sz w:val="21"/>
          <w:szCs w:val="21"/>
        </w:rPr>
      </w:pP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b/>
          <w:bCs/>
          <w:kern w:val="2"/>
          <w:sz w:val="21"/>
          <w:szCs w:val="21"/>
          <w:lang w:val="en-US" w:eastAsia="zh-CN" w:bidi="ar"/>
        </w:rPr>
        <w:t xml:space="preserve"> 评分标准：</w:t>
      </w:r>
    </w:p>
    <w:p w14:paraId="347413FE">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具体评分细则如下：</w:t>
      </w:r>
    </w:p>
    <w:p w14:paraId="4C8547C3">
      <w:pPr>
        <w:pStyle w:val="13"/>
        <w:ind w:left="0" w:leftChars="0" w:firstLine="0" w:firstLineChars="0"/>
        <w:jc w:val="left"/>
        <w:rPr>
          <w:rFonts w:hint="eastAsia" w:ascii="黑体" w:hAnsi="黑体" w:eastAsia="黑体" w:cs="黑体"/>
          <w:i w:val="0"/>
          <w:iCs w:val="0"/>
          <w:color w:val="FF0000"/>
          <w:sz w:val="28"/>
          <w:szCs w:val="28"/>
          <w:highlight w:val="yellow"/>
          <w:lang w:val="en-US" w:eastAsia="zh-CN"/>
        </w:rPr>
      </w:pPr>
      <w:r>
        <w:rPr>
          <w:rFonts w:hint="eastAsia" w:ascii="黑体" w:hAnsi="黑体" w:eastAsia="黑体" w:cs="黑体"/>
          <w:i w:val="0"/>
          <w:iCs w:val="0"/>
          <w:color w:val="FF0000"/>
          <w:sz w:val="28"/>
          <w:szCs w:val="28"/>
          <w:highlight w:val="yellow"/>
          <w:lang w:val="en-US" w:eastAsia="zh-CN"/>
        </w:rPr>
        <w:t>注：为方便电子评审，目录需关联至指定信息处，否则视同为未提供。</w:t>
      </w:r>
    </w:p>
    <w:tbl>
      <w:tblPr>
        <w:tblStyle w:val="23"/>
        <w:tblW w:w="8625" w:type="dxa"/>
        <w:tblInd w:w="61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5"/>
        <w:gridCol w:w="5240"/>
        <w:gridCol w:w="960"/>
        <w:gridCol w:w="960"/>
      </w:tblGrid>
      <w:tr w14:paraId="5CB9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BBE24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项目</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602AED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4"/>
                <w:szCs w:val="24"/>
                <w:lang w:eastAsia="zh-CN"/>
              </w:rPr>
            </w:pPr>
            <w:r>
              <w:rPr>
                <w:rFonts w:hint="eastAsia" w:ascii="微软雅黑" w:hAnsi="微软雅黑" w:eastAsia="微软雅黑" w:cs="微软雅黑"/>
                <w:color w:val="auto"/>
                <w:kern w:val="0"/>
                <w:sz w:val="24"/>
                <w:szCs w:val="24"/>
              </w:rPr>
              <w:t>评审</w:t>
            </w:r>
            <w:r>
              <w:rPr>
                <w:rFonts w:hint="eastAsia" w:ascii="微软雅黑" w:hAnsi="微软雅黑" w:eastAsia="微软雅黑" w:cs="微软雅黑"/>
                <w:color w:val="auto"/>
                <w:kern w:val="0"/>
                <w:sz w:val="24"/>
                <w:szCs w:val="24"/>
                <w:lang w:val="en-US" w:eastAsia="zh-CN"/>
              </w:rPr>
              <w:t>内容</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C0F38BD">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textAlignment w:val="auto"/>
              <w:rPr>
                <w:rFonts w:hint="eastAsia" w:ascii="微软雅黑" w:hAnsi="微软雅黑" w:eastAsia="微软雅黑" w:cs="微软雅黑"/>
                <w:color w:val="auto"/>
                <w:kern w:val="0"/>
                <w:sz w:val="24"/>
                <w:szCs w:val="24"/>
                <w:lang w:eastAsia="zh-CN"/>
              </w:rPr>
            </w:pPr>
            <w:r>
              <w:rPr>
                <w:rFonts w:hint="eastAsia" w:ascii="微软雅黑" w:hAnsi="微软雅黑" w:eastAsia="微软雅黑" w:cs="微软雅黑"/>
                <w:color w:val="auto"/>
                <w:kern w:val="0"/>
                <w:sz w:val="24"/>
                <w:szCs w:val="24"/>
                <w:lang w:eastAsia="zh-CN"/>
              </w:rPr>
              <w:t>分值</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5BD26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备注</w:t>
            </w:r>
          </w:p>
        </w:tc>
      </w:tr>
      <w:tr w14:paraId="5241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665" w:type="dxa"/>
            <w:gridSpan w:val="3"/>
            <w:tcBorders>
              <w:top w:val="single" w:color="auto" w:sz="4" w:space="0"/>
              <w:left w:val="single" w:color="auto" w:sz="4" w:space="0"/>
              <w:bottom w:val="single" w:color="auto" w:sz="4" w:space="0"/>
              <w:right w:val="single" w:color="auto" w:sz="4" w:space="0"/>
            </w:tcBorders>
            <w:noWrap w:val="0"/>
            <w:vAlign w:val="center"/>
          </w:tcPr>
          <w:p w14:paraId="7D41920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4"/>
                <w:szCs w:val="24"/>
              </w:rPr>
            </w:pPr>
            <w:r>
              <w:rPr>
                <w:rFonts w:hint="eastAsia" w:ascii="宋体" w:hAnsi="宋体" w:cs="Courier New"/>
                <w:b/>
                <w:color w:val="auto"/>
                <w:sz w:val="21"/>
                <w:szCs w:val="21"/>
                <w:highlight w:val="none"/>
              </w:rPr>
              <w:t>投标</w:t>
            </w:r>
            <w:r>
              <w:rPr>
                <w:rFonts w:hint="eastAsia" w:ascii="宋体" w:hAnsi="宋体" w:cs="Courier New"/>
                <w:b/>
                <w:color w:val="auto"/>
                <w:sz w:val="21"/>
                <w:szCs w:val="21"/>
                <w:highlight w:val="none"/>
                <w:lang w:eastAsia="zh-CN"/>
              </w:rPr>
              <w:t>报价</w:t>
            </w:r>
            <w:r>
              <w:rPr>
                <w:rFonts w:hint="eastAsia" w:ascii="宋体" w:hAnsi="宋体" w:cs="Courier New"/>
                <w:b/>
                <w:color w:val="auto"/>
                <w:sz w:val="21"/>
                <w:szCs w:val="21"/>
                <w:highlight w:val="none"/>
              </w:rPr>
              <w:t>评分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2D626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Courier New"/>
                <w:b/>
                <w:color w:val="auto"/>
                <w:sz w:val="21"/>
                <w:szCs w:val="21"/>
                <w:highlight w:val="none"/>
              </w:rPr>
            </w:pPr>
          </w:p>
        </w:tc>
      </w:tr>
      <w:tr w14:paraId="04785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7E019F1">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eastAsia="zh-CN"/>
              </w:rPr>
            </w:pPr>
            <w:r>
              <w:rPr>
                <w:rFonts w:hint="eastAsia" w:eastAsia="方正仿宋简体" w:cs="Times New Roman"/>
                <w:b/>
                <w:bCs/>
                <w:sz w:val="21"/>
                <w:szCs w:val="21"/>
                <w:lang w:eastAsia="zh-CN"/>
              </w:rPr>
              <w:t>报价</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2051DB27">
            <w:pPr>
              <w:keepNext w:val="0"/>
              <w:keepLines w:val="0"/>
              <w:widowControl/>
              <w:suppressLineNumbers w:val="0"/>
              <w:jc w:val="left"/>
              <w:textAlignment w:val="center"/>
              <w:rPr>
                <w:rFonts w:hint="default" w:ascii="Times New Roman" w:hAnsi="Times New Roman" w:eastAsia="方正仿宋简体" w:cs="Times New Roman"/>
                <w:sz w:val="21"/>
                <w:szCs w:val="21"/>
                <w:lang w:eastAsia="zh-CN"/>
              </w:rPr>
            </w:pPr>
            <w:r>
              <w:rPr>
                <w:rFonts w:hint="eastAsia" w:ascii="微软雅黑" w:hAnsi="微软雅黑" w:eastAsia="微软雅黑" w:cs="微软雅黑"/>
                <w:i w:val="0"/>
                <w:color w:val="000000"/>
                <w:kern w:val="0"/>
                <w:sz w:val="20"/>
                <w:szCs w:val="20"/>
                <w:u w:val="none"/>
                <w:lang w:val="en-US" w:eastAsia="zh-CN" w:bidi="ar"/>
              </w:rPr>
              <w:t>价格分采用低价优先法计算，即满足本招标文件要求的最低投标报价为评标基准价，其价格分为满分，其它投标人的价格分统一按照下列公式计算：投标报价得分=（评标基准价／投标报价）×价格分分值（精确到小数点后两位）。评标基准价：满足招标文件要求且财政政策扣除后最低的评审价确定为评标基准价；超过了采购项目预算或最高限价的，为无效投标。</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A80C8FF">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eastAsia="方正仿宋简体" w:cs="Times New Roman"/>
                <w:sz w:val="21"/>
                <w:szCs w:val="21"/>
                <w:lang w:val="en-US" w:eastAsia="zh-CN"/>
              </w:rPr>
              <w:t>30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9FBAF77">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p>
        </w:tc>
      </w:tr>
      <w:tr w14:paraId="6543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625" w:type="dxa"/>
            <w:gridSpan w:val="4"/>
            <w:tcBorders>
              <w:top w:val="single" w:color="auto" w:sz="4" w:space="0"/>
              <w:left w:val="single" w:color="auto" w:sz="4" w:space="0"/>
              <w:bottom w:val="single" w:color="auto" w:sz="4" w:space="0"/>
              <w:right w:val="single" w:color="auto" w:sz="4" w:space="0"/>
            </w:tcBorders>
            <w:noWrap w:val="0"/>
            <w:vAlign w:val="center"/>
          </w:tcPr>
          <w:p w14:paraId="12B970E8">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方正仿宋简体" w:cs="Times New Roman"/>
                <w:sz w:val="21"/>
                <w:szCs w:val="21"/>
                <w:lang w:val="en-US" w:eastAsia="zh-CN"/>
              </w:rPr>
            </w:pPr>
            <w:r>
              <w:rPr>
                <w:rFonts w:hint="eastAsia" w:ascii="宋体" w:hAnsi="宋体" w:eastAsia="宋体" w:cs="Courier New"/>
                <w:b/>
                <w:color w:val="auto"/>
                <w:sz w:val="21"/>
                <w:szCs w:val="21"/>
                <w:highlight w:val="none"/>
                <w:lang w:val="en-US" w:eastAsia="zh-CN"/>
              </w:rPr>
              <w:t>商务技术评分</w:t>
            </w:r>
          </w:p>
        </w:tc>
      </w:tr>
      <w:tr w14:paraId="268E2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6"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E49B981">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eastAsia="zh-CN"/>
              </w:rPr>
            </w:pPr>
            <w:r>
              <w:rPr>
                <w:rFonts w:hint="eastAsia" w:ascii="宋体" w:hAnsi="宋体" w:eastAsia="宋体" w:cs="宋体"/>
                <w:color w:val="auto"/>
                <w:kern w:val="0"/>
                <w:sz w:val="21"/>
                <w:szCs w:val="21"/>
                <w:lang w:val="zh-CN"/>
              </w:rPr>
              <w:t>技术要求响应情况</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67591B42">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投标供应商针对项目需求书进行逐条应答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除</w:t>
            </w:r>
            <w:r>
              <w:rPr>
                <w:rFonts w:hint="eastAsia" w:ascii="宋体" w:hAnsi="宋体" w:cs="宋体"/>
                <w:color w:val="auto"/>
                <w:sz w:val="21"/>
                <w:szCs w:val="21"/>
                <w:highlight w:val="none"/>
                <w:lang w:val="en-US" w:eastAsia="zh-CN"/>
              </w:rPr>
              <w:t>带有</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eastAsiaTheme="minorEastAsia"/>
                <w:sz w:val="21"/>
                <w:szCs w:val="21"/>
                <w:lang w:eastAsia="zh-CN"/>
              </w:rPr>
              <w:t>●参数项</w:t>
            </w:r>
            <w:r>
              <w:rPr>
                <w:rFonts w:hint="eastAsia" w:ascii="宋体" w:hAnsi="宋体" w:eastAsia="宋体" w:cs="宋体"/>
                <w:color w:val="auto"/>
                <w:sz w:val="21"/>
                <w:szCs w:val="21"/>
                <w:highlight w:val="none"/>
                <w:lang w:val="en-US" w:eastAsia="zh-CN"/>
              </w:rPr>
              <w:t>外）</w:t>
            </w:r>
            <w:r>
              <w:rPr>
                <w:rFonts w:hint="eastAsia" w:ascii="宋体" w:hAnsi="宋体" w:eastAsia="宋体" w:cs="宋体"/>
                <w:color w:val="auto"/>
                <w:sz w:val="21"/>
                <w:szCs w:val="21"/>
              </w:rPr>
              <w:t>，投标供应商</w:t>
            </w:r>
            <w:r>
              <w:rPr>
                <w:rFonts w:hint="eastAsia" w:ascii="宋体" w:hAnsi="宋体" w:cs="宋体"/>
                <w:color w:val="auto"/>
                <w:sz w:val="21"/>
                <w:szCs w:val="21"/>
                <w:lang w:eastAsia="zh-CN"/>
              </w:rPr>
              <w:t>所投</w:t>
            </w:r>
            <w:r>
              <w:rPr>
                <w:rFonts w:hint="eastAsia" w:ascii="宋体" w:hAnsi="宋体" w:eastAsia="宋体" w:cs="宋体"/>
                <w:color w:val="auto"/>
                <w:sz w:val="21"/>
                <w:szCs w:val="21"/>
              </w:rPr>
              <w:t>设备</w:t>
            </w:r>
            <w:r>
              <w:rPr>
                <w:rFonts w:hint="eastAsia" w:ascii="宋体" w:hAnsi="宋体" w:cs="宋体"/>
                <w:color w:val="auto"/>
                <w:sz w:val="21"/>
                <w:szCs w:val="21"/>
                <w:lang w:eastAsia="zh-CN"/>
              </w:rPr>
              <w:t>参数</w:t>
            </w:r>
            <w:r>
              <w:rPr>
                <w:rFonts w:hint="eastAsia" w:ascii="宋体" w:hAnsi="宋体" w:eastAsia="宋体" w:cs="宋体"/>
                <w:color w:val="auto"/>
                <w:sz w:val="21"/>
                <w:szCs w:val="21"/>
              </w:rPr>
              <w:t>满足招标文件项目需求书的</w:t>
            </w:r>
            <w:r>
              <w:rPr>
                <w:rFonts w:hint="eastAsia" w:ascii="宋体" w:hAnsi="宋体" w:eastAsia="宋体" w:cs="宋体"/>
                <w:color w:val="auto"/>
                <w:sz w:val="21"/>
                <w:szCs w:val="21"/>
                <w:lang w:val="en-US" w:eastAsia="zh-CN"/>
              </w:rPr>
              <w:t>一般</w:t>
            </w:r>
            <w:r>
              <w:rPr>
                <w:rFonts w:hint="eastAsia" w:ascii="宋体" w:hAnsi="宋体" w:eastAsia="宋体" w:cs="宋体"/>
                <w:color w:val="auto"/>
                <w:sz w:val="21"/>
                <w:szCs w:val="21"/>
              </w:rPr>
              <w:t>技术要求</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项</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16</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项</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得6分，</w:t>
            </w: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46</w:t>
            </w:r>
            <w:r>
              <w:rPr>
                <w:rFonts w:hint="eastAsia" w:ascii="宋体" w:hAnsi="宋体" w:eastAsia="宋体" w:cs="宋体"/>
                <w:color w:val="auto"/>
                <w:sz w:val="21"/>
                <w:szCs w:val="21"/>
                <w:lang w:val="en-US" w:eastAsia="zh-CN"/>
              </w:rPr>
              <w:t>项</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得9分；</w:t>
            </w:r>
          </w:p>
          <w:p w14:paraId="3E409270">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eastAsiaTheme="minorEastAsia"/>
                <w:sz w:val="21"/>
                <w:szCs w:val="21"/>
                <w:lang w:eastAsia="zh-CN"/>
              </w:rPr>
              <w:t>●</w:t>
            </w:r>
            <w:r>
              <w:rPr>
                <w:rFonts w:hint="eastAsia" w:ascii="宋体" w:hAnsi="宋体" w:eastAsia="宋体" w:cs="宋体"/>
                <w:color w:val="auto"/>
                <w:sz w:val="21"/>
                <w:szCs w:val="21"/>
              </w:rPr>
              <w:t>项每有一项满足</w:t>
            </w:r>
            <w:r>
              <w:rPr>
                <w:rFonts w:hint="eastAsia" w:ascii="宋体" w:hAnsi="宋体" w:eastAsia="宋体" w:cs="宋体"/>
                <w:color w:val="auto"/>
                <w:sz w:val="21"/>
                <w:szCs w:val="21"/>
                <w:lang w:val="en-US" w:eastAsia="zh-CN"/>
              </w:rPr>
              <w:t>加1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最多得7分</w:t>
            </w:r>
            <w:r>
              <w:rPr>
                <w:rFonts w:hint="eastAsia" w:ascii="宋体" w:hAnsi="宋体" w:eastAsia="宋体" w:cs="宋体"/>
                <w:color w:val="auto"/>
                <w:sz w:val="21"/>
                <w:szCs w:val="21"/>
                <w:lang w:eastAsia="zh-CN"/>
              </w:rPr>
              <w:t>。</w:t>
            </w:r>
          </w:p>
          <w:p w14:paraId="4097967D">
            <w:pPr>
              <w:pStyle w:val="16"/>
              <w:rPr>
                <w:rFonts w:hint="default"/>
                <w:lang w:val="en-US" w:eastAsia="zh-CN"/>
              </w:rPr>
            </w:pPr>
            <w:r>
              <w:rPr>
                <w:rFonts w:hint="eastAsia" w:ascii="宋体" w:hAnsi="宋体" w:cs="宋体"/>
                <w:b/>
                <w:bCs/>
                <w:color w:val="auto"/>
                <w:sz w:val="21"/>
                <w:szCs w:val="21"/>
                <w:lang w:eastAsia="zh-CN"/>
              </w:rPr>
              <w:t>（</w:t>
            </w:r>
            <w:r>
              <w:rPr>
                <w:rFonts w:hint="eastAsia" w:ascii="宋体" w:hAnsi="宋体" w:cs="宋体"/>
                <w:b/>
                <w:bCs/>
                <w:color w:val="auto"/>
                <w:kern w:val="0"/>
                <w:sz w:val="21"/>
                <w:szCs w:val="21"/>
                <w:lang w:val="en-US" w:eastAsia="zh-CN"/>
              </w:rPr>
              <w:t>以上两项需要按采购需求中相应项需要的资料要求提供相应的资料原件扫描件或加盖投标企业公章的复印件</w:t>
            </w:r>
            <w:r>
              <w:rPr>
                <w:rFonts w:hint="eastAsia" w:ascii="宋体" w:hAnsi="宋体" w:cs="宋体"/>
                <w:b/>
                <w:bCs/>
                <w:color w:val="auto"/>
                <w:sz w:val="21"/>
                <w:szCs w:val="21"/>
                <w:lang w:eastAsia="zh-C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AC3FF5C">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val="zh-CN"/>
              </w:rPr>
              <w:t>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257022D">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客观分</w:t>
            </w:r>
          </w:p>
        </w:tc>
      </w:tr>
      <w:tr w14:paraId="337E5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8E82706">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lang w:val="en-US" w:eastAsia="zh-CN"/>
              </w:rPr>
              <w:t>企业实力</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7BE99D23">
            <w:pPr>
              <w:adjustRightInd w:val="0"/>
              <w:snapToGrid w:val="0"/>
              <w:spacing w:line="36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根据拟投设备的核心</w:t>
            </w:r>
            <w:r>
              <w:rPr>
                <w:rFonts w:hint="eastAsia" w:ascii="宋体" w:hAnsi="宋体" w:eastAsia="宋体" w:cs="宋体"/>
                <w:color w:val="auto"/>
                <w:kern w:val="0"/>
                <w:sz w:val="21"/>
                <w:szCs w:val="21"/>
                <w:lang w:val="en-US" w:eastAsia="zh-CN"/>
              </w:rPr>
              <w:t>软件</w:t>
            </w:r>
            <w:r>
              <w:rPr>
                <w:rFonts w:hint="eastAsia" w:ascii="宋体" w:hAnsi="宋体" w:eastAsia="宋体" w:cs="宋体"/>
                <w:color w:val="auto"/>
                <w:kern w:val="0"/>
                <w:sz w:val="21"/>
                <w:szCs w:val="21"/>
              </w:rPr>
              <w:t>或</w:t>
            </w:r>
            <w:r>
              <w:rPr>
                <w:rFonts w:hint="eastAsia" w:ascii="宋体" w:hAnsi="宋体" w:eastAsia="宋体" w:cs="宋体"/>
                <w:color w:val="auto"/>
                <w:kern w:val="0"/>
                <w:sz w:val="21"/>
                <w:szCs w:val="21"/>
                <w:lang w:val="en-US" w:eastAsia="zh-CN"/>
              </w:rPr>
              <w:t>核心硬件</w:t>
            </w:r>
            <w:r>
              <w:rPr>
                <w:rFonts w:hint="eastAsia" w:ascii="宋体" w:hAnsi="宋体" w:eastAsia="宋体" w:cs="宋体"/>
                <w:color w:val="auto"/>
                <w:kern w:val="0"/>
                <w:sz w:val="21"/>
                <w:szCs w:val="21"/>
                <w:lang w:val="zh-CN"/>
              </w:rPr>
              <w:t>所获国家发明专利的数量，每提供1个发明专利证书</w:t>
            </w:r>
            <w:r>
              <w:rPr>
                <w:rFonts w:hint="eastAsia" w:ascii="宋体" w:hAnsi="宋体" w:cs="宋体"/>
                <w:color w:val="auto"/>
                <w:kern w:val="0"/>
                <w:sz w:val="21"/>
                <w:szCs w:val="21"/>
                <w:lang w:val="zh-CN"/>
              </w:rPr>
              <w:t>的</w:t>
            </w:r>
            <w:r>
              <w:rPr>
                <w:rFonts w:hint="eastAsia" w:ascii="宋体" w:hAnsi="宋体" w:eastAsia="宋体" w:cs="宋体"/>
                <w:color w:val="auto"/>
                <w:kern w:val="0"/>
                <w:sz w:val="21"/>
                <w:szCs w:val="21"/>
                <w:lang w:val="zh-CN"/>
              </w:rPr>
              <w:t>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lang w:val="zh-CN"/>
              </w:rPr>
              <w:t>分。</w:t>
            </w:r>
            <w:r>
              <w:rPr>
                <w:rFonts w:hint="eastAsia" w:ascii="宋体" w:hAnsi="宋体" w:eastAsia="宋体" w:cs="宋体"/>
                <w:color w:val="auto"/>
                <w:kern w:val="0"/>
                <w:sz w:val="21"/>
                <w:szCs w:val="21"/>
                <w:lang w:val="en-US" w:eastAsia="zh-CN"/>
              </w:rPr>
              <w:t>本项</w:t>
            </w:r>
            <w:r>
              <w:rPr>
                <w:rFonts w:hint="eastAsia" w:ascii="宋体" w:hAnsi="宋体" w:eastAsia="宋体" w:cs="宋体"/>
                <w:color w:val="auto"/>
                <w:kern w:val="0"/>
                <w:sz w:val="21"/>
                <w:szCs w:val="21"/>
                <w:lang w:val="zh-CN"/>
              </w:rPr>
              <w:t>最多得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rPr>
              <w:t>分</w:t>
            </w:r>
            <w:r>
              <w:rPr>
                <w:rFonts w:hint="eastAsia" w:ascii="宋体" w:hAnsi="宋体" w:eastAsia="宋体" w:cs="宋体"/>
                <w:color w:val="auto"/>
                <w:kern w:val="0"/>
                <w:sz w:val="21"/>
                <w:szCs w:val="21"/>
                <w:lang w:val="en-US" w:eastAsia="zh-CN"/>
              </w:rPr>
              <w:t>;</w:t>
            </w:r>
          </w:p>
          <w:p w14:paraId="52F07712">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2、根据</w:t>
            </w:r>
            <w:r>
              <w:rPr>
                <w:rFonts w:hint="eastAsia" w:ascii="宋体" w:hAnsi="宋体" w:eastAsia="宋体" w:cs="宋体"/>
                <w:color w:val="auto"/>
                <w:kern w:val="0"/>
                <w:sz w:val="21"/>
                <w:szCs w:val="21"/>
                <w:lang w:val="zh-CN"/>
              </w:rPr>
              <w:t>拟投设备的核心</w:t>
            </w:r>
            <w:r>
              <w:rPr>
                <w:rFonts w:hint="eastAsia" w:ascii="宋体" w:hAnsi="宋体" w:eastAsia="宋体" w:cs="宋体"/>
                <w:color w:val="auto"/>
                <w:kern w:val="0"/>
                <w:sz w:val="21"/>
                <w:szCs w:val="21"/>
                <w:lang w:val="en-US" w:eastAsia="zh-CN"/>
              </w:rPr>
              <w:t>软件</w:t>
            </w:r>
            <w:r>
              <w:rPr>
                <w:rFonts w:hint="eastAsia" w:ascii="宋体" w:hAnsi="宋体" w:eastAsia="宋体" w:cs="宋体"/>
                <w:color w:val="auto"/>
                <w:kern w:val="0"/>
                <w:sz w:val="21"/>
                <w:szCs w:val="21"/>
              </w:rPr>
              <w:t>或</w:t>
            </w:r>
            <w:r>
              <w:rPr>
                <w:rFonts w:hint="eastAsia" w:ascii="宋体" w:hAnsi="宋体" w:eastAsia="宋体" w:cs="宋体"/>
                <w:color w:val="auto"/>
                <w:kern w:val="0"/>
                <w:sz w:val="21"/>
                <w:szCs w:val="21"/>
                <w:lang w:val="en-US" w:eastAsia="zh-CN"/>
              </w:rPr>
              <w:t>核心硬件</w:t>
            </w:r>
            <w:r>
              <w:rPr>
                <w:rFonts w:hint="eastAsia" w:ascii="宋体" w:hAnsi="宋体" w:eastAsia="宋体" w:cs="宋体"/>
                <w:color w:val="auto"/>
                <w:kern w:val="0"/>
                <w:sz w:val="21"/>
                <w:szCs w:val="21"/>
                <w:lang w:val="zh-CN"/>
              </w:rPr>
              <w:t>所获国家</w:t>
            </w:r>
            <w:r>
              <w:rPr>
                <w:rFonts w:hint="eastAsia" w:ascii="宋体" w:hAnsi="宋体" w:eastAsia="宋体" w:cs="宋体"/>
                <w:color w:val="auto"/>
                <w:kern w:val="0"/>
                <w:sz w:val="21"/>
                <w:szCs w:val="21"/>
                <w:lang w:val="en-US" w:eastAsia="zh-CN"/>
              </w:rPr>
              <w:t>级奖项得1分，省级奖项得0.5分，其他不得分。本项最多得1分。</w:t>
            </w:r>
          </w:p>
          <w:p w14:paraId="169081C3">
            <w:pPr>
              <w:pStyle w:val="16"/>
              <w:rPr>
                <w:rFonts w:hint="default"/>
                <w:lang w:eastAsia="zh-CN"/>
              </w:rPr>
            </w:pPr>
            <w:r>
              <w:rPr>
                <w:rFonts w:hint="eastAsia" w:ascii="宋体" w:hAnsi="宋体" w:cs="宋体"/>
                <w:color w:val="auto"/>
                <w:kern w:val="0"/>
                <w:sz w:val="21"/>
                <w:szCs w:val="21"/>
                <w:lang w:val="en-US" w:eastAsia="zh-CN"/>
              </w:rPr>
              <w:t>（以上两项需要提供相应证书的原件扫描件或加盖投标企业公章的复印件）</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110699D">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val="zh-CN"/>
              </w:rPr>
              <w:t>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86FA144">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客观分</w:t>
            </w:r>
          </w:p>
        </w:tc>
      </w:tr>
      <w:tr w14:paraId="408C2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148B053">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rPr>
              <w:t>设备入网方案</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050C24C7">
            <w:p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拟投组合移动式集装箱/车辆检查系统须按照《海关机检设备入网指导意见》要求，接入中国海关业务管理网，进行查验信息传输，需提供接入海关业务管理网详细方案，内容包括</w:t>
            </w:r>
            <w:r>
              <w:rPr>
                <w:rFonts w:hint="eastAsia" w:ascii="宋体" w:hAnsi="宋体" w:eastAsia="宋体" w:cs="宋体"/>
                <w:color w:val="auto"/>
                <w:sz w:val="21"/>
                <w:szCs w:val="21"/>
                <w:lang w:val="en-US" w:eastAsia="zh-CN"/>
              </w:rPr>
              <w:t>但不限于</w:t>
            </w:r>
            <w:r>
              <w:rPr>
                <w:rFonts w:hint="eastAsia" w:ascii="宋体" w:hAnsi="宋体" w:eastAsia="宋体" w:cs="宋体"/>
                <w:color w:val="auto"/>
                <w:sz w:val="21"/>
                <w:szCs w:val="21"/>
              </w:rPr>
              <w:t>入网技术方案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入网实施方案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业务流程</w:t>
            </w:r>
            <w:r>
              <w:rPr>
                <w:rFonts w:hint="eastAsia" w:ascii="宋体" w:hAnsi="宋体" w:eastAsia="宋体" w:cs="宋体"/>
                <w:color w:val="auto"/>
                <w:sz w:val="21"/>
                <w:szCs w:val="21"/>
                <w:lang w:val="en-US" w:eastAsia="zh-CN"/>
              </w:rPr>
              <w:t>分析</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p w14:paraId="1C416852">
            <w:pPr>
              <w:numPr>
                <w:ilvl w:val="0"/>
                <w:numId w:val="6"/>
              </w:numPr>
              <w:adjustRightInd w:val="0"/>
              <w:snapToGrid w:val="0"/>
              <w:spacing w:line="360" w:lineRule="auto"/>
              <w:ind w:left="420" w:leftChars="0" w:hanging="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入网</w:t>
            </w:r>
            <w:r>
              <w:rPr>
                <w:rFonts w:hint="eastAsia" w:ascii="宋体" w:hAnsi="宋体" w:eastAsia="宋体" w:cs="宋体"/>
                <w:color w:val="auto"/>
                <w:sz w:val="21"/>
                <w:szCs w:val="21"/>
                <w:lang w:eastAsia="zh-CN"/>
              </w:rPr>
              <w:t>技术方案，</w:t>
            </w:r>
            <w:r>
              <w:rPr>
                <w:rFonts w:hint="eastAsia" w:ascii="宋体" w:hAnsi="宋体" w:eastAsia="宋体" w:cs="宋体"/>
                <w:color w:val="auto"/>
                <w:sz w:val="21"/>
                <w:szCs w:val="21"/>
                <w:lang w:val="en-US" w:eastAsia="zh-CN"/>
              </w:rPr>
              <w:t>为了确保海关业务的</w:t>
            </w:r>
            <w:r>
              <w:rPr>
                <w:rFonts w:hint="eastAsia" w:ascii="宋体" w:hAnsi="宋体" w:eastAsia="宋体" w:cs="宋体"/>
                <w:color w:val="auto"/>
                <w:sz w:val="21"/>
                <w:szCs w:val="21"/>
                <w:lang w:eastAsia="zh-CN"/>
              </w:rPr>
              <w:t>标准化接入流程、保障网络安全、优化资源分配并实现</w:t>
            </w:r>
            <w:r>
              <w:rPr>
                <w:rFonts w:hint="eastAsia" w:ascii="宋体" w:hAnsi="宋体" w:eastAsia="宋体" w:cs="宋体"/>
                <w:color w:val="auto"/>
                <w:sz w:val="21"/>
                <w:szCs w:val="21"/>
                <w:lang w:val="en-US" w:eastAsia="zh-CN"/>
              </w:rPr>
              <w:t>设备正常接入中国海关业务管理网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制定</w:t>
            </w:r>
            <w:r>
              <w:rPr>
                <w:rFonts w:hint="eastAsia" w:ascii="宋体" w:hAnsi="宋体" w:eastAsia="宋体" w:cs="宋体"/>
                <w:color w:val="auto"/>
                <w:sz w:val="21"/>
                <w:szCs w:val="21"/>
                <w:lang w:eastAsia="zh-CN"/>
              </w:rPr>
              <w:t>设备接</w:t>
            </w:r>
            <w:r>
              <w:rPr>
                <w:rFonts w:hint="eastAsia" w:ascii="宋体" w:hAnsi="宋体" w:eastAsia="宋体" w:cs="宋体"/>
                <w:color w:val="auto"/>
                <w:sz w:val="21"/>
                <w:szCs w:val="21"/>
                <w:lang w:val="en-US" w:eastAsia="zh-CN"/>
              </w:rPr>
              <w:t>入海关管理</w:t>
            </w:r>
            <w:r>
              <w:rPr>
                <w:rFonts w:hint="eastAsia" w:ascii="宋体" w:hAnsi="宋体" w:eastAsia="宋体" w:cs="宋体"/>
                <w:color w:val="auto"/>
                <w:sz w:val="21"/>
                <w:szCs w:val="21"/>
                <w:lang w:eastAsia="zh-CN"/>
              </w:rPr>
              <w:t>网</w:t>
            </w:r>
            <w:r>
              <w:rPr>
                <w:rFonts w:hint="eastAsia" w:ascii="宋体" w:hAnsi="宋体" w:eastAsia="宋体" w:cs="宋体"/>
                <w:color w:val="auto"/>
                <w:sz w:val="21"/>
                <w:szCs w:val="21"/>
                <w:lang w:val="en-US" w:eastAsia="zh-CN"/>
              </w:rPr>
              <w:t>的技术方案</w:t>
            </w:r>
            <w:r>
              <w:rPr>
                <w:rFonts w:hint="eastAsia" w:ascii="宋体" w:hAnsi="宋体" w:eastAsia="宋体" w:cs="宋体"/>
                <w:color w:val="auto"/>
                <w:sz w:val="21"/>
                <w:szCs w:val="21"/>
                <w:lang w:eastAsia="zh-CN"/>
              </w:rPr>
              <w:t>。</w:t>
            </w:r>
          </w:p>
          <w:p w14:paraId="7609291E">
            <w:pPr>
              <w:numPr>
                <w:ilvl w:val="0"/>
                <w:numId w:val="6"/>
              </w:numPr>
              <w:adjustRightInd w:val="0"/>
              <w:snapToGrid w:val="0"/>
              <w:spacing w:line="360" w:lineRule="auto"/>
              <w:ind w:left="420" w:leftChars="0" w:hanging="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入网</w:t>
            </w:r>
            <w:r>
              <w:rPr>
                <w:rFonts w:hint="eastAsia" w:ascii="宋体" w:hAnsi="宋体" w:eastAsia="宋体" w:cs="宋体"/>
                <w:color w:val="auto"/>
                <w:sz w:val="21"/>
                <w:szCs w:val="21"/>
                <w:lang w:eastAsia="zh-CN"/>
              </w:rPr>
              <w:t>实施方案，具体</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lang w:eastAsia="zh-CN"/>
              </w:rPr>
              <w:t>入网技术方案，确保设备安全、高效地接入</w:t>
            </w:r>
            <w:r>
              <w:rPr>
                <w:rFonts w:hint="eastAsia" w:ascii="宋体" w:hAnsi="宋体" w:eastAsia="宋体" w:cs="宋体"/>
                <w:color w:val="auto"/>
                <w:sz w:val="21"/>
                <w:szCs w:val="21"/>
                <w:lang w:val="en-US" w:eastAsia="zh-CN"/>
              </w:rPr>
              <w:t>中国海关业务管理网</w:t>
            </w:r>
            <w:r>
              <w:rPr>
                <w:rFonts w:hint="eastAsia" w:ascii="宋体" w:hAnsi="宋体" w:eastAsia="宋体" w:cs="宋体"/>
                <w:color w:val="auto"/>
                <w:sz w:val="21"/>
                <w:szCs w:val="21"/>
                <w:lang w:eastAsia="zh-CN"/>
              </w:rPr>
              <w:t>。涵盖全周期各个阶段的实施内容以及接入网络应急措施。</w:t>
            </w:r>
          </w:p>
          <w:p w14:paraId="73510A0C">
            <w:pPr>
              <w:numPr>
                <w:ilvl w:val="0"/>
                <w:numId w:val="6"/>
              </w:numPr>
              <w:adjustRightInd w:val="0"/>
              <w:snapToGrid w:val="0"/>
              <w:spacing w:line="360" w:lineRule="auto"/>
              <w:ind w:left="420" w:leftChars="0" w:hanging="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业务流程</w:t>
            </w:r>
            <w:r>
              <w:rPr>
                <w:rFonts w:hint="eastAsia" w:ascii="宋体" w:hAnsi="宋体" w:eastAsia="宋体" w:cs="宋体"/>
                <w:color w:val="auto"/>
                <w:sz w:val="21"/>
                <w:szCs w:val="21"/>
                <w:lang w:val="en-US" w:eastAsia="zh-CN"/>
              </w:rPr>
              <w:t>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结合海关相关业务流程</w:t>
            </w:r>
            <w:r>
              <w:rPr>
                <w:rFonts w:hint="eastAsia" w:ascii="宋体" w:hAnsi="宋体" w:eastAsia="宋体" w:cs="宋体"/>
                <w:color w:val="auto"/>
                <w:sz w:val="21"/>
                <w:szCs w:val="21"/>
                <w:lang w:eastAsia="zh-CN"/>
              </w:rPr>
              <w:t>，通过明确流程层级、接口关系</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保障业务流程顺畅</w:t>
            </w:r>
            <w:r>
              <w:rPr>
                <w:rFonts w:hint="eastAsia" w:ascii="宋体" w:hAnsi="宋体" w:eastAsia="宋体" w:cs="宋体"/>
                <w:color w:val="auto"/>
                <w:sz w:val="21"/>
                <w:szCs w:val="21"/>
                <w:lang w:eastAsia="zh-CN"/>
              </w:rPr>
              <w:t>高效</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lang w:eastAsia="zh-CN"/>
              </w:rPr>
              <w:t>。</w:t>
            </w:r>
          </w:p>
          <w:p w14:paraId="7250650A">
            <w:pPr>
              <w:numPr>
                <w:ilvl w:val="0"/>
                <w:numId w:val="6"/>
              </w:numPr>
              <w:adjustRightInd w:val="0"/>
              <w:snapToGrid w:val="0"/>
              <w:spacing w:line="360" w:lineRule="auto"/>
              <w:ind w:left="420" w:leftChars="0" w:hanging="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设备接入业务管理网实际应用，</w:t>
            </w:r>
            <w:r>
              <w:rPr>
                <w:rFonts w:hint="eastAsia" w:ascii="宋体" w:hAnsi="宋体" w:eastAsia="宋体" w:cs="宋体"/>
                <w:color w:val="auto"/>
                <w:sz w:val="21"/>
                <w:szCs w:val="21"/>
                <w:lang w:val="en-US" w:eastAsia="zh-CN"/>
              </w:rPr>
              <w:t>列举应用实例。</w:t>
            </w:r>
          </w:p>
          <w:p w14:paraId="11FB995E">
            <w:pPr>
              <w:numPr>
                <w:ilvl w:val="0"/>
                <w:numId w:val="7"/>
              </w:num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rPr>
              <w:t>满足</w:t>
            </w:r>
            <w:r>
              <w:rPr>
                <w:rFonts w:hint="eastAsia" w:ascii="宋体" w:hAnsi="宋体" w:eastAsia="宋体" w:cs="宋体"/>
                <w:color w:val="auto"/>
                <w:sz w:val="21"/>
                <w:szCs w:val="21"/>
              </w:rPr>
              <w:t>接入海关业务管理网</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内容</w:t>
            </w:r>
            <w:r>
              <w:rPr>
                <w:rFonts w:hint="eastAsia" w:ascii="宋体" w:hAnsi="宋体" w:cs="宋体"/>
                <w:b w:val="0"/>
                <w:bCs/>
                <w:color w:val="auto"/>
                <w:sz w:val="21"/>
                <w:szCs w:val="21"/>
                <w:highlight w:val="none"/>
                <w:lang w:val="en-US" w:eastAsia="zh-CN"/>
              </w:rPr>
              <w:t>涵盖上述几点，描述贴合设备入网</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逻辑准确，前后没有矛盾，</w:t>
            </w:r>
            <w:r>
              <w:rPr>
                <w:rFonts w:hint="eastAsia" w:ascii="宋体" w:hAnsi="宋体" w:eastAsia="宋体" w:cs="宋体"/>
                <w:color w:val="auto"/>
                <w:sz w:val="21"/>
                <w:szCs w:val="21"/>
              </w:rPr>
              <w:t>得4分；</w:t>
            </w:r>
          </w:p>
          <w:p w14:paraId="71F4C6B8">
            <w:pPr>
              <w:numPr>
                <w:ilvl w:val="0"/>
                <w:numId w:val="7"/>
              </w:numPr>
              <w:adjustRightInd w:val="0"/>
              <w:snapToGrid w:val="0"/>
              <w:spacing w:line="360" w:lineRule="auto"/>
              <w:rPr>
                <w:rFonts w:hint="eastAsia" w:ascii="宋体" w:hAnsi="宋体" w:eastAsia="宋体" w:cs="宋体"/>
                <w:color w:val="auto"/>
                <w:kern w:val="0"/>
                <w:sz w:val="21"/>
                <w:szCs w:val="21"/>
              </w:rPr>
            </w:pPr>
            <w:r>
              <w:rPr>
                <w:rFonts w:hint="eastAsia" w:ascii="宋体" w:hAnsi="宋体" w:eastAsia="宋体" w:cs="宋体"/>
                <w:b w:val="0"/>
                <w:bCs/>
                <w:color w:val="auto"/>
                <w:sz w:val="21"/>
                <w:szCs w:val="21"/>
                <w:lang w:val="en-US" w:eastAsia="zh-CN"/>
              </w:rPr>
              <w:t>满足</w:t>
            </w:r>
            <w:r>
              <w:rPr>
                <w:rFonts w:hint="eastAsia" w:ascii="宋体" w:hAnsi="宋体" w:eastAsia="宋体" w:cs="宋体"/>
                <w:color w:val="auto"/>
                <w:sz w:val="21"/>
                <w:szCs w:val="21"/>
              </w:rPr>
              <w:t>接入海关业务管理网</w:t>
            </w:r>
            <w:r>
              <w:rPr>
                <w:rFonts w:hint="eastAsia" w:ascii="宋体" w:hAnsi="宋体" w:eastAsia="宋体" w:cs="宋体"/>
                <w:color w:val="auto"/>
                <w:sz w:val="21"/>
                <w:szCs w:val="21"/>
                <w:lang w:val="en-US" w:eastAsia="zh-CN"/>
              </w:rPr>
              <w:t>要求</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kern w:val="0"/>
                <w:sz w:val="21"/>
                <w:szCs w:val="21"/>
              </w:rPr>
              <w:t>但内容存在1处瑕疵的</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41FC5DAE">
            <w:pPr>
              <w:numPr>
                <w:ilvl w:val="0"/>
                <w:numId w:val="7"/>
              </w:numPr>
              <w:adjustRightInd w:val="0"/>
              <w:snapToGrid w:val="0"/>
              <w:spacing w:line="360" w:lineRule="auto"/>
              <w:rPr>
                <w:rFonts w:hint="eastAsia" w:ascii="宋体" w:hAnsi="宋体" w:eastAsia="宋体" w:cs="宋体"/>
                <w:color w:val="auto"/>
                <w:kern w:val="0"/>
                <w:sz w:val="21"/>
                <w:szCs w:val="21"/>
              </w:rPr>
            </w:pPr>
            <w:r>
              <w:rPr>
                <w:rFonts w:hint="eastAsia" w:ascii="宋体" w:hAnsi="宋体" w:eastAsia="宋体" w:cs="宋体"/>
                <w:b w:val="0"/>
                <w:bCs/>
                <w:color w:val="auto"/>
                <w:sz w:val="21"/>
                <w:szCs w:val="21"/>
                <w:lang w:val="en-US" w:eastAsia="zh-CN"/>
              </w:rPr>
              <w:t>满足</w:t>
            </w:r>
            <w:r>
              <w:rPr>
                <w:rFonts w:hint="eastAsia" w:ascii="宋体" w:hAnsi="宋体" w:eastAsia="宋体" w:cs="宋体"/>
                <w:color w:val="auto"/>
                <w:sz w:val="21"/>
                <w:szCs w:val="21"/>
              </w:rPr>
              <w:t>接入海关业务管理网</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但内容存在2处瑕疵的</w:t>
            </w:r>
            <w:r>
              <w:rPr>
                <w:rFonts w:hint="eastAsia" w:ascii="宋体" w:hAnsi="宋体" w:eastAsia="宋体" w:cs="宋体"/>
                <w:b w:val="0"/>
                <w:bCs/>
                <w:color w:val="auto"/>
                <w:sz w:val="21"/>
                <w:szCs w:val="21"/>
                <w:lang w:val="en-US" w:eastAsia="zh-CN"/>
              </w:rPr>
              <w:t>，得1分。</w:t>
            </w:r>
          </w:p>
          <w:p w14:paraId="4B11218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其他情况，得0分。</w:t>
            </w:r>
          </w:p>
          <w:p w14:paraId="24D07C70">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方正仿宋简体" w:cs="Times New Roman"/>
                <w:b w:val="0"/>
                <w:bCs w:val="0"/>
                <w:color w:val="000000"/>
                <w:sz w:val="21"/>
                <w:szCs w:val="21"/>
                <w:lang w:val="en-US" w:eastAsia="zh-CN"/>
              </w:rPr>
            </w:pPr>
            <w:r>
              <w:rPr>
                <w:rFonts w:hint="eastAsia" w:ascii="宋体" w:hAnsi="宋体" w:eastAsia="宋体" w:cs="宋体"/>
                <w:b/>
                <w:bCs/>
                <w:color w:val="auto"/>
                <w:kern w:val="0"/>
                <w:sz w:val="21"/>
                <w:szCs w:val="21"/>
              </w:rPr>
              <w:t>注：瑕疵是指有缺漏项或</w:t>
            </w:r>
            <w:r>
              <w:rPr>
                <w:rFonts w:hint="eastAsia" w:ascii="宋体" w:hAnsi="宋体" w:eastAsia="宋体" w:cs="宋体"/>
                <w:b/>
                <w:bCs/>
                <w:color w:val="auto"/>
                <w:kern w:val="0"/>
                <w:sz w:val="21"/>
                <w:szCs w:val="21"/>
                <w:lang w:val="en-US" w:eastAsia="zh-CN"/>
              </w:rPr>
              <w:t>语言文字不通畅</w:t>
            </w:r>
            <w:r>
              <w:rPr>
                <w:rFonts w:hint="eastAsia" w:ascii="宋体" w:hAnsi="宋体" w:eastAsia="宋体" w:cs="宋体"/>
                <w:b/>
                <w:bCs/>
                <w:color w:val="auto"/>
                <w:kern w:val="0"/>
                <w:sz w:val="21"/>
                <w:szCs w:val="21"/>
              </w:rPr>
              <w:t>、方案</w:t>
            </w:r>
            <w:r>
              <w:rPr>
                <w:rFonts w:hint="eastAsia" w:ascii="宋体" w:hAnsi="宋体" w:eastAsia="宋体" w:cs="宋体"/>
                <w:b/>
                <w:bCs/>
                <w:color w:val="auto"/>
                <w:kern w:val="0"/>
                <w:sz w:val="21"/>
                <w:szCs w:val="21"/>
                <w:lang w:val="en-US" w:eastAsia="zh-CN"/>
              </w:rPr>
              <w:t>逻辑</w:t>
            </w:r>
            <w:r>
              <w:rPr>
                <w:rFonts w:hint="eastAsia" w:ascii="宋体" w:hAnsi="宋体" w:cs="宋体"/>
                <w:b/>
                <w:bCs/>
                <w:color w:val="auto"/>
                <w:kern w:val="0"/>
                <w:sz w:val="21"/>
                <w:szCs w:val="21"/>
                <w:lang w:val="en-US" w:eastAsia="zh-CN"/>
              </w:rPr>
              <w:t>前后矛盾</w:t>
            </w:r>
            <w:r>
              <w:rPr>
                <w:rFonts w:hint="eastAsia" w:ascii="宋体" w:hAnsi="宋体" w:eastAsia="宋体" w:cs="宋体"/>
                <w:b/>
                <w:bCs/>
                <w:color w:val="auto"/>
                <w:kern w:val="0"/>
                <w:sz w:val="21"/>
                <w:szCs w:val="21"/>
              </w:rPr>
              <w:t>、方案内容不</w:t>
            </w:r>
            <w:r>
              <w:rPr>
                <w:rFonts w:hint="eastAsia" w:ascii="宋体" w:hAnsi="宋体" w:eastAsia="宋体" w:cs="宋体"/>
                <w:b/>
                <w:bCs/>
                <w:color w:val="auto"/>
                <w:kern w:val="0"/>
                <w:sz w:val="21"/>
                <w:szCs w:val="21"/>
                <w:lang w:val="en-US" w:eastAsia="zh-CN"/>
              </w:rPr>
              <w:t>完善</w:t>
            </w:r>
            <w:r>
              <w:rPr>
                <w:rFonts w:hint="eastAsia" w:ascii="宋体" w:hAnsi="宋体" w:eastAsia="宋体" w:cs="宋体"/>
                <w:b/>
                <w:bCs/>
                <w:color w:val="auto"/>
                <w:kern w:val="0"/>
                <w:sz w:val="21"/>
                <w:szCs w:val="21"/>
              </w:rPr>
              <w:t>等。</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2B99B04">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rPr>
              <w:t>4分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BB44B85">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主观分</w:t>
            </w:r>
          </w:p>
        </w:tc>
      </w:tr>
      <w:tr w14:paraId="0A3C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1A30F74">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rPr>
              <w:t>集中审像接入</w:t>
            </w:r>
            <w:r>
              <w:rPr>
                <w:rFonts w:hint="eastAsia" w:ascii="宋体" w:hAnsi="宋体" w:eastAsia="宋体" w:cs="宋体"/>
                <w:color w:val="auto"/>
                <w:kern w:val="0"/>
                <w:sz w:val="21"/>
                <w:szCs w:val="21"/>
                <w:lang w:val="en-US" w:eastAsia="zh-CN"/>
              </w:rPr>
              <w:t>方案</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1A25F0FB">
            <w:pPr>
              <w:numPr>
                <w:ilvl w:val="0"/>
                <w:numId w:val="0"/>
              </w:num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拟投组合移动式集装箱/车辆检查系统需能接入中国海关大型集装箱/车辆检查设备联网集中图像分析系统并实现集中审像作业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方案内容包括</w:t>
            </w:r>
            <w:r>
              <w:rPr>
                <w:rFonts w:hint="eastAsia" w:ascii="宋体" w:hAnsi="宋体" w:eastAsia="宋体" w:cs="宋体"/>
                <w:color w:val="auto"/>
                <w:sz w:val="21"/>
                <w:szCs w:val="21"/>
                <w:lang w:val="en-US" w:eastAsia="zh-CN"/>
              </w:rPr>
              <w:t>但不限于</w:t>
            </w:r>
            <w:r>
              <w:rPr>
                <w:rFonts w:hint="eastAsia" w:ascii="宋体" w:hAnsi="宋体" w:eastAsia="宋体" w:cs="宋体"/>
                <w:color w:val="auto"/>
                <w:sz w:val="21"/>
                <w:szCs w:val="21"/>
              </w:rPr>
              <w:t>数据发送处理逻辑、接口方式</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内容、异常处理方式等</w:t>
            </w:r>
            <w:r>
              <w:rPr>
                <w:rFonts w:hint="eastAsia" w:ascii="宋体" w:hAnsi="宋体" w:eastAsia="宋体" w:cs="宋体"/>
                <w:color w:val="auto"/>
                <w:sz w:val="21"/>
                <w:szCs w:val="21"/>
                <w:highlight w:val="none"/>
                <w:lang w:eastAsia="zh-CN"/>
              </w:rPr>
              <w:t>。</w:t>
            </w:r>
          </w:p>
          <w:p w14:paraId="4CA66644">
            <w:pPr>
              <w:numPr>
                <w:ilvl w:val="0"/>
                <w:numId w:val="8"/>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满足接入方案</w:t>
            </w:r>
            <w:r>
              <w:rPr>
                <w:rFonts w:hint="eastAsia" w:ascii="宋体" w:hAnsi="宋体" w:eastAsia="宋体" w:cs="宋体"/>
                <w:color w:val="auto"/>
                <w:sz w:val="21"/>
                <w:szCs w:val="21"/>
                <w:highlight w:val="none"/>
              </w:rPr>
              <w:t>并实现集中审像作业</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内容</w:t>
            </w:r>
            <w:r>
              <w:rPr>
                <w:rFonts w:hint="eastAsia" w:ascii="宋体" w:hAnsi="宋体" w:cs="宋体"/>
                <w:b w:val="0"/>
                <w:bCs/>
                <w:color w:val="auto"/>
                <w:sz w:val="21"/>
                <w:szCs w:val="21"/>
                <w:highlight w:val="none"/>
                <w:lang w:val="en-US" w:eastAsia="zh-CN"/>
              </w:rPr>
              <w:t>涵盖上述几点</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逻辑准确，前后没有矛盾</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0C85868">
            <w:pPr>
              <w:numPr>
                <w:ilvl w:val="0"/>
                <w:numId w:val="8"/>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b w:val="0"/>
                <w:bCs/>
                <w:color w:val="auto"/>
                <w:sz w:val="21"/>
                <w:szCs w:val="21"/>
                <w:lang w:val="en-US" w:eastAsia="zh-CN"/>
              </w:rPr>
              <w:t>满足接入方案</w:t>
            </w:r>
            <w:r>
              <w:rPr>
                <w:rFonts w:hint="eastAsia" w:ascii="宋体" w:hAnsi="宋体" w:eastAsia="宋体" w:cs="宋体"/>
                <w:color w:val="auto"/>
                <w:sz w:val="21"/>
                <w:szCs w:val="21"/>
              </w:rPr>
              <w:t>并实现集中审像作业</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kern w:val="0"/>
                <w:sz w:val="21"/>
                <w:szCs w:val="21"/>
              </w:rPr>
              <w:t>但内容存在1处瑕疵的</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5E11773F">
            <w:pPr>
              <w:numPr>
                <w:ilvl w:val="0"/>
                <w:numId w:val="8"/>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b w:val="0"/>
                <w:bCs/>
                <w:color w:val="auto"/>
                <w:sz w:val="21"/>
                <w:szCs w:val="21"/>
                <w:lang w:val="en-US" w:eastAsia="zh-CN"/>
              </w:rPr>
              <w:t>满足接入方案</w:t>
            </w:r>
            <w:r>
              <w:rPr>
                <w:rFonts w:hint="eastAsia" w:ascii="宋体" w:hAnsi="宋体" w:eastAsia="宋体" w:cs="宋体"/>
                <w:color w:val="auto"/>
                <w:sz w:val="21"/>
                <w:szCs w:val="21"/>
              </w:rPr>
              <w:t>并实现集中审像作业</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但内容存在2处瑕疵的</w:t>
            </w:r>
            <w:r>
              <w:rPr>
                <w:rFonts w:hint="eastAsia" w:ascii="宋体" w:hAnsi="宋体" w:eastAsia="宋体" w:cs="宋体"/>
                <w:b w:val="0"/>
                <w:bCs/>
                <w:color w:val="auto"/>
                <w:sz w:val="21"/>
                <w:szCs w:val="21"/>
                <w:lang w:val="en-US" w:eastAsia="zh-CN"/>
              </w:rPr>
              <w:t>，得0.5分。</w:t>
            </w:r>
          </w:p>
          <w:p w14:paraId="7520A30F">
            <w:pPr>
              <w:numPr>
                <w:ilvl w:val="0"/>
                <w:numId w:val="8"/>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其他情况，得0分。</w:t>
            </w:r>
          </w:p>
          <w:p w14:paraId="0C6FCF0C">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b/>
                <w:bCs/>
                <w:color w:val="auto"/>
                <w:kern w:val="0"/>
                <w:sz w:val="21"/>
                <w:szCs w:val="21"/>
              </w:rPr>
              <w:t>注：瑕疵是指有缺漏项或</w:t>
            </w:r>
            <w:r>
              <w:rPr>
                <w:rFonts w:hint="eastAsia" w:ascii="宋体" w:hAnsi="宋体" w:eastAsia="宋体" w:cs="宋体"/>
                <w:b/>
                <w:bCs/>
                <w:color w:val="auto"/>
                <w:kern w:val="0"/>
                <w:sz w:val="21"/>
                <w:szCs w:val="21"/>
                <w:lang w:val="en-US" w:eastAsia="zh-CN"/>
              </w:rPr>
              <w:t>语言文字不通畅</w:t>
            </w:r>
            <w:r>
              <w:rPr>
                <w:rFonts w:hint="eastAsia" w:ascii="宋体" w:hAnsi="宋体" w:eastAsia="宋体" w:cs="宋体"/>
                <w:b/>
                <w:bCs/>
                <w:color w:val="auto"/>
                <w:kern w:val="0"/>
                <w:sz w:val="21"/>
                <w:szCs w:val="21"/>
              </w:rPr>
              <w:t>、方案</w:t>
            </w:r>
            <w:r>
              <w:rPr>
                <w:rFonts w:hint="eastAsia" w:ascii="宋体" w:hAnsi="宋体" w:eastAsia="宋体" w:cs="宋体"/>
                <w:b/>
                <w:bCs/>
                <w:color w:val="auto"/>
                <w:kern w:val="0"/>
                <w:sz w:val="21"/>
                <w:szCs w:val="21"/>
                <w:lang w:val="en-US" w:eastAsia="zh-CN"/>
              </w:rPr>
              <w:t>逻辑</w:t>
            </w:r>
            <w:r>
              <w:rPr>
                <w:rFonts w:hint="eastAsia" w:ascii="宋体" w:hAnsi="宋体" w:cs="宋体"/>
                <w:b/>
                <w:bCs/>
                <w:color w:val="auto"/>
                <w:kern w:val="0"/>
                <w:sz w:val="21"/>
                <w:szCs w:val="21"/>
                <w:lang w:val="en-US" w:eastAsia="zh-CN"/>
              </w:rPr>
              <w:t>前后矛盾</w:t>
            </w:r>
            <w:r>
              <w:rPr>
                <w:rFonts w:hint="eastAsia" w:ascii="宋体" w:hAnsi="宋体" w:eastAsia="宋体" w:cs="宋体"/>
                <w:b/>
                <w:bCs/>
                <w:color w:val="auto"/>
                <w:kern w:val="0"/>
                <w:sz w:val="21"/>
                <w:szCs w:val="21"/>
              </w:rPr>
              <w:t>、方案内容不</w:t>
            </w:r>
            <w:r>
              <w:rPr>
                <w:rFonts w:hint="eastAsia" w:ascii="宋体" w:hAnsi="宋体" w:eastAsia="宋体" w:cs="宋体"/>
                <w:b/>
                <w:bCs/>
                <w:color w:val="auto"/>
                <w:kern w:val="0"/>
                <w:sz w:val="21"/>
                <w:szCs w:val="21"/>
                <w:lang w:val="en-US" w:eastAsia="zh-CN"/>
              </w:rPr>
              <w:t>完善</w:t>
            </w:r>
            <w:r>
              <w:rPr>
                <w:rFonts w:hint="eastAsia" w:ascii="宋体" w:hAnsi="宋体" w:eastAsia="宋体" w:cs="宋体"/>
                <w:b/>
                <w:bCs/>
                <w:color w:val="auto"/>
                <w:kern w:val="0"/>
                <w:sz w:val="21"/>
                <w:szCs w:val="21"/>
              </w:rPr>
              <w:t>等。</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0A7D2CF">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ACD1214">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主观分</w:t>
            </w:r>
          </w:p>
        </w:tc>
      </w:tr>
      <w:tr w14:paraId="69A2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8A4FF29">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rPr>
              <w:t>集中审像实例</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30789C39">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宋体" w:hAnsi="宋体" w:eastAsia="宋体" w:cs="宋体"/>
                <w:color w:val="auto"/>
                <w:sz w:val="21"/>
                <w:szCs w:val="21"/>
              </w:rPr>
              <w:t>提供拟投组合移动式集装箱/车辆检查系统同品牌集装箱/车辆检查系统接入海关大型集装箱/车辆检查设备联网集中图像分析系统应用实例，并提供有力证明，证明材料包括</w:t>
            </w:r>
            <w:r>
              <w:rPr>
                <w:rFonts w:hint="eastAsia" w:ascii="宋体" w:hAnsi="宋体" w:eastAsia="宋体" w:cs="宋体"/>
                <w:color w:val="auto"/>
                <w:sz w:val="21"/>
                <w:szCs w:val="21"/>
                <w:lang w:val="en-US" w:eastAsia="zh-CN"/>
              </w:rPr>
              <w:t>但不限于</w:t>
            </w:r>
            <w:r>
              <w:rPr>
                <w:rFonts w:hint="eastAsia" w:ascii="宋体" w:hAnsi="宋体" w:eastAsia="宋体" w:cs="宋体"/>
                <w:color w:val="auto"/>
                <w:sz w:val="21"/>
                <w:szCs w:val="21"/>
              </w:rPr>
              <w:t>：应用现场照片、现场海关用户证明（用户证明中须包含对集装箱检查系统应用</w:t>
            </w:r>
            <w:r>
              <w:rPr>
                <w:rFonts w:hint="eastAsia" w:ascii="宋体" w:hAnsi="宋体" w:eastAsia="宋体" w:cs="宋体"/>
                <w:color w:val="auto"/>
                <w:kern w:val="0"/>
                <w:sz w:val="21"/>
                <w:szCs w:val="21"/>
              </w:rPr>
              <w:t>集中审像功能</w:t>
            </w:r>
            <w:r>
              <w:rPr>
                <w:rFonts w:hint="eastAsia" w:ascii="宋体" w:hAnsi="宋体" w:eastAsia="宋体" w:cs="宋体"/>
                <w:color w:val="auto"/>
                <w:sz w:val="21"/>
                <w:szCs w:val="21"/>
              </w:rPr>
              <w:t>的相关正面评价，须具有用户盖章），每提供1套证明材料得1分，最多3分。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B59344C">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lang w:val="en-US" w:eastAsia="zh-CN"/>
              </w:rPr>
              <w:t>3分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F933038">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客观分</w:t>
            </w:r>
          </w:p>
        </w:tc>
      </w:tr>
      <w:tr w14:paraId="0EF1A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5466F03">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color w:val="auto"/>
                <w:sz w:val="21"/>
                <w:szCs w:val="21"/>
              </w:rPr>
              <w:t>智能审图功能</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0B3C05D2">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拟投组合移动式集装箱/车辆检查系统需能接入中国海关智能审图系统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所生成并输出的无损图像需能应用于图像智能分析。</w:t>
            </w:r>
          </w:p>
          <w:p w14:paraId="36E0DDC4">
            <w:pPr>
              <w:numPr>
                <w:ilvl w:val="0"/>
                <w:numId w:val="9"/>
              </w:num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提供拟投组合移动式集装箱/车辆检查系统同品牌集装箱/车辆检查系统接入海关总署版智能审图功能的成熟应用，并提供有力证明，证明材料包括</w:t>
            </w:r>
            <w:r>
              <w:rPr>
                <w:rFonts w:hint="eastAsia" w:ascii="宋体" w:hAnsi="宋体" w:eastAsia="宋体" w:cs="宋体"/>
                <w:color w:val="auto"/>
                <w:sz w:val="21"/>
                <w:szCs w:val="21"/>
                <w:lang w:val="en-US" w:eastAsia="zh-CN"/>
              </w:rPr>
              <w:t>但不限于</w:t>
            </w:r>
            <w:r>
              <w:rPr>
                <w:rFonts w:hint="eastAsia" w:ascii="宋体" w:hAnsi="宋体" w:eastAsia="宋体" w:cs="宋体"/>
                <w:color w:val="auto"/>
                <w:sz w:val="21"/>
                <w:szCs w:val="21"/>
              </w:rPr>
              <w:t>：应用现场照片、现场海关用户证明（用户证明中须包含对集装箱检查系统应用智能审图功能的相关正面评价，须具有用户盖章），每提供1套证明材料得1分，最多3分；</w:t>
            </w:r>
          </w:p>
          <w:p w14:paraId="5AEF4388">
            <w:pPr>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备注：每提供1套证明材料中的‘套’字指同一口岸的应用现场照片和现场海关用户证明</w:t>
            </w:r>
            <w:r>
              <w:rPr>
                <w:rFonts w:hint="eastAsia" w:ascii="宋体" w:hAnsi="宋体" w:cs="宋体"/>
                <w:b/>
                <w:bCs/>
                <w:color w:val="auto"/>
                <w:sz w:val="21"/>
                <w:szCs w:val="21"/>
                <w:lang w:val="en-US" w:eastAsia="zh-CN"/>
              </w:rPr>
              <w:t>，</w:t>
            </w:r>
            <w:r>
              <w:rPr>
                <w:rFonts w:hint="eastAsia" w:ascii="宋体" w:hAnsi="宋体" w:cs="宋体"/>
                <w:b/>
                <w:bCs/>
                <w:color w:val="auto"/>
                <w:sz w:val="21"/>
                <w:szCs w:val="21"/>
                <w:highlight w:val="none"/>
                <w:lang w:val="en-US" w:eastAsia="zh-CN"/>
              </w:rPr>
              <w:t>并且同一口岸仅能提供一套材料，不得重复提交</w:t>
            </w:r>
            <w:r>
              <w:rPr>
                <w:rFonts w:hint="eastAsia" w:ascii="宋体" w:hAnsi="宋体" w:eastAsia="宋体" w:cs="宋体"/>
                <w:b/>
                <w:bCs/>
                <w:color w:val="auto"/>
                <w:sz w:val="21"/>
                <w:szCs w:val="21"/>
                <w:highlight w:val="none"/>
                <w:lang w:val="en-US" w:eastAsia="zh-CN"/>
              </w:rPr>
              <w:t>。</w:t>
            </w:r>
          </w:p>
          <w:p w14:paraId="1DDAA124">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宋体" w:hAnsi="宋体" w:eastAsia="宋体" w:cs="宋体"/>
                <w:color w:val="auto"/>
                <w:sz w:val="21"/>
                <w:szCs w:val="21"/>
              </w:rPr>
              <w:t>2、提供拟投组合移动式集装箱/车辆检查系统同品牌集装箱/车辆检查系统应用海关总署智能审图功能查获案例，案例须包含附扫描图像、智能审图报警信息截图，每提供1个查获案例得1分，最多5分。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FACC4FA">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sz w:val="21"/>
                <w:szCs w:val="21"/>
              </w:rPr>
              <w:t>8分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F1C8452">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客观分</w:t>
            </w:r>
          </w:p>
        </w:tc>
      </w:tr>
      <w:tr w14:paraId="56E06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AF95971">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color w:val="auto"/>
                <w:sz w:val="21"/>
                <w:szCs w:val="21"/>
              </w:rPr>
              <w:t>类似项目业绩</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0D629137">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提供投标供应商或产品制造商</w:t>
            </w:r>
            <w:r>
              <w:rPr>
                <w:rFonts w:hint="eastAsia" w:ascii="宋体" w:hAnsi="宋体" w:eastAsia="宋体" w:cs="宋体"/>
                <w:color w:val="auto"/>
                <w:sz w:val="21"/>
                <w:szCs w:val="21"/>
                <w:lang w:val="en-US" w:eastAsia="zh-CN"/>
              </w:rPr>
              <w:t>签订的</w:t>
            </w:r>
            <w:r>
              <w:rPr>
                <w:rFonts w:hint="eastAsia" w:ascii="宋体" w:hAnsi="宋体" w:eastAsia="宋体" w:cs="宋体"/>
                <w:color w:val="auto"/>
                <w:sz w:val="21"/>
                <w:szCs w:val="21"/>
              </w:rPr>
              <w:t>所投集装箱/车辆检查系统（</w:t>
            </w:r>
            <w:r>
              <w:rPr>
                <w:rFonts w:hint="eastAsia" w:ascii="宋体" w:hAnsi="宋体" w:eastAsia="宋体" w:cs="宋体"/>
                <w:color w:val="auto"/>
                <w:sz w:val="21"/>
                <w:szCs w:val="21"/>
                <w:lang w:val="en-US" w:eastAsia="zh-CN"/>
              </w:rPr>
              <w:t>要求是</w:t>
            </w:r>
            <w:r>
              <w:rPr>
                <w:rFonts w:hint="eastAsia" w:ascii="宋体" w:hAnsi="宋体" w:eastAsia="宋体" w:cs="宋体"/>
                <w:color w:val="auto"/>
                <w:sz w:val="21"/>
                <w:szCs w:val="21"/>
              </w:rPr>
              <w:t>采用电子直线加速器作为辐射源用于对集装箱</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车辆、各类厢式货车等进行扫描成像检查的设备）</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国内类似项目供货业绩</w:t>
            </w:r>
            <w:r>
              <w:rPr>
                <w:rFonts w:hint="eastAsia" w:ascii="宋体" w:hAnsi="宋体" w:eastAsia="宋体" w:cs="宋体"/>
                <w:color w:val="auto"/>
                <w:sz w:val="21"/>
                <w:szCs w:val="21"/>
                <w:lang w:val="en-US" w:eastAsia="zh-CN"/>
              </w:rPr>
              <w:t>合同</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合同签订时间</w:t>
            </w:r>
            <w:r>
              <w:rPr>
                <w:rFonts w:hint="eastAsia" w:ascii="宋体" w:hAnsi="宋体" w:eastAsia="宋体" w:cs="宋体"/>
                <w:color w:val="auto"/>
                <w:sz w:val="21"/>
                <w:szCs w:val="21"/>
                <w:lang w:val="en-US" w:eastAsia="zh-CN"/>
              </w:rPr>
              <w:t>要求在</w:t>
            </w:r>
            <w:r>
              <w:rPr>
                <w:rFonts w:hint="eastAsia" w:ascii="宋体" w:hAnsi="宋体" w:eastAsia="宋体" w:cs="宋体"/>
                <w:color w:val="auto"/>
                <w:sz w:val="21"/>
                <w:szCs w:val="21"/>
              </w:rPr>
              <w:t>2020年1月1日至投标截止日</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，每有1项</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供货业绩</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得1分，最高得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22B25F24">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每一个合同中必须至少包含设备名称、型号、数量、合同双方印章、签字等信息内容。提供销售业绩合同复印件须字迹清晰，辨识无误，需提供付款发票复印件及最终用户，不符合上述要求或未按要求提供有效证明文件的业绩在评审时将不予以承认。</w:t>
            </w:r>
          </w:p>
          <w:p w14:paraId="7CF62553">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2、提供投标供应商或产品制造商2020年1月1日至投标截止日（以合同签订时间为准）国内同行业与集中审像或智能审图功能应用相关的业绩</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，每有1项</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供货业绩得1分，最高得2分。</w:t>
            </w:r>
          </w:p>
          <w:p w14:paraId="7C1112D4">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宋体" w:hAnsi="宋体" w:eastAsia="宋体" w:cs="宋体"/>
                <w:b/>
                <w:bCs/>
                <w:color w:val="auto"/>
                <w:sz w:val="21"/>
                <w:szCs w:val="21"/>
              </w:rPr>
              <w:t>注：提供</w:t>
            </w:r>
            <w:r>
              <w:rPr>
                <w:rFonts w:hint="eastAsia" w:ascii="宋体" w:hAnsi="宋体" w:cs="宋体"/>
                <w:b/>
                <w:bCs/>
                <w:color w:val="auto"/>
                <w:sz w:val="21"/>
                <w:szCs w:val="21"/>
                <w:lang w:eastAsia="zh-CN"/>
              </w:rPr>
              <w:t>供货</w:t>
            </w:r>
            <w:r>
              <w:rPr>
                <w:rFonts w:hint="eastAsia" w:ascii="宋体" w:hAnsi="宋体" w:eastAsia="宋体" w:cs="宋体"/>
                <w:b/>
                <w:bCs/>
                <w:color w:val="auto"/>
                <w:sz w:val="21"/>
                <w:szCs w:val="21"/>
              </w:rPr>
              <w:t>合同</w:t>
            </w:r>
            <w:r>
              <w:rPr>
                <w:rFonts w:hint="eastAsia" w:ascii="宋体" w:hAnsi="宋体" w:cs="宋体"/>
                <w:b/>
                <w:bCs/>
                <w:color w:val="auto"/>
                <w:sz w:val="21"/>
                <w:szCs w:val="21"/>
                <w:lang w:eastAsia="zh-CN"/>
              </w:rPr>
              <w:t>或中标通知书，原件扫描件或加盖投标企业公章的复印件；同时</w:t>
            </w:r>
            <w:r>
              <w:rPr>
                <w:rFonts w:hint="eastAsia" w:ascii="宋体" w:hAnsi="宋体" w:eastAsia="宋体" w:cs="宋体"/>
                <w:b/>
                <w:bCs/>
                <w:color w:val="auto"/>
                <w:sz w:val="21"/>
                <w:szCs w:val="21"/>
              </w:rPr>
              <w:t>需提供付款发票复印件</w:t>
            </w:r>
            <w:r>
              <w:rPr>
                <w:rFonts w:hint="eastAsia" w:ascii="宋体" w:hAnsi="宋体" w:eastAsia="宋体" w:cs="宋体"/>
                <w:b/>
                <w:bCs/>
                <w:color w:val="auto"/>
                <w:sz w:val="21"/>
                <w:szCs w:val="21"/>
                <w:highlight w:val="none"/>
              </w:rPr>
              <w:t>及最终用户，不符合上述要求或未按要求提供有效证明文件的业绩在评审时将不予以承认。</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26E9925">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B37D2DA">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客观分</w:t>
            </w:r>
          </w:p>
        </w:tc>
      </w:tr>
      <w:tr w14:paraId="6956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829E052">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color w:val="auto"/>
                <w:sz w:val="21"/>
                <w:szCs w:val="21"/>
              </w:rPr>
              <w:t>管理体系认证</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5364FEE7">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拟投组合移动式集装箱/车辆检查系统的产品制造商具有有效期内的ISO9001质量管理体系认证证书、ISO14001环境管理体系认证证书、ISO45001职业健康安全管理体系认证证书和ISO27001信息安全管理体系认证证书，每提供1项有效期内的认证证书复印件得0.5分，满分2分。</w:t>
            </w:r>
          </w:p>
          <w:p w14:paraId="35D9E021">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zh-CN"/>
              </w:rPr>
              <w:t>（证书原件扫描件或加盖投标企业公章的复印件）</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922666A">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sz w:val="21"/>
                <w:szCs w:val="21"/>
              </w:rPr>
              <w:t>2分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A444A74">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客观分</w:t>
            </w:r>
          </w:p>
        </w:tc>
      </w:tr>
      <w:tr w14:paraId="5658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15138F5">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000000"/>
                <w:sz w:val="21"/>
                <w:szCs w:val="21"/>
                <w:highlight w:val="none"/>
                <w:lang w:val="en-US" w:eastAsia="zh-CN"/>
              </w:rPr>
            </w:pPr>
            <w:r>
              <w:rPr>
                <w:rFonts w:hint="eastAsia" w:ascii="宋体" w:hAnsi="宋体" w:eastAsia="宋体" w:cs="宋体"/>
                <w:color w:val="auto"/>
                <w:sz w:val="21"/>
                <w:szCs w:val="21"/>
              </w:rPr>
              <w:t>项目实施</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0F3FA481">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投标供应商提供的项目实施方案</w:t>
            </w:r>
            <w:r>
              <w:rPr>
                <w:rFonts w:hint="eastAsia" w:ascii="宋体" w:hAnsi="宋体" w:eastAsia="宋体" w:cs="宋体"/>
                <w:color w:val="auto"/>
                <w:sz w:val="21"/>
                <w:szCs w:val="21"/>
                <w:lang w:val="en-US" w:eastAsia="zh-CN"/>
              </w:rPr>
              <w:t>内容但不限于包括：交货期、项目进度计划、包装运输方案、安装调试方案、项目实施保障措施等。</w:t>
            </w:r>
          </w:p>
          <w:p w14:paraId="376D0EE5">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交货期（明确供货期限，具体保障措施）</w:t>
            </w:r>
          </w:p>
          <w:p w14:paraId="65311E12">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项目进度计划，系统规划、控制项目实施各阶段的时间节点，确保项目在预定时间内达成目标。</w:t>
            </w:r>
          </w:p>
          <w:p w14:paraId="331D60CB">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包装运输方案，设计科学的包装运输方案，确保货物在运输过程中安全、完整、准时交付，降低货损率。</w:t>
            </w:r>
          </w:p>
          <w:p w14:paraId="4CFC7053">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安装调试方案，设计严谨的安装调试方案，减少售后故障率，确保设备、系统或工程在交付后安全、合规、高效投入运行。</w:t>
            </w:r>
          </w:p>
          <w:p w14:paraId="6E470EF5">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项目实施保障措施，包括进度、质量、应急等保障措施，确保项目按时、按质、按预算交付。</w:t>
            </w:r>
          </w:p>
          <w:p w14:paraId="2C56DA26">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w:t>
            </w:r>
            <w:r>
              <w:rPr>
                <w:rFonts w:hint="eastAsia" w:ascii="宋体" w:hAnsi="宋体" w:eastAsia="宋体" w:cs="宋体"/>
                <w:color w:val="auto"/>
                <w:sz w:val="21"/>
                <w:szCs w:val="21"/>
              </w:rPr>
              <w:t>项目实施方案</w:t>
            </w:r>
            <w:r>
              <w:rPr>
                <w:rFonts w:hint="eastAsia" w:ascii="宋体" w:hAnsi="宋体" w:eastAsia="宋体" w:cs="宋体"/>
                <w:color w:val="auto"/>
                <w:sz w:val="21"/>
                <w:szCs w:val="21"/>
                <w:lang w:val="en-US" w:eastAsia="zh-CN"/>
              </w:rPr>
              <w:t>，</w:t>
            </w:r>
            <w:r>
              <w:rPr>
                <w:rFonts w:hint="eastAsia" w:ascii="宋体" w:hAnsi="宋体" w:eastAsia="宋体" w:cs="宋体"/>
                <w:b w:val="0"/>
                <w:bCs/>
                <w:color w:val="auto"/>
                <w:sz w:val="21"/>
                <w:szCs w:val="21"/>
                <w:highlight w:val="none"/>
                <w:lang w:val="en-US" w:eastAsia="zh-CN"/>
              </w:rPr>
              <w:t>内容</w:t>
            </w:r>
            <w:r>
              <w:rPr>
                <w:rFonts w:hint="eastAsia" w:ascii="宋体" w:hAnsi="宋体" w:cs="宋体"/>
                <w:b w:val="0"/>
                <w:bCs/>
                <w:color w:val="auto"/>
                <w:sz w:val="21"/>
                <w:szCs w:val="21"/>
                <w:highlight w:val="none"/>
                <w:lang w:val="en-US" w:eastAsia="zh-CN"/>
              </w:rPr>
              <w:t>涵盖上述几点，逻辑准确，前后没有矛盾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8分；</w:t>
            </w:r>
          </w:p>
          <w:p w14:paraId="63499D2E">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（2）满足</w:t>
            </w:r>
            <w:r>
              <w:rPr>
                <w:rFonts w:hint="eastAsia" w:ascii="宋体" w:hAnsi="宋体" w:eastAsia="宋体" w:cs="宋体"/>
                <w:color w:val="auto"/>
                <w:sz w:val="21"/>
                <w:szCs w:val="21"/>
              </w:rPr>
              <w:t>项目实施方案</w:t>
            </w:r>
            <w:r>
              <w:rPr>
                <w:rFonts w:hint="eastAsia" w:ascii="宋体" w:hAnsi="宋体" w:eastAsia="宋体" w:cs="宋体"/>
                <w:color w:val="auto"/>
                <w:sz w:val="21"/>
                <w:szCs w:val="21"/>
                <w:lang w:val="en-US" w:eastAsia="zh-CN"/>
              </w:rPr>
              <w:t>，</w:t>
            </w:r>
            <w:r>
              <w:rPr>
                <w:rFonts w:hint="eastAsia" w:ascii="宋体" w:hAnsi="宋体" w:eastAsia="宋体" w:cs="宋体"/>
                <w:color w:val="auto"/>
                <w:kern w:val="0"/>
                <w:sz w:val="21"/>
                <w:szCs w:val="21"/>
              </w:rPr>
              <w:t>但内容存在1处瑕疵的</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得</w:t>
            </w:r>
            <w:r>
              <w:rPr>
                <w:rFonts w:hint="eastAsia" w:ascii="宋体" w:hAnsi="宋体" w:eastAsia="宋体" w:cs="宋体"/>
                <w:color w:val="auto"/>
                <w:sz w:val="21"/>
                <w:szCs w:val="21"/>
                <w:lang w:val="en-US" w:eastAsia="zh-CN"/>
              </w:rPr>
              <w:t>6分；</w:t>
            </w:r>
          </w:p>
          <w:p w14:paraId="30653612">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（3）满足</w:t>
            </w:r>
            <w:r>
              <w:rPr>
                <w:rFonts w:hint="eastAsia" w:ascii="宋体" w:hAnsi="宋体" w:eastAsia="宋体" w:cs="宋体"/>
                <w:color w:val="auto"/>
                <w:sz w:val="21"/>
                <w:szCs w:val="21"/>
              </w:rPr>
              <w:t>项目实施方案</w:t>
            </w:r>
            <w:r>
              <w:rPr>
                <w:rFonts w:hint="eastAsia" w:ascii="宋体" w:hAnsi="宋体" w:eastAsia="宋体" w:cs="宋体"/>
                <w:color w:val="auto"/>
                <w:sz w:val="21"/>
                <w:szCs w:val="21"/>
                <w:lang w:val="en-US" w:eastAsia="zh-CN"/>
              </w:rPr>
              <w:t>，</w:t>
            </w:r>
            <w:r>
              <w:rPr>
                <w:rFonts w:hint="eastAsia" w:ascii="宋体" w:hAnsi="宋体" w:eastAsia="宋体" w:cs="宋体"/>
                <w:color w:val="auto"/>
                <w:kern w:val="0"/>
                <w:sz w:val="21"/>
                <w:szCs w:val="21"/>
              </w:rPr>
              <w:t>但内容存在2处瑕疵的</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得</w:t>
            </w:r>
            <w:r>
              <w:rPr>
                <w:rFonts w:hint="eastAsia" w:ascii="宋体" w:hAnsi="宋体" w:eastAsia="宋体" w:cs="宋体"/>
                <w:color w:val="auto"/>
                <w:sz w:val="21"/>
                <w:szCs w:val="21"/>
                <w:lang w:val="en-US" w:eastAsia="zh-CN"/>
              </w:rPr>
              <w:t>4分；</w:t>
            </w:r>
          </w:p>
          <w:p w14:paraId="0B7E50A0">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（4）其他情况</w:t>
            </w:r>
            <w:r>
              <w:rPr>
                <w:rFonts w:hint="eastAsia" w:ascii="宋体" w:hAnsi="宋体" w:eastAsia="宋体" w:cs="宋体"/>
                <w:color w:val="auto"/>
                <w:sz w:val="21"/>
                <w:szCs w:val="21"/>
                <w:lang w:val="zh-CN"/>
              </w:rPr>
              <w:t>得</w:t>
            </w:r>
            <w:r>
              <w:rPr>
                <w:rFonts w:hint="eastAsia" w:ascii="宋体" w:hAnsi="宋体" w:eastAsia="宋体" w:cs="宋体"/>
                <w:color w:val="auto"/>
                <w:sz w:val="21"/>
                <w:szCs w:val="21"/>
                <w:lang w:val="en-US" w:eastAsia="zh-CN"/>
              </w:rPr>
              <w:t>0分；</w:t>
            </w:r>
          </w:p>
          <w:p w14:paraId="157C44A7">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cstheme="minorEastAsia"/>
                <w:b/>
                <w:bCs w:val="0"/>
                <w:sz w:val="21"/>
                <w:szCs w:val="21"/>
                <w:highlight w:val="none"/>
                <w:lang w:val="en-US" w:eastAsia="zh-CN"/>
              </w:rPr>
            </w:pPr>
            <w:r>
              <w:rPr>
                <w:rFonts w:hint="eastAsia" w:ascii="宋体" w:hAnsi="宋体" w:eastAsia="宋体" w:cs="宋体"/>
                <w:b/>
                <w:bCs/>
                <w:color w:val="auto"/>
                <w:kern w:val="0"/>
                <w:sz w:val="21"/>
                <w:szCs w:val="21"/>
              </w:rPr>
              <w:t>注：瑕疵是指有缺漏项或</w:t>
            </w:r>
            <w:r>
              <w:rPr>
                <w:rFonts w:hint="eastAsia" w:ascii="宋体" w:hAnsi="宋体" w:eastAsia="宋体" w:cs="宋体"/>
                <w:b/>
                <w:bCs/>
                <w:color w:val="auto"/>
                <w:kern w:val="0"/>
                <w:sz w:val="21"/>
                <w:szCs w:val="21"/>
                <w:lang w:val="en-US" w:eastAsia="zh-CN"/>
              </w:rPr>
              <w:t>语言文字不通畅</w:t>
            </w:r>
            <w:r>
              <w:rPr>
                <w:rFonts w:hint="eastAsia" w:ascii="宋体" w:hAnsi="宋体" w:eastAsia="宋体" w:cs="宋体"/>
                <w:b/>
                <w:bCs/>
                <w:color w:val="auto"/>
                <w:kern w:val="0"/>
                <w:sz w:val="21"/>
                <w:szCs w:val="21"/>
              </w:rPr>
              <w:t>、方案</w:t>
            </w:r>
            <w:r>
              <w:rPr>
                <w:rFonts w:hint="eastAsia" w:ascii="宋体" w:hAnsi="宋体" w:eastAsia="宋体" w:cs="宋体"/>
                <w:b/>
                <w:bCs/>
                <w:color w:val="auto"/>
                <w:kern w:val="0"/>
                <w:sz w:val="21"/>
                <w:szCs w:val="21"/>
                <w:lang w:val="en-US" w:eastAsia="zh-CN"/>
              </w:rPr>
              <w:t>逻辑</w:t>
            </w:r>
            <w:r>
              <w:rPr>
                <w:rFonts w:hint="eastAsia" w:ascii="宋体" w:hAnsi="宋体" w:cs="宋体"/>
                <w:b/>
                <w:bCs/>
                <w:color w:val="auto"/>
                <w:kern w:val="0"/>
                <w:sz w:val="21"/>
                <w:szCs w:val="21"/>
                <w:lang w:val="en-US" w:eastAsia="zh-CN"/>
              </w:rPr>
              <w:t>前后矛盾</w:t>
            </w:r>
            <w:r>
              <w:rPr>
                <w:rFonts w:hint="eastAsia" w:ascii="宋体" w:hAnsi="宋体" w:eastAsia="宋体" w:cs="宋体"/>
                <w:b/>
                <w:bCs/>
                <w:color w:val="auto"/>
                <w:kern w:val="0"/>
                <w:sz w:val="21"/>
                <w:szCs w:val="21"/>
              </w:rPr>
              <w:t>、方案内容不</w:t>
            </w:r>
            <w:r>
              <w:rPr>
                <w:rFonts w:hint="eastAsia" w:ascii="宋体" w:hAnsi="宋体" w:eastAsia="宋体" w:cs="宋体"/>
                <w:b/>
                <w:bCs/>
                <w:color w:val="auto"/>
                <w:kern w:val="0"/>
                <w:sz w:val="21"/>
                <w:szCs w:val="21"/>
                <w:lang w:val="en-US" w:eastAsia="zh-CN"/>
              </w:rPr>
              <w:t>完善</w:t>
            </w:r>
            <w:r>
              <w:rPr>
                <w:rFonts w:hint="eastAsia" w:ascii="宋体" w:hAnsi="宋体" w:eastAsia="宋体" w:cs="宋体"/>
                <w:b/>
                <w:bCs/>
                <w:color w:val="auto"/>
                <w:kern w:val="0"/>
                <w:sz w:val="21"/>
                <w:szCs w:val="21"/>
              </w:rPr>
              <w:t>等。</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E1457DD">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lang w:val="en-US" w:eastAsia="zh-CN"/>
              </w:rPr>
            </w:pPr>
            <w:r>
              <w:rPr>
                <w:rFonts w:hint="eastAsia" w:ascii="宋体" w:hAnsi="宋体" w:eastAsia="宋体" w:cs="宋体"/>
                <w:color w:val="auto"/>
                <w:sz w:val="21"/>
                <w:szCs w:val="21"/>
              </w:rPr>
              <w:t>8分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1340506">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主观分</w:t>
            </w:r>
          </w:p>
        </w:tc>
      </w:tr>
      <w:tr w14:paraId="4E8B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DDBE0EB">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培训方案</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32925EE7">
            <w:pPr>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投标供应商提供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培训方案</w:t>
            </w:r>
            <w:r>
              <w:rPr>
                <w:rFonts w:hint="eastAsia" w:ascii="宋体" w:hAnsi="宋体" w:eastAsia="宋体" w:cs="宋体"/>
                <w:color w:val="auto"/>
                <w:sz w:val="21"/>
                <w:szCs w:val="21"/>
                <w:lang w:val="en-US" w:eastAsia="zh-CN"/>
              </w:rPr>
              <w:t>内容包括但不限于：培训方式、培训课程设置、培训讲师等。</w:t>
            </w:r>
          </w:p>
          <w:p w14:paraId="578A342A">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培训方式，提供多种培训方式供使用方选择。</w:t>
            </w:r>
          </w:p>
          <w:p w14:paraId="3D0E2691">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培训课程设置，</w:t>
            </w:r>
            <w:r>
              <w:rPr>
                <w:rFonts w:hint="eastAsia" w:ascii="宋体" w:hAnsi="宋体" w:eastAsia="宋体" w:cs="宋体"/>
                <w:color w:val="auto"/>
                <w:sz w:val="21"/>
                <w:szCs w:val="21"/>
                <w:lang w:eastAsia="zh-CN"/>
              </w:rPr>
              <w:t>系统规划</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lang w:eastAsia="zh-CN"/>
              </w:rPr>
              <w:t>课程目标、内容、形式，旨在通过学习提升知识、技能，</w:t>
            </w:r>
            <w:r>
              <w:rPr>
                <w:rFonts w:hint="eastAsia" w:ascii="宋体" w:hAnsi="宋体" w:eastAsia="宋体" w:cs="宋体"/>
                <w:color w:val="auto"/>
                <w:sz w:val="21"/>
                <w:szCs w:val="21"/>
                <w:lang w:val="en-US" w:eastAsia="zh-CN"/>
              </w:rPr>
              <w:t>使最终用户能够安全、熟练的操作设备和简单维护。</w:t>
            </w:r>
          </w:p>
          <w:p w14:paraId="7D91F79C">
            <w:pPr>
              <w:numPr>
                <w:ilvl w:val="0"/>
                <w:numId w:val="10"/>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培训讲师，介绍培训讲师的来源和资质，培训讲师需要熟悉企业情况，具有专业领域的丰富经验和前沿知识。</w:t>
            </w:r>
          </w:p>
          <w:p w14:paraId="5963B892">
            <w:pPr>
              <w:numPr>
                <w:ilvl w:val="0"/>
                <w:numId w:val="1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要求</w:t>
            </w:r>
            <w:r>
              <w:rPr>
                <w:rFonts w:hint="eastAsia" w:ascii="宋体" w:hAnsi="宋体" w:eastAsia="宋体" w:cs="宋体"/>
                <w:b w:val="0"/>
                <w:bCs/>
                <w:color w:val="auto"/>
                <w:sz w:val="21"/>
                <w:szCs w:val="21"/>
                <w:highlight w:val="none"/>
                <w:lang w:val="en-US" w:eastAsia="zh-CN"/>
              </w:rPr>
              <w:t>，内容</w:t>
            </w:r>
            <w:r>
              <w:rPr>
                <w:rFonts w:hint="eastAsia" w:ascii="宋体" w:hAnsi="宋体" w:cs="宋体"/>
                <w:b w:val="0"/>
                <w:bCs/>
                <w:color w:val="auto"/>
                <w:sz w:val="21"/>
                <w:szCs w:val="21"/>
                <w:highlight w:val="none"/>
                <w:lang w:val="en-US" w:eastAsia="zh-CN"/>
              </w:rPr>
              <w:t>涵盖上述几点，逻辑准确，前后没有矛盾</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BEBCF87">
            <w:pPr>
              <w:numPr>
                <w:ilvl w:val="0"/>
                <w:numId w:val="11"/>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要求</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kern w:val="0"/>
                <w:sz w:val="21"/>
                <w:szCs w:val="21"/>
              </w:rPr>
              <w:t>但内容存在1处瑕疵的</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47595672">
            <w:pPr>
              <w:numPr>
                <w:ilvl w:val="0"/>
                <w:numId w:val="11"/>
              </w:num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rPr>
              <w:t>其他情况，得 0分。</w:t>
            </w:r>
          </w:p>
          <w:p w14:paraId="1EF292F3">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注：瑕疵是指有缺漏项或</w:t>
            </w:r>
            <w:r>
              <w:rPr>
                <w:rFonts w:hint="eastAsia" w:ascii="宋体" w:hAnsi="宋体" w:eastAsia="宋体" w:cs="宋体"/>
                <w:b/>
                <w:bCs/>
                <w:color w:val="auto"/>
                <w:kern w:val="0"/>
                <w:sz w:val="21"/>
                <w:szCs w:val="21"/>
                <w:lang w:val="en-US" w:eastAsia="zh-CN"/>
              </w:rPr>
              <w:t>语言文字不通畅</w:t>
            </w:r>
            <w:r>
              <w:rPr>
                <w:rFonts w:hint="eastAsia" w:ascii="宋体" w:hAnsi="宋体" w:eastAsia="宋体" w:cs="宋体"/>
                <w:b/>
                <w:bCs/>
                <w:color w:val="auto"/>
                <w:kern w:val="0"/>
                <w:sz w:val="21"/>
                <w:szCs w:val="21"/>
              </w:rPr>
              <w:t>、方案</w:t>
            </w:r>
            <w:r>
              <w:rPr>
                <w:rFonts w:hint="eastAsia" w:ascii="宋体" w:hAnsi="宋体" w:eastAsia="宋体" w:cs="宋体"/>
                <w:b/>
                <w:bCs/>
                <w:color w:val="auto"/>
                <w:kern w:val="0"/>
                <w:sz w:val="21"/>
                <w:szCs w:val="21"/>
                <w:lang w:val="en-US" w:eastAsia="zh-CN"/>
              </w:rPr>
              <w:t>逻辑</w:t>
            </w:r>
            <w:r>
              <w:rPr>
                <w:rFonts w:hint="eastAsia" w:ascii="宋体" w:hAnsi="宋体" w:cs="宋体"/>
                <w:b/>
                <w:bCs/>
                <w:color w:val="auto"/>
                <w:kern w:val="0"/>
                <w:sz w:val="21"/>
                <w:szCs w:val="21"/>
                <w:lang w:val="en-US" w:eastAsia="zh-CN"/>
              </w:rPr>
              <w:t>前后矛盾</w:t>
            </w:r>
            <w:r>
              <w:rPr>
                <w:rFonts w:hint="eastAsia" w:ascii="宋体" w:hAnsi="宋体" w:eastAsia="宋体" w:cs="宋体"/>
                <w:b/>
                <w:bCs/>
                <w:color w:val="auto"/>
                <w:kern w:val="0"/>
                <w:sz w:val="21"/>
                <w:szCs w:val="21"/>
              </w:rPr>
              <w:t>、方案内容不</w:t>
            </w:r>
            <w:r>
              <w:rPr>
                <w:rFonts w:hint="eastAsia" w:ascii="宋体" w:hAnsi="宋体" w:eastAsia="宋体" w:cs="宋体"/>
                <w:b/>
                <w:bCs/>
                <w:color w:val="auto"/>
                <w:kern w:val="0"/>
                <w:sz w:val="21"/>
                <w:szCs w:val="21"/>
                <w:lang w:val="en-US" w:eastAsia="zh-CN"/>
              </w:rPr>
              <w:t>完善</w:t>
            </w:r>
            <w:r>
              <w:rPr>
                <w:rFonts w:hint="eastAsia" w:ascii="宋体" w:hAnsi="宋体" w:eastAsia="宋体" w:cs="宋体"/>
                <w:b/>
                <w:bCs/>
                <w:color w:val="auto"/>
                <w:kern w:val="0"/>
                <w:sz w:val="21"/>
                <w:szCs w:val="21"/>
              </w:rPr>
              <w:t>等。</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6421177">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81A459">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主观分</w:t>
            </w:r>
          </w:p>
        </w:tc>
      </w:tr>
      <w:tr w14:paraId="44F18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F26CF19">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77F4E0DC">
            <w:pPr>
              <w:numPr>
                <w:ilvl w:val="0"/>
                <w:numId w:val="0"/>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投标供应商根据本项目的采购需求制定售后方案</w:t>
            </w:r>
            <w:r>
              <w:rPr>
                <w:rFonts w:hint="eastAsia" w:ascii="宋体" w:hAnsi="宋体" w:eastAsia="宋体" w:cs="宋体"/>
                <w:color w:val="auto"/>
                <w:sz w:val="21"/>
                <w:szCs w:val="21"/>
              </w:rPr>
              <w:t>包括但不限于</w:t>
            </w:r>
            <w:r>
              <w:rPr>
                <w:rFonts w:hint="eastAsia" w:ascii="宋体" w:hAnsi="宋体" w:eastAsia="宋体" w:cs="宋体"/>
                <w:color w:val="auto"/>
                <w:sz w:val="21"/>
                <w:szCs w:val="21"/>
                <w:lang w:val="en-US" w:eastAsia="zh-CN"/>
              </w:rPr>
              <w:t>售后服务承诺</w:t>
            </w:r>
            <w:r>
              <w:rPr>
                <w:rFonts w:hint="eastAsia" w:ascii="宋体" w:hAnsi="宋体" w:eastAsia="宋体" w:cs="宋体"/>
                <w:color w:val="auto"/>
                <w:sz w:val="21"/>
                <w:szCs w:val="21"/>
              </w:rPr>
              <w:t>、人员安排、</w:t>
            </w:r>
            <w:r>
              <w:rPr>
                <w:rFonts w:hint="eastAsia" w:ascii="宋体" w:hAnsi="宋体" w:eastAsia="宋体" w:cs="宋体"/>
                <w:color w:val="auto"/>
                <w:sz w:val="21"/>
                <w:szCs w:val="21"/>
                <w:lang w:val="en-US" w:eastAsia="zh-CN"/>
              </w:rPr>
              <w:t>本地化原厂技术服务、备品备件供应保障措施</w:t>
            </w:r>
            <w:r>
              <w:rPr>
                <w:rFonts w:hint="eastAsia" w:ascii="宋体" w:hAnsi="宋体" w:eastAsia="宋体" w:cs="宋体"/>
                <w:color w:val="auto"/>
                <w:sz w:val="21"/>
                <w:szCs w:val="21"/>
              </w:rPr>
              <w:t>等内容</w:t>
            </w:r>
            <w:r>
              <w:rPr>
                <w:rFonts w:hint="eastAsia" w:ascii="宋体" w:hAnsi="宋体" w:eastAsia="宋体" w:cs="宋体"/>
                <w:color w:val="auto"/>
                <w:sz w:val="21"/>
                <w:szCs w:val="21"/>
                <w:lang w:eastAsia="zh-CN"/>
              </w:rPr>
              <w:t>。</w:t>
            </w:r>
          </w:p>
          <w:p w14:paraId="531BA089">
            <w:pPr>
              <w:numPr>
                <w:ilvl w:val="0"/>
                <w:numId w:val="12"/>
              </w:numPr>
              <w:adjustRightInd w:val="0"/>
              <w:snapToGrid w:val="0"/>
              <w:spacing w:line="36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售后服务承诺（提供所投标产品制造商针对本项目的售后服务承诺函，内容包括但不限于项目名称、项目编号、承诺内容等</w:t>
            </w:r>
            <w:r>
              <w:rPr>
                <w:rFonts w:hint="eastAsia" w:ascii="宋体" w:hAnsi="宋体" w:eastAsia="宋体" w:cs="宋体"/>
                <w:color w:val="auto"/>
                <w:sz w:val="21"/>
                <w:szCs w:val="21"/>
                <w:highlight w:val="none"/>
                <w:lang w:val="en-US" w:eastAsia="zh-CN"/>
              </w:rPr>
              <w:t>要素，加盖所有投标产品制造商公章、投标人公章</w:t>
            </w:r>
            <w:r>
              <w:rPr>
                <w:rFonts w:hint="eastAsia" w:ascii="宋体" w:hAnsi="宋体" w:cs="宋体"/>
                <w:color w:val="auto"/>
                <w:sz w:val="21"/>
                <w:szCs w:val="21"/>
                <w:highlight w:val="none"/>
                <w:lang w:val="en-US" w:eastAsia="zh-CN"/>
              </w:rPr>
              <w:t>，格式自拟</w:t>
            </w:r>
            <w:r>
              <w:rPr>
                <w:rFonts w:hint="eastAsia" w:ascii="宋体" w:hAnsi="宋体" w:eastAsia="宋体" w:cs="宋体"/>
                <w:color w:val="auto"/>
                <w:sz w:val="21"/>
                <w:szCs w:val="21"/>
                <w:highlight w:val="none"/>
                <w:lang w:val="en-US" w:eastAsia="zh-CN"/>
              </w:rPr>
              <w:t>）</w:t>
            </w:r>
          </w:p>
          <w:p w14:paraId="4356EA09">
            <w:pPr>
              <w:numPr>
                <w:ilvl w:val="0"/>
                <w:numId w:val="12"/>
              </w:numPr>
              <w:adjustRightInd w:val="0"/>
              <w:snapToGrid w:val="0"/>
              <w:spacing w:line="36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人员安排，明确售后服务团队人员，确保设备交付后，最终用户获得及时、专业、持续的技术支持与维护。</w:t>
            </w:r>
          </w:p>
          <w:p w14:paraId="7A6D1077">
            <w:pPr>
              <w:numPr>
                <w:ilvl w:val="0"/>
                <w:numId w:val="12"/>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本地化原厂技术服务，</w:t>
            </w:r>
            <w:r>
              <w:rPr>
                <w:rFonts w:hint="eastAsia" w:ascii="宋体" w:hAnsi="宋体" w:cs="宋体"/>
                <w:color w:val="auto"/>
                <w:sz w:val="21"/>
                <w:szCs w:val="21"/>
                <w:highlight w:val="none"/>
                <w:lang w:val="en-US" w:eastAsia="zh-CN"/>
              </w:rPr>
              <w:t>投标供应商在客户所在地区设立售后服务网点</w:t>
            </w:r>
            <w:r>
              <w:rPr>
                <w:rFonts w:hint="eastAsia" w:ascii="宋体" w:hAnsi="宋体" w:eastAsia="宋体" w:cs="宋体"/>
                <w:color w:val="auto"/>
                <w:sz w:val="21"/>
                <w:szCs w:val="21"/>
                <w:highlight w:val="none"/>
                <w:lang w:val="en-US" w:eastAsia="zh-CN"/>
              </w:rPr>
              <w:t>，提供快速响应、</w:t>
            </w:r>
            <w:r>
              <w:rPr>
                <w:rFonts w:hint="eastAsia" w:ascii="宋体" w:hAnsi="宋体" w:eastAsia="宋体" w:cs="宋体"/>
                <w:color w:val="auto"/>
                <w:sz w:val="21"/>
                <w:szCs w:val="21"/>
                <w:lang w:val="en-US" w:eastAsia="zh-CN"/>
              </w:rPr>
              <w:t>技术支持服务。</w:t>
            </w:r>
          </w:p>
          <w:p w14:paraId="5E127634">
            <w:pPr>
              <w:numPr>
                <w:ilvl w:val="0"/>
                <w:numId w:val="12"/>
              </w:numPr>
              <w:adjustRightInd w:val="0"/>
              <w:snapToGrid w:val="0"/>
              <w:spacing w:line="360" w:lineRule="auto"/>
              <w:ind w:left="420" w:leftChars="0" w:hanging="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备品备件供应保障措施，确保设备在运行、维护及故障修复过程中，所需关键零部件能够及时、足量、合规供应。</w:t>
            </w:r>
          </w:p>
          <w:p w14:paraId="0B9D731D">
            <w:pPr>
              <w:numPr>
                <w:ilvl w:val="0"/>
                <w:numId w:val="0"/>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1）满足售后方案，</w:t>
            </w:r>
            <w:r>
              <w:rPr>
                <w:rFonts w:hint="eastAsia" w:ascii="宋体" w:hAnsi="宋体" w:eastAsia="宋体" w:cs="宋体"/>
                <w:color w:val="auto"/>
                <w:sz w:val="21"/>
                <w:szCs w:val="21"/>
              </w:rPr>
              <w:t>售后服务体系完善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人员配置合理、售后承诺具体、贴合采购需求，</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6186CDE">
            <w:pPr>
              <w:numPr>
                <w:ilvl w:val="0"/>
                <w:numId w:val="0"/>
              </w:num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（2）满足售后方案，</w:t>
            </w:r>
            <w:r>
              <w:rPr>
                <w:rFonts w:hint="eastAsia" w:ascii="宋体" w:hAnsi="宋体" w:eastAsia="宋体" w:cs="宋体"/>
                <w:color w:val="auto"/>
                <w:kern w:val="0"/>
                <w:sz w:val="21"/>
                <w:szCs w:val="21"/>
              </w:rPr>
              <w:t>但内容存在1处瑕疵的</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1B70F337">
            <w:pPr>
              <w:numPr>
                <w:ilvl w:val="0"/>
                <w:numId w:val="0"/>
              </w:num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（3）其他情况，</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14:paraId="1F84F254">
            <w:pPr>
              <w:adjustRightInd w:val="0"/>
              <w:snapToGrid w:val="0"/>
              <w:spacing w:line="360"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注：瑕疵是指有缺漏项或</w:t>
            </w:r>
            <w:r>
              <w:rPr>
                <w:rFonts w:hint="eastAsia" w:ascii="宋体" w:hAnsi="宋体" w:eastAsia="宋体" w:cs="宋体"/>
                <w:b/>
                <w:bCs/>
                <w:color w:val="auto"/>
                <w:kern w:val="0"/>
                <w:sz w:val="21"/>
                <w:szCs w:val="21"/>
                <w:lang w:val="en-US" w:eastAsia="zh-CN"/>
              </w:rPr>
              <w:t>语言文字不通畅</w:t>
            </w:r>
            <w:r>
              <w:rPr>
                <w:rFonts w:hint="eastAsia" w:ascii="宋体" w:hAnsi="宋体" w:eastAsia="宋体" w:cs="宋体"/>
                <w:b/>
                <w:bCs/>
                <w:color w:val="auto"/>
                <w:kern w:val="0"/>
                <w:sz w:val="21"/>
                <w:szCs w:val="21"/>
              </w:rPr>
              <w:t>、方案</w:t>
            </w:r>
            <w:r>
              <w:rPr>
                <w:rFonts w:hint="eastAsia" w:ascii="宋体" w:hAnsi="宋体" w:eastAsia="宋体" w:cs="宋体"/>
                <w:b/>
                <w:bCs/>
                <w:color w:val="auto"/>
                <w:kern w:val="0"/>
                <w:sz w:val="21"/>
                <w:szCs w:val="21"/>
                <w:lang w:val="en-US" w:eastAsia="zh-CN"/>
              </w:rPr>
              <w:t>逻辑</w:t>
            </w:r>
            <w:r>
              <w:rPr>
                <w:rFonts w:hint="eastAsia" w:ascii="宋体" w:hAnsi="宋体" w:cs="宋体"/>
                <w:b/>
                <w:bCs/>
                <w:color w:val="auto"/>
                <w:kern w:val="0"/>
                <w:sz w:val="21"/>
                <w:szCs w:val="21"/>
                <w:lang w:val="en-US" w:eastAsia="zh-CN"/>
              </w:rPr>
              <w:t>前后矛盾</w:t>
            </w:r>
            <w:r>
              <w:rPr>
                <w:rFonts w:hint="eastAsia" w:ascii="宋体" w:hAnsi="宋体" w:eastAsia="宋体" w:cs="宋体"/>
                <w:b/>
                <w:bCs/>
                <w:color w:val="auto"/>
                <w:kern w:val="0"/>
                <w:sz w:val="21"/>
                <w:szCs w:val="21"/>
              </w:rPr>
              <w:t>、方案内容不</w:t>
            </w:r>
            <w:r>
              <w:rPr>
                <w:rFonts w:hint="eastAsia" w:ascii="宋体" w:hAnsi="宋体" w:eastAsia="宋体" w:cs="宋体"/>
                <w:b/>
                <w:bCs/>
                <w:color w:val="auto"/>
                <w:kern w:val="0"/>
                <w:sz w:val="21"/>
                <w:szCs w:val="21"/>
                <w:lang w:val="en-US" w:eastAsia="zh-CN"/>
              </w:rPr>
              <w:t>完善</w:t>
            </w:r>
            <w:r>
              <w:rPr>
                <w:rFonts w:hint="eastAsia" w:ascii="宋体" w:hAnsi="宋体" w:eastAsia="宋体" w:cs="宋体"/>
                <w:b/>
                <w:bCs/>
                <w:color w:val="auto"/>
                <w:kern w:val="0"/>
                <w:sz w:val="21"/>
                <w:szCs w:val="21"/>
              </w:rPr>
              <w:t>等。</w:t>
            </w:r>
          </w:p>
          <w:p w14:paraId="229813DA">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auto"/>
                <w:kern w:val="0"/>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D03DEFC">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2E99C93">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主观分</w:t>
            </w:r>
          </w:p>
        </w:tc>
      </w:tr>
      <w:tr w14:paraId="1AF3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B835262">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售后时间</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7467DD15">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供应</w:t>
            </w:r>
            <w:r>
              <w:rPr>
                <w:rFonts w:hint="eastAsia" w:ascii="宋体" w:hAnsi="宋体" w:eastAsia="宋体" w:cs="宋体"/>
                <w:color w:val="auto"/>
                <w:sz w:val="21"/>
                <w:szCs w:val="21"/>
                <w:highlight w:val="none"/>
              </w:rPr>
              <w:t>商能够提供快捷的</w:t>
            </w:r>
            <w:r>
              <w:rPr>
                <w:rFonts w:hint="eastAsia" w:ascii="宋体" w:hAnsi="宋体" w:cs="宋体"/>
                <w:color w:val="auto"/>
                <w:sz w:val="21"/>
                <w:szCs w:val="21"/>
                <w:highlight w:val="none"/>
                <w:lang w:val="en-US" w:eastAsia="zh-CN"/>
              </w:rPr>
              <w:t>售后服务时间</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。根据投标人提供的</w:t>
            </w:r>
            <w:r>
              <w:rPr>
                <w:rFonts w:hint="eastAsia" w:ascii="宋体" w:hAnsi="宋体" w:cs="宋体"/>
                <w:color w:val="auto"/>
                <w:sz w:val="21"/>
                <w:szCs w:val="21"/>
                <w:highlight w:val="none"/>
                <w:lang w:val="en-US" w:eastAsia="zh-CN"/>
              </w:rPr>
              <w:t>售后服务时间</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进行</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eastAsia="zh-CN"/>
              </w:rPr>
              <w:t>。</w:t>
            </w:r>
          </w:p>
          <w:p w14:paraId="41766EF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服务人员能够在1小时（含）以内到达现场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B11E73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服务人员能够在1小时（不含）</w:t>
            </w:r>
            <w:r>
              <w:rPr>
                <w:rFonts w:hint="eastAsia" w:ascii="宋体" w:hAnsi="宋体" w:eastAsia="宋体" w:cs="宋体"/>
                <w:color w:val="auto"/>
                <w:sz w:val="21"/>
                <w:szCs w:val="21"/>
                <w:highlight w:val="none"/>
                <w:lang w:val="en-US" w:eastAsia="zh-CN"/>
              </w:rPr>
              <w:t>至24小时（含）以内</w:t>
            </w:r>
            <w:r>
              <w:rPr>
                <w:rFonts w:hint="eastAsia" w:ascii="宋体" w:hAnsi="宋体" w:eastAsia="宋体" w:cs="宋体"/>
                <w:color w:val="auto"/>
                <w:sz w:val="21"/>
                <w:szCs w:val="21"/>
                <w:highlight w:val="none"/>
              </w:rPr>
              <w:t>到达现场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966B8FE">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auto"/>
                <w:kern w:val="0"/>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rPr>
              <w:t>其他情况，得0分。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FB49C1D">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CA2178C">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客观</w:t>
            </w:r>
          </w:p>
        </w:tc>
      </w:tr>
      <w:tr w14:paraId="46B27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6705" w:type="dxa"/>
            <w:gridSpan w:val="2"/>
            <w:tcBorders>
              <w:top w:val="single" w:color="auto" w:sz="4" w:space="0"/>
              <w:left w:val="single" w:color="auto" w:sz="4" w:space="0"/>
              <w:bottom w:val="single" w:color="auto" w:sz="4" w:space="0"/>
              <w:right w:val="single" w:color="auto" w:sz="4" w:space="0"/>
            </w:tcBorders>
            <w:noWrap w:val="0"/>
            <w:vAlign w:val="center"/>
          </w:tcPr>
          <w:p w14:paraId="60BB51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31C4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100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12E60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4"/>
                <w:szCs w:val="24"/>
                <w:lang w:val="en-US" w:eastAsia="zh-CN"/>
              </w:rPr>
            </w:pPr>
          </w:p>
        </w:tc>
      </w:tr>
    </w:tbl>
    <w:p w14:paraId="45068363">
      <w:pPr>
        <w:rPr>
          <w:rFonts w:hint="eastAsia"/>
          <w:lang w:val="en-US" w:eastAsia="zh-CN"/>
        </w:rPr>
      </w:pPr>
    </w:p>
    <w:p w14:paraId="27D5E1E2">
      <w:pPr>
        <w:keepNext w:val="0"/>
        <w:keepLines w:val="0"/>
        <w:widowControl w:val="0"/>
        <w:suppressLineNumbers w:val="0"/>
        <w:spacing w:before="0" w:beforeAutospacing="0" w:after="0" w:afterAutospacing="0" w:line="380" w:lineRule="exact"/>
        <w:ind w:right="0"/>
        <w:jc w:val="both"/>
        <w:rPr>
          <w:rFonts w:hint="eastAsia" w:ascii="宋体" w:hAnsi="宋体" w:eastAsia="宋体" w:cs="宋体"/>
          <w:kern w:val="2"/>
          <w:sz w:val="21"/>
          <w:szCs w:val="21"/>
          <w:lang w:val="en-US" w:eastAsia="zh-CN" w:bidi="ar"/>
        </w:rPr>
      </w:pPr>
    </w:p>
    <w:p w14:paraId="2DF79BE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kern w:val="2"/>
          <w:sz w:val="21"/>
          <w:szCs w:val="21"/>
          <w:u w:val="single"/>
        </w:rPr>
      </w:pPr>
      <w:r>
        <w:rPr>
          <w:rFonts w:hint="eastAsia" w:ascii="宋体" w:hAnsi="宋体" w:cs="宋体"/>
          <w:kern w:val="2"/>
          <w:sz w:val="21"/>
          <w:szCs w:val="21"/>
          <w:lang w:val="en-US" w:eastAsia="zh-CN" w:bidi="ar"/>
        </w:rPr>
        <w:t>说明：1.</w:t>
      </w:r>
      <w:r>
        <w:rPr>
          <w:rFonts w:hint="eastAsia" w:ascii="宋体" w:hAnsi="宋体" w:cs="宋体"/>
          <w:b/>
          <w:bCs/>
          <w:kern w:val="2"/>
          <w:sz w:val="21"/>
          <w:szCs w:val="21"/>
          <w:u w:val="single"/>
          <w:lang w:val="en-US" w:eastAsia="zh-CN" w:bidi="ar"/>
        </w:rPr>
        <w:t>采购</w:t>
      </w:r>
      <w:r>
        <w:rPr>
          <w:rFonts w:hint="eastAsia" w:ascii="宋体" w:hAnsi="宋体" w:eastAsia="宋体" w:cs="宋体"/>
          <w:b/>
          <w:bCs/>
          <w:kern w:val="2"/>
          <w:sz w:val="21"/>
          <w:szCs w:val="21"/>
          <w:u w:val="single"/>
          <w:lang w:val="en-US" w:eastAsia="zh-CN" w:bidi="ar"/>
        </w:rPr>
        <w:t>文件中加注“★”号为实质条款，若有负偏离或不满足则导致投标无效；</w:t>
      </w:r>
    </w:p>
    <w:p w14:paraId="5346ACFA">
      <w:pPr>
        <w:widowControl/>
        <w:adjustRightInd w:val="0"/>
        <w:snapToGrid w:val="0"/>
        <w:spacing w:before="156" w:beforeLines="50"/>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5.4评标结果汇总完成后，除下列情形外，任何人不得修改评标结果：</w:t>
      </w:r>
    </w:p>
    <w:p w14:paraId="137B9C34">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14:paraId="10C7A85D">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14:paraId="00897D2E">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14:paraId="224B29E7">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14:paraId="3A1E6C60">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0C11A0">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14:paraId="7838D595">
      <w:pPr>
        <w:tabs>
          <w:tab w:val="left" w:pos="0"/>
        </w:tabs>
        <w:adjustRightInd w:val="0"/>
        <w:snapToGrid w:val="0"/>
        <w:spacing w:before="156" w:before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6.推荐中标候选人名单</w:t>
      </w:r>
    </w:p>
    <w:p w14:paraId="173FAF82">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6.1中标候选人家数：3家。</w:t>
      </w:r>
    </w:p>
    <w:p w14:paraId="36CD886A">
      <w:pPr>
        <w:ind w:firstLine="420" w:firstLineChars="200"/>
        <w:sectPr>
          <w:pgSz w:w="11906" w:h="16838"/>
          <w:pgMar w:top="1474" w:right="1531" w:bottom="1474" w:left="1531" w:header="851" w:footer="992" w:gutter="0"/>
          <w:cols w:space="720" w:num="1"/>
          <w:docGrid w:type="lines" w:linePitch="312" w:charSpace="0"/>
        </w:sectPr>
      </w:pPr>
      <w:r>
        <w:rPr>
          <w:rFonts w:hint="eastAsia" w:ascii="宋体" w:hAnsi="宋体" w:cs="宋体"/>
          <w:color w:val="000000" w:themeColor="text1"/>
          <w:szCs w:val="21"/>
          <w14:textFill>
            <w14:solidFill>
              <w14:schemeClr w14:val="tx1"/>
            </w14:solidFill>
          </w14:textFill>
        </w:rPr>
        <w:t>6.2</w:t>
      </w:r>
      <w:r>
        <w:rPr>
          <w:rFonts w:hint="eastAsia"/>
        </w:rPr>
        <w:t xml:space="preserve"> 评标结果按评审后得分由高到低顺序排列。得分相同的，按投标报价由低到高顺序排列。得分且投标报价相同的并列。投标文件满足招标文件全部实质性要求，</w:t>
      </w:r>
      <w:r>
        <w:rPr>
          <w:rFonts w:hint="eastAsia" w:ascii="宋体" w:hAnsi="宋体" w:cs="宋体"/>
          <w:color w:val="000000" w:themeColor="text1"/>
          <w:szCs w:val="21"/>
          <w14:textFill>
            <w14:solidFill>
              <w14:schemeClr w14:val="tx1"/>
            </w14:solidFill>
          </w14:textFill>
        </w:rPr>
        <w:t>且按照评审因素的量化指标评审得分最高的前三名为中标候选人名单。</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投标得分相同的</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按照报价由低到高选择</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得分报价均相同的</w:t>
      </w:r>
      <w:r>
        <w:rPr>
          <w:rFonts w:hint="eastAsia" w:ascii="宋体" w:hAnsi="宋体"/>
          <w:color w:val="000000" w:themeColor="text1"/>
          <w:sz w:val="21"/>
          <w:szCs w:val="21"/>
          <w14:textFill>
            <w14:solidFill>
              <w14:schemeClr w14:val="tx1"/>
            </w14:solidFill>
          </w14:textFill>
        </w:rPr>
        <w:t>，采取随机抽取的方式确定）</w:t>
      </w:r>
    </w:p>
    <w:p w14:paraId="0A4F0358">
      <w:pPr>
        <w:spacing w:line="36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政府采购合同格式、验收书</w:t>
      </w:r>
    </w:p>
    <w:p w14:paraId="572D05FE">
      <w:pPr>
        <w:pStyle w:val="30"/>
        <w:ind w:firstLine="0"/>
        <w:jc w:val="center"/>
        <w:rPr>
          <w:rFonts w:hAnsi="宋体" w:eastAsia="宋体" w:cs="宋体"/>
          <w:b/>
          <w:color w:val="000000" w:themeColor="text1"/>
          <w:szCs w:val="24"/>
          <w14:textFill>
            <w14:solidFill>
              <w14:schemeClr w14:val="tx1"/>
            </w14:solidFill>
          </w14:textFill>
        </w:rPr>
      </w:pPr>
    </w:p>
    <w:p w14:paraId="1A83BECC">
      <w:pPr>
        <w:pStyle w:val="11"/>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A84628F">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EB12BBF">
      <w:pPr>
        <w:rPr>
          <w:rFonts w:ascii="宋体" w:hAnsi="宋体" w:cs="宋体"/>
          <w:b/>
          <w:bCs/>
          <w:spacing w:val="-20"/>
          <w:kern w:val="44"/>
          <w:sz w:val="40"/>
          <w:szCs w:val="40"/>
        </w:rPr>
      </w:pPr>
    </w:p>
    <w:p w14:paraId="0ADB603F">
      <w:pPr>
        <w:rPr>
          <w:rFonts w:ascii="宋体" w:hAnsi="宋体" w:cs="宋体"/>
          <w:b/>
          <w:bCs/>
          <w:spacing w:val="-20"/>
          <w:kern w:val="44"/>
          <w:sz w:val="40"/>
          <w:szCs w:val="40"/>
        </w:rPr>
      </w:pPr>
    </w:p>
    <w:p w14:paraId="29B9FA71">
      <w:pPr>
        <w:rPr>
          <w:rFonts w:ascii="宋体" w:hAnsi="宋体" w:cs="宋体"/>
          <w:b/>
          <w:bCs/>
          <w:spacing w:val="-20"/>
          <w:kern w:val="44"/>
          <w:sz w:val="40"/>
          <w:szCs w:val="40"/>
        </w:rPr>
      </w:pPr>
    </w:p>
    <w:p w14:paraId="155E54B2">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529158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FAA847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8E0D50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D3D080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CEB2D94"/>
    <w:p w14:paraId="31622F02">
      <w:pPr>
        <w:rPr>
          <w:rFonts w:eastAsia="黑体"/>
          <w:sz w:val="44"/>
          <w:szCs w:val="44"/>
        </w:rPr>
      </w:pPr>
      <w:r>
        <w:rPr>
          <w:rFonts w:eastAsia="黑体"/>
          <w:sz w:val="44"/>
          <w:szCs w:val="44"/>
        </w:rPr>
        <w:br w:type="page"/>
      </w:r>
    </w:p>
    <w:p w14:paraId="2BF82E57">
      <w:pPr>
        <w:rPr>
          <w:rFonts w:eastAsia="黑体"/>
          <w:sz w:val="44"/>
          <w:szCs w:val="44"/>
        </w:rPr>
      </w:pPr>
    </w:p>
    <w:p w14:paraId="155C8D46">
      <w:pPr>
        <w:rPr>
          <w:rFonts w:eastAsia="黑体"/>
          <w:sz w:val="44"/>
          <w:szCs w:val="44"/>
        </w:rPr>
      </w:pPr>
    </w:p>
    <w:p w14:paraId="7213548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E0788AA">
      <w:pPr>
        <w:ind w:firstLine="640" w:firstLineChars="200"/>
        <w:rPr>
          <w:rFonts w:hint="eastAsia" w:ascii="仿宋_GB2312" w:hAnsi="仿宋_GB2312" w:eastAsia="仿宋_GB2312" w:cs="仿宋_GB2312"/>
          <w:sz w:val="32"/>
          <w:szCs w:val="32"/>
          <w:lang w:val="en-US" w:eastAsia="zh-CN"/>
        </w:rPr>
      </w:pPr>
    </w:p>
    <w:p w14:paraId="464B4F6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A531B2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64B37C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A1CCD2A">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A05F689">
      <w:pPr>
        <w:pStyle w:val="4"/>
        <w:adjustRightInd w:val="0"/>
        <w:snapToGrid w:val="0"/>
        <w:spacing w:beforeLines="0" w:line="400" w:lineRule="exact"/>
        <w:jc w:val="center"/>
        <w:rPr>
          <w:rFonts w:hint="eastAsia" w:ascii="黑体" w:hAnsi="黑体" w:eastAsia="黑体"/>
          <w:sz w:val="28"/>
          <w:szCs w:val="28"/>
        </w:rPr>
      </w:pPr>
      <w:bookmarkStart w:id="15" w:name="_Toc22209"/>
    </w:p>
    <w:p w14:paraId="005235C3">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14:paraId="7A3817F0">
      <w:pPr>
        <w:pStyle w:val="4"/>
        <w:adjustRightInd w:val="0"/>
        <w:snapToGrid w:val="0"/>
        <w:spacing w:beforeLines="0" w:line="400" w:lineRule="exact"/>
        <w:jc w:val="center"/>
        <w:rPr>
          <w:rFonts w:hint="eastAsia" w:ascii="黑体" w:hAnsi="华文中宋" w:eastAsia="黑体"/>
          <w:b w:val="0"/>
          <w:bCs w:val="0"/>
          <w:sz w:val="28"/>
          <w:szCs w:val="28"/>
        </w:rPr>
      </w:pPr>
    </w:p>
    <w:p w14:paraId="5C7F326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944A22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0D6BA5C">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716998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DF78717">
      <w:pPr>
        <w:spacing w:beforeLines="0" w:line="400" w:lineRule="exact"/>
        <w:rPr>
          <w:rFonts w:hint="default" w:eastAsia="宋体"/>
          <w:lang w:val="en-US" w:eastAsia="zh-CN"/>
        </w:rPr>
      </w:pPr>
    </w:p>
    <w:p w14:paraId="02792797">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BE06AC2">
      <w:pPr>
        <w:numPr>
          <w:ilvl w:val="0"/>
          <w:numId w:val="13"/>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B339612">
      <w:pPr>
        <w:pStyle w:val="12"/>
        <w:numPr>
          <w:ilvl w:val="0"/>
          <w:numId w:val="14"/>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53602859">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311CAA4">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CC5F36F">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FE2F4B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C88BF6B">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42EDD25">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6026A1F">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5E3DBF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1401D39">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110CE74">
      <w:pPr>
        <w:pStyle w:val="2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546DC43">
      <w:pPr>
        <w:pStyle w:val="2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2BA053D">
      <w:pPr>
        <w:pStyle w:val="2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79B4BC5">
      <w:pPr>
        <w:pStyle w:val="2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3C5D811">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BC92026">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8E1CCDE">
      <w:pPr>
        <w:pStyle w:val="2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FD3D31D">
      <w:pPr>
        <w:pStyle w:val="2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396CE0B">
      <w:pPr>
        <w:pStyle w:val="28"/>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8060588">
      <w:pPr>
        <w:pStyle w:val="28"/>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8036D22">
      <w:pPr>
        <w:pStyle w:val="28"/>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1DF2325">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6364C19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EFDE8A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50E843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A44308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8B20E0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632D3DF">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9BD0FE8">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BFA59C7">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538ABDC">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2163D8E6">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F89EF52">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853F63A">
      <w:pPr>
        <w:pStyle w:val="2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7FF18412">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34E05D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14579C2">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55F9CF4">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916EE7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041D7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0A60BD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D5397F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024377D">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F304CD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E7F18D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D25A96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6B9BBEE">
      <w:pPr>
        <w:pStyle w:val="28"/>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5EEE88B">
      <w:pPr>
        <w:pStyle w:val="2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7133DD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30AC705">
      <w:pPr>
        <w:pStyle w:val="2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F5FB10F">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F77455F">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89B625B">
      <w:pPr>
        <w:numPr>
          <w:ilvl w:val="0"/>
          <w:numId w:val="13"/>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938BA5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F514D11">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95FFF71">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25334E7">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CE9DA0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4C6254">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FB4C63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1677B2">
      <w:pPr>
        <w:pStyle w:val="4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B43611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236F76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E0F9AD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E4A99E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870EF36">
      <w:pPr>
        <w:numPr>
          <w:ilvl w:val="0"/>
          <w:numId w:val="13"/>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E2B6254">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E59E7F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B10FF63">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4C110D6">
      <w:pPr>
        <w:pStyle w:val="2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2BFBAE9">
      <w:pPr>
        <w:pStyle w:val="2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67B49A3">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C29D5C3">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50E157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5B45231">
      <w:pPr>
        <w:numPr>
          <w:ilvl w:val="0"/>
          <w:numId w:val="13"/>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89544C3">
      <w:pPr>
        <w:numPr>
          <w:ilvl w:val="0"/>
          <w:numId w:val="1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4C58D82">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DF20E5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8C61F7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63490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7CAE7F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47FD5D7">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74144E0">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3426EB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7FD92F0">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1D64D6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63B444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AAE251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51F38A6">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9502DF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36BB5E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BF78C0E">
      <w:pPr>
        <w:pStyle w:val="2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CF17D5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38F477A">
      <w:pPr>
        <w:numPr>
          <w:ilvl w:val="0"/>
          <w:numId w:val="1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C18399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77A6FC8">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2284FA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C843C4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37E80D6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A3C4B5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A5143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A713A7">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7F15F806">
      <w:pPr>
        <w:pStyle w:val="2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6F8BC71">
      <w:pPr>
        <w:numPr>
          <w:ilvl w:val="0"/>
          <w:numId w:val="1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EA9085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D07E159">
      <w:pPr>
        <w:numPr>
          <w:ilvl w:val="0"/>
          <w:numId w:val="1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3E480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8419E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150B0E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74EF98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3CA4A2A">
      <w:pPr>
        <w:pStyle w:val="41"/>
        <w:spacing w:beforeLines="0" w:line="400" w:lineRule="exact"/>
      </w:pPr>
    </w:p>
    <w:p w14:paraId="5285B416">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1EF9AFD">
      <w:pPr>
        <w:rPr>
          <w:rFonts w:hint="eastAsia"/>
        </w:rPr>
      </w:pPr>
      <w:r>
        <w:rPr>
          <w:rFonts w:hint="eastAsia"/>
        </w:rPr>
        <w:br w:type="page"/>
      </w:r>
    </w:p>
    <w:p w14:paraId="753ED8E7">
      <w:pPr>
        <w:pStyle w:val="41"/>
        <w:rPr>
          <w:rFonts w:hint="eastAsia"/>
        </w:rPr>
      </w:pPr>
    </w:p>
    <w:tbl>
      <w:tblPr>
        <w:tblStyle w:val="23"/>
        <w:tblW w:w="943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24"/>
        <w:gridCol w:w="2708"/>
        <w:gridCol w:w="2222"/>
        <w:gridCol w:w="2376"/>
      </w:tblGrid>
      <w:tr w14:paraId="6E542B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32" w:type="dxa"/>
            <w:gridSpan w:val="2"/>
            <w:tcBorders>
              <w:bottom w:val="single" w:color="auto" w:sz="2" w:space="0"/>
              <w:right w:val="single" w:color="auto" w:sz="2" w:space="0"/>
            </w:tcBorders>
            <w:vAlign w:val="center"/>
          </w:tcPr>
          <w:p w14:paraId="480C05A3">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598" w:type="dxa"/>
            <w:gridSpan w:val="2"/>
            <w:tcBorders>
              <w:left w:val="single" w:color="auto" w:sz="2" w:space="0"/>
              <w:bottom w:val="single" w:color="auto" w:sz="2" w:space="0"/>
            </w:tcBorders>
            <w:vAlign w:val="center"/>
          </w:tcPr>
          <w:p w14:paraId="541E58D0">
            <w:pPr>
              <w:adjustRightInd w:val="0"/>
              <w:snapToGrid w:val="0"/>
              <w:spacing w:line="300" w:lineRule="exact"/>
              <w:jc w:val="center"/>
            </w:pPr>
            <w:r>
              <w:rPr>
                <w:szCs w:val="21"/>
              </w:rPr>
              <w:t>乙方</w:t>
            </w:r>
            <w:r>
              <w:rPr>
                <w:rFonts w:hint="eastAsia"/>
                <w:szCs w:val="21"/>
              </w:rPr>
              <w:t>（供应商）</w:t>
            </w:r>
          </w:p>
        </w:tc>
      </w:tr>
      <w:tr w14:paraId="054117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24" w:type="dxa"/>
            <w:tcBorders>
              <w:top w:val="single" w:color="auto" w:sz="2" w:space="0"/>
              <w:bottom w:val="single" w:color="auto" w:sz="2" w:space="0"/>
              <w:right w:val="single" w:color="auto" w:sz="2" w:space="0"/>
            </w:tcBorders>
            <w:vAlign w:val="center"/>
          </w:tcPr>
          <w:p w14:paraId="37139B0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708" w:type="dxa"/>
            <w:tcBorders>
              <w:top w:val="single" w:color="auto" w:sz="2" w:space="0"/>
              <w:left w:val="single" w:color="auto" w:sz="2" w:space="0"/>
              <w:bottom w:val="single" w:color="auto" w:sz="2" w:space="0"/>
              <w:right w:val="single" w:color="auto" w:sz="2" w:space="0"/>
            </w:tcBorders>
            <w:vAlign w:val="center"/>
          </w:tcPr>
          <w:p w14:paraId="531C7DB3">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5C36747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376" w:type="dxa"/>
            <w:tcBorders>
              <w:top w:val="single" w:color="auto" w:sz="2" w:space="0"/>
              <w:left w:val="single" w:color="auto" w:sz="2" w:space="0"/>
              <w:bottom w:val="single" w:color="auto" w:sz="2" w:space="0"/>
            </w:tcBorders>
            <w:vAlign w:val="center"/>
          </w:tcPr>
          <w:p w14:paraId="6CA65581">
            <w:pPr>
              <w:adjustRightInd w:val="0"/>
              <w:snapToGrid w:val="0"/>
              <w:spacing w:line="300" w:lineRule="exact"/>
              <w:jc w:val="center"/>
              <w:rPr>
                <w:spacing w:val="20"/>
                <w:szCs w:val="21"/>
              </w:rPr>
            </w:pPr>
          </w:p>
        </w:tc>
      </w:tr>
      <w:tr w14:paraId="14D590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24" w:type="dxa"/>
            <w:vMerge w:val="restart"/>
            <w:tcBorders>
              <w:top w:val="single" w:color="auto" w:sz="2" w:space="0"/>
              <w:right w:val="single" w:color="auto" w:sz="2" w:space="0"/>
            </w:tcBorders>
            <w:vAlign w:val="center"/>
          </w:tcPr>
          <w:p w14:paraId="7D9145D5">
            <w:pPr>
              <w:adjustRightInd w:val="0"/>
              <w:snapToGrid w:val="0"/>
              <w:spacing w:line="300" w:lineRule="exact"/>
              <w:jc w:val="center"/>
              <w:rPr>
                <w:szCs w:val="21"/>
              </w:rPr>
            </w:pPr>
            <w:r>
              <w:rPr>
                <w:szCs w:val="21"/>
              </w:rPr>
              <w:t>法定代表人</w:t>
            </w:r>
          </w:p>
          <w:p w14:paraId="79FB208E">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708" w:type="dxa"/>
            <w:vMerge w:val="restart"/>
            <w:tcBorders>
              <w:top w:val="single" w:color="auto" w:sz="2" w:space="0"/>
              <w:left w:val="single" w:color="auto" w:sz="2" w:space="0"/>
              <w:right w:val="single" w:color="auto" w:sz="2" w:space="0"/>
            </w:tcBorders>
            <w:vAlign w:val="center"/>
          </w:tcPr>
          <w:p w14:paraId="0F9521C9">
            <w:pPr>
              <w:adjustRightInd w:val="0"/>
              <w:snapToGrid w:val="0"/>
              <w:spacing w:line="300" w:lineRule="exact"/>
              <w:jc w:val="center"/>
              <w:rPr>
                <w:szCs w:val="21"/>
              </w:rPr>
            </w:pPr>
          </w:p>
        </w:tc>
        <w:tc>
          <w:tcPr>
            <w:tcW w:w="2222" w:type="dxa"/>
            <w:tcBorders>
              <w:top w:val="single" w:color="auto" w:sz="2" w:space="0"/>
              <w:left w:val="single" w:color="auto" w:sz="2" w:space="0"/>
              <w:right w:val="single" w:color="auto" w:sz="2" w:space="0"/>
            </w:tcBorders>
            <w:vAlign w:val="center"/>
          </w:tcPr>
          <w:p w14:paraId="226687F2">
            <w:pPr>
              <w:adjustRightInd w:val="0"/>
              <w:snapToGrid w:val="0"/>
              <w:spacing w:line="300" w:lineRule="exact"/>
              <w:jc w:val="center"/>
              <w:rPr>
                <w:szCs w:val="21"/>
              </w:rPr>
            </w:pPr>
            <w:r>
              <w:rPr>
                <w:szCs w:val="21"/>
              </w:rPr>
              <w:t>法定代表人</w:t>
            </w:r>
          </w:p>
          <w:p w14:paraId="78FEBFC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376" w:type="dxa"/>
            <w:tcBorders>
              <w:top w:val="single" w:color="auto" w:sz="2" w:space="0"/>
              <w:left w:val="single" w:color="auto" w:sz="2" w:space="0"/>
              <w:bottom w:val="single" w:color="auto" w:sz="2" w:space="0"/>
            </w:tcBorders>
            <w:vAlign w:val="center"/>
          </w:tcPr>
          <w:p w14:paraId="17DC0F4D">
            <w:pPr>
              <w:adjustRightInd w:val="0"/>
              <w:snapToGrid w:val="0"/>
              <w:spacing w:line="300" w:lineRule="exact"/>
              <w:jc w:val="center"/>
              <w:rPr>
                <w:szCs w:val="21"/>
              </w:rPr>
            </w:pPr>
          </w:p>
        </w:tc>
      </w:tr>
      <w:tr w14:paraId="6039F2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vMerge w:val="continue"/>
            <w:tcBorders>
              <w:bottom w:val="single" w:color="auto" w:sz="2" w:space="0"/>
              <w:right w:val="single" w:color="auto" w:sz="2" w:space="0"/>
            </w:tcBorders>
            <w:vAlign w:val="center"/>
          </w:tcPr>
          <w:p w14:paraId="28389C3B">
            <w:pPr>
              <w:adjustRightInd w:val="0"/>
              <w:snapToGrid w:val="0"/>
              <w:spacing w:line="300" w:lineRule="exact"/>
              <w:jc w:val="center"/>
              <w:rPr>
                <w:szCs w:val="21"/>
              </w:rPr>
            </w:pPr>
          </w:p>
        </w:tc>
        <w:tc>
          <w:tcPr>
            <w:tcW w:w="2708" w:type="dxa"/>
            <w:vMerge w:val="continue"/>
            <w:tcBorders>
              <w:left w:val="single" w:color="auto" w:sz="2" w:space="0"/>
              <w:bottom w:val="single" w:color="auto" w:sz="2" w:space="0"/>
              <w:right w:val="single" w:color="auto" w:sz="2" w:space="0"/>
            </w:tcBorders>
            <w:vAlign w:val="center"/>
          </w:tcPr>
          <w:p w14:paraId="44C0D34E">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19458019">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376" w:type="dxa"/>
            <w:tcBorders>
              <w:top w:val="single" w:color="auto" w:sz="2" w:space="0"/>
              <w:left w:val="single" w:color="auto" w:sz="2" w:space="0"/>
              <w:bottom w:val="single" w:color="auto" w:sz="2" w:space="0"/>
            </w:tcBorders>
            <w:vAlign w:val="center"/>
          </w:tcPr>
          <w:p w14:paraId="7DCD8F1E">
            <w:pPr>
              <w:adjustRightInd w:val="0"/>
              <w:snapToGrid w:val="0"/>
              <w:spacing w:line="300" w:lineRule="exact"/>
              <w:jc w:val="center"/>
              <w:rPr>
                <w:spacing w:val="20"/>
                <w:szCs w:val="21"/>
              </w:rPr>
            </w:pPr>
          </w:p>
        </w:tc>
      </w:tr>
      <w:tr w14:paraId="01C4C8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2C75CEDC">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708" w:type="dxa"/>
            <w:tcBorders>
              <w:top w:val="single" w:color="auto" w:sz="2" w:space="0"/>
              <w:left w:val="single" w:color="auto" w:sz="2" w:space="0"/>
              <w:bottom w:val="single" w:color="auto" w:sz="2" w:space="0"/>
              <w:right w:val="single" w:color="auto" w:sz="2" w:space="0"/>
            </w:tcBorders>
            <w:vAlign w:val="center"/>
          </w:tcPr>
          <w:p w14:paraId="30124A1C">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7010819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376" w:type="dxa"/>
            <w:tcBorders>
              <w:top w:val="single" w:color="auto" w:sz="2" w:space="0"/>
              <w:left w:val="single" w:color="auto" w:sz="2" w:space="0"/>
              <w:bottom w:val="single" w:color="auto" w:sz="2" w:space="0"/>
            </w:tcBorders>
            <w:vAlign w:val="center"/>
          </w:tcPr>
          <w:p w14:paraId="4A33F8DF">
            <w:pPr>
              <w:adjustRightInd w:val="0"/>
              <w:snapToGrid w:val="0"/>
              <w:spacing w:line="300" w:lineRule="exact"/>
              <w:jc w:val="center"/>
              <w:rPr>
                <w:spacing w:val="20"/>
                <w:szCs w:val="21"/>
              </w:rPr>
            </w:pPr>
          </w:p>
        </w:tc>
      </w:tr>
      <w:tr w14:paraId="13319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7CA6E096">
            <w:pPr>
              <w:adjustRightInd w:val="0"/>
              <w:snapToGrid w:val="0"/>
              <w:spacing w:line="300" w:lineRule="exact"/>
              <w:jc w:val="center"/>
              <w:rPr>
                <w:szCs w:val="21"/>
              </w:rPr>
            </w:pPr>
            <w:r>
              <w:rPr>
                <w:szCs w:val="21"/>
              </w:rPr>
              <w:t>联 系 人</w:t>
            </w:r>
          </w:p>
        </w:tc>
        <w:tc>
          <w:tcPr>
            <w:tcW w:w="2708" w:type="dxa"/>
            <w:tcBorders>
              <w:top w:val="single" w:color="auto" w:sz="2" w:space="0"/>
              <w:left w:val="single" w:color="auto" w:sz="2" w:space="0"/>
              <w:bottom w:val="single" w:color="auto" w:sz="2" w:space="0"/>
              <w:right w:val="single" w:color="auto" w:sz="2" w:space="0"/>
            </w:tcBorders>
            <w:vAlign w:val="center"/>
          </w:tcPr>
          <w:p w14:paraId="66F8979E">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4EDFAA09">
            <w:pPr>
              <w:adjustRightInd w:val="0"/>
              <w:snapToGrid w:val="0"/>
              <w:spacing w:line="300" w:lineRule="exact"/>
              <w:jc w:val="center"/>
              <w:rPr>
                <w:szCs w:val="21"/>
              </w:rPr>
            </w:pPr>
            <w:r>
              <w:rPr>
                <w:szCs w:val="21"/>
              </w:rPr>
              <w:t>联 系 人</w:t>
            </w:r>
          </w:p>
        </w:tc>
        <w:tc>
          <w:tcPr>
            <w:tcW w:w="2376" w:type="dxa"/>
            <w:tcBorders>
              <w:top w:val="single" w:color="auto" w:sz="2" w:space="0"/>
              <w:left w:val="single" w:color="auto" w:sz="2" w:space="0"/>
              <w:bottom w:val="single" w:color="auto" w:sz="2" w:space="0"/>
            </w:tcBorders>
            <w:vAlign w:val="center"/>
          </w:tcPr>
          <w:p w14:paraId="68BA70F1">
            <w:pPr>
              <w:adjustRightInd w:val="0"/>
              <w:snapToGrid w:val="0"/>
              <w:spacing w:line="300" w:lineRule="exact"/>
              <w:jc w:val="center"/>
              <w:rPr>
                <w:spacing w:val="20"/>
                <w:szCs w:val="21"/>
              </w:rPr>
            </w:pPr>
          </w:p>
        </w:tc>
      </w:tr>
      <w:tr w14:paraId="6AE1AF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24F5DEE6">
            <w:pPr>
              <w:adjustRightInd w:val="0"/>
              <w:snapToGrid w:val="0"/>
              <w:spacing w:line="300" w:lineRule="exact"/>
              <w:jc w:val="center"/>
              <w:rPr>
                <w:szCs w:val="21"/>
              </w:rPr>
            </w:pPr>
            <w:r>
              <w:rPr>
                <w:szCs w:val="21"/>
              </w:rPr>
              <w:t>联系电话</w:t>
            </w:r>
          </w:p>
        </w:tc>
        <w:tc>
          <w:tcPr>
            <w:tcW w:w="2708" w:type="dxa"/>
            <w:tcBorders>
              <w:top w:val="single" w:color="auto" w:sz="2" w:space="0"/>
              <w:left w:val="single" w:color="auto" w:sz="2" w:space="0"/>
              <w:bottom w:val="single" w:color="auto" w:sz="2" w:space="0"/>
              <w:right w:val="single" w:color="auto" w:sz="2" w:space="0"/>
            </w:tcBorders>
            <w:vAlign w:val="center"/>
          </w:tcPr>
          <w:p w14:paraId="4D03453F">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64FBF189">
            <w:pPr>
              <w:adjustRightInd w:val="0"/>
              <w:snapToGrid w:val="0"/>
              <w:spacing w:line="300" w:lineRule="exact"/>
              <w:jc w:val="center"/>
              <w:rPr>
                <w:szCs w:val="21"/>
              </w:rPr>
            </w:pPr>
            <w:r>
              <w:rPr>
                <w:szCs w:val="21"/>
              </w:rPr>
              <w:t>联系电话</w:t>
            </w:r>
          </w:p>
        </w:tc>
        <w:tc>
          <w:tcPr>
            <w:tcW w:w="2376" w:type="dxa"/>
            <w:tcBorders>
              <w:top w:val="single" w:color="auto" w:sz="2" w:space="0"/>
              <w:left w:val="single" w:color="auto" w:sz="2" w:space="0"/>
              <w:bottom w:val="single" w:color="auto" w:sz="2" w:space="0"/>
            </w:tcBorders>
            <w:vAlign w:val="center"/>
          </w:tcPr>
          <w:p w14:paraId="118E100A">
            <w:pPr>
              <w:adjustRightInd w:val="0"/>
              <w:snapToGrid w:val="0"/>
              <w:spacing w:line="300" w:lineRule="exact"/>
              <w:jc w:val="center"/>
              <w:rPr>
                <w:spacing w:val="20"/>
                <w:szCs w:val="21"/>
              </w:rPr>
            </w:pPr>
          </w:p>
        </w:tc>
      </w:tr>
      <w:tr w14:paraId="28E55A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75A6113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708" w:type="dxa"/>
            <w:tcBorders>
              <w:top w:val="single" w:color="auto" w:sz="2" w:space="0"/>
              <w:left w:val="single" w:color="auto" w:sz="2" w:space="0"/>
              <w:bottom w:val="single" w:color="auto" w:sz="2" w:space="0"/>
              <w:right w:val="single" w:color="auto" w:sz="2" w:space="0"/>
            </w:tcBorders>
            <w:vAlign w:val="center"/>
          </w:tcPr>
          <w:p w14:paraId="7E5F370E">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2A9D9103">
            <w:pPr>
              <w:adjustRightInd w:val="0"/>
              <w:snapToGrid w:val="0"/>
              <w:spacing w:line="300" w:lineRule="exact"/>
              <w:jc w:val="center"/>
              <w:rPr>
                <w:szCs w:val="21"/>
              </w:rPr>
            </w:pPr>
            <w:r>
              <w:rPr>
                <w:rFonts w:hint="eastAsia"/>
                <w:szCs w:val="21"/>
                <w:lang w:eastAsia="zh-CN"/>
              </w:rPr>
              <w:t>通信地址</w:t>
            </w:r>
          </w:p>
        </w:tc>
        <w:tc>
          <w:tcPr>
            <w:tcW w:w="2376" w:type="dxa"/>
            <w:tcBorders>
              <w:top w:val="single" w:color="auto" w:sz="2" w:space="0"/>
              <w:left w:val="single" w:color="auto" w:sz="2" w:space="0"/>
              <w:bottom w:val="single" w:color="auto" w:sz="2" w:space="0"/>
            </w:tcBorders>
            <w:vAlign w:val="center"/>
          </w:tcPr>
          <w:p w14:paraId="5AFC7F5A">
            <w:pPr>
              <w:adjustRightInd w:val="0"/>
              <w:snapToGrid w:val="0"/>
              <w:spacing w:line="300" w:lineRule="exact"/>
              <w:jc w:val="center"/>
              <w:rPr>
                <w:spacing w:val="20"/>
                <w:szCs w:val="21"/>
              </w:rPr>
            </w:pPr>
          </w:p>
        </w:tc>
      </w:tr>
      <w:tr w14:paraId="297E85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43286635">
            <w:pPr>
              <w:adjustRightInd w:val="0"/>
              <w:snapToGrid w:val="0"/>
              <w:spacing w:line="300" w:lineRule="exact"/>
              <w:jc w:val="center"/>
              <w:rPr>
                <w:szCs w:val="21"/>
              </w:rPr>
            </w:pPr>
            <w:r>
              <w:rPr>
                <w:szCs w:val="21"/>
              </w:rPr>
              <w:t>邮政编码</w:t>
            </w:r>
          </w:p>
        </w:tc>
        <w:tc>
          <w:tcPr>
            <w:tcW w:w="2708" w:type="dxa"/>
            <w:tcBorders>
              <w:top w:val="single" w:color="auto" w:sz="2" w:space="0"/>
              <w:left w:val="single" w:color="auto" w:sz="2" w:space="0"/>
              <w:bottom w:val="single" w:color="auto" w:sz="2" w:space="0"/>
              <w:right w:val="single" w:color="auto" w:sz="2" w:space="0"/>
            </w:tcBorders>
            <w:vAlign w:val="center"/>
          </w:tcPr>
          <w:p w14:paraId="5D7FD15B">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3AEC5CB7">
            <w:pPr>
              <w:adjustRightInd w:val="0"/>
              <w:snapToGrid w:val="0"/>
              <w:spacing w:line="300" w:lineRule="exact"/>
              <w:jc w:val="center"/>
              <w:rPr>
                <w:szCs w:val="21"/>
              </w:rPr>
            </w:pPr>
            <w:r>
              <w:rPr>
                <w:szCs w:val="21"/>
              </w:rPr>
              <w:t>邮政编码</w:t>
            </w:r>
          </w:p>
        </w:tc>
        <w:tc>
          <w:tcPr>
            <w:tcW w:w="2376" w:type="dxa"/>
            <w:tcBorders>
              <w:top w:val="single" w:color="auto" w:sz="2" w:space="0"/>
              <w:left w:val="single" w:color="auto" w:sz="2" w:space="0"/>
              <w:bottom w:val="single" w:color="auto" w:sz="2" w:space="0"/>
            </w:tcBorders>
            <w:vAlign w:val="center"/>
          </w:tcPr>
          <w:p w14:paraId="79915438">
            <w:pPr>
              <w:adjustRightInd w:val="0"/>
              <w:snapToGrid w:val="0"/>
              <w:spacing w:line="300" w:lineRule="exact"/>
              <w:jc w:val="center"/>
              <w:rPr>
                <w:spacing w:val="20"/>
                <w:szCs w:val="21"/>
              </w:rPr>
            </w:pPr>
          </w:p>
        </w:tc>
      </w:tr>
      <w:tr w14:paraId="4CFCA2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2AE185C0">
            <w:pPr>
              <w:adjustRightInd w:val="0"/>
              <w:snapToGrid w:val="0"/>
              <w:spacing w:line="300" w:lineRule="exact"/>
              <w:jc w:val="center"/>
              <w:rPr>
                <w:szCs w:val="21"/>
              </w:rPr>
            </w:pPr>
            <w:r>
              <w:rPr>
                <w:rFonts w:hint="eastAsia"/>
                <w:szCs w:val="21"/>
              </w:rPr>
              <w:t>电子邮箱</w:t>
            </w:r>
          </w:p>
        </w:tc>
        <w:tc>
          <w:tcPr>
            <w:tcW w:w="2708" w:type="dxa"/>
            <w:tcBorders>
              <w:top w:val="single" w:color="auto" w:sz="2" w:space="0"/>
              <w:left w:val="single" w:color="auto" w:sz="2" w:space="0"/>
              <w:bottom w:val="single" w:color="auto" w:sz="2" w:space="0"/>
              <w:right w:val="single" w:color="auto" w:sz="2" w:space="0"/>
            </w:tcBorders>
            <w:vAlign w:val="center"/>
          </w:tcPr>
          <w:p w14:paraId="1DAAB4C9">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69BA22B1">
            <w:pPr>
              <w:adjustRightInd w:val="0"/>
              <w:snapToGrid w:val="0"/>
              <w:spacing w:line="300" w:lineRule="exact"/>
              <w:jc w:val="center"/>
              <w:rPr>
                <w:szCs w:val="21"/>
              </w:rPr>
            </w:pPr>
            <w:r>
              <w:rPr>
                <w:rFonts w:hint="eastAsia"/>
                <w:szCs w:val="21"/>
              </w:rPr>
              <w:t>电子邮箱</w:t>
            </w:r>
          </w:p>
        </w:tc>
        <w:tc>
          <w:tcPr>
            <w:tcW w:w="2376" w:type="dxa"/>
            <w:tcBorders>
              <w:top w:val="single" w:color="auto" w:sz="2" w:space="0"/>
              <w:left w:val="single" w:color="auto" w:sz="2" w:space="0"/>
              <w:bottom w:val="single" w:color="auto" w:sz="2" w:space="0"/>
            </w:tcBorders>
            <w:vAlign w:val="center"/>
          </w:tcPr>
          <w:p w14:paraId="6D609EA4">
            <w:pPr>
              <w:adjustRightInd w:val="0"/>
              <w:snapToGrid w:val="0"/>
              <w:spacing w:line="300" w:lineRule="exact"/>
              <w:jc w:val="center"/>
              <w:rPr>
                <w:spacing w:val="20"/>
                <w:szCs w:val="21"/>
              </w:rPr>
            </w:pPr>
          </w:p>
        </w:tc>
      </w:tr>
      <w:tr w14:paraId="5EA777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4367A87C">
            <w:pPr>
              <w:adjustRightInd w:val="0"/>
              <w:snapToGrid w:val="0"/>
              <w:spacing w:line="300" w:lineRule="exact"/>
              <w:jc w:val="center"/>
              <w:rPr>
                <w:szCs w:val="21"/>
              </w:rPr>
            </w:pPr>
            <w:r>
              <w:rPr>
                <w:rFonts w:hint="eastAsia"/>
                <w:szCs w:val="21"/>
              </w:rPr>
              <w:t>统一社会信用代码</w:t>
            </w:r>
          </w:p>
        </w:tc>
        <w:tc>
          <w:tcPr>
            <w:tcW w:w="2708" w:type="dxa"/>
            <w:tcBorders>
              <w:top w:val="single" w:color="auto" w:sz="2" w:space="0"/>
              <w:left w:val="single" w:color="auto" w:sz="2" w:space="0"/>
              <w:bottom w:val="single" w:color="auto" w:sz="2" w:space="0"/>
              <w:right w:val="single" w:color="auto" w:sz="2" w:space="0"/>
            </w:tcBorders>
            <w:vAlign w:val="center"/>
          </w:tcPr>
          <w:p w14:paraId="624F630C">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1114F3E1">
            <w:pPr>
              <w:adjustRightInd w:val="0"/>
              <w:snapToGrid w:val="0"/>
              <w:spacing w:line="300" w:lineRule="exact"/>
              <w:jc w:val="center"/>
              <w:rPr>
                <w:szCs w:val="21"/>
              </w:rPr>
            </w:pPr>
            <w:r>
              <w:rPr>
                <w:rFonts w:hint="eastAsia"/>
                <w:szCs w:val="21"/>
              </w:rPr>
              <w:t>统一社会信用代码</w:t>
            </w:r>
          </w:p>
        </w:tc>
        <w:tc>
          <w:tcPr>
            <w:tcW w:w="2376" w:type="dxa"/>
            <w:tcBorders>
              <w:top w:val="single" w:color="auto" w:sz="2" w:space="0"/>
              <w:left w:val="single" w:color="auto" w:sz="2" w:space="0"/>
              <w:bottom w:val="single" w:color="auto" w:sz="2" w:space="0"/>
            </w:tcBorders>
            <w:vAlign w:val="center"/>
          </w:tcPr>
          <w:p w14:paraId="64893204">
            <w:pPr>
              <w:adjustRightInd w:val="0"/>
              <w:snapToGrid w:val="0"/>
              <w:spacing w:line="300" w:lineRule="exact"/>
              <w:jc w:val="center"/>
              <w:rPr>
                <w:spacing w:val="20"/>
                <w:szCs w:val="21"/>
              </w:rPr>
            </w:pPr>
          </w:p>
        </w:tc>
      </w:tr>
      <w:tr w14:paraId="2E66D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0D704519">
            <w:pPr>
              <w:adjustRightInd w:val="0"/>
              <w:snapToGrid w:val="0"/>
              <w:spacing w:line="300" w:lineRule="exact"/>
              <w:jc w:val="center"/>
              <w:rPr>
                <w:szCs w:val="21"/>
              </w:rPr>
            </w:pPr>
          </w:p>
        </w:tc>
        <w:tc>
          <w:tcPr>
            <w:tcW w:w="2708" w:type="dxa"/>
            <w:tcBorders>
              <w:top w:val="single" w:color="auto" w:sz="2" w:space="0"/>
              <w:left w:val="single" w:color="auto" w:sz="2" w:space="0"/>
              <w:bottom w:val="single" w:color="auto" w:sz="2" w:space="0"/>
              <w:right w:val="single" w:color="auto" w:sz="2" w:space="0"/>
            </w:tcBorders>
            <w:vAlign w:val="center"/>
          </w:tcPr>
          <w:p w14:paraId="34541916">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192A0DB0">
            <w:pPr>
              <w:adjustRightInd w:val="0"/>
              <w:snapToGrid w:val="0"/>
              <w:spacing w:line="300" w:lineRule="exact"/>
              <w:jc w:val="center"/>
              <w:rPr>
                <w:szCs w:val="21"/>
              </w:rPr>
            </w:pPr>
            <w:r>
              <w:rPr>
                <w:szCs w:val="21"/>
              </w:rPr>
              <w:t>开户名称</w:t>
            </w:r>
          </w:p>
        </w:tc>
        <w:tc>
          <w:tcPr>
            <w:tcW w:w="2376" w:type="dxa"/>
            <w:tcBorders>
              <w:top w:val="single" w:color="auto" w:sz="2" w:space="0"/>
              <w:left w:val="single" w:color="auto" w:sz="2" w:space="0"/>
              <w:bottom w:val="single" w:color="auto" w:sz="2" w:space="0"/>
            </w:tcBorders>
            <w:vAlign w:val="center"/>
          </w:tcPr>
          <w:p w14:paraId="242F6520">
            <w:pPr>
              <w:adjustRightInd w:val="0"/>
              <w:snapToGrid w:val="0"/>
              <w:spacing w:line="300" w:lineRule="exact"/>
              <w:jc w:val="center"/>
              <w:rPr>
                <w:spacing w:val="20"/>
                <w:szCs w:val="21"/>
              </w:rPr>
            </w:pPr>
          </w:p>
        </w:tc>
      </w:tr>
      <w:tr w14:paraId="5E543C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33E2F790">
            <w:pPr>
              <w:adjustRightInd w:val="0"/>
              <w:snapToGrid w:val="0"/>
              <w:spacing w:line="300" w:lineRule="exact"/>
              <w:jc w:val="center"/>
              <w:rPr>
                <w:szCs w:val="21"/>
              </w:rPr>
            </w:pPr>
          </w:p>
        </w:tc>
        <w:tc>
          <w:tcPr>
            <w:tcW w:w="2708" w:type="dxa"/>
            <w:tcBorders>
              <w:top w:val="single" w:color="auto" w:sz="2" w:space="0"/>
              <w:left w:val="single" w:color="auto" w:sz="2" w:space="0"/>
              <w:bottom w:val="single" w:color="auto" w:sz="2" w:space="0"/>
              <w:right w:val="single" w:color="auto" w:sz="2" w:space="0"/>
            </w:tcBorders>
            <w:vAlign w:val="center"/>
          </w:tcPr>
          <w:p w14:paraId="1535CC88">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6EFDE6FD">
            <w:pPr>
              <w:adjustRightInd w:val="0"/>
              <w:snapToGrid w:val="0"/>
              <w:spacing w:line="300" w:lineRule="exact"/>
              <w:jc w:val="center"/>
              <w:rPr>
                <w:szCs w:val="21"/>
              </w:rPr>
            </w:pPr>
            <w:r>
              <w:rPr>
                <w:szCs w:val="21"/>
              </w:rPr>
              <w:t>开户银行</w:t>
            </w:r>
          </w:p>
        </w:tc>
        <w:tc>
          <w:tcPr>
            <w:tcW w:w="2376" w:type="dxa"/>
            <w:tcBorders>
              <w:top w:val="single" w:color="auto" w:sz="2" w:space="0"/>
              <w:left w:val="single" w:color="auto" w:sz="2" w:space="0"/>
              <w:bottom w:val="single" w:color="auto" w:sz="2" w:space="0"/>
            </w:tcBorders>
            <w:vAlign w:val="center"/>
          </w:tcPr>
          <w:p w14:paraId="68F044A5">
            <w:pPr>
              <w:adjustRightInd w:val="0"/>
              <w:snapToGrid w:val="0"/>
              <w:spacing w:line="300" w:lineRule="exact"/>
              <w:jc w:val="center"/>
              <w:rPr>
                <w:spacing w:val="20"/>
                <w:szCs w:val="21"/>
              </w:rPr>
            </w:pPr>
          </w:p>
        </w:tc>
      </w:tr>
      <w:tr w14:paraId="115C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4" w:type="dxa"/>
            <w:tcBorders>
              <w:top w:val="single" w:color="auto" w:sz="2" w:space="0"/>
              <w:bottom w:val="single" w:color="auto" w:sz="2" w:space="0"/>
              <w:right w:val="single" w:color="auto" w:sz="2" w:space="0"/>
            </w:tcBorders>
            <w:vAlign w:val="center"/>
          </w:tcPr>
          <w:p w14:paraId="77D2606C">
            <w:pPr>
              <w:adjustRightInd w:val="0"/>
              <w:snapToGrid w:val="0"/>
              <w:spacing w:line="300" w:lineRule="exact"/>
              <w:jc w:val="center"/>
              <w:rPr>
                <w:szCs w:val="21"/>
              </w:rPr>
            </w:pPr>
          </w:p>
        </w:tc>
        <w:tc>
          <w:tcPr>
            <w:tcW w:w="2708" w:type="dxa"/>
            <w:tcBorders>
              <w:top w:val="single" w:color="auto" w:sz="2" w:space="0"/>
              <w:left w:val="single" w:color="auto" w:sz="2" w:space="0"/>
              <w:bottom w:val="single" w:color="auto" w:sz="2" w:space="0"/>
              <w:right w:val="single" w:color="auto" w:sz="2" w:space="0"/>
            </w:tcBorders>
            <w:vAlign w:val="center"/>
          </w:tcPr>
          <w:p w14:paraId="7933E054">
            <w:pPr>
              <w:adjustRightInd w:val="0"/>
              <w:snapToGrid w:val="0"/>
              <w:spacing w:line="300" w:lineRule="exact"/>
              <w:jc w:val="center"/>
              <w:rPr>
                <w:szCs w:val="21"/>
              </w:rPr>
            </w:pPr>
          </w:p>
        </w:tc>
        <w:tc>
          <w:tcPr>
            <w:tcW w:w="2222" w:type="dxa"/>
            <w:tcBorders>
              <w:top w:val="single" w:color="auto" w:sz="2" w:space="0"/>
              <w:left w:val="single" w:color="auto" w:sz="2" w:space="0"/>
              <w:bottom w:val="single" w:color="auto" w:sz="2" w:space="0"/>
              <w:right w:val="single" w:color="auto" w:sz="2" w:space="0"/>
            </w:tcBorders>
            <w:vAlign w:val="center"/>
          </w:tcPr>
          <w:p w14:paraId="003E2F92">
            <w:pPr>
              <w:adjustRightInd w:val="0"/>
              <w:snapToGrid w:val="0"/>
              <w:spacing w:line="300" w:lineRule="exact"/>
              <w:jc w:val="center"/>
              <w:rPr>
                <w:szCs w:val="21"/>
              </w:rPr>
            </w:pPr>
            <w:r>
              <w:rPr>
                <w:szCs w:val="21"/>
              </w:rPr>
              <w:t>银行账号</w:t>
            </w:r>
          </w:p>
        </w:tc>
        <w:tc>
          <w:tcPr>
            <w:tcW w:w="2376" w:type="dxa"/>
            <w:tcBorders>
              <w:top w:val="single" w:color="auto" w:sz="2" w:space="0"/>
              <w:left w:val="single" w:color="auto" w:sz="2" w:space="0"/>
              <w:bottom w:val="single" w:color="auto" w:sz="2" w:space="0"/>
            </w:tcBorders>
            <w:vAlign w:val="center"/>
          </w:tcPr>
          <w:p w14:paraId="4DE66D12">
            <w:pPr>
              <w:adjustRightInd w:val="0"/>
              <w:snapToGrid w:val="0"/>
              <w:spacing w:line="300" w:lineRule="exact"/>
              <w:jc w:val="center"/>
              <w:rPr>
                <w:spacing w:val="20"/>
                <w:szCs w:val="21"/>
              </w:rPr>
            </w:pPr>
          </w:p>
        </w:tc>
      </w:tr>
      <w:tr w14:paraId="570E74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30" w:type="dxa"/>
            <w:gridSpan w:val="4"/>
            <w:tcBorders>
              <w:top w:val="single" w:color="auto" w:sz="2" w:space="0"/>
            </w:tcBorders>
            <w:vAlign w:val="center"/>
          </w:tcPr>
          <w:p w14:paraId="3046297C">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7D6CCBD">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14:paraId="77A91E58">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DA0E34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CF0D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40687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490E0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55E01C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4DE1BA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54961F2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D6AEA8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2086D68">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98A690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191ECD6">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9F7022C">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DF70386">
      <w:pPr>
        <w:numPr>
          <w:ilvl w:val="0"/>
          <w:numId w:val="16"/>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4756959E">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0E44CB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4D817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4B093C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9FC694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C57D4E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D0E3BA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9C9112B">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71BCDB0">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84B97F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1CA187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8519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0BB58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422F949">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1E8416D">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67AD2C5">
      <w:pPr>
        <w:numPr>
          <w:ilvl w:val="0"/>
          <w:numId w:val="17"/>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FDE32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2A1DA6F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0BE3948">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5F228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7A2D90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513C38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0C9DC1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06AF6B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D214D00">
      <w:pPr>
        <w:pStyle w:val="28"/>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2CF6B29">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F2C8CDE">
      <w:pPr>
        <w:pStyle w:val="14"/>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47A372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FB44AF3">
      <w:pPr>
        <w:pStyle w:val="14"/>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73B49F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1C744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10777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CD1DD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3648B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593ABF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9F0A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7D3B18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79BE3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C3C1E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5602E8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D7A5EC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8CEB7B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87156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14:paraId="401B1FB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825F56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F7CCDE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B549B08">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1EEDBE2">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23C15A5">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444773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F16A04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A0A234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0AF951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E017C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BF549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CB089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DBAA39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DAE96F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9A73A77">
      <w:pPr>
        <w:pStyle w:val="2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9DC5C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F2A14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6C36EC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32264A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9B0EFA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A2F838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252C7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992068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BF642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1A884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DA69CC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CACF80D">
      <w:pPr>
        <w:numPr>
          <w:ilvl w:val="0"/>
          <w:numId w:val="1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CECF6F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BDAA1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D405A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0809A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B22983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ABAFC81">
      <w:pPr>
        <w:pStyle w:val="2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C7F10E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10FB91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26AF3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12F823E">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6442B4F">
      <w:pPr>
        <w:pStyle w:val="2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938A726">
      <w:pPr>
        <w:pStyle w:val="2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4C976A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7341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F9E30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058FC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0D2B1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C5EFE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2FF9EB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5FD2C5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69DECF9">
      <w:pPr>
        <w:pStyle w:val="2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F7578D3">
      <w:pPr>
        <w:pStyle w:val="2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DA34122">
      <w:pPr>
        <w:pStyle w:val="2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A42D66">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50DA5E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1B201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325A73E">
      <w:pPr>
        <w:pStyle w:val="11"/>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24FA876">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1D8EAA6">
      <w:pPr>
        <w:pStyle w:val="2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3E740ECF">
      <w:pPr>
        <w:pStyle w:val="2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E533B42">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4DDAE10">
      <w:pPr>
        <w:pStyle w:val="2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FFCCA29">
      <w:pPr>
        <w:pStyle w:val="2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50E1F9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A561B2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336A869">
      <w:pPr>
        <w:numPr>
          <w:ilvl w:val="0"/>
          <w:numId w:val="1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4A7177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800479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14:paraId="6843628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E0A508B">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F440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275D22">
            <w:pPr>
              <w:adjustRightInd w:val="0"/>
              <w:snapToGrid w:val="0"/>
              <w:jc w:val="center"/>
              <w:rPr>
                <w:rFonts w:ascii="宋体" w:hAnsi="宋体"/>
                <w:szCs w:val="21"/>
              </w:rPr>
            </w:pPr>
            <w:r>
              <w:rPr>
                <w:rFonts w:hint="eastAsia" w:ascii="宋体" w:hAnsi="宋体"/>
                <w:szCs w:val="21"/>
              </w:rPr>
              <w:t>第二节</w:t>
            </w:r>
          </w:p>
          <w:p w14:paraId="35622070">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D1D9799">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6EEF418">
            <w:pPr>
              <w:adjustRightInd w:val="0"/>
              <w:snapToGrid w:val="0"/>
              <w:jc w:val="left"/>
              <w:rPr>
                <w:rFonts w:ascii="宋体" w:hAnsi="宋体"/>
                <w:szCs w:val="21"/>
              </w:rPr>
            </w:pPr>
          </w:p>
        </w:tc>
      </w:tr>
      <w:tr w14:paraId="74A7BB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2987DA">
            <w:pPr>
              <w:adjustRightInd w:val="0"/>
              <w:snapToGrid w:val="0"/>
              <w:jc w:val="center"/>
              <w:rPr>
                <w:rFonts w:ascii="宋体" w:hAnsi="宋体"/>
                <w:szCs w:val="21"/>
              </w:rPr>
            </w:pPr>
            <w:r>
              <w:rPr>
                <w:rFonts w:hint="eastAsia" w:ascii="宋体" w:hAnsi="宋体"/>
                <w:szCs w:val="21"/>
              </w:rPr>
              <w:t>第二节</w:t>
            </w:r>
          </w:p>
          <w:p w14:paraId="6A4A9E6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059D6E4">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F51CB51">
            <w:pPr>
              <w:adjustRightInd w:val="0"/>
              <w:snapToGrid w:val="0"/>
              <w:jc w:val="left"/>
              <w:rPr>
                <w:rFonts w:ascii="宋体" w:hAnsi="宋体" w:eastAsia="宋体" w:cs="Times New Roman"/>
                <w:kern w:val="2"/>
                <w:sz w:val="21"/>
                <w:szCs w:val="21"/>
                <w:lang w:val="en-US" w:eastAsia="zh-CN" w:bidi="ar-SA"/>
              </w:rPr>
            </w:pPr>
          </w:p>
        </w:tc>
      </w:tr>
      <w:tr w14:paraId="3B442B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2FBC45">
            <w:pPr>
              <w:adjustRightInd w:val="0"/>
              <w:snapToGrid w:val="0"/>
              <w:jc w:val="center"/>
              <w:rPr>
                <w:rFonts w:ascii="宋体" w:hAnsi="宋体"/>
                <w:szCs w:val="21"/>
              </w:rPr>
            </w:pPr>
            <w:r>
              <w:rPr>
                <w:rFonts w:hint="eastAsia" w:ascii="宋体" w:hAnsi="宋体"/>
                <w:szCs w:val="21"/>
              </w:rPr>
              <w:t>第二节</w:t>
            </w:r>
          </w:p>
          <w:p w14:paraId="52886B96">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3CCDA7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BE650DA">
            <w:pPr>
              <w:adjustRightInd w:val="0"/>
              <w:snapToGrid w:val="0"/>
              <w:jc w:val="left"/>
              <w:rPr>
                <w:rFonts w:ascii="宋体" w:hAnsi="宋体" w:eastAsia="宋体" w:cs="Times New Roman"/>
                <w:kern w:val="2"/>
                <w:sz w:val="21"/>
                <w:szCs w:val="21"/>
                <w:lang w:val="en-US" w:eastAsia="zh-CN" w:bidi="ar-SA"/>
              </w:rPr>
            </w:pPr>
          </w:p>
        </w:tc>
      </w:tr>
      <w:tr w14:paraId="7252A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A7C72C">
            <w:pPr>
              <w:adjustRightInd w:val="0"/>
              <w:snapToGrid w:val="0"/>
              <w:jc w:val="center"/>
              <w:rPr>
                <w:rFonts w:ascii="宋体" w:hAnsi="宋体"/>
                <w:szCs w:val="21"/>
              </w:rPr>
            </w:pPr>
            <w:r>
              <w:rPr>
                <w:rFonts w:hint="eastAsia" w:ascii="宋体" w:hAnsi="宋体"/>
                <w:szCs w:val="21"/>
              </w:rPr>
              <w:t>第二节</w:t>
            </w:r>
          </w:p>
          <w:p w14:paraId="111D0BAE">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93233F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B7DF06E">
            <w:pPr>
              <w:adjustRightInd w:val="0"/>
              <w:snapToGrid w:val="0"/>
              <w:jc w:val="left"/>
              <w:rPr>
                <w:rFonts w:ascii="宋体" w:hAnsi="宋体" w:eastAsia="宋体" w:cs="Times New Roman"/>
                <w:kern w:val="2"/>
                <w:sz w:val="21"/>
                <w:szCs w:val="21"/>
                <w:lang w:val="en-US" w:eastAsia="zh-CN" w:bidi="ar-SA"/>
              </w:rPr>
            </w:pPr>
          </w:p>
        </w:tc>
      </w:tr>
      <w:tr w14:paraId="398BD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E27BC3">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95B429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58DAE2D7">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1407952">
            <w:pPr>
              <w:adjustRightInd w:val="0"/>
              <w:snapToGrid w:val="0"/>
              <w:jc w:val="left"/>
              <w:rPr>
                <w:rFonts w:ascii="宋体" w:hAnsi="宋体" w:eastAsia="宋体" w:cs="Times New Roman"/>
                <w:kern w:val="2"/>
                <w:sz w:val="21"/>
                <w:szCs w:val="21"/>
                <w:lang w:val="en-US" w:eastAsia="zh-CN" w:bidi="ar-SA"/>
              </w:rPr>
            </w:pPr>
          </w:p>
        </w:tc>
      </w:tr>
      <w:tr w14:paraId="302FF1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A46AB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AD150E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9E342C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B6BAAB9">
            <w:pPr>
              <w:adjustRightInd w:val="0"/>
              <w:snapToGrid w:val="0"/>
              <w:jc w:val="left"/>
              <w:rPr>
                <w:rFonts w:ascii="宋体" w:hAnsi="宋体" w:eastAsia="宋体" w:cs="Times New Roman"/>
                <w:kern w:val="2"/>
                <w:sz w:val="21"/>
                <w:szCs w:val="21"/>
                <w:lang w:val="en-US" w:eastAsia="zh-CN" w:bidi="ar-SA"/>
              </w:rPr>
            </w:pPr>
          </w:p>
        </w:tc>
      </w:tr>
      <w:tr w14:paraId="2B637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CA55BF">
            <w:pPr>
              <w:adjustRightInd w:val="0"/>
              <w:snapToGrid w:val="0"/>
              <w:jc w:val="center"/>
              <w:rPr>
                <w:rFonts w:ascii="宋体" w:hAnsi="宋体"/>
                <w:szCs w:val="21"/>
              </w:rPr>
            </w:pPr>
            <w:r>
              <w:rPr>
                <w:rFonts w:hint="eastAsia" w:ascii="宋体" w:hAnsi="宋体"/>
                <w:szCs w:val="21"/>
              </w:rPr>
              <w:t>第二节</w:t>
            </w:r>
          </w:p>
          <w:p w14:paraId="2A70BAD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375BFC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E968ADD"/>
        </w:tc>
      </w:tr>
      <w:tr w14:paraId="49032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58F9585">
            <w:pPr>
              <w:adjustRightInd w:val="0"/>
              <w:snapToGrid w:val="0"/>
              <w:jc w:val="center"/>
              <w:rPr>
                <w:rFonts w:hint="eastAsia" w:ascii="宋体" w:hAnsi="宋体"/>
                <w:szCs w:val="21"/>
              </w:rPr>
            </w:pPr>
          </w:p>
        </w:tc>
        <w:tc>
          <w:tcPr>
            <w:tcW w:w="1742" w:type="dxa"/>
            <w:vAlign w:val="center"/>
          </w:tcPr>
          <w:p w14:paraId="4C9DFE8F">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1D07112">
            <w:pPr>
              <w:rPr>
                <w:rFonts w:hint="eastAsia"/>
              </w:rPr>
            </w:pPr>
          </w:p>
        </w:tc>
      </w:tr>
      <w:tr w14:paraId="40449F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DBE3416">
            <w:pPr>
              <w:adjustRightInd w:val="0"/>
              <w:snapToGrid w:val="0"/>
              <w:jc w:val="center"/>
              <w:rPr>
                <w:rFonts w:ascii="宋体" w:hAnsi="宋体"/>
                <w:szCs w:val="21"/>
              </w:rPr>
            </w:pPr>
            <w:r>
              <w:rPr>
                <w:rFonts w:hint="eastAsia" w:ascii="宋体" w:hAnsi="宋体"/>
                <w:szCs w:val="21"/>
              </w:rPr>
              <w:t>第二节</w:t>
            </w:r>
          </w:p>
          <w:p w14:paraId="753DBC0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1B8EA1FF">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B17228F">
            <w:pPr>
              <w:rPr>
                <w:rFonts w:hint="eastAsia"/>
              </w:rPr>
            </w:pPr>
          </w:p>
        </w:tc>
      </w:tr>
      <w:tr w14:paraId="2ADD4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525BC5D">
            <w:pPr>
              <w:adjustRightInd w:val="0"/>
              <w:snapToGrid w:val="0"/>
              <w:jc w:val="center"/>
              <w:rPr>
                <w:rFonts w:ascii="宋体" w:hAnsi="宋体"/>
                <w:szCs w:val="21"/>
              </w:rPr>
            </w:pPr>
            <w:r>
              <w:rPr>
                <w:rFonts w:hint="eastAsia" w:ascii="宋体" w:hAnsi="宋体"/>
                <w:szCs w:val="21"/>
              </w:rPr>
              <w:t>第二节</w:t>
            </w:r>
          </w:p>
          <w:p w14:paraId="5193836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2D291D53">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170470E">
            <w:pPr>
              <w:rPr>
                <w:rFonts w:hint="eastAsia"/>
              </w:rPr>
            </w:pPr>
          </w:p>
        </w:tc>
      </w:tr>
      <w:tr w14:paraId="75FE19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0829B7">
            <w:pPr>
              <w:adjustRightInd w:val="0"/>
              <w:snapToGrid w:val="0"/>
              <w:jc w:val="center"/>
              <w:rPr>
                <w:rFonts w:ascii="宋体" w:hAnsi="宋体"/>
                <w:szCs w:val="21"/>
              </w:rPr>
            </w:pPr>
            <w:r>
              <w:rPr>
                <w:rFonts w:hint="eastAsia" w:ascii="宋体" w:hAnsi="宋体"/>
                <w:szCs w:val="21"/>
              </w:rPr>
              <w:t>第二节</w:t>
            </w:r>
          </w:p>
          <w:p w14:paraId="47272EE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5F8DE68">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2194AB1">
            <w:pPr>
              <w:autoSpaceDE w:val="0"/>
              <w:autoSpaceDN w:val="0"/>
              <w:adjustRightInd w:val="0"/>
              <w:snapToGrid w:val="0"/>
              <w:ind w:firstLine="420" w:firstLineChars="200"/>
              <w:jc w:val="left"/>
              <w:rPr>
                <w:rFonts w:ascii="宋体" w:hAnsi="宋体"/>
                <w:szCs w:val="21"/>
              </w:rPr>
            </w:pPr>
          </w:p>
        </w:tc>
      </w:tr>
      <w:tr w14:paraId="11D43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FEED21">
            <w:pPr>
              <w:adjustRightInd w:val="0"/>
              <w:snapToGrid w:val="0"/>
              <w:jc w:val="center"/>
              <w:rPr>
                <w:rFonts w:ascii="宋体" w:hAnsi="宋体"/>
                <w:szCs w:val="21"/>
              </w:rPr>
            </w:pPr>
            <w:r>
              <w:rPr>
                <w:rFonts w:hint="eastAsia" w:ascii="宋体" w:hAnsi="宋体"/>
                <w:szCs w:val="21"/>
              </w:rPr>
              <w:t>第二节</w:t>
            </w:r>
          </w:p>
          <w:p w14:paraId="7A39647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BC1DE59">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C8E7836">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C7FDE09">
            <w:pPr>
              <w:adjustRightInd w:val="0"/>
              <w:snapToGrid w:val="0"/>
              <w:jc w:val="left"/>
              <w:rPr>
                <w:rFonts w:ascii="宋体" w:hAnsi="宋体"/>
                <w:szCs w:val="21"/>
              </w:rPr>
            </w:pPr>
          </w:p>
        </w:tc>
      </w:tr>
      <w:tr w14:paraId="2543AE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718D6C">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8417745">
            <w:pPr>
              <w:pStyle w:val="28"/>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0E2DDBF">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449B0E1">
            <w:pPr>
              <w:adjustRightInd w:val="0"/>
              <w:snapToGrid w:val="0"/>
              <w:jc w:val="left"/>
              <w:rPr>
                <w:rFonts w:ascii="宋体" w:hAnsi="宋体"/>
                <w:szCs w:val="21"/>
              </w:rPr>
            </w:pPr>
          </w:p>
        </w:tc>
      </w:tr>
      <w:tr w14:paraId="39057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23EC1F9">
            <w:pPr>
              <w:adjustRightInd w:val="0"/>
              <w:snapToGrid w:val="0"/>
              <w:jc w:val="center"/>
              <w:rPr>
                <w:rFonts w:ascii="宋体" w:hAnsi="宋体"/>
                <w:szCs w:val="21"/>
              </w:rPr>
            </w:pPr>
            <w:r>
              <w:rPr>
                <w:rFonts w:hint="eastAsia" w:ascii="宋体" w:hAnsi="宋体"/>
                <w:szCs w:val="21"/>
              </w:rPr>
              <w:t>第二节</w:t>
            </w:r>
          </w:p>
          <w:p w14:paraId="2852349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6BF66CD">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33FAFBC">
            <w:pPr>
              <w:adjustRightInd w:val="0"/>
              <w:snapToGrid w:val="0"/>
              <w:jc w:val="left"/>
              <w:rPr>
                <w:rFonts w:ascii="宋体" w:hAnsi="宋体"/>
                <w:szCs w:val="21"/>
              </w:rPr>
            </w:pPr>
          </w:p>
        </w:tc>
      </w:tr>
      <w:tr w14:paraId="3BDA8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A4BCEF7">
            <w:pPr>
              <w:adjustRightInd w:val="0"/>
              <w:snapToGrid w:val="0"/>
              <w:jc w:val="center"/>
              <w:rPr>
                <w:rFonts w:hint="eastAsia" w:ascii="宋体" w:hAnsi="宋体"/>
                <w:szCs w:val="21"/>
              </w:rPr>
            </w:pPr>
            <w:r>
              <w:rPr>
                <w:rFonts w:hint="eastAsia" w:ascii="宋体" w:hAnsi="宋体"/>
                <w:szCs w:val="21"/>
              </w:rPr>
              <w:t>第二节</w:t>
            </w:r>
          </w:p>
          <w:p w14:paraId="419730B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1EC51B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99790E9">
            <w:pPr>
              <w:adjustRightInd w:val="0"/>
              <w:snapToGrid w:val="0"/>
              <w:jc w:val="left"/>
              <w:rPr>
                <w:rFonts w:ascii="宋体" w:hAnsi="宋体"/>
                <w:szCs w:val="21"/>
              </w:rPr>
            </w:pPr>
          </w:p>
        </w:tc>
      </w:tr>
      <w:tr w14:paraId="110BDF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B667DE">
            <w:pPr>
              <w:adjustRightInd w:val="0"/>
              <w:snapToGrid w:val="0"/>
              <w:jc w:val="center"/>
              <w:rPr>
                <w:rFonts w:hint="eastAsia" w:ascii="宋体" w:hAnsi="宋体"/>
                <w:szCs w:val="21"/>
              </w:rPr>
            </w:pPr>
            <w:r>
              <w:rPr>
                <w:rFonts w:hint="eastAsia" w:ascii="宋体" w:hAnsi="宋体"/>
                <w:szCs w:val="21"/>
              </w:rPr>
              <w:t>第二节</w:t>
            </w:r>
          </w:p>
          <w:p w14:paraId="5B6F328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B811F4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7ED8780D">
            <w:pPr>
              <w:adjustRightInd w:val="0"/>
              <w:snapToGrid w:val="0"/>
              <w:jc w:val="left"/>
              <w:rPr>
                <w:rFonts w:ascii="宋体" w:hAnsi="宋体"/>
                <w:szCs w:val="21"/>
              </w:rPr>
            </w:pPr>
          </w:p>
        </w:tc>
      </w:tr>
      <w:tr w14:paraId="6784CA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E7E2217">
            <w:pPr>
              <w:adjustRightInd w:val="0"/>
              <w:snapToGrid w:val="0"/>
              <w:jc w:val="center"/>
              <w:rPr>
                <w:rFonts w:ascii="宋体" w:hAnsi="宋体"/>
                <w:szCs w:val="21"/>
              </w:rPr>
            </w:pPr>
            <w:r>
              <w:rPr>
                <w:rFonts w:hint="eastAsia" w:ascii="宋体" w:hAnsi="宋体"/>
                <w:szCs w:val="21"/>
              </w:rPr>
              <w:t>第二节</w:t>
            </w:r>
          </w:p>
          <w:p w14:paraId="587CBD3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63F2C66">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D4B1E9A">
            <w:pPr>
              <w:adjustRightInd w:val="0"/>
              <w:snapToGrid w:val="0"/>
              <w:jc w:val="left"/>
              <w:rPr>
                <w:rFonts w:ascii="宋体" w:hAnsi="宋体"/>
                <w:szCs w:val="21"/>
              </w:rPr>
            </w:pPr>
          </w:p>
        </w:tc>
      </w:tr>
      <w:tr w14:paraId="7CBD78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46BA5B">
            <w:pPr>
              <w:adjustRightInd w:val="0"/>
              <w:snapToGrid w:val="0"/>
              <w:jc w:val="center"/>
              <w:rPr>
                <w:rFonts w:ascii="宋体" w:hAnsi="宋体"/>
                <w:szCs w:val="21"/>
              </w:rPr>
            </w:pPr>
            <w:r>
              <w:rPr>
                <w:rFonts w:hint="eastAsia" w:ascii="宋体" w:hAnsi="宋体"/>
                <w:szCs w:val="21"/>
              </w:rPr>
              <w:t>第二节</w:t>
            </w:r>
          </w:p>
          <w:p w14:paraId="2799D50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78A1EFB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708D669">
            <w:pPr>
              <w:adjustRightInd w:val="0"/>
              <w:snapToGrid w:val="0"/>
              <w:jc w:val="left"/>
              <w:rPr>
                <w:rFonts w:ascii="宋体" w:hAnsi="宋体"/>
                <w:szCs w:val="21"/>
              </w:rPr>
            </w:pPr>
          </w:p>
        </w:tc>
      </w:tr>
      <w:tr w14:paraId="631B10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AFD1C9">
            <w:pPr>
              <w:adjustRightInd w:val="0"/>
              <w:snapToGrid w:val="0"/>
              <w:jc w:val="center"/>
              <w:rPr>
                <w:rFonts w:ascii="宋体" w:hAnsi="宋体"/>
                <w:szCs w:val="21"/>
              </w:rPr>
            </w:pPr>
            <w:r>
              <w:rPr>
                <w:rFonts w:hint="eastAsia" w:ascii="宋体" w:hAnsi="宋体"/>
                <w:szCs w:val="21"/>
              </w:rPr>
              <w:t>第二节</w:t>
            </w:r>
          </w:p>
          <w:p w14:paraId="7BDA06C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3DFB984">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0CBFDE5">
            <w:pPr>
              <w:adjustRightInd w:val="0"/>
              <w:snapToGrid w:val="0"/>
              <w:jc w:val="left"/>
              <w:rPr>
                <w:rFonts w:ascii="宋体" w:hAnsi="宋体"/>
                <w:szCs w:val="21"/>
              </w:rPr>
            </w:pPr>
          </w:p>
        </w:tc>
      </w:tr>
      <w:tr w14:paraId="01B443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59EC44">
            <w:pPr>
              <w:adjustRightInd w:val="0"/>
              <w:snapToGrid w:val="0"/>
              <w:jc w:val="center"/>
              <w:rPr>
                <w:rFonts w:ascii="宋体" w:hAnsi="宋体"/>
                <w:szCs w:val="21"/>
              </w:rPr>
            </w:pPr>
            <w:r>
              <w:rPr>
                <w:rFonts w:hint="eastAsia" w:ascii="宋体" w:hAnsi="宋体"/>
                <w:szCs w:val="21"/>
              </w:rPr>
              <w:t>第二节</w:t>
            </w:r>
          </w:p>
          <w:p w14:paraId="4496256D">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FC79479">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83ADC16">
            <w:pPr>
              <w:adjustRightInd w:val="0"/>
              <w:snapToGrid w:val="0"/>
              <w:jc w:val="left"/>
              <w:rPr>
                <w:rFonts w:ascii="宋体" w:hAnsi="宋体"/>
                <w:szCs w:val="21"/>
              </w:rPr>
            </w:pPr>
          </w:p>
        </w:tc>
      </w:tr>
      <w:tr w14:paraId="13853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FCF26D">
            <w:pPr>
              <w:adjustRightInd w:val="0"/>
              <w:snapToGrid w:val="0"/>
              <w:jc w:val="center"/>
              <w:rPr>
                <w:rFonts w:ascii="宋体" w:hAnsi="宋体"/>
                <w:szCs w:val="21"/>
              </w:rPr>
            </w:pPr>
            <w:r>
              <w:rPr>
                <w:rFonts w:hint="eastAsia" w:ascii="宋体" w:hAnsi="宋体"/>
                <w:szCs w:val="21"/>
              </w:rPr>
              <w:t>第二节</w:t>
            </w:r>
          </w:p>
          <w:p w14:paraId="628613E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4001535">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1365450">
            <w:pPr>
              <w:adjustRightInd w:val="0"/>
              <w:snapToGrid w:val="0"/>
              <w:jc w:val="left"/>
              <w:rPr>
                <w:rFonts w:ascii="宋体" w:hAnsi="宋体"/>
                <w:szCs w:val="21"/>
                <w:u w:val="single"/>
              </w:rPr>
            </w:pPr>
          </w:p>
        </w:tc>
      </w:tr>
      <w:tr w14:paraId="1542ED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B96679">
            <w:pPr>
              <w:adjustRightInd w:val="0"/>
              <w:snapToGrid w:val="0"/>
              <w:jc w:val="center"/>
              <w:rPr>
                <w:rFonts w:ascii="宋体" w:hAnsi="宋体"/>
                <w:szCs w:val="21"/>
              </w:rPr>
            </w:pPr>
            <w:r>
              <w:rPr>
                <w:rFonts w:hint="eastAsia" w:ascii="宋体" w:hAnsi="宋体"/>
                <w:szCs w:val="21"/>
              </w:rPr>
              <w:t>第二节</w:t>
            </w:r>
          </w:p>
          <w:p w14:paraId="5E97D38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508FEE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2329ED6">
            <w:pPr>
              <w:adjustRightInd w:val="0"/>
              <w:snapToGrid w:val="0"/>
              <w:jc w:val="left"/>
              <w:rPr>
                <w:rFonts w:ascii="宋体" w:hAnsi="宋体"/>
                <w:szCs w:val="21"/>
                <w:u w:val="single"/>
              </w:rPr>
            </w:pPr>
          </w:p>
        </w:tc>
      </w:tr>
      <w:tr w14:paraId="70A0C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AFA9653">
            <w:pPr>
              <w:adjustRightInd w:val="0"/>
              <w:snapToGrid w:val="0"/>
              <w:jc w:val="center"/>
              <w:rPr>
                <w:rFonts w:ascii="宋体" w:hAnsi="宋体"/>
                <w:szCs w:val="21"/>
              </w:rPr>
            </w:pPr>
            <w:r>
              <w:rPr>
                <w:rFonts w:hint="eastAsia" w:ascii="宋体" w:hAnsi="宋体"/>
                <w:szCs w:val="21"/>
              </w:rPr>
              <w:t>第二节</w:t>
            </w:r>
          </w:p>
          <w:p w14:paraId="11D48C3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5CE414C">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77DF6F1">
            <w:pPr>
              <w:adjustRightInd w:val="0"/>
              <w:snapToGrid w:val="0"/>
              <w:jc w:val="left"/>
              <w:rPr>
                <w:rFonts w:ascii="宋体" w:hAnsi="宋体"/>
                <w:szCs w:val="21"/>
                <w:u w:val="single"/>
              </w:rPr>
            </w:pPr>
          </w:p>
        </w:tc>
      </w:tr>
      <w:tr w14:paraId="441D2E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1B903ED">
            <w:pPr>
              <w:adjustRightInd w:val="0"/>
              <w:snapToGrid w:val="0"/>
              <w:jc w:val="center"/>
              <w:rPr>
                <w:rFonts w:ascii="宋体" w:hAnsi="宋体"/>
                <w:szCs w:val="21"/>
              </w:rPr>
            </w:pPr>
            <w:r>
              <w:rPr>
                <w:rFonts w:hint="eastAsia" w:ascii="宋体" w:hAnsi="宋体"/>
                <w:szCs w:val="21"/>
              </w:rPr>
              <w:t>第二节</w:t>
            </w:r>
          </w:p>
          <w:p w14:paraId="124E19F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D71D109">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26E29F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60CB08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6596EA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EB9C5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963EE6E">
            <w:pPr>
              <w:adjustRightInd w:val="0"/>
              <w:snapToGrid w:val="0"/>
              <w:jc w:val="center"/>
              <w:rPr>
                <w:rFonts w:ascii="宋体" w:hAnsi="宋体"/>
                <w:szCs w:val="21"/>
              </w:rPr>
            </w:pPr>
            <w:r>
              <w:rPr>
                <w:rFonts w:hint="eastAsia" w:ascii="宋体" w:hAnsi="宋体"/>
                <w:szCs w:val="21"/>
              </w:rPr>
              <w:t>第二节</w:t>
            </w:r>
          </w:p>
          <w:p w14:paraId="67B702D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BE9DC96">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70796BB">
            <w:pPr>
              <w:adjustRightInd w:val="0"/>
              <w:snapToGrid w:val="0"/>
              <w:jc w:val="left"/>
              <w:rPr>
                <w:rFonts w:hint="default" w:ascii="宋体" w:hAnsi="宋体" w:eastAsia="宋体"/>
                <w:szCs w:val="21"/>
                <w:lang w:val="en-US" w:eastAsia="zh-CN"/>
              </w:rPr>
            </w:pPr>
          </w:p>
        </w:tc>
      </w:tr>
    </w:tbl>
    <w:p w14:paraId="597185E6">
      <w:pPr>
        <w:pStyle w:val="11"/>
        <w:snapToGrid w:val="0"/>
        <w:ind w:left="105" w:leftChars="50"/>
        <w:jc w:val="center"/>
        <w:rPr>
          <w:rFonts w:ascii="宋体" w:hAnsi="宋体"/>
          <w:b/>
          <w:bCs/>
          <w:color w:val="000000" w:themeColor="text1"/>
          <w:sz w:val="24"/>
          <w14:textFill>
            <w14:solidFill>
              <w14:schemeClr w14:val="tx1"/>
            </w14:solidFill>
          </w14:textFill>
        </w:rPr>
      </w:pPr>
    </w:p>
    <w:p w14:paraId="0B4F8BCA">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b/>
      </w:r>
    </w:p>
    <w:p w14:paraId="34486777">
      <w:pPr>
        <w:spacing w:line="360" w:lineRule="exact"/>
        <w:jc w:val="center"/>
        <w:rPr>
          <w:rFonts w:ascii="宋体" w:hAnsi="宋体"/>
          <w:b/>
          <w:color w:val="000000" w:themeColor="text1"/>
          <w:szCs w:val="21"/>
          <w14:textFill>
            <w14:solidFill>
              <w14:schemeClr w14:val="tx1"/>
            </w14:solidFill>
          </w14:textFill>
        </w:rPr>
      </w:pPr>
    </w:p>
    <w:p w14:paraId="4AC7D7AA">
      <w:pPr>
        <w:spacing w:line="360" w:lineRule="exact"/>
        <w:jc w:val="center"/>
        <w:rPr>
          <w:rFonts w:ascii="宋体" w:hAnsi="宋体"/>
          <w:b/>
          <w:color w:val="000000" w:themeColor="text1"/>
          <w:szCs w:val="21"/>
          <w14:textFill>
            <w14:solidFill>
              <w14:schemeClr w14:val="tx1"/>
            </w14:solidFill>
          </w14:textFill>
        </w:rPr>
      </w:pPr>
    </w:p>
    <w:p w14:paraId="660BDA82">
      <w:pPr>
        <w:spacing w:line="360" w:lineRule="exact"/>
        <w:jc w:val="center"/>
        <w:rPr>
          <w:rFonts w:ascii="宋体" w:hAnsi="宋体"/>
          <w:b/>
          <w:color w:val="000000" w:themeColor="text1"/>
          <w:szCs w:val="21"/>
          <w14:textFill>
            <w14:solidFill>
              <w14:schemeClr w14:val="tx1"/>
            </w14:solidFill>
          </w14:textFill>
        </w:rPr>
      </w:pPr>
    </w:p>
    <w:p w14:paraId="13B30328">
      <w:pPr>
        <w:spacing w:after="156" w:line="560" w:lineRule="exact"/>
        <w:ind w:firstLine="480"/>
        <w:rPr>
          <w:color w:val="000000" w:themeColor="text1"/>
          <w14:textFill>
            <w14:solidFill>
              <w14:schemeClr w14:val="tx1"/>
            </w14:solidFill>
          </w14:textFill>
        </w:rPr>
      </w:pPr>
    </w:p>
    <w:p w14:paraId="726770F1">
      <w:pPr>
        <w:pStyle w:val="4"/>
        <w:spacing w:line="240" w:lineRule="atLeast"/>
        <w:ind w:left="1080" w:leftChars="257" w:hanging="540"/>
        <w:rPr>
          <w:rFonts w:ascii="仿宋_GB2312" w:hAnsi="宋体" w:eastAsia="仿宋_GB2312"/>
          <w:color w:val="000000" w:themeColor="text1"/>
          <w14:textFill>
            <w14:solidFill>
              <w14:schemeClr w14:val="tx1"/>
            </w14:solidFill>
          </w14:textFill>
        </w:rPr>
      </w:pPr>
    </w:p>
    <w:p w14:paraId="68C17725">
      <w:pPr>
        <w:rPr>
          <w:color w:val="000000" w:themeColor="text1"/>
          <w14:textFill>
            <w14:solidFill>
              <w14:schemeClr w14:val="tx1"/>
            </w14:solidFill>
          </w14:textFill>
        </w:rPr>
      </w:pPr>
    </w:p>
    <w:p w14:paraId="3D876912">
      <w:pPr>
        <w:pStyle w:val="11"/>
        <w:snapToGrid w:val="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cs="Times New Roman"/>
          <w:b/>
          <w:color w:val="000000" w:themeColor="text1"/>
          <w:sz w:val="28"/>
          <w:szCs w:val="28"/>
          <w:lang w:eastAsia="zh-CN"/>
          <w14:textFill>
            <w14:solidFill>
              <w14:schemeClr w14:val="tx1"/>
            </w14:solidFill>
          </w14:textFill>
        </w:rPr>
        <w:t>第四节</w:t>
      </w:r>
      <w:r>
        <w:rPr>
          <w:rFonts w:hint="eastAsia" w:ascii="宋体" w:hAnsi="宋体"/>
          <w:b/>
          <w:color w:val="000000" w:themeColor="text1"/>
          <w:sz w:val="28"/>
          <w:szCs w:val="28"/>
          <w14:textFill>
            <w14:solidFill>
              <w14:schemeClr w14:val="tx1"/>
            </w14:solidFill>
          </w14:textFill>
        </w:rPr>
        <w:t>、验收书</w:t>
      </w:r>
    </w:p>
    <w:p w14:paraId="653B1F61">
      <w:pPr>
        <w:spacing w:line="720" w:lineRule="auto"/>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政府采购项目验收书</w:t>
      </w:r>
    </w:p>
    <w:p w14:paraId="37295FDB">
      <w:pPr>
        <w:pStyle w:val="3"/>
        <w:spacing w:line="36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（本验收书为验收书样稿，最终稿由双方协商后确定）</w:t>
      </w:r>
    </w:p>
    <w:tbl>
      <w:tblPr>
        <w:tblStyle w:val="23"/>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14:paraId="37BE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105F100F">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p>
        </w:tc>
        <w:tc>
          <w:tcPr>
            <w:tcW w:w="7410" w:type="dxa"/>
            <w:gridSpan w:val="5"/>
            <w:vAlign w:val="center"/>
          </w:tcPr>
          <w:p w14:paraId="3EE96348">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霍尔果斯市                   项目</w:t>
            </w:r>
          </w:p>
          <w:p w14:paraId="0D9734A7">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HEGSCG-20   -    号</w:t>
            </w:r>
          </w:p>
        </w:tc>
      </w:tr>
      <w:tr w14:paraId="2EE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20" w:type="dxa"/>
            <w:vAlign w:val="center"/>
          </w:tcPr>
          <w:p w14:paraId="0BA75DF3">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w:t>
            </w:r>
          </w:p>
        </w:tc>
        <w:tc>
          <w:tcPr>
            <w:tcW w:w="3046" w:type="dxa"/>
            <w:gridSpan w:val="3"/>
            <w:vAlign w:val="center"/>
          </w:tcPr>
          <w:p w14:paraId="46093420">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14:paraId="333DFAB3">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w:t>
            </w:r>
          </w:p>
        </w:tc>
        <w:tc>
          <w:tcPr>
            <w:tcW w:w="2955" w:type="dxa"/>
            <w:vAlign w:val="center"/>
          </w:tcPr>
          <w:p w14:paraId="3CEF09F7">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16A6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10E902DE">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验收人</w:t>
            </w:r>
          </w:p>
        </w:tc>
        <w:tc>
          <w:tcPr>
            <w:tcW w:w="3046" w:type="dxa"/>
            <w:gridSpan w:val="3"/>
            <w:vAlign w:val="center"/>
          </w:tcPr>
          <w:p w14:paraId="2B708A4A">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14:paraId="5DC794DB">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交货人</w:t>
            </w:r>
          </w:p>
        </w:tc>
        <w:tc>
          <w:tcPr>
            <w:tcW w:w="2955" w:type="dxa"/>
            <w:vAlign w:val="center"/>
          </w:tcPr>
          <w:p w14:paraId="68D12D17">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00AB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50D600CD">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046" w:type="dxa"/>
            <w:gridSpan w:val="3"/>
            <w:vAlign w:val="center"/>
          </w:tcPr>
          <w:p w14:paraId="2158BF00">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14:paraId="27301951">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2955" w:type="dxa"/>
            <w:vAlign w:val="center"/>
          </w:tcPr>
          <w:p w14:paraId="21D52675">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22EE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15BFE32B">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提供服务名称</w:t>
            </w:r>
          </w:p>
        </w:tc>
        <w:tc>
          <w:tcPr>
            <w:tcW w:w="2138" w:type="dxa"/>
            <w:gridSpan w:val="2"/>
            <w:vAlign w:val="center"/>
          </w:tcPr>
          <w:p w14:paraId="023699A5">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p>
        </w:tc>
        <w:tc>
          <w:tcPr>
            <w:tcW w:w="4364" w:type="dxa"/>
            <w:gridSpan w:val="2"/>
            <w:vAlign w:val="center"/>
          </w:tcPr>
          <w:p w14:paraId="33FBEDF7">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相关服务要求</w:t>
            </w:r>
          </w:p>
        </w:tc>
      </w:tr>
      <w:tr w14:paraId="4AD4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7A91620E">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14:paraId="3448B2EF">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14:paraId="429AF086">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0ECE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1586E965">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14:paraId="36DE6BAA">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14:paraId="663F25F2">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15AB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185F7ADF">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14:paraId="50DF14FB">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14:paraId="37178030">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0589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31972E30">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14:paraId="34D6E824">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14:paraId="568CDC36">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68D0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375A82A">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14:paraId="74AA167E">
            <w:pPr>
              <w:pStyle w:val="11"/>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14:paraId="45257B42">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4B6D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71C02A41">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138" w:type="dxa"/>
            <w:gridSpan w:val="2"/>
            <w:vAlign w:val="center"/>
          </w:tcPr>
          <w:p w14:paraId="568969BF">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364" w:type="dxa"/>
            <w:gridSpan w:val="2"/>
            <w:vAlign w:val="center"/>
          </w:tcPr>
          <w:p w14:paraId="7E858599">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06B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14:paraId="542B655A">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验收情况</w:t>
            </w:r>
          </w:p>
        </w:tc>
        <w:tc>
          <w:tcPr>
            <w:tcW w:w="6502" w:type="dxa"/>
            <w:gridSpan w:val="4"/>
            <w:tcBorders>
              <w:bottom w:val="single" w:color="auto" w:sz="4" w:space="0"/>
            </w:tcBorders>
            <w:vAlign w:val="center"/>
          </w:tcPr>
          <w:p w14:paraId="701AC151">
            <w:pPr>
              <w:pStyle w:val="11"/>
              <w:snapToGrid w:val="0"/>
              <w:spacing w:line="380" w:lineRule="exact"/>
              <w:jc w:val="center"/>
              <w:rPr>
                <w:rFonts w:ascii="宋体" w:hAnsi="宋体"/>
                <w:color w:val="000000" w:themeColor="text1"/>
                <w:szCs w:val="21"/>
                <w14:textFill>
                  <w14:solidFill>
                    <w14:schemeClr w14:val="tx1"/>
                  </w14:solidFill>
                </w14:textFill>
              </w:rPr>
            </w:pPr>
          </w:p>
        </w:tc>
      </w:tr>
      <w:tr w14:paraId="0AAE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14:paraId="7A728D58">
            <w:pPr>
              <w:pStyle w:val="11"/>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验收单位（盖章）：</w:t>
            </w:r>
          </w:p>
          <w:p w14:paraId="54C18D81">
            <w:pPr>
              <w:pStyle w:val="11"/>
              <w:snapToGrid w:val="0"/>
              <w:spacing w:line="380" w:lineRule="exact"/>
              <w:jc w:val="center"/>
              <w:rPr>
                <w:rFonts w:ascii="宋体" w:hAnsi="宋体"/>
                <w:color w:val="000000" w:themeColor="text1"/>
                <w:szCs w:val="21"/>
                <w14:textFill>
                  <w14:solidFill>
                    <w14:schemeClr w14:val="tx1"/>
                  </w14:solidFill>
                </w14:textFill>
              </w:rPr>
            </w:pPr>
          </w:p>
          <w:p w14:paraId="72E17E1F">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7825AB7A">
            <w:pPr>
              <w:pStyle w:val="11"/>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交货单位（盖章）：</w:t>
            </w:r>
          </w:p>
          <w:p w14:paraId="520FB13A">
            <w:pPr>
              <w:pStyle w:val="11"/>
              <w:snapToGrid w:val="0"/>
              <w:spacing w:line="380" w:lineRule="exact"/>
              <w:jc w:val="center"/>
              <w:rPr>
                <w:rFonts w:ascii="宋体" w:hAnsi="宋体"/>
                <w:color w:val="000000" w:themeColor="text1"/>
                <w:szCs w:val="21"/>
                <w14:textFill>
                  <w14:solidFill>
                    <w14:schemeClr w14:val="tx1"/>
                  </w14:solidFill>
                </w14:textFill>
              </w:rPr>
            </w:pPr>
          </w:p>
          <w:p w14:paraId="1E219402">
            <w:pPr>
              <w:pStyle w:val="11"/>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r>
    </w:tbl>
    <w:p w14:paraId="1ABF7686">
      <w:pPr>
        <w:ind w:firstLine="630" w:firstLineChars="300"/>
        <w:outlineLvl w:val="0"/>
        <w:rPr>
          <w:rFonts w:ascii="宋体" w:hAnsi="宋体"/>
          <w:color w:val="000000" w:themeColor="text1"/>
          <w:szCs w:val="21"/>
          <w14:textFill>
            <w14:solidFill>
              <w14:schemeClr w14:val="tx1"/>
            </w14:solidFill>
          </w14:textFill>
        </w:rPr>
      </w:pPr>
    </w:p>
    <w:p w14:paraId="38968BE2">
      <w:pPr>
        <w:spacing w:line="560" w:lineRule="exact"/>
        <w:ind w:firstLine="422" w:firstLineChars="200"/>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24、</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履约保证金</w:t>
      </w:r>
    </w:p>
    <w:p w14:paraId="64FCAF21">
      <w:pPr>
        <w:spacing w:line="5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24.</w:t>
      </w: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采购文件要求乙方提交履约保证金的，乙方应按</w:t>
      </w:r>
      <w:r>
        <w:rPr>
          <w:rFonts w:hint="eastAsia" w:ascii="宋体" w:hAnsi="宋体"/>
          <w:b/>
          <w:i/>
          <w:color w:val="000000" w:themeColor="text1"/>
          <w:szCs w:val="21"/>
          <w:u w:val="single"/>
          <w14:textFill>
            <w14:solidFill>
              <w14:schemeClr w14:val="tx1"/>
            </w14:solidFill>
          </w14:textFill>
        </w:rPr>
        <w:t>合同专用条款</w:t>
      </w:r>
      <w:r>
        <w:rPr>
          <w:rFonts w:hint="eastAsia" w:ascii="宋体" w:hAnsi="宋体"/>
          <w:color w:val="000000" w:themeColor="text1"/>
          <w:szCs w:val="21"/>
          <w14:textFill>
            <w14:solidFill>
              <w14:schemeClr w14:val="tx1"/>
            </w14:solidFill>
          </w14:textFill>
        </w:rPr>
        <w:t>约定的方式，以支票、汇票、本票或者金融机构、担保机构出具的保函等非现金形式，提交不超过合同价</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的履约保证金；</w:t>
      </w:r>
    </w:p>
    <w:p w14:paraId="1ED17017">
      <w:pPr>
        <w:spacing w:line="5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24</w:t>
      </w:r>
      <w:r>
        <w:rPr>
          <w:rFonts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履约保证金在</w:t>
      </w:r>
      <w:r>
        <w:rPr>
          <w:rFonts w:hint="eastAsia" w:ascii="宋体" w:hAnsi="宋体"/>
          <w:b/>
          <w:i/>
          <w:color w:val="000000" w:themeColor="text1"/>
          <w:szCs w:val="21"/>
          <w:u w:val="single"/>
          <w14:textFill>
            <w14:solidFill>
              <w14:schemeClr w14:val="tx1"/>
            </w14:solidFill>
          </w14:textFill>
        </w:rPr>
        <w:t>合同专用条款</w:t>
      </w:r>
      <w:r>
        <w:rPr>
          <w:rFonts w:hint="eastAsia" w:ascii="宋体" w:hAnsi="宋体"/>
          <w:color w:val="000000" w:themeColor="text1"/>
          <w:szCs w:val="21"/>
          <w14:textFill>
            <w14:solidFill>
              <w14:schemeClr w14:val="tx1"/>
            </w14:solidFill>
          </w14:textFill>
        </w:rPr>
        <w:t>约定期间内或者货物质量保证期内不予退还或者应完全有效，前述约定期间届满或者货物质量保证期届满之日起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个工作日内，甲方应将履约保证金退还乙方；</w:t>
      </w:r>
    </w:p>
    <w:p w14:paraId="2D15520B">
      <w:pPr>
        <w:spacing w:line="5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24</w:t>
      </w:r>
      <w:r>
        <w:rPr>
          <w:rFonts w:ascii="宋体" w:hAnsi="宋体"/>
          <w:color w:val="000000" w:themeColor="text1"/>
          <w:szCs w:val="21"/>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A6D876">
      <w:pPr>
        <w:outlineLvl w:val="0"/>
        <w:rPr>
          <w:rFonts w:ascii="宋体" w:hAnsi="宋体"/>
          <w:color w:val="000000" w:themeColor="text1"/>
          <w:szCs w:val="21"/>
          <w14:textFill>
            <w14:solidFill>
              <w14:schemeClr w14:val="tx1"/>
            </w14:solidFill>
          </w14:textFill>
        </w:rPr>
        <w:sectPr>
          <w:footerReference r:id="rId7" w:type="first"/>
          <w:headerReference r:id="rId5" w:type="default"/>
          <w:footerReference r:id="rId6" w:type="default"/>
          <w:pgSz w:w="11906" w:h="16838"/>
          <w:pgMar w:top="1134" w:right="1134" w:bottom="1134" w:left="1418" w:header="851" w:footer="992" w:gutter="0"/>
          <w:cols w:space="720" w:num="1"/>
          <w:docGrid w:type="lines" w:linePitch="333" w:charSpace="0"/>
        </w:sectPr>
      </w:pPr>
      <w:r>
        <w:rPr>
          <w:rFonts w:hint="eastAsia" w:ascii="宋体" w:hAnsi="宋体"/>
          <w:color w:val="000000" w:themeColor="text1"/>
          <w:szCs w:val="21"/>
          <w14:textFill>
            <w14:solidFill>
              <w14:schemeClr w14:val="tx1"/>
            </w14:solidFill>
          </w14:textFill>
        </w:rPr>
        <w:t>备注：本验收书一式四份，采购单位、中标供应商各一份，并报送采购办、采购中心留档</w:t>
      </w:r>
    </w:p>
    <w:p w14:paraId="059A50FF">
      <w:pPr>
        <w:numPr>
          <w:ilvl w:val="0"/>
          <w:numId w:val="20"/>
        </w:numPr>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w:t>
      </w:r>
    </w:p>
    <w:p w14:paraId="43C5E171">
      <w:pPr>
        <w:numPr>
          <w:ilvl w:val="0"/>
          <w:numId w:val="21"/>
        </w:numPr>
        <w:jc w:val="both"/>
        <w:rPr>
          <w:rFonts w:hint="eastAsia" w:hAnsi="黑体" w:eastAsia="黑体" w:cs="Times New Roman"/>
          <w:sz w:val="32"/>
          <w:szCs w:val="32"/>
          <w:lang w:val="en-US" w:eastAsia="zh-CN"/>
        </w:rPr>
      </w:pPr>
      <w:r>
        <w:rPr>
          <w:rFonts w:hint="eastAsia" w:hAnsi="黑体" w:eastAsia="黑体" w:cs="Times New Roman"/>
          <w:sz w:val="32"/>
          <w:szCs w:val="32"/>
          <w:lang w:eastAsia="zh-CN"/>
        </w:rPr>
        <w:t>标的物</w:t>
      </w:r>
      <w:r>
        <w:rPr>
          <w:rFonts w:ascii="Times New Roman" w:hAnsi="黑体" w:eastAsia="黑体" w:cs="Times New Roman"/>
          <w:sz w:val="32"/>
          <w:szCs w:val="32"/>
        </w:rPr>
        <w:t>名称、数量和技术参数</w:t>
      </w:r>
      <w:r>
        <w:rPr>
          <w:rFonts w:hint="eastAsia" w:hAnsi="黑体" w:eastAsia="黑体" w:cs="Times New Roman"/>
          <w:sz w:val="32"/>
          <w:szCs w:val="32"/>
          <w:lang w:val="en-US" w:eastAsia="zh-CN"/>
        </w:rPr>
        <w:t xml:space="preserve"> </w:t>
      </w:r>
    </w:p>
    <w:tbl>
      <w:tblPr>
        <w:tblStyle w:val="23"/>
        <w:tblpPr w:leftFromText="180" w:rightFromText="180" w:vertAnchor="text" w:horzAnchor="page" w:tblpX="1241" w:tblpY="651"/>
        <w:tblOverlap w:val="never"/>
        <w:tblW w:w="14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6"/>
        <w:gridCol w:w="1213"/>
        <w:gridCol w:w="1131"/>
        <w:gridCol w:w="9351"/>
        <w:gridCol w:w="624"/>
        <w:gridCol w:w="645"/>
        <w:gridCol w:w="976"/>
      </w:tblGrid>
      <w:tr w14:paraId="495B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429A3719">
            <w:pPr>
              <w:pStyle w:val="50"/>
              <w:spacing w:before="219" w:line="210" w:lineRule="auto"/>
              <w:ind w:left="193" w:leftChars="0"/>
              <w:jc w:val="center"/>
              <w:rPr>
                <w:rFonts w:hint="eastAsia" w:ascii="宋体" w:hAnsi="宋体" w:eastAsia="宋体" w:cs="宋体"/>
                <w:kern w:val="2"/>
                <w:sz w:val="24"/>
                <w:szCs w:val="24"/>
                <w:lang w:val="en-US" w:eastAsia="zh-CN" w:bidi="ar-SA"/>
              </w:rPr>
            </w:pPr>
            <w:r>
              <w:rPr>
                <w:b/>
                <w:bCs/>
                <w:spacing w:val="33"/>
                <w:sz w:val="24"/>
                <w:szCs w:val="24"/>
              </w:rPr>
              <w:t>序号</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0CC137">
            <w:pPr>
              <w:pStyle w:val="50"/>
              <w:spacing w:before="193" w:line="231" w:lineRule="auto"/>
              <w:ind w:left="492" w:leftChars="0" w:right="131" w:rightChars="0" w:hanging="359" w:firstLineChars="0"/>
              <w:jc w:val="center"/>
              <w:rPr>
                <w:rFonts w:hint="eastAsia" w:ascii="宋体" w:hAnsi="宋体" w:eastAsia="宋体" w:cs="宋体"/>
                <w:kern w:val="2"/>
                <w:sz w:val="24"/>
                <w:szCs w:val="24"/>
                <w:lang w:val="en-US" w:eastAsia="zh-CN" w:bidi="ar-SA"/>
              </w:rPr>
            </w:pPr>
            <w:r>
              <w:rPr>
                <w:b/>
                <w:bCs/>
                <w:spacing w:val="-5"/>
                <w:sz w:val="24"/>
                <w:szCs w:val="24"/>
              </w:rPr>
              <w:t>标的物名</w:t>
            </w:r>
            <w:r>
              <w:rPr>
                <w:spacing w:val="1"/>
                <w:sz w:val="24"/>
                <w:szCs w:val="24"/>
              </w:rPr>
              <w:t xml:space="preserve"> </w:t>
            </w:r>
            <w:r>
              <w:rPr>
                <w:b/>
                <w:bCs/>
                <w:spacing w:val="-3"/>
                <w:sz w:val="24"/>
                <w:szCs w:val="24"/>
              </w:rPr>
              <w:t>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top"/>
          </w:tcPr>
          <w:p w14:paraId="6F740644">
            <w:pPr>
              <w:pStyle w:val="50"/>
              <w:spacing w:before="38" w:line="220" w:lineRule="auto"/>
              <w:ind w:left="206"/>
              <w:jc w:val="center"/>
              <w:rPr>
                <w:sz w:val="24"/>
                <w:szCs w:val="24"/>
              </w:rPr>
            </w:pPr>
            <w:r>
              <w:rPr>
                <w:b/>
                <w:bCs/>
                <w:spacing w:val="-6"/>
                <w:sz w:val="24"/>
                <w:szCs w:val="24"/>
              </w:rPr>
              <w:t>标的物</w:t>
            </w:r>
          </w:p>
          <w:p w14:paraId="470E85E8">
            <w:pPr>
              <w:pStyle w:val="50"/>
              <w:spacing w:before="26" w:line="220" w:lineRule="auto"/>
              <w:ind w:left="205"/>
              <w:jc w:val="center"/>
              <w:rPr>
                <w:sz w:val="24"/>
                <w:szCs w:val="24"/>
              </w:rPr>
            </w:pPr>
            <w:r>
              <w:rPr>
                <w:b/>
                <w:bCs/>
                <w:spacing w:val="-5"/>
                <w:sz w:val="24"/>
                <w:szCs w:val="24"/>
              </w:rPr>
              <w:t>所属行</w:t>
            </w:r>
          </w:p>
          <w:p w14:paraId="41DB78D9">
            <w:pPr>
              <w:pStyle w:val="50"/>
              <w:spacing w:before="26" w:line="205" w:lineRule="auto"/>
              <w:ind w:left="445" w:leftChars="0"/>
              <w:jc w:val="center"/>
              <w:rPr>
                <w:rFonts w:hint="eastAsia" w:ascii="宋体" w:hAnsi="宋体" w:eastAsia="宋体" w:cs="宋体"/>
                <w:kern w:val="2"/>
                <w:sz w:val="24"/>
                <w:szCs w:val="24"/>
                <w:lang w:val="en-US" w:eastAsia="zh-CN" w:bidi="ar-SA"/>
              </w:rPr>
            </w:pPr>
            <w:r>
              <w:rPr>
                <w:b/>
                <w:bCs/>
                <w:spacing w:val="-3"/>
                <w:sz w:val="24"/>
                <w:szCs w:val="24"/>
              </w:rPr>
              <w:t>业</w:t>
            </w:r>
          </w:p>
        </w:tc>
        <w:tc>
          <w:tcPr>
            <w:tcW w:w="9351" w:type="dxa"/>
            <w:tcBorders>
              <w:top w:val="single" w:color="000000" w:sz="4" w:space="0"/>
              <w:left w:val="single" w:color="000000" w:sz="4" w:space="0"/>
              <w:bottom w:val="single" w:color="000000" w:sz="4" w:space="0"/>
              <w:right w:val="single" w:color="000000" w:sz="4" w:space="0"/>
            </w:tcBorders>
            <w:shd w:val="clear" w:color="auto" w:fill="auto"/>
            <w:vAlign w:val="top"/>
          </w:tcPr>
          <w:p w14:paraId="443DCDB1">
            <w:pPr>
              <w:spacing w:line="269" w:lineRule="auto"/>
              <w:jc w:val="center"/>
            </w:pPr>
          </w:p>
          <w:p w14:paraId="56489768">
            <w:pPr>
              <w:pStyle w:val="50"/>
              <w:spacing w:before="78" w:line="220" w:lineRule="auto"/>
              <w:ind w:left="3793" w:leftChars="0"/>
              <w:jc w:val="center"/>
              <w:rPr>
                <w:rFonts w:hint="eastAsia" w:ascii="宋体" w:hAnsi="宋体" w:eastAsia="宋体" w:cs="宋体"/>
                <w:kern w:val="2"/>
                <w:sz w:val="24"/>
                <w:szCs w:val="24"/>
                <w:lang w:val="en-US" w:eastAsia="zh-CN" w:bidi="ar-SA"/>
              </w:rPr>
            </w:pPr>
            <w:r>
              <w:rPr>
                <w:b/>
                <w:bCs/>
                <w:spacing w:val="-4"/>
                <w:sz w:val="24"/>
                <w:szCs w:val="24"/>
              </w:rPr>
              <w:t>技术参数要求</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top"/>
          </w:tcPr>
          <w:p w14:paraId="4824357F">
            <w:pPr>
              <w:spacing w:line="270" w:lineRule="auto"/>
              <w:jc w:val="center"/>
            </w:pPr>
          </w:p>
          <w:p w14:paraId="6565D095">
            <w:pPr>
              <w:pStyle w:val="50"/>
              <w:spacing w:before="78" w:line="220" w:lineRule="auto"/>
              <w:ind w:left="168" w:leftChars="0"/>
              <w:jc w:val="center"/>
              <w:rPr>
                <w:rFonts w:hint="eastAsia" w:ascii="宋体" w:hAnsi="宋体" w:eastAsia="宋体" w:cs="宋体"/>
                <w:kern w:val="2"/>
                <w:sz w:val="24"/>
                <w:szCs w:val="24"/>
                <w:lang w:val="en-US" w:eastAsia="zh-CN" w:bidi="ar-SA"/>
              </w:rPr>
            </w:pPr>
            <w:r>
              <w:rPr>
                <w:b/>
                <w:bCs/>
                <w:spacing w:val="-8"/>
                <w:sz w:val="24"/>
                <w:szCs w:val="24"/>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7FC2A6">
            <w:pPr>
              <w:spacing w:line="269" w:lineRule="auto"/>
              <w:jc w:val="center"/>
            </w:pPr>
          </w:p>
          <w:p w14:paraId="4808756E">
            <w:pPr>
              <w:pStyle w:val="50"/>
              <w:spacing w:before="78" w:line="220" w:lineRule="auto"/>
              <w:ind w:left="161" w:leftChars="0"/>
              <w:jc w:val="center"/>
              <w:rPr>
                <w:rFonts w:hint="eastAsia" w:ascii="宋体" w:hAnsi="宋体" w:eastAsia="宋体" w:cs="宋体"/>
                <w:kern w:val="2"/>
                <w:sz w:val="24"/>
                <w:szCs w:val="24"/>
                <w:lang w:val="en-US" w:eastAsia="zh-CN" w:bidi="ar-SA"/>
              </w:rPr>
            </w:pPr>
            <w:r>
              <w:rPr>
                <w:b/>
                <w:bCs/>
                <w:spacing w:val="-8"/>
                <w:sz w:val="24"/>
                <w:szCs w:val="24"/>
              </w:rPr>
              <w:t>数量</w:t>
            </w:r>
          </w:p>
        </w:tc>
        <w:tc>
          <w:tcPr>
            <w:tcW w:w="97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1E4DCAA5">
            <w:pPr>
              <w:pStyle w:val="50"/>
              <w:spacing w:before="207" w:line="209" w:lineRule="auto"/>
              <w:ind w:left="193" w:leftChars="0"/>
              <w:jc w:val="center"/>
              <w:rPr>
                <w:rFonts w:hint="eastAsia" w:ascii="宋体" w:hAnsi="宋体" w:eastAsia="宋体" w:cs="宋体"/>
                <w:kern w:val="2"/>
                <w:sz w:val="24"/>
                <w:szCs w:val="24"/>
                <w:lang w:val="en-US" w:eastAsia="zh-CN" w:bidi="ar-SA"/>
              </w:rPr>
            </w:pPr>
            <w:r>
              <w:rPr>
                <w:b/>
                <w:bCs/>
                <w:spacing w:val="33"/>
                <w:sz w:val="24"/>
                <w:szCs w:val="24"/>
              </w:rPr>
              <w:t>备注</w:t>
            </w:r>
          </w:p>
        </w:tc>
      </w:tr>
      <w:tr w14:paraId="33E1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C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eastAsia="zh-CN"/>
              </w:rPr>
            </w:pPr>
            <w:r>
              <w:rPr>
                <w:rFonts w:hint="eastAsia" w:asciiTheme="minorEastAsia" w:hAnsiTheme="minorEastAsia" w:eastAsiaTheme="minorEastAsia" w:cstheme="minorEastAsia"/>
                <w:b w:val="0"/>
                <w:bCs w:val="0"/>
                <w:i w:val="0"/>
                <w:iCs w:val="0"/>
                <w:color w:val="auto"/>
                <w:sz w:val="24"/>
                <w:szCs w:val="24"/>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B49D">
            <w:pPr>
              <w:pStyle w:val="50"/>
              <w:spacing w:before="71" w:line="221" w:lineRule="auto"/>
              <w:ind w:left="189"/>
              <w:rPr>
                <w:rFonts w:hint="default" w:asciiTheme="minorEastAsia" w:hAnsiTheme="minorEastAsia" w:eastAsiaTheme="minorEastAsia" w:cstheme="minorEastAsia"/>
                <w:b w:val="0"/>
                <w:bCs w:val="0"/>
                <w:i w:val="0"/>
                <w:iCs w:val="0"/>
                <w:color w:val="auto"/>
                <w:sz w:val="24"/>
                <w:szCs w:val="24"/>
                <w:u w:val="none"/>
                <w:lang w:val="en-US" w:eastAsia="zh-CN"/>
              </w:rPr>
            </w:pPr>
            <w:bookmarkStart w:id="19" w:name="_Hlk104213737"/>
            <w:r>
              <w:rPr>
                <w:rFonts w:hint="default" w:asciiTheme="minorEastAsia" w:hAnsiTheme="minorEastAsia" w:eastAsiaTheme="minorEastAsia" w:cstheme="minorEastAsia"/>
                <w:b w:val="0"/>
                <w:bCs w:val="0"/>
                <w:i w:val="0"/>
                <w:iCs w:val="0"/>
                <w:color w:val="auto"/>
                <w:sz w:val="24"/>
                <w:szCs w:val="24"/>
                <w:u w:val="none"/>
                <w:lang w:val="en-US" w:eastAsia="zh-CN"/>
              </w:rPr>
              <w:t>货物/车辆检查系统</w:t>
            </w:r>
            <w:bookmarkEnd w:id="19"/>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6D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spacing w:val="-4"/>
                <w:sz w:val="24"/>
                <w:szCs w:val="24"/>
              </w:rPr>
              <w:t>工业</w:t>
            </w:r>
          </w:p>
        </w:tc>
        <w:tc>
          <w:tcPr>
            <w:tcW w:w="9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EAB6">
            <w:pPr>
              <w:pStyle w:val="51"/>
              <w:ind w:firstLine="0"/>
              <w:rPr>
                <w:rFonts w:eastAsiaTheme="minorEastAsia"/>
                <w:sz w:val="21"/>
                <w:szCs w:val="21"/>
              </w:rPr>
            </w:pPr>
            <w:r>
              <w:rPr>
                <w:rFonts w:hint="eastAsia" w:eastAsiaTheme="minorEastAsia"/>
                <w:sz w:val="21"/>
                <w:szCs w:val="21"/>
              </w:rPr>
              <w:t>特别说明：加★号条款为必须满足条款，不满足视为非实质性响应，投标将会被拒绝；加</w:t>
            </w:r>
            <w:r>
              <w:rPr>
                <w:rFonts w:hint="eastAsia" w:eastAsiaTheme="minorEastAsia"/>
                <w:sz w:val="21"/>
                <w:szCs w:val="21"/>
                <w:lang w:eastAsia="zh-CN"/>
              </w:rPr>
              <w:t>●</w:t>
            </w:r>
            <w:r>
              <w:rPr>
                <w:rFonts w:hint="eastAsia" w:eastAsiaTheme="minorEastAsia"/>
                <w:sz w:val="21"/>
                <w:szCs w:val="21"/>
              </w:rPr>
              <w:t xml:space="preserve">号和一般条款不满足将影响评分。 </w:t>
            </w:r>
          </w:p>
          <w:p w14:paraId="6D495745">
            <w:pPr>
              <w:pStyle w:val="51"/>
              <w:ind w:firstLine="0"/>
              <w:rPr>
                <w:rFonts w:ascii="Times New Roman" w:hAnsi="Times New Roman"/>
                <w:b/>
                <w:sz w:val="21"/>
                <w:szCs w:val="21"/>
              </w:rPr>
            </w:pPr>
            <w:r>
              <w:rPr>
                <w:rFonts w:hint="eastAsia" w:eastAsiaTheme="minorEastAsia"/>
                <w:sz w:val="21"/>
                <w:szCs w:val="21"/>
              </w:rPr>
              <w:t>一般要求：供货商应熟悉口岸物流作业流程，能够按照场区物流运作和海关物流监控的要求，研究提出合理的设备部署方案配合海关共同完成设备的环境影响评估和安装工作；供货商应具备较强的系统开发能力，能够根据海关业务需求与海关的智能审图系统对接，提高设备的智能化水平；所投产品应当具备互联互通功能，保证与中国海关设备实现联网集中审像作业。</w:t>
            </w:r>
            <w:r>
              <w:rPr>
                <w:rFonts w:eastAsiaTheme="minorEastAsia"/>
                <w:sz w:val="21"/>
                <w:szCs w:val="21"/>
              </w:rPr>
              <w:t xml:space="preserve"> </w:t>
            </w:r>
          </w:p>
          <w:p w14:paraId="1C6D3296">
            <w:pPr>
              <w:pStyle w:val="51"/>
              <w:numPr>
                <w:ilvl w:val="0"/>
                <w:numId w:val="22"/>
              </w:numPr>
              <w:ind w:left="0" w:leftChars="0" w:firstLine="25" w:firstLineChars="0"/>
              <w:rPr>
                <w:rFonts w:ascii="Times New Roman" w:hAnsi="Times New Roman"/>
                <w:b/>
                <w:sz w:val="21"/>
                <w:szCs w:val="21"/>
              </w:rPr>
            </w:pPr>
            <w:r>
              <w:rPr>
                <w:rFonts w:ascii="Times New Roman" w:hAnsi="Times New Roman"/>
                <w:b/>
                <w:sz w:val="21"/>
                <w:szCs w:val="21"/>
              </w:rPr>
              <w:t>基本功能需求</w:t>
            </w:r>
          </w:p>
          <w:p w14:paraId="3AC7A852">
            <w:pPr>
              <w:pStyle w:val="51"/>
              <w:ind w:firstLine="0"/>
              <w:rPr>
                <w:rFonts w:ascii="Times New Roman" w:hAnsi="Times New Roman"/>
                <w:b/>
                <w:sz w:val="21"/>
                <w:szCs w:val="21"/>
              </w:rPr>
            </w:pPr>
            <w:r>
              <w:rPr>
                <w:rFonts w:hint="eastAsia" w:ascii="Times New Roman" w:hAnsi="Times New Roman"/>
                <w:b/>
                <w:sz w:val="21"/>
                <w:szCs w:val="21"/>
              </w:rPr>
              <w:t>产品须符合中华人民共和国《辐射型货物和（或）车辆检查系统》（GB/T 19211-2015）、《车辆辐射检查系统的放射防护要求》（GBZ143-2015）等有关标准要求。</w:t>
            </w:r>
          </w:p>
          <w:p w14:paraId="32C649AA">
            <w:pPr>
              <w:pStyle w:val="48"/>
              <w:numPr>
                <w:ilvl w:val="1"/>
                <w:numId w:val="22"/>
              </w:numPr>
              <w:ind w:left="0" w:leftChars="0" w:firstLine="25" w:firstLineChars="0"/>
              <w:rPr>
                <w:rFonts w:ascii="Times New Roman" w:hAnsi="Times New Roman"/>
                <w:sz w:val="21"/>
                <w:szCs w:val="21"/>
              </w:rPr>
            </w:pPr>
            <w:r>
              <w:rPr>
                <w:rFonts w:hint="eastAsia" w:ascii="Segoe UI Symbol" w:hAnsi="Segoe UI Symbol" w:cs="Segoe UI Symbol"/>
                <w:sz w:val="21"/>
                <w:szCs w:val="21"/>
              </w:rPr>
              <w:t>检查系统</w:t>
            </w:r>
            <w:r>
              <w:rPr>
                <w:rFonts w:ascii="Times New Roman" w:hAnsi="Times New Roman"/>
                <w:sz w:val="21"/>
                <w:szCs w:val="21"/>
              </w:rPr>
              <w:t>使用环境要求：</w:t>
            </w:r>
          </w:p>
          <w:p w14:paraId="4701E85F">
            <w:pPr>
              <w:pStyle w:val="48"/>
              <w:numPr>
                <w:ilvl w:val="0"/>
                <w:numId w:val="23"/>
              </w:numPr>
              <w:ind w:firstLineChars="0"/>
              <w:rPr>
                <w:rFonts w:ascii="Times New Roman" w:hAnsi="Times New Roman"/>
                <w:sz w:val="21"/>
                <w:szCs w:val="21"/>
              </w:rPr>
            </w:pPr>
            <w:r>
              <w:rPr>
                <w:rFonts w:ascii="Times New Roman" w:hAnsi="Times New Roman"/>
                <w:sz w:val="21"/>
                <w:szCs w:val="21"/>
              </w:rPr>
              <w:t>环境温度：运行环境温度：-25℃～+45℃，存储环境温度：-</w:t>
            </w:r>
            <w:r>
              <w:rPr>
                <w:rFonts w:hint="eastAsia" w:ascii="Times New Roman" w:hAnsi="Times New Roman"/>
                <w:sz w:val="21"/>
                <w:szCs w:val="21"/>
                <w:lang w:val="en-US" w:eastAsia="zh-CN"/>
              </w:rPr>
              <w:t>40</w:t>
            </w:r>
            <w:r>
              <w:rPr>
                <w:rFonts w:ascii="Times New Roman" w:hAnsi="Times New Roman"/>
                <w:sz w:val="21"/>
                <w:szCs w:val="21"/>
              </w:rPr>
              <w:t>℃～+55℃；</w:t>
            </w:r>
          </w:p>
          <w:p w14:paraId="3328FD90">
            <w:pPr>
              <w:pStyle w:val="48"/>
              <w:numPr>
                <w:ilvl w:val="0"/>
                <w:numId w:val="23"/>
              </w:numPr>
              <w:ind w:firstLineChars="0"/>
              <w:rPr>
                <w:rFonts w:ascii="Times New Roman" w:hAnsi="Times New Roman"/>
                <w:sz w:val="21"/>
                <w:szCs w:val="21"/>
              </w:rPr>
            </w:pPr>
            <w:r>
              <w:rPr>
                <w:rFonts w:ascii="Times New Roman" w:hAnsi="Times New Roman"/>
                <w:sz w:val="21"/>
                <w:szCs w:val="21"/>
              </w:rPr>
              <w:t>相对湿度：0%-95%（不结露的情况下）；</w:t>
            </w:r>
          </w:p>
          <w:p w14:paraId="5FE3DD5A">
            <w:pPr>
              <w:pStyle w:val="48"/>
              <w:numPr>
                <w:ilvl w:val="0"/>
                <w:numId w:val="23"/>
              </w:numPr>
              <w:ind w:firstLineChars="0"/>
              <w:rPr>
                <w:rFonts w:ascii="Times New Roman" w:hAnsi="Times New Roman"/>
                <w:sz w:val="21"/>
                <w:szCs w:val="21"/>
              </w:rPr>
            </w:pPr>
            <w:r>
              <w:rPr>
                <w:rFonts w:ascii="Times New Roman" w:hAnsi="Times New Roman"/>
                <w:sz w:val="21"/>
                <w:szCs w:val="21"/>
              </w:rPr>
              <w:t>应能承受风、雨、盐雾的侵袭，具备防雷措施</w:t>
            </w:r>
            <w:r>
              <w:rPr>
                <w:rFonts w:hint="eastAsia" w:ascii="Times New Roman" w:hAnsi="Times New Roman"/>
                <w:sz w:val="21"/>
                <w:szCs w:val="21"/>
              </w:rPr>
              <w:t>;</w:t>
            </w:r>
          </w:p>
          <w:p w14:paraId="2252D41F">
            <w:pPr>
              <w:pStyle w:val="48"/>
              <w:numPr>
                <w:ilvl w:val="1"/>
                <w:numId w:val="22"/>
              </w:numPr>
              <w:ind w:left="0" w:leftChars="0" w:firstLine="25" w:firstLineChars="0"/>
              <w:rPr>
                <w:rFonts w:ascii="Times New Roman" w:hAnsi="Times New Roman"/>
                <w:sz w:val="21"/>
                <w:szCs w:val="21"/>
              </w:rPr>
            </w:pPr>
            <w:r>
              <w:rPr>
                <w:rFonts w:ascii="Times New Roman" w:hAnsi="Times New Roman"/>
                <w:sz w:val="21"/>
                <w:szCs w:val="21"/>
              </w:rPr>
              <w:t>电压：380±10%VAC，三相五线制；频率：50±1Hz。</w:t>
            </w:r>
          </w:p>
          <w:p w14:paraId="2F8F19B1">
            <w:pPr>
              <w:pStyle w:val="48"/>
              <w:numPr>
                <w:ilvl w:val="1"/>
                <w:numId w:val="22"/>
              </w:numPr>
              <w:ind w:left="0" w:leftChars="0" w:firstLine="25" w:firstLineChars="0"/>
              <w:rPr>
                <w:rFonts w:ascii="Times New Roman" w:hAnsi="Times New Roman"/>
                <w:sz w:val="21"/>
                <w:szCs w:val="21"/>
              </w:rPr>
            </w:pPr>
            <w:r>
              <w:rPr>
                <w:rFonts w:ascii="Times New Roman" w:hAnsi="Times New Roman"/>
                <w:sz w:val="21"/>
                <w:szCs w:val="21"/>
              </w:rPr>
              <w:t>可连续运行时间：可保证24小时连续运行。</w:t>
            </w:r>
          </w:p>
          <w:p w14:paraId="1F12A3E3">
            <w:pPr>
              <w:pStyle w:val="48"/>
              <w:numPr>
                <w:ilvl w:val="1"/>
                <w:numId w:val="22"/>
              </w:numPr>
              <w:ind w:left="0" w:leftChars="0" w:firstLine="25" w:firstLineChars="0"/>
              <w:rPr>
                <w:rFonts w:ascii="Times New Roman" w:hAnsi="Times New Roman"/>
                <w:sz w:val="21"/>
                <w:szCs w:val="21"/>
              </w:rPr>
            </w:pPr>
            <w:r>
              <w:rPr>
                <w:rFonts w:ascii="Times New Roman" w:hAnsi="Times New Roman"/>
                <w:sz w:val="21"/>
                <w:szCs w:val="21"/>
              </w:rPr>
              <w:t>检查系统年有效运行率：≥98%。</w:t>
            </w:r>
          </w:p>
          <w:p w14:paraId="3F3EDD07">
            <w:pPr>
              <w:pStyle w:val="48"/>
              <w:numPr>
                <w:ilvl w:val="1"/>
                <w:numId w:val="22"/>
              </w:numPr>
              <w:ind w:left="0" w:leftChars="0" w:firstLine="25" w:firstLineChars="0"/>
              <w:rPr>
                <w:rFonts w:ascii="Times New Roman" w:hAnsi="Times New Roman"/>
                <w:sz w:val="21"/>
                <w:szCs w:val="21"/>
              </w:rPr>
            </w:pPr>
            <w:r>
              <w:rPr>
                <w:rFonts w:ascii="Times New Roman" w:hAnsi="Times New Roman"/>
                <w:sz w:val="21"/>
                <w:szCs w:val="21"/>
              </w:rPr>
              <w:t>工作准备时间：＜30分钟。</w:t>
            </w:r>
          </w:p>
          <w:p w14:paraId="4B2ABCB4">
            <w:pPr>
              <w:pStyle w:val="48"/>
              <w:numPr>
                <w:ilvl w:val="1"/>
                <w:numId w:val="22"/>
              </w:numPr>
              <w:ind w:left="0" w:leftChars="0" w:firstLine="25" w:firstLineChars="0"/>
              <w:rPr>
                <w:rFonts w:ascii="Times New Roman" w:hAnsi="Times New Roman"/>
                <w:sz w:val="21"/>
                <w:szCs w:val="21"/>
              </w:rPr>
            </w:pPr>
            <w:r>
              <w:rPr>
                <w:rFonts w:ascii="Times New Roman" w:hAnsi="Times New Roman"/>
                <w:sz w:val="21"/>
                <w:szCs w:val="21"/>
              </w:rPr>
              <w:t>检查系统的颜色可接受用户定制。</w:t>
            </w:r>
          </w:p>
          <w:p w14:paraId="6E9188BB">
            <w:pPr>
              <w:pStyle w:val="48"/>
              <w:numPr>
                <w:ilvl w:val="1"/>
                <w:numId w:val="22"/>
              </w:numPr>
              <w:ind w:left="0" w:leftChars="0" w:firstLine="25" w:firstLineChars="0"/>
              <w:rPr>
                <w:rFonts w:ascii="Times New Roman" w:hAnsi="Times New Roman"/>
                <w:sz w:val="21"/>
                <w:szCs w:val="21"/>
              </w:rPr>
            </w:pPr>
            <w:r>
              <w:rPr>
                <w:rFonts w:hint="eastAsia" w:ascii="Times New Roman" w:hAnsi="Times New Roman"/>
                <w:sz w:val="21"/>
                <w:szCs w:val="21"/>
              </w:rPr>
              <w:t>提供显示器、存储系统、存储图像输出、通讯和网络、打印机、扫描仪（视工作流程需要）、USB3.0及以上接口等（可根据海关系统安全要求，封闭设备接口）。</w:t>
            </w:r>
          </w:p>
          <w:p w14:paraId="3E69C787">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显示器要求：使用IPS面板，色彩≥1600万色，尺寸≥24寸，长宽比为16：9或16：10，分辨率≥1920×1080，亮度≥250cd/m²，对比度≥1000：1，响应时间≤14ms,预设色彩模式:具备DICOM色彩模式。</w:t>
            </w:r>
          </w:p>
          <w:p w14:paraId="2AC3383B">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rPr>
              <w:t>图像存储量：可存储50000幅图像，且存储容量不小于10T，并配备刻录机。</w:t>
            </w:r>
          </w:p>
          <w:p w14:paraId="2F6C8402">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图像获取：随扫描同步获取。</w:t>
            </w:r>
          </w:p>
          <w:p w14:paraId="48A0BBA3">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图像格式要求：</w:t>
            </w:r>
          </w:p>
          <w:p w14:paraId="2F4783A4">
            <w:pPr>
              <w:pStyle w:val="48"/>
              <w:ind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 xml:space="preserve">1) </w:t>
            </w:r>
            <w:r>
              <w:rPr>
                <w:rFonts w:hint="eastAsia" w:asciiTheme="majorEastAsia" w:hAnsiTheme="majorEastAsia" w:eastAsiaTheme="majorEastAsia"/>
                <w:sz w:val="21"/>
                <w:szCs w:val="21"/>
              </w:rPr>
              <w:t xml:space="preserve">支持TIFF格式或支持IMG、CPF等格式转化为TIFF格式。 </w:t>
            </w:r>
          </w:p>
          <w:p w14:paraId="2CAF536C">
            <w:pPr>
              <w:pStyle w:val="48"/>
              <w:ind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w:t>
            </w:r>
            <w:bookmarkStart w:id="20" w:name="_Hlk104214279"/>
            <w:r>
              <w:rPr>
                <w:rFonts w:hint="eastAsia" w:asciiTheme="majorEastAsia" w:hAnsiTheme="majorEastAsia" w:eastAsiaTheme="majorEastAsia"/>
                <w:sz w:val="21"/>
                <w:szCs w:val="21"/>
              </w:rPr>
              <w:t>系统</w:t>
            </w:r>
            <w:bookmarkEnd w:id="20"/>
            <w:r>
              <w:rPr>
                <w:rFonts w:hint="eastAsia" w:asciiTheme="majorEastAsia" w:hAnsiTheme="majorEastAsia" w:eastAsiaTheme="majorEastAsia"/>
                <w:sz w:val="21"/>
                <w:szCs w:val="21"/>
              </w:rPr>
              <w:t>应具备图像发送功能，可以按照3.4和3.6所列接口方式及时将机检扫描图像以及对应检入信息发送至相关海关作业系统。扫描图像应该结合车牌号、报关单号等检入数据以及系统运行记录进行关联并可打包输出。</w:t>
            </w:r>
          </w:p>
          <w:p w14:paraId="199E3325">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图像处理功能：A、放大/缩小；B、边缘增强；C、滤波平滑；D、反差调整；E、直方图均衡；F、线性变换；G、对数变换；H、嫌疑标记及注释；I、镜像变换；J、多图像比较；K、图像格式转换（JPEG、TIFF）；L伪彩色变换。</w:t>
            </w:r>
          </w:p>
          <w:p w14:paraId="5BEBCBC6">
            <w:pPr>
              <w:pStyle w:val="48"/>
              <w:numPr>
                <w:ilvl w:val="1"/>
                <w:numId w:val="22"/>
              </w:numPr>
              <w:ind w:left="0" w:leftChars="0" w:firstLine="25" w:firstLineChars="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设备可对过往扫描图像建立历史图像库。</w:t>
            </w:r>
          </w:p>
          <w:p w14:paraId="3F0646D6">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图像查询功能：可根据不同条件对已扫描的历史图像以及相关信息进行检索和浏览。</w:t>
            </w:r>
          </w:p>
          <w:p w14:paraId="2D30E3E2">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★工作站</w:t>
            </w:r>
            <w:r>
              <w:rPr>
                <w:rFonts w:hint="eastAsia" w:asciiTheme="majorEastAsia" w:hAnsiTheme="majorEastAsia" w:eastAsiaTheme="majorEastAsia"/>
                <w:sz w:val="21"/>
                <w:szCs w:val="21"/>
                <w:lang w:val="en-US" w:eastAsia="zh-CN"/>
              </w:rPr>
              <w:t>及服务器需</w:t>
            </w:r>
            <w:r>
              <w:rPr>
                <w:rFonts w:hint="eastAsia" w:asciiTheme="majorEastAsia" w:hAnsiTheme="majorEastAsia" w:eastAsiaTheme="majorEastAsia"/>
                <w:sz w:val="21"/>
                <w:szCs w:val="21"/>
              </w:rPr>
              <w:t>配备UPS断电保护装置。</w:t>
            </w:r>
          </w:p>
          <w:p w14:paraId="0B8904B8">
            <w:pPr>
              <w:pStyle w:val="48"/>
              <w:numPr>
                <w:ilvl w:val="1"/>
                <w:numId w:val="22"/>
              </w:numPr>
              <w:ind w:left="0" w:leftChars="0" w:firstLine="25"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★操作软件需具备中文界面。</w:t>
            </w:r>
          </w:p>
          <w:p w14:paraId="3FFDB60B">
            <w:pPr>
              <w:pStyle w:val="48"/>
              <w:numPr>
                <w:ilvl w:val="1"/>
                <w:numId w:val="22"/>
              </w:numPr>
              <w:ind w:left="0" w:leftChars="0" w:firstLine="25" w:firstLineChars="0"/>
              <w:rPr>
                <w:rFonts w:asciiTheme="majorEastAsia" w:hAnsiTheme="majorEastAsia" w:eastAsiaTheme="majorEastAsia"/>
                <w:sz w:val="21"/>
                <w:szCs w:val="21"/>
              </w:rPr>
            </w:pPr>
            <w:bookmarkStart w:id="21" w:name="_Hlk136359733"/>
            <w:r>
              <w:rPr>
                <w:rFonts w:cs="Segoe UI Symbol" w:asciiTheme="majorEastAsia" w:hAnsiTheme="majorEastAsia" w:eastAsiaTheme="majorEastAsia"/>
                <w:sz w:val="21"/>
                <w:szCs w:val="21"/>
              </w:rPr>
              <w:t>★</w:t>
            </w:r>
            <w:r>
              <w:rPr>
                <w:rFonts w:asciiTheme="majorEastAsia" w:hAnsiTheme="majorEastAsia" w:eastAsiaTheme="majorEastAsia"/>
                <w:sz w:val="21"/>
                <w:szCs w:val="21"/>
              </w:rPr>
              <w:t>射线源类型为电子直线加速器</w:t>
            </w:r>
            <w:bookmarkEnd w:id="21"/>
            <w:r>
              <w:rPr>
                <w:rFonts w:asciiTheme="majorEastAsia" w:hAnsiTheme="majorEastAsia" w:eastAsiaTheme="majorEastAsia"/>
                <w:sz w:val="21"/>
                <w:szCs w:val="21"/>
              </w:rPr>
              <w:t>。</w:t>
            </w:r>
          </w:p>
          <w:p w14:paraId="79B1A8C9">
            <w:pPr>
              <w:pStyle w:val="48"/>
              <w:numPr>
                <w:ilvl w:val="1"/>
                <w:numId w:val="22"/>
              </w:numPr>
              <w:ind w:left="0" w:leftChars="0" w:firstLine="25" w:firstLineChars="0"/>
              <w:rPr>
                <w:rFonts w:ascii="Times New Roman" w:hAnsi="Times New Roman"/>
                <w:sz w:val="21"/>
                <w:szCs w:val="21"/>
              </w:rPr>
            </w:pPr>
            <w:r>
              <w:rPr>
                <w:rFonts w:hint="eastAsia" w:ascii="Times New Roman" w:hAnsi="Times New Roman"/>
                <w:sz w:val="21"/>
                <w:szCs w:val="21"/>
                <w:lang w:val="en-US" w:eastAsia="zh-CN"/>
              </w:rPr>
              <w:t xml:space="preserve">    </w:t>
            </w:r>
            <w:r>
              <w:rPr>
                <w:rFonts w:hint="eastAsia" w:ascii="Times New Roman" w:hAnsi="Times New Roman"/>
                <w:sz w:val="21"/>
                <w:szCs w:val="21"/>
              </w:rPr>
              <w:t>★设备验收时提供使用手册、维修等。</w:t>
            </w:r>
          </w:p>
          <w:p w14:paraId="36820486">
            <w:pPr>
              <w:pStyle w:val="51"/>
              <w:numPr>
                <w:ilvl w:val="0"/>
                <w:numId w:val="22"/>
              </w:numPr>
              <w:ind w:left="0" w:leftChars="0" w:firstLine="25" w:firstLineChars="0"/>
              <w:rPr>
                <w:rFonts w:ascii="Times New Roman" w:hAnsi="Times New Roman"/>
                <w:b/>
                <w:sz w:val="21"/>
                <w:szCs w:val="21"/>
              </w:rPr>
            </w:pPr>
            <w:r>
              <w:rPr>
                <w:rFonts w:ascii="Times New Roman" w:hAnsi="Times New Roman"/>
                <w:b/>
                <w:sz w:val="21"/>
                <w:szCs w:val="21"/>
              </w:rPr>
              <w:t>个性化技术指标要求</w:t>
            </w:r>
          </w:p>
          <w:p w14:paraId="7C68D266">
            <w:pPr>
              <w:spacing w:line="240" w:lineRule="auto"/>
              <w:ind w:firstLine="420" w:firstLineChars="200"/>
              <w:rPr>
                <w:rFonts w:cs="Times New Roman"/>
                <w:sz w:val="21"/>
                <w:szCs w:val="21"/>
              </w:rPr>
            </w:pPr>
            <w:r>
              <w:rPr>
                <w:rFonts w:cs="Times New Roman"/>
                <w:sz w:val="21"/>
                <w:szCs w:val="21"/>
              </w:rPr>
              <w:t>说明：以下所列图像技术指标和辐射安全指标，要求同时在标准扫描速度或标准通过速度下实现。</w:t>
            </w:r>
          </w:p>
          <w:p w14:paraId="266B6D8D">
            <w:pPr>
              <w:spacing w:line="240" w:lineRule="auto"/>
              <w:ind w:firstLine="420" w:firstLineChars="200"/>
              <w:rPr>
                <w:rFonts w:cs="Times New Roman"/>
                <w:sz w:val="21"/>
                <w:szCs w:val="21"/>
              </w:rPr>
            </w:pPr>
            <w:r>
              <w:rPr>
                <w:rFonts w:cs="Times New Roman"/>
                <w:sz w:val="21"/>
                <w:szCs w:val="21"/>
              </w:rPr>
              <w:t>提供的 “穿透力”、“丝分辨力（空气中）”、“丝分辨力（钢板后）”、“反差灵敏度”、“空间分辨率（线对直径）”、“物质分辨力”涉及设备成像性能的指标，应以国标《GBT19211-2015辐射型货物和（或）车辆检查系统》中第8章“成像性能测试”规定的测试方法进行检测。</w:t>
            </w:r>
          </w:p>
          <w:p w14:paraId="39411D8F">
            <w:pPr>
              <w:spacing w:line="240" w:lineRule="auto"/>
              <w:ind w:firstLine="420" w:firstLineChars="200"/>
              <w:rPr>
                <w:rFonts w:hint="eastAsia" w:cs="Times New Roman"/>
                <w:sz w:val="21"/>
                <w:szCs w:val="21"/>
              </w:rPr>
            </w:pPr>
            <w:r>
              <w:rPr>
                <w:rFonts w:hint="eastAsia" w:cs="Times New Roman"/>
                <w:sz w:val="21"/>
                <w:szCs w:val="21"/>
              </w:rPr>
              <w:t>2.1</w:t>
            </w:r>
            <w:r>
              <w:rPr>
                <w:rFonts w:hint="eastAsia" w:cs="Times New Roman"/>
                <w:sz w:val="21"/>
                <w:szCs w:val="21"/>
              </w:rPr>
              <w:tab/>
            </w:r>
            <w:r>
              <w:rPr>
                <w:rFonts w:hint="eastAsia" w:cs="Times New Roman"/>
                <w:sz w:val="21"/>
                <w:szCs w:val="21"/>
              </w:rPr>
              <w:t>用途</w:t>
            </w:r>
            <w:r>
              <w:rPr>
                <w:rFonts w:hint="eastAsia" w:cs="Times New Roman"/>
                <w:sz w:val="21"/>
                <w:szCs w:val="21"/>
                <w:lang w:eastAsia="zh-CN"/>
              </w:rPr>
              <w:t>：</w:t>
            </w:r>
            <w:r>
              <w:rPr>
                <w:rFonts w:hint="eastAsia" w:cs="Times New Roman"/>
                <w:sz w:val="21"/>
                <w:szCs w:val="21"/>
              </w:rPr>
              <w:t>系统能满足对标准集装箱车辆、各类箱式货车进行扫描成像检查。</w:t>
            </w:r>
          </w:p>
          <w:p w14:paraId="73D590A0">
            <w:pPr>
              <w:spacing w:line="240" w:lineRule="auto"/>
              <w:ind w:firstLine="420" w:firstLineChars="200"/>
              <w:rPr>
                <w:rFonts w:hint="eastAsia" w:cs="Times New Roman"/>
                <w:sz w:val="21"/>
                <w:szCs w:val="21"/>
              </w:rPr>
            </w:pPr>
            <w:r>
              <w:rPr>
                <w:rFonts w:hint="eastAsia" w:cs="Times New Roman"/>
                <w:sz w:val="21"/>
                <w:szCs w:val="21"/>
              </w:rPr>
              <w:t>2.2</w:t>
            </w:r>
            <w:r>
              <w:rPr>
                <w:rFonts w:hint="eastAsia" w:cs="Times New Roman"/>
                <w:sz w:val="21"/>
                <w:szCs w:val="21"/>
              </w:rPr>
              <w:tab/>
            </w:r>
            <w:r>
              <w:rPr>
                <w:rFonts w:hint="eastAsia" w:cs="Times New Roman"/>
                <w:sz w:val="21"/>
                <w:szCs w:val="21"/>
              </w:rPr>
              <w:t>功能要求</w:t>
            </w:r>
            <w:r>
              <w:rPr>
                <w:rFonts w:hint="eastAsia" w:cs="Times New Roman"/>
                <w:sz w:val="21"/>
                <w:szCs w:val="21"/>
                <w:lang w:eastAsia="zh-CN"/>
              </w:rPr>
              <w:t>：</w:t>
            </w:r>
            <w:r>
              <w:rPr>
                <w:rFonts w:hint="eastAsia" w:cs="Times New Roman"/>
                <w:sz w:val="21"/>
                <w:szCs w:val="21"/>
              </w:rPr>
              <w:t>采用模块化设计，使系统经过简单的分拆便可通过公路、铁路或水路运输方式实施转场，设备在地面轨道上往复行走，对整车（含驾驶室）货物进行不开箱扫描成像检查。</w:t>
            </w:r>
          </w:p>
          <w:p w14:paraId="6628BE88">
            <w:pPr>
              <w:spacing w:line="240" w:lineRule="auto"/>
              <w:ind w:firstLine="420" w:firstLineChars="200"/>
              <w:rPr>
                <w:rFonts w:hint="eastAsia" w:cs="Times New Roman"/>
                <w:sz w:val="21"/>
                <w:szCs w:val="21"/>
              </w:rPr>
            </w:pPr>
            <w:r>
              <w:rPr>
                <w:rFonts w:hint="eastAsia" w:cs="Times New Roman"/>
                <w:sz w:val="21"/>
                <w:szCs w:val="21"/>
              </w:rPr>
              <w:t>2.3</w:t>
            </w:r>
            <w:r>
              <w:rPr>
                <w:rFonts w:hint="eastAsia" w:cs="Times New Roman"/>
                <w:sz w:val="21"/>
                <w:szCs w:val="21"/>
              </w:rPr>
              <w:tab/>
            </w:r>
            <w:r>
              <w:rPr>
                <w:rFonts w:hint="eastAsia" w:cs="Times New Roman"/>
                <w:sz w:val="21"/>
                <w:szCs w:val="21"/>
              </w:rPr>
              <w:t>基本构造</w:t>
            </w:r>
            <w:r>
              <w:rPr>
                <w:rFonts w:hint="eastAsia" w:cs="Times New Roman"/>
                <w:sz w:val="21"/>
                <w:szCs w:val="21"/>
                <w:lang w:eastAsia="zh-CN"/>
              </w:rPr>
              <w:t>：</w:t>
            </w:r>
            <w:r>
              <w:rPr>
                <w:rFonts w:hint="eastAsia" w:cs="Times New Roman"/>
                <w:sz w:val="21"/>
                <w:szCs w:val="21"/>
              </w:rPr>
              <w:t>主要由主体扫描系统、辐射防护设施等组成。</w:t>
            </w:r>
          </w:p>
          <w:p w14:paraId="6F5F097F">
            <w:pPr>
              <w:spacing w:line="240" w:lineRule="auto"/>
              <w:ind w:firstLine="420" w:firstLineChars="200"/>
              <w:rPr>
                <w:rFonts w:hint="eastAsia" w:cs="Times New Roman"/>
                <w:sz w:val="21"/>
                <w:szCs w:val="21"/>
              </w:rPr>
            </w:pPr>
            <w:r>
              <w:rPr>
                <w:rFonts w:hint="eastAsia" w:cs="Times New Roman"/>
                <w:sz w:val="21"/>
                <w:szCs w:val="21"/>
              </w:rPr>
              <w:t>2.4</w:t>
            </w:r>
            <w:r>
              <w:rPr>
                <w:rFonts w:hint="eastAsia" w:cs="Times New Roman"/>
                <w:sz w:val="21"/>
                <w:szCs w:val="21"/>
              </w:rPr>
              <w:tab/>
            </w:r>
            <w:r>
              <w:rPr>
                <w:rFonts w:hint="eastAsia" w:cs="Times New Roman"/>
                <w:sz w:val="21"/>
                <w:szCs w:val="21"/>
              </w:rPr>
              <w:t>★扫描模式</w:t>
            </w:r>
            <w:r>
              <w:rPr>
                <w:rFonts w:hint="eastAsia" w:cs="Times New Roman"/>
                <w:sz w:val="21"/>
                <w:szCs w:val="21"/>
                <w:lang w:eastAsia="zh-CN"/>
              </w:rPr>
              <w:t>：</w:t>
            </w:r>
            <w:r>
              <w:rPr>
                <w:rFonts w:hint="eastAsia" w:cs="Times New Roman"/>
                <w:sz w:val="21"/>
                <w:szCs w:val="21"/>
              </w:rPr>
              <w:t>系统具主动扫描模式，即被扫描物体静止，扫描系统沿指定线路移动。</w:t>
            </w:r>
          </w:p>
          <w:p w14:paraId="4F7368B3">
            <w:pPr>
              <w:spacing w:line="240" w:lineRule="auto"/>
              <w:ind w:firstLine="420" w:firstLineChars="200"/>
              <w:rPr>
                <w:rFonts w:hint="eastAsia" w:cs="Times New Roman"/>
                <w:sz w:val="21"/>
                <w:szCs w:val="21"/>
                <w:shd w:val="clear"/>
              </w:rPr>
            </w:pPr>
            <w:r>
              <w:rPr>
                <w:rFonts w:hint="eastAsia" w:cs="Times New Roman"/>
                <w:sz w:val="21"/>
                <w:szCs w:val="21"/>
              </w:rPr>
              <w:t>2.5</w:t>
            </w:r>
            <w:r>
              <w:rPr>
                <w:rFonts w:hint="eastAsia" w:cs="Times New Roman"/>
                <w:sz w:val="21"/>
                <w:szCs w:val="21"/>
              </w:rPr>
              <w:tab/>
            </w:r>
            <w:r>
              <w:rPr>
                <w:rFonts w:hint="eastAsia" w:eastAsiaTheme="minorEastAsia"/>
                <w:sz w:val="21"/>
                <w:szCs w:val="21"/>
                <w:lang w:eastAsia="zh-CN"/>
              </w:rPr>
              <w:t>●</w:t>
            </w:r>
            <w:r>
              <w:rPr>
                <w:rFonts w:hint="eastAsia" w:cs="Times New Roman"/>
                <w:sz w:val="21"/>
                <w:szCs w:val="21"/>
              </w:rPr>
              <w:t>通道尺寸</w:t>
            </w:r>
            <w:r>
              <w:rPr>
                <w:rFonts w:hint="eastAsia" w:cs="Times New Roman"/>
                <w:sz w:val="21"/>
                <w:szCs w:val="21"/>
                <w:lang w:eastAsia="zh-CN"/>
              </w:rPr>
              <w:t>：</w:t>
            </w:r>
            <w:r>
              <w:rPr>
                <w:rFonts w:hint="eastAsia" w:cs="Times New Roman"/>
                <w:sz w:val="21"/>
                <w:szCs w:val="21"/>
              </w:rPr>
              <w:t>不小于4.9m(宽)×6.0m(高)（</w:t>
            </w:r>
            <w:r>
              <w:rPr>
                <w:rFonts w:hint="eastAsia" w:cs="Times New Roman"/>
                <w:sz w:val="21"/>
                <w:szCs w:val="21"/>
                <w:shd w:val="clear"/>
              </w:rPr>
              <w:t>需提供具有CMA或CNAS标识的检测报告来证明）</w:t>
            </w:r>
          </w:p>
          <w:p w14:paraId="0228F423">
            <w:pPr>
              <w:spacing w:line="240" w:lineRule="auto"/>
              <w:ind w:firstLine="420" w:firstLineChars="200"/>
              <w:rPr>
                <w:rFonts w:hint="eastAsia" w:cs="Times New Roman"/>
                <w:sz w:val="21"/>
                <w:szCs w:val="21"/>
              </w:rPr>
            </w:pPr>
            <w:r>
              <w:rPr>
                <w:rFonts w:hint="eastAsia" w:cs="Times New Roman"/>
                <w:sz w:val="21"/>
                <w:szCs w:val="21"/>
              </w:rPr>
              <w:t>2.6</w:t>
            </w:r>
            <w:r>
              <w:rPr>
                <w:rFonts w:hint="eastAsia" w:cs="Times New Roman"/>
                <w:sz w:val="21"/>
                <w:szCs w:val="21"/>
              </w:rPr>
              <w:tab/>
            </w:r>
            <w:r>
              <w:rPr>
                <w:rFonts w:hint="eastAsia" w:eastAsiaTheme="minorEastAsia"/>
                <w:sz w:val="21"/>
                <w:szCs w:val="21"/>
                <w:lang w:eastAsia="zh-CN"/>
              </w:rPr>
              <w:t>●</w:t>
            </w:r>
            <w:r>
              <w:rPr>
                <w:rFonts w:hint="eastAsia" w:cs="Times New Roman"/>
                <w:sz w:val="21"/>
                <w:szCs w:val="21"/>
              </w:rPr>
              <w:t>被检查车辆尺寸</w:t>
            </w:r>
            <w:r>
              <w:rPr>
                <w:rFonts w:hint="eastAsia" w:cs="Times New Roman"/>
                <w:sz w:val="21"/>
                <w:szCs w:val="21"/>
                <w:lang w:eastAsia="zh-CN"/>
              </w:rPr>
              <w:t>：</w:t>
            </w:r>
            <w:r>
              <w:rPr>
                <w:rFonts w:hint="eastAsia" w:cs="Times New Roman"/>
                <w:sz w:val="21"/>
                <w:szCs w:val="21"/>
              </w:rPr>
              <w:t>不小于24m(长) × 3.8m(宽)×4.8m(高)，扫描图像中不能存在图像缺角不完</w:t>
            </w:r>
            <w:r>
              <w:rPr>
                <w:rFonts w:hint="eastAsia" w:cs="Times New Roman"/>
                <w:sz w:val="21"/>
                <w:szCs w:val="21"/>
                <w:shd w:val="clear"/>
              </w:rPr>
              <w:t>整（需提供具有CMA或CNAS标识的检测报告来证明）</w:t>
            </w:r>
          </w:p>
          <w:p w14:paraId="117DE666">
            <w:pPr>
              <w:spacing w:line="240" w:lineRule="auto"/>
              <w:ind w:firstLine="420" w:firstLineChars="200"/>
              <w:rPr>
                <w:rFonts w:hint="eastAsia" w:cs="Times New Roman"/>
                <w:sz w:val="21"/>
                <w:szCs w:val="21"/>
              </w:rPr>
            </w:pPr>
            <w:r>
              <w:rPr>
                <w:rFonts w:hint="eastAsia" w:cs="Times New Roman"/>
                <w:sz w:val="21"/>
                <w:szCs w:val="21"/>
              </w:rPr>
              <w:t>2.7</w:t>
            </w:r>
            <w:r>
              <w:rPr>
                <w:rFonts w:hint="eastAsia" w:cs="Times New Roman"/>
                <w:sz w:val="21"/>
                <w:szCs w:val="21"/>
              </w:rPr>
              <w:tab/>
            </w:r>
            <w:r>
              <w:rPr>
                <w:rFonts w:hint="eastAsia" w:cs="Times New Roman"/>
                <w:sz w:val="21"/>
                <w:szCs w:val="21"/>
              </w:rPr>
              <w:t>★双车连扫功能</w:t>
            </w:r>
            <w:r>
              <w:rPr>
                <w:rFonts w:hint="eastAsia" w:cs="Times New Roman"/>
                <w:sz w:val="21"/>
                <w:szCs w:val="21"/>
                <w:lang w:eastAsia="zh-CN"/>
              </w:rPr>
              <w:t>：</w:t>
            </w:r>
            <w:r>
              <w:rPr>
                <w:rFonts w:hint="eastAsia" w:cs="Times New Roman"/>
                <w:sz w:val="21"/>
                <w:szCs w:val="21"/>
              </w:rPr>
              <w:t>系统可一次性完成在扫描通道内依次停放的两辆车的扫描，单车长度不小于24m，扫描结束后，系统可自动完成图像分割，并自动完成对应的车牌号、集装箱号等信息的绑定并存储。</w:t>
            </w:r>
          </w:p>
          <w:p w14:paraId="1AE51EAF">
            <w:pPr>
              <w:spacing w:line="240" w:lineRule="auto"/>
              <w:ind w:firstLine="420" w:firstLineChars="200"/>
              <w:rPr>
                <w:rFonts w:hint="eastAsia" w:cs="Times New Roman"/>
                <w:sz w:val="21"/>
                <w:szCs w:val="21"/>
              </w:rPr>
            </w:pPr>
            <w:r>
              <w:rPr>
                <w:rFonts w:hint="eastAsia" w:cs="Times New Roman"/>
                <w:sz w:val="21"/>
                <w:szCs w:val="21"/>
              </w:rPr>
              <w:t>2.8</w:t>
            </w:r>
            <w:r>
              <w:rPr>
                <w:rFonts w:hint="eastAsia" w:cs="Times New Roman"/>
                <w:sz w:val="21"/>
                <w:szCs w:val="21"/>
              </w:rPr>
              <w:tab/>
            </w:r>
            <w:r>
              <w:rPr>
                <w:rFonts w:hint="eastAsia" w:cs="Times New Roman"/>
                <w:sz w:val="21"/>
                <w:szCs w:val="21"/>
              </w:rPr>
              <w:t>最低扫描高度（近射线源侧）</w:t>
            </w:r>
            <w:r>
              <w:rPr>
                <w:rFonts w:hint="eastAsia" w:cs="Times New Roman"/>
                <w:sz w:val="21"/>
                <w:szCs w:val="21"/>
                <w:lang w:eastAsia="zh-CN"/>
              </w:rPr>
              <w:t>：</w:t>
            </w:r>
            <w:r>
              <w:rPr>
                <w:rFonts w:hint="eastAsia" w:cs="Times New Roman"/>
                <w:sz w:val="21"/>
                <w:szCs w:val="21"/>
              </w:rPr>
              <w:t>可实现从0m扫描成像。</w:t>
            </w:r>
          </w:p>
          <w:p w14:paraId="4DD05CF2">
            <w:pPr>
              <w:spacing w:line="240" w:lineRule="auto"/>
              <w:ind w:firstLine="420" w:firstLineChars="200"/>
              <w:rPr>
                <w:rFonts w:hint="eastAsia" w:cs="Times New Roman"/>
                <w:sz w:val="21"/>
                <w:szCs w:val="21"/>
              </w:rPr>
            </w:pPr>
            <w:r>
              <w:rPr>
                <w:rFonts w:hint="eastAsia" w:cs="Times New Roman"/>
                <w:sz w:val="21"/>
                <w:szCs w:val="21"/>
              </w:rPr>
              <w:t>2.9</w:t>
            </w:r>
            <w:r>
              <w:rPr>
                <w:rFonts w:hint="eastAsia" w:cs="Times New Roman"/>
                <w:sz w:val="21"/>
                <w:szCs w:val="21"/>
              </w:rPr>
              <w:tab/>
            </w:r>
            <w:r>
              <w:rPr>
                <w:rFonts w:hint="eastAsia" w:cs="Times New Roman"/>
                <w:sz w:val="21"/>
                <w:szCs w:val="21"/>
              </w:rPr>
              <w:t>检查通过率</w:t>
            </w:r>
            <w:r>
              <w:rPr>
                <w:rFonts w:hint="eastAsia" w:cs="Times New Roman"/>
                <w:sz w:val="21"/>
                <w:szCs w:val="21"/>
                <w:lang w:eastAsia="zh-CN"/>
              </w:rPr>
              <w:t>：</w:t>
            </w:r>
            <w:r>
              <w:rPr>
                <w:rFonts w:hint="eastAsia" w:cs="Times New Roman"/>
                <w:sz w:val="21"/>
                <w:szCs w:val="21"/>
              </w:rPr>
              <w:t>每小时不少于25辆24米长的车辆或者标准40英尺集装箱车辆。</w:t>
            </w:r>
          </w:p>
          <w:p w14:paraId="70C660CB">
            <w:pPr>
              <w:spacing w:line="240" w:lineRule="auto"/>
              <w:ind w:firstLine="420" w:firstLineChars="200"/>
              <w:rPr>
                <w:rFonts w:hint="eastAsia" w:cs="Times New Roman"/>
                <w:sz w:val="21"/>
                <w:szCs w:val="21"/>
              </w:rPr>
            </w:pPr>
            <w:r>
              <w:rPr>
                <w:rFonts w:hint="eastAsia" w:cs="Times New Roman"/>
                <w:sz w:val="21"/>
                <w:szCs w:val="21"/>
              </w:rPr>
              <w:t>2.10</w:t>
            </w:r>
            <w:r>
              <w:rPr>
                <w:rFonts w:hint="eastAsia" w:cs="Times New Roman"/>
                <w:sz w:val="21"/>
                <w:szCs w:val="21"/>
              </w:rPr>
              <w:tab/>
            </w:r>
            <w:r>
              <w:rPr>
                <w:rFonts w:hint="eastAsia" w:cs="Times New Roman"/>
                <w:sz w:val="21"/>
                <w:szCs w:val="21"/>
              </w:rPr>
              <w:t>辐射安全指标</w:t>
            </w:r>
            <w:r>
              <w:rPr>
                <w:rFonts w:hint="eastAsia" w:cs="Times New Roman"/>
                <w:sz w:val="21"/>
                <w:szCs w:val="21"/>
                <w:lang w:eastAsia="zh-CN"/>
              </w:rPr>
              <w:t>：</w:t>
            </w:r>
            <w:r>
              <w:rPr>
                <w:rFonts w:hint="eastAsia" w:cs="Times New Roman"/>
                <w:sz w:val="21"/>
                <w:szCs w:val="21"/>
              </w:rPr>
              <w:t>操作人员年有效辐射剂量：≤2mSv/年</w:t>
            </w:r>
          </w:p>
          <w:p w14:paraId="32AF6F45">
            <w:pPr>
              <w:spacing w:line="240" w:lineRule="auto"/>
              <w:ind w:firstLine="2310" w:firstLineChars="1100"/>
              <w:rPr>
                <w:rFonts w:hint="eastAsia" w:cs="Times New Roman"/>
                <w:sz w:val="21"/>
                <w:szCs w:val="21"/>
              </w:rPr>
            </w:pPr>
            <w:r>
              <w:rPr>
                <w:rFonts w:hint="eastAsia" w:cs="Times New Roman"/>
                <w:sz w:val="21"/>
                <w:szCs w:val="21"/>
              </w:rPr>
              <w:t>单次扫描吸收剂量：≤50μSv/次</w:t>
            </w:r>
          </w:p>
          <w:p w14:paraId="4E9F8A16">
            <w:pPr>
              <w:spacing w:line="240" w:lineRule="auto"/>
              <w:ind w:firstLine="2310" w:firstLineChars="1100"/>
              <w:rPr>
                <w:rFonts w:hint="eastAsia" w:cs="Times New Roman"/>
                <w:sz w:val="21"/>
                <w:szCs w:val="21"/>
              </w:rPr>
            </w:pPr>
            <w:r>
              <w:rPr>
                <w:rFonts w:hint="eastAsia" w:cs="Times New Roman"/>
                <w:sz w:val="21"/>
                <w:szCs w:val="21"/>
              </w:rPr>
              <w:t>最大边界剂量率：≤2.5μSv/h</w:t>
            </w:r>
          </w:p>
          <w:p w14:paraId="1CC651DA">
            <w:pPr>
              <w:spacing w:line="240" w:lineRule="auto"/>
              <w:ind w:firstLine="2310" w:firstLineChars="1100"/>
              <w:rPr>
                <w:rFonts w:hint="eastAsia" w:cs="Times New Roman"/>
                <w:sz w:val="21"/>
                <w:szCs w:val="21"/>
              </w:rPr>
            </w:pPr>
            <w:r>
              <w:rPr>
                <w:rFonts w:hint="eastAsia" w:cs="Times New Roman"/>
                <w:sz w:val="21"/>
                <w:szCs w:val="21"/>
              </w:rPr>
              <w:t>操作人员操作位置的周围剂量当量率应不大于1.0μSv/h。</w:t>
            </w:r>
          </w:p>
          <w:p w14:paraId="5BBDDB93">
            <w:pPr>
              <w:spacing w:line="240" w:lineRule="auto"/>
              <w:ind w:firstLine="420" w:firstLineChars="200"/>
              <w:rPr>
                <w:rFonts w:hint="eastAsia" w:cs="Times New Roman"/>
                <w:sz w:val="21"/>
                <w:szCs w:val="21"/>
              </w:rPr>
            </w:pPr>
            <w:r>
              <w:rPr>
                <w:rFonts w:hint="eastAsia" w:cs="Times New Roman"/>
                <w:sz w:val="21"/>
                <w:szCs w:val="21"/>
              </w:rPr>
              <w:t>2.11</w:t>
            </w:r>
            <w:r>
              <w:rPr>
                <w:rFonts w:hint="eastAsia" w:cs="Times New Roman"/>
                <w:sz w:val="21"/>
                <w:szCs w:val="21"/>
                <w:lang w:val="en-US" w:eastAsia="zh-CN"/>
              </w:rPr>
              <w:t xml:space="preserve">   </w:t>
            </w:r>
            <w:r>
              <w:rPr>
                <w:rFonts w:hint="eastAsia" w:cs="Times New Roman"/>
                <w:sz w:val="21"/>
                <w:szCs w:val="21"/>
              </w:rPr>
              <w:t>安全可控边界</w:t>
            </w:r>
            <w:r>
              <w:rPr>
                <w:rFonts w:hint="eastAsia" w:cs="Times New Roman"/>
                <w:sz w:val="21"/>
                <w:szCs w:val="21"/>
                <w:lang w:eastAsia="zh-CN"/>
              </w:rPr>
              <w:t>：</w:t>
            </w:r>
            <w:r>
              <w:rPr>
                <w:rFonts w:hint="eastAsia" w:cs="Times New Roman"/>
                <w:sz w:val="21"/>
                <w:szCs w:val="21"/>
              </w:rPr>
              <w:t>长度不大于85m，且宽度不大于14m（含两侧辐射防护墙）。</w:t>
            </w:r>
          </w:p>
          <w:p w14:paraId="2086FE70">
            <w:pPr>
              <w:spacing w:line="240" w:lineRule="auto"/>
              <w:ind w:firstLine="420" w:firstLineChars="200"/>
              <w:rPr>
                <w:rFonts w:hint="eastAsia" w:cs="Times New Roman"/>
                <w:sz w:val="21"/>
                <w:szCs w:val="21"/>
              </w:rPr>
            </w:pPr>
            <w:r>
              <w:rPr>
                <w:rFonts w:hint="eastAsia" w:cs="Times New Roman"/>
                <w:sz w:val="21"/>
                <w:szCs w:val="21"/>
              </w:rPr>
              <w:t>2.12</w:t>
            </w:r>
            <w:r>
              <w:rPr>
                <w:rFonts w:hint="eastAsia" w:cs="Times New Roman"/>
                <w:sz w:val="21"/>
                <w:szCs w:val="21"/>
              </w:rPr>
              <w:tab/>
            </w:r>
            <w:r>
              <w:rPr>
                <w:rFonts w:hint="eastAsia" w:cs="Times New Roman"/>
                <w:sz w:val="21"/>
                <w:szCs w:val="21"/>
                <w:lang w:val="en-US" w:eastAsia="zh-CN"/>
              </w:rPr>
              <w:t xml:space="preserve">  </w:t>
            </w:r>
            <w:r>
              <w:rPr>
                <w:rFonts w:hint="eastAsia" w:cs="Times New Roman"/>
                <w:sz w:val="21"/>
                <w:szCs w:val="21"/>
              </w:rPr>
              <w:t>★扫描速度</w:t>
            </w:r>
            <w:r>
              <w:rPr>
                <w:rFonts w:hint="eastAsia" w:cs="Times New Roman"/>
                <w:sz w:val="21"/>
                <w:szCs w:val="21"/>
                <w:lang w:eastAsia="zh-CN"/>
              </w:rPr>
              <w:t>：</w:t>
            </w:r>
            <w:r>
              <w:rPr>
                <w:rFonts w:hint="eastAsia" w:cs="Times New Roman"/>
                <w:sz w:val="21"/>
                <w:szCs w:val="21"/>
              </w:rPr>
              <w:t>主动扫描不低于0.4m/s。</w:t>
            </w:r>
          </w:p>
          <w:p w14:paraId="2786233A">
            <w:pPr>
              <w:spacing w:line="240" w:lineRule="auto"/>
              <w:ind w:firstLine="420" w:firstLineChars="200"/>
              <w:rPr>
                <w:rFonts w:hint="eastAsia" w:cs="Times New Roman"/>
                <w:sz w:val="21"/>
                <w:szCs w:val="21"/>
              </w:rPr>
            </w:pPr>
            <w:r>
              <w:rPr>
                <w:rFonts w:hint="eastAsia" w:cs="Times New Roman"/>
                <w:sz w:val="21"/>
                <w:szCs w:val="21"/>
              </w:rPr>
              <w:t>2.13</w:t>
            </w:r>
            <w:r>
              <w:rPr>
                <w:rFonts w:hint="eastAsia" w:cs="Times New Roman"/>
                <w:sz w:val="21"/>
                <w:szCs w:val="21"/>
                <w:lang w:val="en-US" w:eastAsia="zh-CN"/>
              </w:rPr>
              <w:t xml:space="preserve">   </w:t>
            </w:r>
            <w:r>
              <w:rPr>
                <w:rFonts w:hint="eastAsia" w:cs="Times New Roman"/>
                <w:sz w:val="21"/>
                <w:szCs w:val="21"/>
              </w:rPr>
              <w:t>射线能量</w:t>
            </w:r>
            <w:r>
              <w:rPr>
                <w:rFonts w:hint="eastAsia" w:cs="Times New Roman"/>
                <w:sz w:val="21"/>
                <w:szCs w:val="21"/>
                <w:lang w:eastAsia="zh-CN"/>
              </w:rPr>
              <w:t>：</w:t>
            </w:r>
            <w:r>
              <w:rPr>
                <w:rFonts w:hint="eastAsia" w:cs="Times New Roman"/>
                <w:sz w:val="21"/>
                <w:szCs w:val="21"/>
              </w:rPr>
              <w:t>6/3MeV。</w:t>
            </w:r>
          </w:p>
          <w:p w14:paraId="6E8B424E">
            <w:pPr>
              <w:spacing w:line="240" w:lineRule="auto"/>
              <w:ind w:firstLine="420" w:firstLineChars="200"/>
              <w:rPr>
                <w:rFonts w:hint="eastAsia" w:cs="Times New Roman"/>
                <w:sz w:val="21"/>
                <w:szCs w:val="21"/>
              </w:rPr>
            </w:pPr>
            <w:r>
              <w:rPr>
                <w:rFonts w:hint="eastAsia" w:cs="Times New Roman"/>
                <w:sz w:val="21"/>
                <w:szCs w:val="21"/>
              </w:rPr>
              <w:t>2.14</w:t>
            </w:r>
            <w:r>
              <w:rPr>
                <w:rFonts w:hint="eastAsia" w:cs="Times New Roman"/>
                <w:sz w:val="21"/>
                <w:szCs w:val="21"/>
                <w:lang w:val="en-US" w:eastAsia="zh-CN"/>
              </w:rPr>
              <w:t xml:space="preserve">   </w:t>
            </w:r>
            <w:r>
              <w:rPr>
                <w:rFonts w:hint="eastAsia" w:cs="Times New Roman"/>
                <w:sz w:val="21"/>
                <w:szCs w:val="21"/>
              </w:rPr>
              <w:t>★穿透力/mm</w:t>
            </w:r>
            <w:r>
              <w:rPr>
                <w:rFonts w:hint="eastAsia" w:cs="Times New Roman"/>
                <w:sz w:val="21"/>
                <w:szCs w:val="21"/>
                <w:lang w:eastAsia="zh-CN"/>
              </w:rPr>
              <w:t>：</w:t>
            </w:r>
            <w:r>
              <w:rPr>
                <w:rFonts w:hint="eastAsia" w:cs="Times New Roman"/>
                <w:sz w:val="21"/>
                <w:szCs w:val="21"/>
              </w:rPr>
              <w:t>SP≥320（扫描速度：≥0.4m/s）。</w:t>
            </w:r>
          </w:p>
          <w:p w14:paraId="2795FE5D">
            <w:pPr>
              <w:spacing w:line="240" w:lineRule="auto"/>
              <w:ind w:firstLine="420" w:firstLineChars="200"/>
              <w:rPr>
                <w:rFonts w:hint="eastAsia" w:cs="Times New Roman"/>
                <w:sz w:val="21"/>
                <w:szCs w:val="21"/>
              </w:rPr>
            </w:pPr>
            <w:r>
              <w:rPr>
                <w:rFonts w:hint="eastAsia" w:cs="Times New Roman"/>
                <w:sz w:val="21"/>
                <w:szCs w:val="21"/>
              </w:rPr>
              <w:t>2.15</w:t>
            </w:r>
            <w:r>
              <w:rPr>
                <w:rFonts w:hint="eastAsia" w:cs="Times New Roman"/>
                <w:sz w:val="21"/>
                <w:szCs w:val="21"/>
              </w:rPr>
              <w:tab/>
            </w:r>
            <w:r>
              <w:rPr>
                <w:rFonts w:hint="eastAsia" w:cs="Times New Roman"/>
                <w:sz w:val="21"/>
                <w:szCs w:val="21"/>
                <w:lang w:val="en-US" w:eastAsia="zh-CN"/>
              </w:rPr>
              <w:t xml:space="preserve">  </w:t>
            </w:r>
            <w:r>
              <w:rPr>
                <w:rFonts w:hint="eastAsia" w:cs="Times New Roman"/>
                <w:sz w:val="21"/>
                <w:szCs w:val="21"/>
              </w:rPr>
              <w:t>★丝分辨力（空气中）/mm</w:t>
            </w:r>
            <w:r>
              <w:rPr>
                <w:rFonts w:hint="eastAsia" w:cs="Times New Roman"/>
                <w:sz w:val="21"/>
                <w:szCs w:val="21"/>
                <w:lang w:eastAsia="zh-CN"/>
              </w:rPr>
              <w:t>：</w:t>
            </w:r>
            <w:r>
              <w:rPr>
                <w:rFonts w:hint="eastAsia" w:cs="Times New Roman"/>
                <w:sz w:val="21"/>
                <w:szCs w:val="21"/>
              </w:rPr>
              <w:t>WD≤1.5（扫描速度：≥0.4m/s）。</w:t>
            </w:r>
          </w:p>
          <w:p w14:paraId="33A9D06D">
            <w:pPr>
              <w:spacing w:line="240" w:lineRule="auto"/>
              <w:ind w:firstLine="420" w:firstLineChars="200"/>
              <w:rPr>
                <w:rFonts w:hint="eastAsia" w:cs="Times New Roman"/>
                <w:sz w:val="21"/>
                <w:szCs w:val="21"/>
              </w:rPr>
            </w:pPr>
            <w:r>
              <w:rPr>
                <w:rFonts w:hint="eastAsia" w:cs="Times New Roman"/>
                <w:sz w:val="21"/>
                <w:szCs w:val="21"/>
              </w:rPr>
              <w:t>2.16</w:t>
            </w:r>
            <w:r>
              <w:rPr>
                <w:rFonts w:hint="eastAsia" w:cs="Times New Roman"/>
                <w:sz w:val="21"/>
                <w:szCs w:val="21"/>
                <w:lang w:val="en-US" w:eastAsia="zh-CN"/>
              </w:rPr>
              <w:t xml:space="preserve">   </w:t>
            </w:r>
            <w:r>
              <w:rPr>
                <w:rFonts w:hint="eastAsia" w:cs="Times New Roman"/>
                <w:sz w:val="21"/>
                <w:szCs w:val="21"/>
              </w:rPr>
              <w:t>★丝分辨力（钢板后）/mm</w:t>
            </w:r>
            <w:r>
              <w:rPr>
                <w:rFonts w:hint="eastAsia" w:cs="Times New Roman"/>
                <w:sz w:val="21"/>
                <w:szCs w:val="21"/>
                <w:lang w:eastAsia="zh-CN"/>
              </w:rPr>
              <w:t>：</w:t>
            </w:r>
            <w:r>
              <w:rPr>
                <w:rFonts w:hint="eastAsia" w:cs="Times New Roman"/>
                <w:sz w:val="21"/>
                <w:szCs w:val="21"/>
              </w:rPr>
              <w:t>WD≤4.0（扫描速度：≥0.4m/s）。</w:t>
            </w:r>
          </w:p>
          <w:p w14:paraId="2B63D63E">
            <w:pPr>
              <w:spacing w:line="240" w:lineRule="auto"/>
              <w:ind w:firstLine="420" w:firstLineChars="200"/>
              <w:rPr>
                <w:rFonts w:hint="eastAsia" w:cs="Times New Roman"/>
                <w:sz w:val="21"/>
                <w:szCs w:val="21"/>
              </w:rPr>
            </w:pPr>
            <w:r>
              <w:rPr>
                <w:rFonts w:hint="eastAsia" w:cs="Times New Roman"/>
                <w:sz w:val="21"/>
                <w:szCs w:val="21"/>
              </w:rPr>
              <w:t>2.17</w:t>
            </w:r>
            <w:r>
              <w:rPr>
                <w:rFonts w:hint="eastAsia" w:cs="Times New Roman"/>
                <w:sz w:val="21"/>
                <w:szCs w:val="21"/>
              </w:rPr>
              <w:tab/>
            </w:r>
            <w:r>
              <w:rPr>
                <w:rFonts w:hint="eastAsia" w:cs="Times New Roman"/>
                <w:sz w:val="21"/>
                <w:szCs w:val="21"/>
                <w:lang w:val="en-US" w:eastAsia="zh-CN"/>
              </w:rPr>
              <w:t xml:space="preserve">  </w:t>
            </w:r>
            <w:r>
              <w:rPr>
                <w:rFonts w:hint="eastAsia" w:cs="Times New Roman"/>
                <w:sz w:val="21"/>
                <w:szCs w:val="21"/>
              </w:rPr>
              <w:t>★反差灵敏度/%</w:t>
            </w:r>
            <w:r>
              <w:rPr>
                <w:rFonts w:hint="eastAsia" w:cs="Times New Roman"/>
                <w:sz w:val="21"/>
                <w:szCs w:val="21"/>
              </w:rPr>
              <w:tab/>
            </w:r>
            <w:r>
              <w:rPr>
                <w:rFonts w:hint="eastAsia" w:cs="Times New Roman"/>
                <w:sz w:val="21"/>
                <w:szCs w:val="21"/>
                <w:lang w:eastAsia="zh-CN"/>
              </w:rPr>
              <w:t>：</w:t>
            </w:r>
            <w:r>
              <w:rPr>
                <w:rFonts w:hint="eastAsia" w:cs="Times New Roman"/>
                <w:sz w:val="21"/>
                <w:szCs w:val="21"/>
              </w:rPr>
              <w:t>CS≤1.5（扫描速度：≥0.4m/s）。</w:t>
            </w:r>
          </w:p>
          <w:p w14:paraId="6B595FC5">
            <w:pPr>
              <w:spacing w:line="240" w:lineRule="auto"/>
              <w:ind w:firstLine="420" w:firstLineChars="200"/>
              <w:rPr>
                <w:rFonts w:hint="eastAsia" w:cs="Times New Roman"/>
                <w:sz w:val="21"/>
                <w:szCs w:val="21"/>
              </w:rPr>
            </w:pPr>
            <w:r>
              <w:rPr>
                <w:rFonts w:hint="eastAsia" w:cs="Times New Roman"/>
                <w:sz w:val="21"/>
                <w:szCs w:val="21"/>
              </w:rPr>
              <w:t>2.18</w:t>
            </w:r>
            <w:r>
              <w:rPr>
                <w:rFonts w:hint="eastAsia" w:cs="Times New Roman"/>
                <w:sz w:val="21"/>
                <w:szCs w:val="21"/>
              </w:rPr>
              <w:tab/>
            </w:r>
            <w:r>
              <w:rPr>
                <w:rFonts w:hint="eastAsia" w:cs="Times New Roman"/>
                <w:sz w:val="21"/>
                <w:szCs w:val="21"/>
                <w:lang w:val="en-US" w:eastAsia="zh-CN"/>
              </w:rPr>
              <w:t xml:space="preserve">  </w:t>
            </w:r>
            <w:r>
              <w:rPr>
                <w:rFonts w:hint="eastAsia" w:eastAsiaTheme="minorEastAsia"/>
                <w:sz w:val="21"/>
                <w:szCs w:val="21"/>
                <w:lang w:eastAsia="zh-CN"/>
              </w:rPr>
              <w:t>●</w:t>
            </w:r>
            <w:r>
              <w:rPr>
                <w:rFonts w:hint="eastAsia" w:cs="Times New Roman"/>
                <w:sz w:val="21"/>
                <w:szCs w:val="21"/>
              </w:rPr>
              <w:t>物质标识功能</w:t>
            </w:r>
            <w:r>
              <w:rPr>
                <w:rFonts w:hint="eastAsia" w:cs="Times New Roman"/>
                <w:sz w:val="21"/>
                <w:szCs w:val="21"/>
                <w:lang w:eastAsia="zh-CN"/>
              </w:rPr>
              <w:t>：</w:t>
            </w:r>
            <w:r>
              <w:rPr>
                <w:rFonts w:hint="eastAsia" w:cs="Times New Roman"/>
                <w:sz w:val="21"/>
                <w:szCs w:val="21"/>
              </w:rPr>
              <w:t>可区分有机物、无机物和混合物，并用不同的颜色标识（扫描速度：　　　≥0.4m/s）。</w:t>
            </w:r>
          </w:p>
          <w:p w14:paraId="10E12256">
            <w:pPr>
              <w:spacing w:line="240" w:lineRule="auto"/>
              <w:ind w:firstLine="420" w:firstLineChars="200"/>
              <w:rPr>
                <w:rFonts w:hint="eastAsia" w:cs="Times New Roman"/>
                <w:sz w:val="21"/>
                <w:szCs w:val="21"/>
              </w:rPr>
            </w:pPr>
            <w:r>
              <w:rPr>
                <w:rFonts w:hint="eastAsia" w:cs="Times New Roman"/>
                <w:sz w:val="21"/>
                <w:szCs w:val="21"/>
              </w:rPr>
              <w:t>2.19</w:t>
            </w:r>
            <w:r>
              <w:rPr>
                <w:rFonts w:hint="eastAsia" w:cs="Times New Roman"/>
                <w:sz w:val="21"/>
                <w:szCs w:val="21"/>
              </w:rPr>
              <w:tab/>
            </w:r>
            <w:r>
              <w:rPr>
                <w:rFonts w:hint="eastAsia" w:cs="Times New Roman"/>
                <w:sz w:val="21"/>
                <w:szCs w:val="21"/>
              </w:rPr>
              <w:t>图像剥离功能</w:t>
            </w:r>
            <w:r>
              <w:rPr>
                <w:rFonts w:hint="eastAsia" w:cs="Times New Roman"/>
                <w:sz w:val="21"/>
                <w:szCs w:val="21"/>
                <w:lang w:eastAsia="zh-CN"/>
              </w:rPr>
              <w:t>：</w:t>
            </w:r>
            <w:r>
              <w:rPr>
                <w:rFonts w:hint="eastAsia" w:cs="Times New Roman"/>
                <w:sz w:val="21"/>
                <w:szCs w:val="21"/>
              </w:rPr>
              <w:t>对被选区域背景物质进行剥离，从而正确识别被遮挡物质的材料属性。</w:t>
            </w:r>
          </w:p>
          <w:p w14:paraId="62B8348C">
            <w:pPr>
              <w:spacing w:line="240" w:lineRule="auto"/>
              <w:ind w:firstLine="420" w:firstLineChars="200"/>
              <w:rPr>
                <w:rFonts w:hint="eastAsia" w:cs="Times New Roman"/>
                <w:sz w:val="21"/>
                <w:szCs w:val="21"/>
              </w:rPr>
            </w:pPr>
            <w:r>
              <w:rPr>
                <w:rFonts w:hint="eastAsia" w:cs="Times New Roman"/>
                <w:sz w:val="21"/>
                <w:szCs w:val="21"/>
              </w:rPr>
              <w:t>2.20</w:t>
            </w:r>
            <w:r>
              <w:rPr>
                <w:rFonts w:hint="eastAsia" w:cs="Times New Roman"/>
                <w:sz w:val="21"/>
                <w:szCs w:val="21"/>
              </w:rPr>
              <w:tab/>
            </w:r>
            <w:r>
              <w:rPr>
                <w:rFonts w:hint="eastAsia" w:cs="Times New Roman"/>
                <w:sz w:val="21"/>
                <w:szCs w:val="21"/>
              </w:rPr>
              <w:t>系统操作标准配置</w:t>
            </w:r>
            <w:r>
              <w:rPr>
                <w:rFonts w:hint="eastAsia" w:cs="Times New Roman"/>
                <w:sz w:val="21"/>
                <w:szCs w:val="21"/>
                <w:lang w:eastAsia="zh-CN"/>
              </w:rPr>
              <w:t>：</w:t>
            </w:r>
            <w:r>
              <w:rPr>
                <w:rFonts w:hint="eastAsia" w:cs="Times New Roman"/>
                <w:sz w:val="21"/>
                <w:szCs w:val="21"/>
              </w:rPr>
              <w:t>系统须至少配备独立的1台系统控制站、 3台独立的双屏图像检查工作站以及服务器，工作站及服务器需配备UPS断电保护装置。</w:t>
            </w:r>
          </w:p>
          <w:p w14:paraId="3FEEFA6B">
            <w:pPr>
              <w:spacing w:line="240" w:lineRule="auto"/>
              <w:ind w:firstLine="420" w:firstLineChars="200"/>
              <w:rPr>
                <w:rFonts w:hint="eastAsia" w:cs="Times New Roman"/>
                <w:sz w:val="21"/>
                <w:szCs w:val="21"/>
              </w:rPr>
            </w:pPr>
            <w:r>
              <w:rPr>
                <w:rFonts w:hint="eastAsia" w:cs="Times New Roman"/>
                <w:sz w:val="21"/>
                <w:szCs w:val="21"/>
              </w:rPr>
              <w:t>2.21</w:t>
            </w:r>
            <w:r>
              <w:rPr>
                <w:rFonts w:hint="eastAsia" w:cs="Times New Roman"/>
                <w:sz w:val="21"/>
                <w:szCs w:val="21"/>
              </w:rPr>
              <w:tab/>
            </w:r>
            <w:r>
              <w:rPr>
                <w:rFonts w:hint="eastAsia" w:cs="Times New Roman"/>
                <w:sz w:val="21"/>
                <w:szCs w:val="21"/>
              </w:rPr>
              <w:t>车牌识别功能</w:t>
            </w:r>
            <w:r>
              <w:rPr>
                <w:rFonts w:hint="eastAsia" w:cs="Times New Roman"/>
                <w:sz w:val="21"/>
                <w:szCs w:val="21"/>
                <w:lang w:eastAsia="zh-CN"/>
              </w:rPr>
              <w:t>：</w:t>
            </w:r>
            <w:r>
              <w:rPr>
                <w:rFonts w:hint="eastAsia" w:cs="Times New Roman"/>
                <w:sz w:val="21"/>
                <w:szCs w:val="21"/>
              </w:rPr>
              <w:t>在系统扫描过程中，可自动对被检集装箱车辆的车牌信息进行识别。</w:t>
            </w:r>
          </w:p>
          <w:p w14:paraId="03069106">
            <w:pPr>
              <w:spacing w:line="240" w:lineRule="auto"/>
              <w:ind w:firstLine="420" w:firstLineChars="200"/>
              <w:rPr>
                <w:rFonts w:hint="eastAsia" w:cs="Times New Roman"/>
                <w:sz w:val="21"/>
                <w:szCs w:val="21"/>
              </w:rPr>
            </w:pPr>
            <w:r>
              <w:rPr>
                <w:rFonts w:hint="eastAsia" w:cs="Times New Roman"/>
                <w:sz w:val="21"/>
                <w:szCs w:val="21"/>
              </w:rPr>
              <w:t>识别对象：中国交管部门颁发的车牌</w:t>
            </w:r>
          </w:p>
          <w:p w14:paraId="4E308616">
            <w:pPr>
              <w:spacing w:line="240" w:lineRule="auto"/>
              <w:ind w:firstLine="420" w:firstLineChars="200"/>
              <w:rPr>
                <w:rFonts w:hint="eastAsia" w:cs="Times New Roman"/>
                <w:sz w:val="21"/>
                <w:szCs w:val="21"/>
              </w:rPr>
            </w:pPr>
            <w:r>
              <w:rPr>
                <w:rFonts w:hint="eastAsia" w:cs="Times New Roman"/>
                <w:sz w:val="21"/>
                <w:szCs w:val="21"/>
              </w:rPr>
              <w:t>车辆捕获率：不小于99.9%</w:t>
            </w:r>
          </w:p>
          <w:p w14:paraId="6A465818">
            <w:pPr>
              <w:spacing w:line="240" w:lineRule="auto"/>
              <w:ind w:firstLine="420" w:firstLineChars="200"/>
              <w:rPr>
                <w:rFonts w:hint="eastAsia" w:cs="Times New Roman"/>
                <w:sz w:val="21"/>
                <w:szCs w:val="21"/>
              </w:rPr>
            </w:pPr>
            <w:r>
              <w:rPr>
                <w:rFonts w:hint="eastAsia" w:cs="Times New Roman"/>
                <w:sz w:val="21"/>
                <w:szCs w:val="21"/>
              </w:rPr>
              <w:t>2.22</w:t>
            </w:r>
            <w:r>
              <w:rPr>
                <w:rFonts w:hint="eastAsia" w:cs="Times New Roman"/>
                <w:sz w:val="21"/>
                <w:szCs w:val="21"/>
              </w:rPr>
              <w:tab/>
            </w:r>
            <w:r>
              <w:rPr>
                <w:rFonts w:hint="eastAsia" w:cs="Times New Roman"/>
                <w:sz w:val="21"/>
                <w:szCs w:val="21"/>
              </w:rPr>
              <w:t>货物称重功能</w:t>
            </w:r>
            <w:r>
              <w:rPr>
                <w:rFonts w:hint="eastAsia" w:cs="Times New Roman"/>
                <w:sz w:val="21"/>
                <w:szCs w:val="21"/>
                <w:lang w:eastAsia="zh-CN"/>
              </w:rPr>
              <w:t>：</w:t>
            </w:r>
            <w:r>
              <w:rPr>
                <w:rFonts w:hint="eastAsia" w:cs="Times New Roman"/>
                <w:sz w:val="21"/>
                <w:szCs w:val="21"/>
              </w:rPr>
              <w:t>该功能可对被检查车辆进行不停车动态称重。车辆称重不小于100吨。</w:t>
            </w:r>
          </w:p>
          <w:p w14:paraId="76181D18">
            <w:pPr>
              <w:spacing w:line="240" w:lineRule="auto"/>
              <w:ind w:firstLine="420" w:firstLineChars="200"/>
              <w:rPr>
                <w:rFonts w:hint="eastAsia" w:cs="Times New Roman"/>
                <w:sz w:val="21"/>
                <w:szCs w:val="21"/>
              </w:rPr>
            </w:pPr>
            <w:r>
              <w:rPr>
                <w:rFonts w:hint="eastAsia" w:cs="Times New Roman"/>
                <w:sz w:val="21"/>
                <w:szCs w:val="21"/>
              </w:rPr>
              <w:t>2.23</w:t>
            </w:r>
            <w:r>
              <w:rPr>
                <w:rFonts w:hint="eastAsia" w:cs="Times New Roman"/>
                <w:sz w:val="21"/>
                <w:szCs w:val="21"/>
              </w:rPr>
              <w:tab/>
            </w:r>
            <w:r>
              <w:rPr>
                <w:rFonts w:hint="eastAsia" w:cs="Times New Roman"/>
                <w:sz w:val="21"/>
                <w:szCs w:val="21"/>
              </w:rPr>
              <w:t>底盘扫描功能</w:t>
            </w:r>
            <w:r>
              <w:rPr>
                <w:rFonts w:hint="eastAsia" w:cs="Times New Roman"/>
                <w:sz w:val="21"/>
                <w:szCs w:val="21"/>
                <w:lang w:eastAsia="zh-CN"/>
              </w:rPr>
              <w:t>：</w:t>
            </w:r>
            <w:r>
              <w:rPr>
                <w:rFonts w:hint="eastAsia" w:cs="Times New Roman"/>
                <w:sz w:val="21"/>
                <w:szCs w:val="21"/>
              </w:rPr>
              <w:t>该功能可对被检货物底盘进行高清扫描，从而判别车底盘是否存在夹藏。</w:t>
            </w:r>
          </w:p>
          <w:p w14:paraId="52C847AF">
            <w:pPr>
              <w:spacing w:line="240" w:lineRule="auto"/>
              <w:ind w:firstLine="420" w:firstLineChars="200"/>
              <w:rPr>
                <w:rFonts w:cs="Times New Roman"/>
                <w:sz w:val="21"/>
                <w:szCs w:val="21"/>
              </w:rPr>
            </w:pPr>
            <w:r>
              <w:rPr>
                <w:rFonts w:hint="eastAsia" w:cs="Times New Roman"/>
                <w:sz w:val="21"/>
                <w:szCs w:val="21"/>
              </w:rPr>
              <w:t>2.24</w:t>
            </w:r>
            <w:r>
              <w:rPr>
                <w:rFonts w:hint="eastAsia" w:cs="Times New Roman"/>
                <w:sz w:val="21"/>
                <w:szCs w:val="21"/>
              </w:rPr>
              <w:tab/>
            </w:r>
            <w:r>
              <w:rPr>
                <w:rFonts w:hint="eastAsia" w:cs="Times New Roman"/>
                <w:sz w:val="21"/>
                <w:szCs w:val="21"/>
              </w:rPr>
              <w:t>★安全防护装置</w:t>
            </w:r>
            <w:r>
              <w:rPr>
                <w:rFonts w:hint="eastAsia" w:cs="Times New Roman"/>
                <w:sz w:val="21"/>
                <w:szCs w:val="21"/>
                <w:lang w:eastAsia="zh-CN"/>
              </w:rPr>
              <w:t>：</w:t>
            </w:r>
            <w:r>
              <w:rPr>
                <w:rFonts w:hint="eastAsia" w:cs="Times New Roman"/>
                <w:sz w:val="21"/>
                <w:szCs w:val="21"/>
              </w:rPr>
              <w:t>安全联锁装置、辐射剂量仪、监视系统（集成于设备上）、广播系统、警示灯等系统。</w:t>
            </w:r>
          </w:p>
          <w:p w14:paraId="2B23FE2B">
            <w:pPr>
              <w:pStyle w:val="51"/>
              <w:numPr>
                <w:ilvl w:val="0"/>
                <w:numId w:val="22"/>
              </w:numPr>
              <w:ind w:left="0" w:leftChars="0" w:firstLine="25" w:firstLineChars="0"/>
              <w:rPr>
                <w:rFonts w:hint="eastAsia" w:ascii="Times New Roman" w:hAnsi="Times New Roman"/>
                <w:b/>
                <w:sz w:val="21"/>
                <w:szCs w:val="21"/>
                <w:lang w:val="en-US" w:eastAsia="zh-CN"/>
              </w:rPr>
            </w:pPr>
            <w:r>
              <w:rPr>
                <w:rFonts w:hint="eastAsia" w:ascii="Times New Roman" w:hAnsi="Times New Roman"/>
                <w:b/>
                <w:sz w:val="21"/>
                <w:szCs w:val="21"/>
                <w:lang w:val="en-US" w:eastAsia="zh-CN"/>
              </w:rPr>
              <w:t>配套设备要求</w:t>
            </w:r>
          </w:p>
          <w:p w14:paraId="7F5432A5">
            <w:pPr>
              <w:pStyle w:val="51"/>
              <w:numPr>
                <w:ilvl w:val="0"/>
                <w:numId w:val="0"/>
              </w:numPr>
              <w:ind w:left="25" w:leftChars="0"/>
              <w:rPr>
                <w:rFonts w:hint="eastAsia" w:ascii="宋体" w:hAnsi="宋体" w:eastAsia="宋体" w:cs="宋体"/>
                <w:sz w:val="21"/>
                <w:szCs w:val="21"/>
                <w:lang w:eastAsia="zh-CN"/>
              </w:rPr>
            </w:pPr>
            <w:r>
              <w:rPr>
                <w:rFonts w:hint="eastAsia" w:ascii="Times New Roman" w:hAnsi="Times New Roman"/>
                <w:b/>
                <w:sz w:val="21"/>
                <w:szCs w:val="21"/>
                <w:lang w:val="en-US" w:eastAsia="zh-CN"/>
              </w:rPr>
              <w:t xml:space="preserve"> 3.1小型无害化处理设备</w:t>
            </w:r>
          </w:p>
          <w:p w14:paraId="413935CD">
            <w:pPr>
              <w:pStyle w:val="51"/>
              <w:numPr>
                <w:ilvl w:val="0"/>
                <w:numId w:val="24"/>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sz w:val="21"/>
                <w:szCs w:val="21"/>
                <w:lang w:eastAsia="zh-CN"/>
              </w:rPr>
              <w:t>功能要求</w:t>
            </w:r>
            <w:r>
              <w:rPr>
                <w:rFonts w:hint="eastAsia" w:ascii="宋体" w:hAnsi="宋体" w:cs="宋体"/>
                <w:sz w:val="21"/>
                <w:szCs w:val="21"/>
                <w:lang w:eastAsia="zh-CN"/>
              </w:rPr>
              <w:t>：</w:t>
            </w:r>
            <w:r>
              <w:rPr>
                <w:rFonts w:hint="eastAsia" w:ascii="宋体" w:hAnsi="宋体" w:eastAsia="宋体" w:cs="宋体"/>
                <w:b w:val="0"/>
                <w:bCs/>
                <w:sz w:val="21"/>
                <w:szCs w:val="21"/>
                <w:lang w:val="en-US" w:eastAsia="zh-CN"/>
              </w:rPr>
              <w:t xml:space="preserve">小型无害化智能处理设备由 PLC 全自动控制，采用高温无害化处理技术，用于工作现场对零碎性截获物，通过高温、分解、切割、绞碎、灭菌、烘干等工序，实现无害化处理。该设备体积小、外形美观、无烟无尘、可在查验现场室内随时使用，操作零活方便；物品处理后形成有机废弃物，减少有机废弃物污染。  </w:t>
            </w:r>
          </w:p>
          <w:p w14:paraId="738A6A6C">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2.处理对象： </w:t>
            </w:r>
          </w:p>
          <w:p w14:paraId="0CCEEC2C">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2.1 小型动物、昆虫尸体组织及排泄物等； </w:t>
            </w:r>
          </w:p>
          <w:p w14:paraId="7EC124CA">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 小型植物、水果、蔬菜、花卉、垫草、垫料等；</w:t>
            </w:r>
          </w:p>
          <w:p w14:paraId="4E781C1E">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 小型冰鲜产品、动植物饰品、动物源性食品等。</w:t>
            </w:r>
          </w:p>
          <w:p w14:paraId="0E6756B2">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3. 处理能力：80-500Kg； </w:t>
            </w:r>
          </w:p>
          <w:p w14:paraId="7899E0D9">
            <w:pPr>
              <w:pStyle w:val="51"/>
              <w:numPr>
                <w:ilvl w:val="0"/>
                <w:numId w:val="0"/>
              </w:numPr>
              <w:ind w:left="210" w:leftChars="100" w:firstLine="0"/>
              <w:rPr>
                <w:rFonts w:hint="eastAsia" w:ascii="宋体" w:hAnsi="宋体" w:eastAsia="宋体" w:cs="宋体"/>
                <w:b w:val="0"/>
                <w:bCs/>
                <w:sz w:val="21"/>
                <w:szCs w:val="21"/>
                <w:shd w:val="clear" w:fill="FF0000"/>
                <w:lang w:val="en-US"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shd w:val="clear"/>
                <w:lang w:val="en-US" w:eastAsia="zh-CN"/>
              </w:rPr>
              <w:t xml:space="preserve">  </w:t>
            </w:r>
            <w:r>
              <w:rPr>
                <w:rFonts w:hint="eastAsia" w:eastAsiaTheme="minorEastAsia"/>
                <w:sz w:val="21"/>
                <w:szCs w:val="21"/>
                <w:shd w:val="clear"/>
                <w:lang w:eastAsia="zh-CN"/>
              </w:rPr>
              <w:t>●</w:t>
            </w:r>
            <w:r>
              <w:rPr>
                <w:rFonts w:hint="eastAsia" w:ascii="宋体" w:hAnsi="宋体" w:eastAsia="宋体" w:cs="宋体"/>
                <w:b w:val="0"/>
                <w:bCs/>
                <w:sz w:val="21"/>
                <w:szCs w:val="21"/>
                <w:shd w:val="clear"/>
                <w:lang w:val="en-US" w:eastAsia="zh-CN"/>
              </w:rPr>
              <w:t xml:space="preserve"> 处理时间：</w:t>
            </w:r>
            <w:r>
              <w:rPr>
                <w:rFonts w:hint="eastAsia" w:ascii="宋体" w:hAnsi="宋体" w:eastAsia="宋体" w:cs="宋体"/>
                <w:spacing w:val="9"/>
                <w:sz w:val="21"/>
                <w:szCs w:val="21"/>
                <w:shd w:val="clear"/>
              </w:rPr>
              <w:t>4-24h</w:t>
            </w:r>
            <w:r>
              <w:rPr>
                <w:rFonts w:hint="eastAsia" w:ascii="宋体" w:hAnsi="宋体" w:eastAsia="宋体" w:cs="宋体"/>
                <w:b w:val="0"/>
                <w:bCs/>
                <w:sz w:val="21"/>
                <w:szCs w:val="21"/>
                <w:shd w:val="clear"/>
                <w:lang w:val="en-US" w:eastAsia="zh-CN"/>
              </w:rPr>
              <w:t>/批次；</w:t>
            </w:r>
            <w:r>
              <w:rPr>
                <w:rFonts w:hint="eastAsia" w:ascii="宋体" w:hAnsi="宋体" w:cs="宋体"/>
                <w:b w:val="0"/>
                <w:bCs/>
                <w:sz w:val="21"/>
                <w:szCs w:val="21"/>
                <w:shd w:val="clear"/>
                <w:lang w:val="en-US" w:eastAsia="zh-CN"/>
              </w:rPr>
              <w:t>（</w:t>
            </w:r>
            <w:r>
              <w:rPr>
                <w:rFonts w:hint="eastAsia" w:ascii="宋体" w:hAnsi="宋体" w:cs="宋体"/>
                <w:b w:val="0"/>
                <w:bCs/>
                <w:kern w:val="2"/>
                <w:sz w:val="21"/>
                <w:szCs w:val="21"/>
                <w:shd w:val="clear"/>
                <w:lang w:val="en-US" w:eastAsia="zh-CN" w:bidi="ar-SA"/>
              </w:rPr>
              <w:t>需</w:t>
            </w:r>
            <w:r>
              <w:rPr>
                <w:rFonts w:hint="eastAsia" w:ascii="宋体" w:hAnsi="宋体" w:eastAsia="宋体" w:cs="宋体"/>
                <w:b w:val="0"/>
                <w:bCs/>
                <w:kern w:val="2"/>
                <w:sz w:val="21"/>
                <w:szCs w:val="21"/>
                <w:shd w:val="clear"/>
                <w:lang w:val="en-US" w:eastAsia="zh-CN" w:bidi="ar-SA"/>
              </w:rPr>
              <w:t>提供本行业仪器设备验证与综合评价认证平台出具的实验评价报告</w:t>
            </w:r>
            <w:r>
              <w:rPr>
                <w:rFonts w:hint="eastAsia" w:ascii="宋体" w:hAnsi="宋体" w:cs="宋体"/>
                <w:b w:val="0"/>
                <w:bCs/>
                <w:kern w:val="2"/>
                <w:sz w:val="21"/>
                <w:szCs w:val="21"/>
                <w:shd w:val="clear"/>
                <w:lang w:val="en-US" w:eastAsia="zh-CN" w:bidi="ar-SA"/>
              </w:rPr>
              <w:t>来证明）</w:t>
            </w:r>
            <w:r>
              <w:rPr>
                <w:rFonts w:hint="eastAsia" w:ascii="宋体" w:hAnsi="宋体" w:eastAsia="宋体" w:cs="宋体"/>
                <w:b w:val="0"/>
                <w:bCs/>
                <w:sz w:val="21"/>
                <w:szCs w:val="21"/>
                <w:shd w:val="clear"/>
                <w:lang w:val="en-US" w:eastAsia="zh-CN"/>
              </w:rPr>
              <w:t xml:space="preserve"> </w:t>
            </w:r>
          </w:p>
          <w:p w14:paraId="04789209">
            <w:pPr>
              <w:pStyle w:val="51"/>
              <w:numPr>
                <w:ilvl w:val="0"/>
                <w:numId w:val="0"/>
              </w:numPr>
              <w:ind w:left="210" w:leftChars="100" w:firstLine="0"/>
              <w:rPr>
                <w:rFonts w:hint="eastAsia" w:ascii="宋体" w:hAnsi="宋体" w:eastAsia="宋体" w:cs="宋体"/>
                <w:b w:val="0"/>
                <w:bCs/>
                <w:sz w:val="21"/>
                <w:szCs w:val="21"/>
                <w:shd w:val="clear" w:fill="F2BA02" w:themeFill="accent3"/>
                <w:lang w:val="en-US" w:eastAsia="zh-CN"/>
              </w:rPr>
            </w:pPr>
            <w:r>
              <w:rPr>
                <w:rFonts w:hint="eastAsia" w:ascii="宋体" w:hAnsi="宋体" w:eastAsia="宋体" w:cs="宋体"/>
                <w:b w:val="0"/>
                <w:bCs/>
                <w:sz w:val="21"/>
                <w:szCs w:val="21"/>
                <w:lang w:val="en-US" w:eastAsia="zh-CN"/>
              </w:rPr>
              <w:t xml:space="preserve">5. </w:t>
            </w:r>
            <w:r>
              <w:rPr>
                <w:rFonts w:hint="eastAsia" w:ascii="宋体" w:hAnsi="宋体" w:eastAsia="宋体" w:cs="宋体"/>
                <w:spacing w:val="1"/>
                <w:sz w:val="21"/>
                <w:szCs w:val="21"/>
              </w:rPr>
              <w:t>常规灭菌温度控制在≥100℃</w:t>
            </w:r>
            <w:r>
              <w:rPr>
                <w:rFonts w:hint="eastAsia" w:ascii="宋体" w:hAnsi="宋体" w:eastAsia="宋体" w:cs="宋体"/>
                <w:b w:val="0"/>
                <w:bCs/>
                <w:sz w:val="21"/>
                <w:szCs w:val="21"/>
                <w:lang w:val="en-US" w:eastAsia="zh-CN"/>
              </w:rPr>
              <w:t xml:space="preserve"> </w:t>
            </w:r>
          </w:p>
          <w:p w14:paraId="1C30AA73">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 外型尺寸约(长×宽×高)(mm)：</w:t>
            </w:r>
            <w:r>
              <w:rPr>
                <w:rFonts w:hint="eastAsia" w:ascii="宋体" w:hAnsi="宋体" w:eastAsia="宋体" w:cs="宋体"/>
                <w:sz w:val="21"/>
                <w:szCs w:val="21"/>
              </w:rPr>
              <w:t>≤</w:t>
            </w:r>
            <w:r>
              <w:rPr>
                <w:rFonts w:hint="eastAsia" w:ascii="宋体" w:hAnsi="宋体" w:eastAsia="宋体" w:cs="宋体"/>
                <w:b w:val="0"/>
                <w:bCs/>
                <w:sz w:val="21"/>
                <w:szCs w:val="21"/>
                <w:lang w:val="en-US" w:eastAsia="zh-CN"/>
              </w:rPr>
              <w:t xml:space="preserve">1000*1000*1500； </w:t>
            </w:r>
          </w:p>
          <w:p w14:paraId="71406CC7">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 设备功率：</w:t>
            </w:r>
            <w:r>
              <w:rPr>
                <w:rFonts w:hint="eastAsia" w:ascii="宋体" w:hAnsi="宋体" w:eastAsia="宋体" w:cs="宋体"/>
                <w:sz w:val="21"/>
                <w:szCs w:val="21"/>
              </w:rPr>
              <w:t>≤</w:t>
            </w:r>
            <w:r>
              <w:rPr>
                <w:rFonts w:hint="eastAsia" w:ascii="宋体" w:hAnsi="宋体" w:eastAsia="宋体" w:cs="宋体"/>
                <w:b w:val="0"/>
                <w:bCs/>
                <w:sz w:val="21"/>
                <w:szCs w:val="21"/>
                <w:lang w:val="en-US" w:eastAsia="zh-CN"/>
              </w:rPr>
              <w:t xml:space="preserve">10KW； </w:t>
            </w:r>
          </w:p>
          <w:p w14:paraId="6B5FB31B">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8. 设备电压：380V，50Hz； </w:t>
            </w:r>
          </w:p>
          <w:p w14:paraId="461F83DB">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 配备自动故障报警显示装置及急停按钮； </w:t>
            </w:r>
          </w:p>
          <w:p w14:paraId="562D097A">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10. PLC 控制系统集成、工程组态、具有智能管理软件控制系统； </w:t>
            </w:r>
          </w:p>
          <w:p w14:paraId="2F2D3AAA">
            <w:pPr>
              <w:pStyle w:val="51"/>
              <w:numPr>
                <w:ilvl w:val="0"/>
                <w:numId w:val="0"/>
              </w:numPr>
              <w:ind w:left="210" w:leftChars="100" w:firstLine="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11. 操控界面能够显示系统测量参数、控制方式、运行状况、控制对象状态； </w:t>
            </w:r>
          </w:p>
          <w:p w14:paraId="143F2A24">
            <w:pPr>
              <w:pStyle w:val="51"/>
              <w:numPr>
                <w:ilvl w:val="0"/>
                <w:numId w:val="0"/>
              </w:numPr>
              <w:shd w:val="clear"/>
              <w:ind w:left="210" w:leftChars="100" w:firstLine="0"/>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lang w:val="en-US" w:eastAsia="zh-CN"/>
              </w:rPr>
              <w:t>12.</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lang w:val="en-US" w:eastAsia="zh-CN"/>
              </w:rPr>
              <w:t>可与海关辅助管理或海关管理系统平台进行数据对接；</w:t>
            </w:r>
          </w:p>
          <w:p w14:paraId="45518042">
            <w:pPr>
              <w:pStyle w:val="11"/>
              <w:shd w:val="clear"/>
              <w:spacing w:before="27" w:line="229" w:lineRule="auto"/>
              <w:ind w:left="210" w:leftChars="100" w:right="80" w:firstLine="14" w:firstLineChars="7"/>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w:t>
            </w:r>
            <w:r>
              <w:rPr>
                <w:rFonts w:hint="eastAsia" w:eastAsiaTheme="minorEastAsia"/>
                <w:sz w:val="21"/>
                <w:szCs w:val="21"/>
                <w:shd w:val="clear"/>
                <w:lang w:eastAsia="zh-CN"/>
              </w:rPr>
              <w:t>●</w:t>
            </w:r>
            <w:r>
              <w:rPr>
                <w:rFonts w:hint="eastAsia" w:ascii="宋体" w:hAnsi="宋体" w:eastAsia="宋体" w:cs="宋体"/>
                <w:b w:val="0"/>
                <w:bCs/>
                <w:kern w:val="2"/>
                <w:sz w:val="21"/>
                <w:szCs w:val="21"/>
                <w:lang w:val="en-US" w:eastAsia="zh-CN" w:bidi="ar-SA"/>
              </w:rPr>
              <w:t>灭菌：干热模式下灭菌温度≥145 ℃范围内维持 30 min，达到灭菌效果，也可在急 速干热模式下≥175 ℃范围急速灭菌。</w:t>
            </w:r>
            <w:r>
              <w:rPr>
                <w:rFonts w:hint="eastAsia" w:ascii="宋体" w:hAnsi="宋体" w:cs="宋体"/>
                <w:b w:val="0"/>
                <w:bCs/>
                <w:kern w:val="2"/>
                <w:sz w:val="21"/>
                <w:szCs w:val="21"/>
                <w:lang w:val="en-US" w:eastAsia="zh-CN" w:bidi="ar-SA"/>
              </w:rPr>
              <w:t>（需</w:t>
            </w:r>
            <w:r>
              <w:rPr>
                <w:rFonts w:hint="eastAsia" w:ascii="宋体" w:hAnsi="宋体" w:eastAsia="宋体" w:cs="宋体"/>
                <w:b w:val="0"/>
                <w:bCs/>
                <w:kern w:val="2"/>
                <w:sz w:val="21"/>
                <w:szCs w:val="21"/>
                <w:lang w:val="en-US" w:eastAsia="zh-CN" w:bidi="ar-SA"/>
              </w:rPr>
              <w:t>提供本行业仪器设备验证与综合评价认证平台出具的实验评价报告</w:t>
            </w:r>
            <w:r>
              <w:rPr>
                <w:rFonts w:hint="eastAsia" w:ascii="宋体" w:hAnsi="宋体" w:cs="宋体"/>
                <w:b w:val="0"/>
                <w:bCs/>
                <w:kern w:val="2"/>
                <w:sz w:val="21"/>
                <w:szCs w:val="21"/>
                <w:lang w:val="en-US" w:eastAsia="zh-CN" w:bidi="ar-SA"/>
              </w:rPr>
              <w:t>来证明）</w:t>
            </w:r>
          </w:p>
          <w:p w14:paraId="329E4E62">
            <w:pPr>
              <w:pStyle w:val="51"/>
              <w:numPr>
                <w:ilvl w:val="0"/>
                <w:numId w:val="0"/>
              </w:numPr>
              <w:shd w:val="clear"/>
              <w:ind w:firstLine="211" w:firstLineChars="100"/>
              <w:rPr>
                <w:rFonts w:hint="eastAsia" w:ascii="宋体" w:hAnsi="宋体" w:cs="宋体"/>
                <w:b/>
                <w:sz w:val="21"/>
                <w:szCs w:val="21"/>
                <w:lang w:val="en-US" w:eastAsia="zh-CN"/>
              </w:rPr>
            </w:pPr>
            <w:r>
              <w:rPr>
                <w:rFonts w:hint="eastAsia" w:ascii="宋体" w:hAnsi="宋体" w:cs="宋体"/>
                <w:b/>
                <w:sz w:val="21"/>
                <w:szCs w:val="21"/>
                <w:lang w:val="en-US" w:eastAsia="zh-CN"/>
              </w:rPr>
              <w:t>3.2 手持式再生金属分析仪</w:t>
            </w:r>
          </w:p>
          <w:p w14:paraId="6AAF37E6">
            <w:pPr>
              <w:pStyle w:val="5"/>
              <w:shd w:val="clear"/>
              <w:spacing w:before="0" w:after="0" w:line="240" w:lineRule="auto"/>
              <w:ind w:leftChars="100"/>
              <w:rPr>
                <w:rFonts w:hint="eastAsia" w:ascii="宋体" w:hAnsi="宋体" w:cs="宋体"/>
                <w:sz w:val="21"/>
                <w:szCs w:val="21"/>
              </w:rPr>
            </w:pPr>
            <w:r>
              <w:rPr>
                <w:rFonts w:hint="eastAsia" w:ascii="宋体" w:hAnsi="宋体" w:cs="宋体"/>
                <w:sz w:val="21"/>
                <w:szCs w:val="21"/>
              </w:rPr>
              <w:t>功能</w:t>
            </w:r>
            <w:r>
              <w:rPr>
                <w:rFonts w:hint="eastAsia" w:ascii="宋体" w:hAnsi="宋体" w:eastAsia="宋体" w:cs="宋体"/>
                <w:sz w:val="21"/>
                <w:szCs w:val="21"/>
                <w:lang w:val="en-US" w:eastAsia="zh-CN"/>
              </w:rPr>
              <w:t>要</w:t>
            </w:r>
            <w:r>
              <w:rPr>
                <w:rFonts w:hint="eastAsia" w:ascii="宋体" w:hAnsi="宋体" w:cs="宋体"/>
                <w:sz w:val="21"/>
                <w:szCs w:val="21"/>
              </w:rPr>
              <w:t>求</w:t>
            </w:r>
          </w:p>
          <w:p w14:paraId="225A524B">
            <w:pPr>
              <w:numPr>
                <w:ilvl w:val="0"/>
                <w:numId w:val="25"/>
              </w:numPr>
              <w:shd w:val="clear"/>
              <w:spacing w:line="240" w:lineRule="auto"/>
              <w:ind w:leftChars="100"/>
              <w:rPr>
                <w:rFonts w:hint="eastAsia" w:ascii="宋体" w:hAnsi="宋体" w:eastAsia="宋体" w:cs="宋体"/>
                <w:sz w:val="21"/>
                <w:szCs w:val="21"/>
              </w:rPr>
            </w:pPr>
            <w:r>
              <w:rPr>
                <w:rFonts w:hint="eastAsia" w:ascii="宋体" w:hAnsi="宋体" w:cs="宋体"/>
                <w:sz w:val="21"/>
                <w:szCs w:val="21"/>
              </w:rPr>
              <w:t>适用范围：铜、铁、铝三种金属的化学成分；</w:t>
            </w:r>
          </w:p>
          <w:p w14:paraId="2825075E">
            <w:pPr>
              <w:numPr>
                <w:ilvl w:val="0"/>
                <w:numId w:val="25"/>
              </w:numPr>
              <w:shd w:val="clear"/>
              <w:spacing w:line="240" w:lineRule="auto"/>
              <w:ind w:leftChars="100"/>
              <w:rPr>
                <w:rFonts w:hint="eastAsia" w:ascii="宋体" w:hAnsi="宋体" w:eastAsia="宋体" w:cs="宋体"/>
                <w:sz w:val="21"/>
                <w:szCs w:val="21"/>
                <w:shd w:val="clear"/>
              </w:rPr>
            </w:pPr>
            <w:r>
              <w:rPr>
                <w:rFonts w:hint="eastAsia" w:eastAsiaTheme="minorEastAsia"/>
                <w:sz w:val="21"/>
                <w:szCs w:val="21"/>
                <w:lang w:eastAsia="zh-CN"/>
              </w:rPr>
              <w:t>●</w:t>
            </w:r>
            <w:r>
              <w:rPr>
                <w:rFonts w:hint="eastAsia" w:ascii="宋体" w:hAnsi="宋体" w:cs="宋体"/>
                <w:sz w:val="21"/>
                <w:szCs w:val="21"/>
              </w:rPr>
              <w:t>具备辐射剂量检测功能</w:t>
            </w:r>
            <w:r>
              <w:rPr>
                <w:rFonts w:hint="eastAsia" w:ascii="宋体" w:hAnsi="宋体" w:cs="宋体"/>
                <w:sz w:val="21"/>
                <w:szCs w:val="21"/>
                <w:shd w:val="clear"/>
              </w:rPr>
              <w:t>，需</w:t>
            </w:r>
            <w:r>
              <w:rPr>
                <w:rFonts w:hint="eastAsia" w:ascii="宋体" w:hAnsi="宋体" w:cs="宋体"/>
                <w:sz w:val="21"/>
                <w:szCs w:val="21"/>
                <w:shd w:val="clear"/>
                <w:lang w:eastAsia="zh-CN"/>
              </w:rPr>
              <w:t>提供</w:t>
            </w:r>
            <w:r>
              <w:rPr>
                <w:rFonts w:hint="eastAsia" w:ascii="宋体" w:hAnsi="宋体" w:cs="宋体"/>
                <w:sz w:val="21"/>
                <w:szCs w:val="21"/>
                <w:shd w:val="clear"/>
              </w:rPr>
              <w:t>国家认可的认证（检测）机构出具检测报告《检定证书》。</w:t>
            </w:r>
          </w:p>
          <w:p w14:paraId="32059136">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移动联网：能够通过4G/5G移动网络接入海关智慧查验平台。</w:t>
            </w:r>
          </w:p>
          <w:p w14:paraId="2878027F">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产品重量：设备含电池≤1.9Kg，方便户外便携使用。</w:t>
            </w:r>
          </w:p>
          <w:p w14:paraId="63304677">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防护性能：户外短时雨淋可以正常使用。</w:t>
            </w:r>
          </w:p>
          <w:p w14:paraId="2C1B9455">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工作环境温度：-5℃至40℃；</w:t>
            </w:r>
          </w:p>
          <w:p w14:paraId="0400CBBA">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工作环境湿度：10%RH</w:t>
            </w:r>
            <w:r>
              <w:rPr>
                <w:rFonts w:hint="eastAsia" w:ascii="宋体" w:hAnsi="宋体" w:cs="宋体"/>
                <w:sz w:val="21"/>
                <w:szCs w:val="21"/>
                <w:lang w:val="en-US" w:eastAsia="zh-CN"/>
              </w:rPr>
              <w:t>至</w:t>
            </w:r>
            <w:r>
              <w:rPr>
                <w:rFonts w:hint="eastAsia" w:ascii="宋体" w:hAnsi="宋体" w:cs="宋体"/>
                <w:sz w:val="21"/>
                <w:szCs w:val="21"/>
              </w:rPr>
              <w:t>90%RH，无凝露；</w:t>
            </w:r>
          </w:p>
          <w:p w14:paraId="100523E9">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存储温度：-20℃</w:t>
            </w:r>
            <w:r>
              <w:rPr>
                <w:rFonts w:hint="eastAsia" w:ascii="宋体" w:hAnsi="宋体" w:cs="宋体"/>
                <w:sz w:val="21"/>
                <w:szCs w:val="21"/>
                <w:lang w:val="en-US" w:eastAsia="zh-CN"/>
              </w:rPr>
              <w:t>至</w:t>
            </w:r>
            <w:r>
              <w:rPr>
                <w:rFonts w:hint="eastAsia" w:ascii="宋体" w:hAnsi="宋体" w:cs="宋体"/>
                <w:sz w:val="21"/>
                <w:szCs w:val="21"/>
              </w:rPr>
              <w:t>50℃；</w:t>
            </w:r>
          </w:p>
          <w:p w14:paraId="718F3F35">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单次检测时间：不大于3s；</w:t>
            </w:r>
          </w:p>
          <w:p w14:paraId="573721E2">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安全功能：具备防止激光误发射的连锁机构；</w:t>
            </w:r>
          </w:p>
          <w:p w14:paraId="64B332D6">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配备防滑落腕带或同类防脱落装置。</w:t>
            </w:r>
          </w:p>
          <w:p w14:paraId="3024DE8B">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其他需求：物理电源按键，具备设备的开机功能；手柄握感舒适；前端检测窗口便于清洁；</w:t>
            </w:r>
          </w:p>
          <w:p w14:paraId="07781514">
            <w:pPr>
              <w:numPr>
                <w:ilvl w:val="0"/>
                <w:numId w:val="25"/>
              </w:numPr>
              <w:shd w:val="clear"/>
              <w:spacing w:line="240" w:lineRule="auto"/>
              <w:ind w:leftChars="100"/>
              <w:rPr>
                <w:rFonts w:hint="eastAsia" w:ascii="宋体" w:hAnsi="宋体" w:eastAsia="宋体" w:cs="宋体"/>
                <w:sz w:val="21"/>
                <w:szCs w:val="21"/>
                <w:shd w:val="clear"/>
              </w:rPr>
            </w:pPr>
            <w:r>
              <w:rPr>
                <w:rFonts w:hint="eastAsia" w:eastAsiaTheme="minorEastAsia"/>
                <w:sz w:val="21"/>
                <w:szCs w:val="21"/>
                <w:lang w:eastAsia="zh-CN"/>
              </w:rPr>
              <w:t>●</w:t>
            </w:r>
            <w:r>
              <w:rPr>
                <w:rFonts w:hint="eastAsia" w:ascii="宋体" w:hAnsi="宋体" w:cs="宋体"/>
                <w:sz w:val="21"/>
                <w:szCs w:val="21"/>
              </w:rPr>
              <w:t>激光器：满足GB/T 38472-2019对便携式光谱仪激光器的要求，激光安全等级符合CLASS 1人眼安全标准，波长在1500nm-1700nm范</w:t>
            </w:r>
            <w:r>
              <w:rPr>
                <w:rFonts w:hint="eastAsia" w:ascii="宋体" w:hAnsi="宋体" w:cs="宋体"/>
                <w:sz w:val="21"/>
                <w:szCs w:val="21"/>
                <w:shd w:val="clear"/>
              </w:rPr>
              <w:t>围内，</w:t>
            </w:r>
            <w:r>
              <w:rPr>
                <w:rFonts w:hint="eastAsia" w:ascii="宋体" w:hAnsi="宋体" w:cs="宋体"/>
                <w:sz w:val="21"/>
                <w:szCs w:val="21"/>
                <w:shd w:val="clear"/>
                <w:lang w:eastAsia="zh-CN"/>
              </w:rPr>
              <w:t>需提供</w:t>
            </w:r>
            <w:r>
              <w:rPr>
                <w:rFonts w:hint="eastAsia" w:ascii="宋体" w:hAnsi="宋体" w:cs="宋体"/>
                <w:sz w:val="21"/>
                <w:szCs w:val="21"/>
                <w:shd w:val="clear"/>
              </w:rPr>
              <w:t>国家认可的认证（检测）机构出具检测报告</w:t>
            </w:r>
          </w:p>
          <w:p w14:paraId="7C5D29F5">
            <w:pPr>
              <w:numPr>
                <w:ilvl w:val="0"/>
                <w:numId w:val="0"/>
              </w:numPr>
              <w:spacing w:line="240" w:lineRule="auto"/>
              <w:rPr>
                <w:rFonts w:hint="eastAsia" w:ascii="宋体" w:hAnsi="宋体" w:eastAsia="宋体" w:cs="宋体"/>
                <w:sz w:val="21"/>
                <w:szCs w:val="21"/>
                <w:shd w:val="clear" w:fill="F2BA02" w:themeFill="accent3"/>
              </w:rPr>
            </w:pPr>
            <w:r>
              <w:rPr>
                <w:rFonts w:hint="eastAsia" w:ascii="宋体" w:hAnsi="宋体" w:cs="宋体"/>
                <w:sz w:val="21"/>
                <w:szCs w:val="21"/>
                <w:shd w:val="clear"/>
              </w:rPr>
              <w:t>《激光安全等级检测证书》</w:t>
            </w:r>
            <w:r>
              <w:rPr>
                <w:rFonts w:hint="eastAsia" w:ascii="宋体" w:hAnsi="宋体" w:eastAsia="宋体" w:cs="宋体"/>
                <w:sz w:val="21"/>
                <w:szCs w:val="21"/>
                <w:shd w:val="clear"/>
                <w:lang w:eastAsia="zh-CN"/>
              </w:rPr>
              <w:t>。</w:t>
            </w:r>
          </w:p>
          <w:p w14:paraId="5015E73B">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网络及定位：4/5G全网通，GPS/北斗。</w:t>
            </w:r>
          </w:p>
          <w:p w14:paraId="5272D2FA">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维护调试：USB接口和TF卡插槽，支持检测数据导出；</w:t>
            </w:r>
          </w:p>
          <w:p w14:paraId="48125073">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数据存储：机身内部存储不低于16G；</w:t>
            </w:r>
          </w:p>
          <w:p w14:paraId="1C851C78">
            <w:pPr>
              <w:numPr>
                <w:ilvl w:val="0"/>
                <w:numId w:val="25"/>
              </w:numPr>
              <w:spacing w:line="240" w:lineRule="auto"/>
              <w:ind w:leftChars="100"/>
              <w:rPr>
                <w:rFonts w:hint="eastAsia" w:ascii="宋体" w:hAnsi="宋体" w:eastAsia="宋体" w:cs="宋体"/>
                <w:sz w:val="21"/>
                <w:szCs w:val="21"/>
              </w:rPr>
            </w:pPr>
            <w:r>
              <w:rPr>
                <w:rFonts w:hint="eastAsia" w:ascii="宋体" w:hAnsi="宋体" w:cs="宋体"/>
                <w:sz w:val="21"/>
                <w:szCs w:val="21"/>
              </w:rPr>
              <w:t>运行内存：不低于2G；</w:t>
            </w:r>
          </w:p>
          <w:p w14:paraId="47D733F0">
            <w:pPr>
              <w:numPr>
                <w:ilvl w:val="0"/>
                <w:numId w:val="25"/>
              </w:numPr>
              <w:spacing w:line="240" w:lineRule="auto"/>
              <w:ind w:leftChars="100"/>
              <w:rPr>
                <w:rFonts w:hint="eastAsia" w:ascii="宋体" w:hAnsi="宋体" w:cs="宋体"/>
                <w:sz w:val="21"/>
                <w:szCs w:val="21"/>
              </w:rPr>
            </w:pPr>
            <w:r>
              <w:rPr>
                <w:rFonts w:hint="eastAsia" w:ascii="宋体" w:hAnsi="宋体" w:cs="宋体"/>
                <w:sz w:val="21"/>
                <w:szCs w:val="21"/>
              </w:rPr>
              <w:t>人机交互：电容感应竖屏使用，屏幕不小于5寸，分辨率不低于720P，具有醒目的操作提示信息和引导功能；设备机体上具有醒目的工作状态指示灯。</w:t>
            </w:r>
          </w:p>
          <w:p w14:paraId="0E5F0764">
            <w:pPr>
              <w:pStyle w:val="5"/>
              <w:spacing w:before="0" w:after="0" w:line="240" w:lineRule="auto"/>
              <w:ind w:leftChars="100"/>
              <w:rPr>
                <w:rFonts w:hint="eastAsia" w:ascii="宋体" w:hAnsi="宋体" w:cs="宋体"/>
                <w:sz w:val="21"/>
                <w:szCs w:val="21"/>
              </w:rPr>
            </w:pPr>
            <w:r>
              <w:rPr>
                <w:rFonts w:hint="eastAsia" w:ascii="宋体" w:hAnsi="宋体" w:cs="宋体"/>
                <w:sz w:val="21"/>
                <w:szCs w:val="21"/>
              </w:rPr>
              <w:t>性能</w:t>
            </w:r>
            <w:r>
              <w:rPr>
                <w:rFonts w:hint="eastAsia" w:ascii="宋体" w:hAnsi="宋体" w:eastAsia="宋体" w:cs="宋体"/>
                <w:sz w:val="21"/>
                <w:szCs w:val="21"/>
                <w:lang w:val="en-US" w:eastAsia="zh-CN"/>
              </w:rPr>
              <w:t>要</w:t>
            </w:r>
            <w:r>
              <w:rPr>
                <w:rFonts w:hint="eastAsia" w:ascii="宋体" w:hAnsi="宋体" w:cs="宋体"/>
                <w:sz w:val="21"/>
                <w:szCs w:val="21"/>
              </w:rPr>
              <w:t>求</w:t>
            </w:r>
          </w:p>
          <w:p w14:paraId="293C7130">
            <w:pPr>
              <w:numPr>
                <w:ilvl w:val="0"/>
                <w:numId w:val="26"/>
              </w:numPr>
              <w:spacing w:line="240" w:lineRule="auto"/>
              <w:ind w:leftChars="100"/>
              <w:rPr>
                <w:rFonts w:hint="eastAsia" w:ascii="宋体" w:hAnsi="宋体" w:eastAsia="宋体" w:cs="宋体"/>
                <w:sz w:val="21"/>
                <w:szCs w:val="21"/>
              </w:rPr>
            </w:pPr>
            <w:r>
              <w:rPr>
                <w:rFonts w:hint="eastAsia" w:cs="Times New Roman"/>
                <w:sz w:val="21"/>
                <w:szCs w:val="21"/>
              </w:rPr>
              <w:t>★</w:t>
            </w:r>
            <w:r>
              <w:rPr>
                <w:rFonts w:hint="eastAsia" w:ascii="宋体" w:hAnsi="宋体" w:cs="宋体"/>
                <w:sz w:val="21"/>
                <w:szCs w:val="21"/>
              </w:rPr>
              <w:t>铜、铁、铝三种基体主要元素测定相对误差不大于2.5%、数据波动RSD不大于10%；</w:t>
            </w:r>
          </w:p>
          <w:p w14:paraId="2DEE295A">
            <w:pPr>
              <w:numPr>
                <w:ilvl w:val="0"/>
                <w:numId w:val="26"/>
              </w:numPr>
              <w:spacing w:line="240" w:lineRule="auto"/>
              <w:ind w:leftChars="100"/>
              <w:rPr>
                <w:rFonts w:hint="eastAsia" w:ascii="宋体" w:hAnsi="宋体" w:cs="宋体"/>
                <w:sz w:val="21"/>
                <w:szCs w:val="21"/>
              </w:rPr>
            </w:pPr>
            <w:r>
              <w:rPr>
                <w:rFonts w:hint="eastAsia" w:ascii="宋体" w:hAnsi="宋体" w:cs="宋体"/>
                <w:sz w:val="21"/>
                <w:szCs w:val="21"/>
              </w:rPr>
              <w:t>不同基体能够检测的元素至少满足下表要求：</w:t>
            </w:r>
          </w:p>
          <w:tbl>
            <w:tblPr>
              <w:tblStyle w:val="23"/>
              <w:tblW w:w="3828" w:type="dxa"/>
              <w:jc w:val="center"/>
              <w:tblLayout w:type="fixed"/>
              <w:tblCellMar>
                <w:top w:w="0" w:type="dxa"/>
                <w:left w:w="108" w:type="dxa"/>
                <w:bottom w:w="0" w:type="dxa"/>
                <w:right w:w="108" w:type="dxa"/>
              </w:tblCellMar>
            </w:tblPr>
            <w:tblGrid>
              <w:gridCol w:w="1914"/>
              <w:gridCol w:w="1914"/>
            </w:tblGrid>
            <w:tr w14:paraId="2A91CECC">
              <w:tblPrEx>
                <w:tblCellMar>
                  <w:top w:w="0" w:type="dxa"/>
                  <w:left w:w="108" w:type="dxa"/>
                  <w:bottom w:w="0" w:type="dxa"/>
                  <w:right w:w="108" w:type="dxa"/>
                </w:tblCellMar>
              </w:tblPrEx>
              <w:trPr>
                <w:trHeight w:val="389" w:hRule="atLeast"/>
                <w:jc w:val="center"/>
              </w:trPr>
              <w:tc>
                <w:tcPr>
                  <w:tcW w:w="1914" w:type="dxa"/>
                  <w:tcBorders>
                    <w:top w:val="single" w:color="000000" w:sz="4" w:space="0"/>
                    <w:left w:val="single" w:color="000000" w:sz="4" w:space="0"/>
                    <w:bottom w:val="single" w:color="000000" w:sz="4" w:space="0"/>
                    <w:right w:val="single" w:color="000000" w:sz="4" w:space="0"/>
                  </w:tcBorders>
                  <w:noWrap/>
                  <w:vAlign w:val="center"/>
                </w:tcPr>
                <w:p w14:paraId="469C9285">
                  <w:pPr>
                    <w:widowControl/>
                    <w:ind w:leftChars="100"/>
                    <w:jc w:val="center"/>
                    <w:textAlignment w:val="center"/>
                    <w:rPr>
                      <w:rFonts w:hint="eastAsia" w:ascii="宋体" w:hAnsi="宋体" w:cs="宋体"/>
                      <w:color w:val="000000"/>
                      <w:sz w:val="21"/>
                      <w:szCs w:val="21"/>
                    </w:rPr>
                  </w:pPr>
                  <w:r>
                    <w:rPr>
                      <w:rFonts w:hint="eastAsia" w:ascii="宋体" w:hAnsi="宋体" w:cs="宋体"/>
                      <w:color w:val="000000"/>
                      <w:sz w:val="21"/>
                      <w:szCs w:val="21"/>
                    </w:rPr>
                    <w:t>基体种类</w:t>
                  </w: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0FF8A059">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检测元素</w:t>
                  </w:r>
                </w:p>
              </w:tc>
            </w:tr>
            <w:tr w14:paraId="1B942307">
              <w:tblPrEx>
                <w:tblCellMar>
                  <w:top w:w="0" w:type="dxa"/>
                  <w:left w:w="108" w:type="dxa"/>
                  <w:bottom w:w="0" w:type="dxa"/>
                  <w:right w:w="108" w:type="dxa"/>
                </w:tblCellMar>
              </w:tblPrEx>
              <w:trPr>
                <w:trHeight w:val="285" w:hRule="atLeast"/>
                <w:jc w:val="center"/>
              </w:trPr>
              <w:tc>
                <w:tcPr>
                  <w:tcW w:w="1914" w:type="dxa"/>
                  <w:vMerge w:val="restart"/>
                  <w:tcBorders>
                    <w:top w:val="single" w:color="000000" w:sz="4" w:space="0"/>
                    <w:left w:val="single" w:color="000000" w:sz="4" w:space="0"/>
                    <w:bottom w:val="single" w:color="000000" w:sz="4" w:space="0"/>
                    <w:right w:val="single" w:color="000000" w:sz="4" w:space="0"/>
                  </w:tcBorders>
                  <w:noWrap/>
                  <w:vAlign w:val="center"/>
                </w:tcPr>
                <w:p w14:paraId="0EDC07C4">
                  <w:pPr>
                    <w:widowControl/>
                    <w:ind w:leftChars="1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铝基</w:t>
                  </w: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302BEFC8">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Si</w:t>
                  </w:r>
                </w:p>
              </w:tc>
            </w:tr>
            <w:tr w14:paraId="14ED3C6C">
              <w:tblPrEx>
                <w:tblCellMar>
                  <w:top w:w="0" w:type="dxa"/>
                  <w:left w:w="108" w:type="dxa"/>
                  <w:bottom w:w="0" w:type="dxa"/>
                  <w:right w:w="108" w:type="dxa"/>
                </w:tblCellMar>
              </w:tblPrEx>
              <w:trPr>
                <w:trHeight w:val="300"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358128AF">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2F701A08">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Fe</w:t>
                  </w:r>
                </w:p>
              </w:tc>
            </w:tr>
            <w:tr w14:paraId="44EB5FFB">
              <w:tblPrEx>
                <w:tblCellMar>
                  <w:top w:w="0" w:type="dxa"/>
                  <w:left w:w="108" w:type="dxa"/>
                  <w:bottom w:w="0" w:type="dxa"/>
                  <w:right w:w="108" w:type="dxa"/>
                </w:tblCellMar>
              </w:tblPrEx>
              <w:trPr>
                <w:trHeight w:val="300"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4ED619EC">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6404DF84">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Cu</w:t>
                  </w:r>
                </w:p>
              </w:tc>
            </w:tr>
            <w:tr w14:paraId="657BC3E3">
              <w:tblPrEx>
                <w:tblCellMar>
                  <w:top w:w="0" w:type="dxa"/>
                  <w:left w:w="108" w:type="dxa"/>
                  <w:bottom w:w="0" w:type="dxa"/>
                  <w:right w:w="108" w:type="dxa"/>
                </w:tblCellMar>
              </w:tblPrEx>
              <w:trPr>
                <w:trHeight w:val="300"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5FDA8832">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11434844">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Mn</w:t>
                  </w:r>
                </w:p>
              </w:tc>
            </w:tr>
            <w:tr w14:paraId="10F2EEDA">
              <w:tblPrEx>
                <w:tblCellMar>
                  <w:top w:w="0" w:type="dxa"/>
                  <w:left w:w="108" w:type="dxa"/>
                  <w:bottom w:w="0" w:type="dxa"/>
                  <w:right w:w="108" w:type="dxa"/>
                </w:tblCellMar>
              </w:tblPrEx>
              <w:trPr>
                <w:trHeight w:val="285"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38565344">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1290F723">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Mg</w:t>
                  </w:r>
                </w:p>
              </w:tc>
            </w:tr>
            <w:tr w14:paraId="0DA76CCB">
              <w:tblPrEx>
                <w:tblCellMar>
                  <w:top w:w="0" w:type="dxa"/>
                  <w:left w:w="108" w:type="dxa"/>
                  <w:bottom w:w="0" w:type="dxa"/>
                  <w:right w:w="108" w:type="dxa"/>
                </w:tblCellMar>
              </w:tblPrEx>
              <w:trPr>
                <w:trHeight w:val="285"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5466690D">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758D8D14">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Ni</w:t>
                  </w:r>
                </w:p>
              </w:tc>
            </w:tr>
            <w:tr w14:paraId="5D9E5A78">
              <w:tblPrEx>
                <w:tblCellMar>
                  <w:top w:w="0" w:type="dxa"/>
                  <w:left w:w="108" w:type="dxa"/>
                  <w:bottom w:w="0" w:type="dxa"/>
                  <w:right w:w="108" w:type="dxa"/>
                </w:tblCellMar>
              </w:tblPrEx>
              <w:trPr>
                <w:trHeight w:val="285"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7E5AEB0F">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412E3DFD">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Cr</w:t>
                  </w:r>
                </w:p>
              </w:tc>
            </w:tr>
            <w:tr w14:paraId="701BC1E1">
              <w:tblPrEx>
                <w:tblCellMar>
                  <w:top w:w="0" w:type="dxa"/>
                  <w:left w:w="108" w:type="dxa"/>
                  <w:bottom w:w="0" w:type="dxa"/>
                  <w:right w:w="108" w:type="dxa"/>
                </w:tblCellMar>
              </w:tblPrEx>
              <w:trPr>
                <w:trHeight w:val="285"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198E3331">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3F07386D">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Zn</w:t>
                  </w:r>
                </w:p>
              </w:tc>
            </w:tr>
            <w:tr w14:paraId="72A9BE8E">
              <w:tblPrEx>
                <w:tblCellMar>
                  <w:top w:w="0" w:type="dxa"/>
                  <w:left w:w="108" w:type="dxa"/>
                  <w:bottom w:w="0" w:type="dxa"/>
                  <w:right w:w="108" w:type="dxa"/>
                </w:tblCellMar>
              </w:tblPrEx>
              <w:trPr>
                <w:trHeight w:val="270"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65439ACC">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659786A5">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Ti</w:t>
                  </w:r>
                </w:p>
              </w:tc>
            </w:tr>
            <w:tr w14:paraId="1F5EAC0E">
              <w:tblPrEx>
                <w:tblCellMar>
                  <w:top w:w="0" w:type="dxa"/>
                  <w:left w:w="108" w:type="dxa"/>
                  <w:bottom w:w="0" w:type="dxa"/>
                  <w:right w:w="108" w:type="dxa"/>
                </w:tblCellMar>
              </w:tblPrEx>
              <w:trPr>
                <w:trHeight w:val="285"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06901E11">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75AAF9E9">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Pb</w:t>
                  </w:r>
                </w:p>
              </w:tc>
            </w:tr>
            <w:tr w14:paraId="728AE13C">
              <w:tblPrEx>
                <w:tblCellMar>
                  <w:top w:w="0" w:type="dxa"/>
                  <w:left w:w="108" w:type="dxa"/>
                  <w:bottom w:w="0" w:type="dxa"/>
                  <w:right w:w="108" w:type="dxa"/>
                </w:tblCellMar>
              </w:tblPrEx>
              <w:trPr>
                <w:trHeight w:val="270"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777D6A05">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0CFCE2DB">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Sn</w:t>
                  </w:r>
                </w:p>
              </w:tc>
            </w:tr>
            <w:tr w14:paraId="7C02E8BD">
              <w:tblPrEx>
                <w:tblCellMar>
                  <w:top w:w="0" w:type="dxa"/>
                  <w:left w:w="108" w:type="dxa"/>
                  <w:bottom w:w="0" w:type="dxa"/>
                  <w:right w:w="108" w:type="dxa"/>
                </w:tblCellMar>
              </w:tblPrEx>
              <w:trPr>
                <w:trHeight w:val="270" w:hRule="atLeast"/>
                <w:jc w:val="center"/>
              </w:trPr>
              <w:tc>
                <w:tcPr>
                  <w:tcW w:w="1914" w:type="dxa"/>
                  <w:vMerge w:val="continue"/>
                  <w:tcBorders>
                    <w:top w:val="single" w:color="000000" w:sz="4" w:space="0"/>
                    <w:left w:val="single" w:color="000000" w:sz="4" w:space="0"/>
                    <w:bottom w:val="single" w:color="000000" w:sz="4" w:space="0"/>
                    <w:right w:val="single" w:color="000000" w:sz="4" w:space="0"/>
                  </w:tcBorders>
                  <w:noWrap/>
                  <w:vAlign w:val="center"/>
                </w:tcPr>
                <w:p w14:paraId="25BDA598">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2002FE0E">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Al</w:t>
                  </w:r>
                </w:p>
              </w:tc>
            </w:tr>
            <w:tr w14:paraId="60752C04">
              <w:tblPrEx>
                <w:tblCellMar>
                  <w:top w:w="0" w:type="dxa"/>
                  <w:left w:w="108" w:type="dxa"/>
                  <w:bottom w:w="0" w:type="dxa"/>
                  <w:right w:w="108" w:type="dxa"/>
                </w:tblCellMar>
              </w:tblPrEx>
              <w:trPr>
                <w:trHeight w:val="399" w:hRule="atLeast"/>
                <w:jc w:val="center"/>
              </w:trPr>
              <w:tc>
                <w:tcPr>
                  <w:tcW w:w="1914" w:type="dxa"/>
                  <w:vMerge w:val="restart"/>
                  <w:tcBorders>
                    <w:top w:val="single" w:color="000000" w:sz="4" w:space="0"/>
                    <w:left w:val="single" w:color="000000" w:sz="4" w:space="0"/>
                    <w:right w:val="single" w:color="000000" w:sz="4" w:space="0"/>
                  </w:tcBorders>
                  <w:noWrap/>
                  <w:vAlign w:val="center"/>
                </w:tcPr>
                <w:p w14:paraId="75A97EA4">
                  <w:pPr>
                    <w:widowControl/>
                    <w:ind w:leftChars="1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铁基</w:t>
                  </w: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222EB42C">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Cu</w:t>
                  </w:r>
                </w:p>
              </w:tc>
            </w:tr>
            <w:tr w14:paraId="11F922B0">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right w:val="single" w:color="000000" w:sz="4" w:space="0"/>
                  </w:tcBorders>
                  <w:noWrap/>
                  <w:vAlign w:val="center"/>
                </w:tcPr>
                <w:p w14:paraId="0044AF60">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2B0A9C63">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Fe</w:t>
                  </w:r>
                </w:p>
              </w:tc>
            </w:tr>
            <w:tr w14:paraId="4E135607">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right w:val="single" w:color="000000" w:sz="4" w:space="0"/>
                  </w:tcBorders>
                  <w:noWrap/>
                  <w:vAlign w:val="center"/>
                </w:tcPr>
                <w:p w14:paraId="6B0E96C9">
                  <w:pPr>
                    <w:widowControl/>
                    <w:ind w:leftChars="100"/>
                    <w:jc w:val="center"/>
                    <w:textAlignment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3F6AEB33">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Cr</w:t>
                  </w:r>
                </w:p>
              </w:tc>
            </w:tr>
            <w:tr w14:paraId="680B5DDA">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13DAB387">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052B2B20">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Ni</w:t>
                  </w:r>
                </w:p>
              </w:tc>
            </w:tr>
            <w:tr w14:paraId="0CBEEBB1">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6712B7E1">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4B70B3CE">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Co</w:t>
                  </w:r>
                </w:p>
              </w:tc>
            </w:tr>
            <w:tr w14:paraId="35910214">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2F833C7A">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3C728C63">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Mn</w:t>
                  </w:r>
                </w:p>
              </w:tc>
            </w:tr>
            <w:tr w14:paraId="7DF4B3AE">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43825D5F">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5C7166E2">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Mo</w:t>
                  </w:r>
                </w:p>
              </w:tc>
            </w:tr>
            <w:tr w14:paraId="0F118BE1">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63F3EFE8">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2A12E1D3">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Si</w:t>
                  </w:r>
                </w:p>
              </w:tc>
            </w:tr>
            <w:tr w14:paraId="1C3C3887">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701D7D76">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6134E9AD">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Ti</w:t>
                  </w:r>
                </w:p>
              </w:tc>
            </w:tr>
            <w:tr w14:paraId="6949B65F">
              <w:tblPrEx>
                <w:tblCellMar>
                  <w:top w:w="0" w:type="dxa"/>
                  <w:left w:w="108" w:type="dxa"/>
                  <w:bottom w:w="0" w:type="dxa"/>
                  <w:right w:w="108" w:type="dxa"/>
                </w:tblCellMar>
              </w:tblPrEx>
              <w:trPr>
                <w:trHeight w:val="270"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33502B11">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47E0804B">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V</w:t>
                  </w:r>
                </w:p>
              </w:tc>
            </w:tr>
            <w:tr w14:paraId="28D98DDB">
              <w:tblPrEx>
                <w:tblCellMar>
                  <w:top w:w="0" w:type="dxa"/>
                  <w:left w:w="108" w:type="dxa"/>
                  <w:bottom w:w="0" w:type="dxa"/>
                  <w:right w:w="108" w:type="dxa"/>
                </w:tblCellMar>
              </w:tblPrEx>
              <w:trPr>
                <w:trHeight w:val="285" w:hRule="atLeast"/>
                <w:jc w:val="center"/>
              </w:trPr>
              <w:tc>
                <w:tcPr>
                  <w:tcW w:w="1914" w:type="dxa"/>
                  <w:vMerge w:val="restart"/>
                  <w:tcBorders>
                    <w:top w:val="single" w:color="000000" w:sz="4" w:space="0"/>
                    <w:left w:val="single" w:color="000000" w:sz="4" w:space="0"/>
                    <w:right w:val="single" w:color="000000" w:sz="4" w:space="0"/>
                  </w:tcBorders>
                  <w:noWrap/>
                  <w:vAlign w:val="center"/>
                </w:tcPr>
                <w:p w14:paraId="3B1CC1EA">
                  <w:pPr>
                    <w:widowControl/>
                    <w:ind w:leftChars="1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铜基</w:t>
                  </w: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23911B1A">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Pb</w:t>
                  </w:r>
                </w:p>
              </w:tc>
            </w:tr>
            <w:tr w14:paraId="01E07616">
              <w:tblPrEx>
                <w:tblCellMar>
                  <w:top w:w="0" w:type="dxa"/>
                  <w:left w:w="108" w:type="dxa"/>
                  <w:bottom w:w="0" w:type="dxa"/>
                  <w:right w:w="108" w:type="dxa"/>
                </w:tblCellMar>
              </w:tblPrEx>
              <w:trPr>
                <w:trHeight w:val="285" w:hRule="atLeast"/>
                <w:jc w:val="center"/>
              </w:trPr>
              <w:tc>
                <w:tcPr>
                  <w:tcW w:w="1914" w:type="dxa"/>
                  <w:vMerge w:val="continue"/>
                  <w:tcBorders>
                    <w:left w:val="single" w:color="000000" w:sz="4" w:space="0"/>
                    <w:right w:val="single" w:color="000000" w:sz="4" w:space="0"/>
                  </w:tcBorders>
                  <w:noWrap/>
                  <w:vAlign w:val="center"/>
                </w:tcPr>
                <w:p w14:paraId="70A6F581">
                  <w:pPr>
                    <w:widowControl/>
                    <w:ind w:leftChars="100"/>
                    <w:jc w:val="center"/>
                    <w:textAlignment w:val="center"/>
                    <w:rPr>
                      <w:rFonts w:hint="eastAsia" w:ascii="宋体" w:hAnsi="宋体" w:cs="宋体"/>
                      <w:color w:val="000000"/>
                      <w:kern w:val="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1B737CCB">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Cu</w:t>
                  </w:r>
                </w:p>
              </w:tc>
            </w:tr>
            <w:tr w14:paraId="47D0CF50">
              <w:tblPrEx>
                <w:tblCellMar>
                  <w:top w:w="0" w:type="dxa"/>
                  <w:left w:w="108" w:type="dxa"/>
                  <w:bottom w:w="0" w:type="dxa"/>
                  <w:right w:w="108" w:type="dxa"/>
                </w:tblCellMar>
              </w:tblPrEx>
              <w:trPr>
                <w:trHeight w:val="285" w:hRule="atLeast"/>
                <w:jc w:val="center"/>
              </w:trPr>
              <w:tc>
                <w:tcPr>
                  <w:tcW w:w="1914" w:type="dxa"/>
                  <w:vMerge w:val="continue"/>
                  <w:tcBorders>
                    <w:left w:val="single" w:color="000000" w:sz="4" w:space="0"/>
                    <w:right w:val="single" w:color="000000" w:sz="4" w:space="0"/>
                  </w:tcBorders>
                  <w:noWrap/>
                  <w:vAlign w:val="center"/>
                </w:tcPr>
                <w:p w14:paraId="20194AF3">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4C722EBD">
                  <w:pPr>
                    <w:widowControl/>
                    <w:ind w:leftChars="100"/>
                    <w:jc w:val="center"/>
                    <w:textAlignment w:val="center"/>
                    <w:rPr>
                      <w:rFonts w:hint="eastAsia" w:ascii="宋体" w:hAnsi="宋体" w:cs="宋体"/>
                      <w:sz w:val="21"/>
                      <w:szCs w:val="21"/>
                    </w:rPr>
                  </w:pPr>
                  <w:r>
                    <w:rPr>
                      <w:rFonts w:hint="eastAsia" w:ascii="宋体" w:hAnsi="宋体" w:cs="宋体"/>
                      <w:color w:val="000000"/>
                      <w:kern w:val="0"/>
                      <w:sz w:val="21"/>
                      <w:szCs w:val="21"/>
                    </w:rPr>
                    <w:t>Zn</w:t>
                  </w:r>
                </w:p>
              </w:tc>
            </w:tr>
            <w:tr w14:paraId="58F1874B">
              <w:tblPrEx>
                <w:tblCellMar>
                  <w:top w:w="0" w:type="dxa"/>
                  <w:left w:w="108" w:type="dxa"/>
                  <w:bottom w:w="0" w:type="dxa"/>
                  <w:right w:w="108" w:type="dxa"/>
                </w:tblCellMar>
              </w:tblPrEx>
              <w:trPr>
                <w:trHeight w:val="280" w:hRule="atLeast"/>
                <w:jc w:val="center"/>
              </w:trPr>
              <w:tc>
                <w:tcPr>
                  <w:tcW w:w="1914" w:type="dxa"/>
                  <w:vMerge w:val="continue"/>
                  <w:tcBorders>
                    <w:left w:val="single" w:color="000000" w:sz="4" w:space="0"/>
                    <w:right w:val="single" w:color="000000" w:sz="4" w:space="0"/>
                  </w:tcBorders>
                  <w:noWrap/>
                  <w:vAlign w:val="center"/>
                </w:tcPr>
                <w:p w14:paraId="02D816B2">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3060AE8B">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Mn</w:t>
                  </w:r>
                </w:p>
              </w:tc>
            </w:tr>
            <w:tr w14:paraId="61D20C90">
              <w:tblPrEx>
                <w:tblCellMar>
                  <w:top w:w="0" w:type="dxa"/>
                  <w:left w:w="108" w:type="dxa"/>
                  <w:bottom w:w="0" w:type="dxa"/>
                  <w:right w:w="108" w:type="dxa"/>
                </w:tblCellMar>
              </w:tblPrEx>
              <w:trPr>
                <w:trHeight w:val="285" w:hRule="atLeast"/>
                <w:jc w:val="center"/>
              </w:trPr>
              <w:tc>
                <w:tcPr>
                  <w:tcW w:w="1914" w:type="dxa"/>
                  <w:vMerge w:val="continue"/>
                  <w:tcBorders>
                    <w:left w:val="single" w:color="000000" w:sz="4" w:space="0"/>
                    <w:right w:val="single" w:color="000000" w:sz="4" w:space="0"/>
                  </w:tcBorders>
                  <w:noWrap/>
                  <w:vAlign w:val="center"/>
                </w:tcPr>
                <w:p w14:paraId="2856D783">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51551F5C">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Al</w:t>
                  </w:r>
                </w:p>
              </w:tc>
            </w:tr>
            <w:tr w14:paraId="09FDF1E4">
              <w:tblPrEx>
                <w:tblCellMar>
                  <w:top w:w="0" w:type="dxa"/>
                  <w:left w:w="108" w:type="dxa"/>
                  <w:bottom w:w="0" w:type="dxa"/>
                  <w:right w:w="108" w:type="dxa"/>
                </w:tblCellMar>
              </w:tblPrEx>
              <w:trPr>
                <w:trHeight w:val="90" w:hRule="atLeast"/>
                <w:jc w:val="center"/>
              </w:trPr>
              <w:tc>
                <w:tcPr>
                  <w:tcW w:w="1914" w:type="dxa"/>
                  <w:vMerge w:val="continue"/>
                  <w:tcBorders>
                    <w:left w:val="single" w:color="000000" w:sz="4" w:space="0"/>
                    <w:right w:val="single" w:color="000000" w:sz="4" w:space="0"/>
                  </w:tcBorders>
                  <w:noWrap/>
                  <w:vAlign w:val="center"/>
                </w:tcPr>
                <w:p w14:paraId="4691CEF7">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7A69BA92">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Ni</w:t>
                  </w:r>
                </w:p>
              </w:tc>
            </w:tr>
            <w:tr w14:paraId="5915816D">
              <w:tblPrEx>
                <w:tblCellMar>
                  <w:top w:w="0" w:type="dxa"/>
                  <w:left w:w="108" w:type="dxa"/>
                  <w:bottom w:w="0" w:type="dxa"/>
                  <w:right w:w="108" w:type="dxa"/>
                </w:tblCellMar>
              </w:tblPrEx>
              <w:trPr>
                <w:trHeight w:val="285" w:hRule="atLeast"/>
                <w:jc w:val="center"/>
              </w:trPr>
              <w:tc>
                <w:tcPr>
                  <w:tcW w:w="1914" w:type="dxa"/>
                  <w:vMerge w:val="continue"/>
                  <w:tcBorders>
                    <w:left w:val="single" w:color="000000" w:sz="4" w:space="0"/>
                    <w:right w:val="single" w:color="000000" w:sz="4" w:space="0"/>
                  </w:tcBorders>
                  <w:noWrap/>
                  <w:vAlign w:val="center"/>
                </w:tcPr>
                <w:p w14:paraId="55D0A01E">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000067F4">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Sn</w:t>
                  </w:r>
                </w:p>
              </w:tc>
            </w:tr>
            <w:tr w14:paraId="306D9E91">
              <w:tblPrEx>
                <w:tblCellMar>
                  <w:top w:w="0" w:type="dxa"/>
                  <w:left w:w="108" w:type="dxa"/>
                  <w:bottom w:w="0" w:type="dxa"/>
                  <w:right w:w="108" w:type="dxa"/>
                </w:tblCellMar>
              </w:tblPrEx>
              <w:trPr>
                <w:trHeight w:val="285" w:hRule="atLeast"/>
                <w:jc w:val="center"/>
              </w:trPr>
              <w:tc>
                <w:tcPr>
                  <w:tcW w:w="1914" w:type="dxa"/>
                  <w:vMerge w:val="continue"/>
                  <w:tcBorders>
                    <w:left w:val="single" w:color="000000" w:sz="4" w:space="0"/>
                    <w:bottom w:val="single" w:color="000000" w:sz="4" w:space="0"/>
                    <w:right w:val="single" w:color="000000" w:sz="4" w:space="0"/>
                  </w:tcBorders>
                  <w:noWrap/>
                  <w:vAlign w:val="center"/>
                </w:tcPr>
                <w:p w14:paraId="18F29EE7">
                  <w:pPr>
                    <w:ind w:leftChars="100"/>
                    <w:jc w:val="center"/>
                    <w:rPr>
                      <w:rFonts w:hint="eastAsia" w:ascii="宋体" w:hAnsi="宋体" w:cs="宋体"/>
                      <w:color w:val="000000"/>
                      <w:sz w:val="21"/>
                      <w:szCs w:val="21"/>
                    </w:rPr>
                  </w:pPr>
                </w:p>
              </w:tc>
              <w:tc>
                <w:tcPr>
                  <w:tcW w:w="1914" w:type="dxa"/>
                  <w:tcBorders>
                    <w:top w:val="single" w:color="000000" w:sz="4" w:space="0"/>
                    <w:left w:val="single" w:color="000000" w:sz="4" w:space="0"/>
                    <w:bottom w:val="single" w:color="000000" w:sz="4" w:space="0"/>
                    <w:right w:val="single" w:color="000000" w:sz="4" w:space="0"/>
                  </w:tcBorders>
                  <w:noWrap/>
                  <w:vAlign w:val="center"/>
                </w:tcPr>
                <w:p w14:paraId="6DC4CBAF">
                  <w:pPr>
                    <w:widowControl/>
                    <w:ind w:leftChars="100"/>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Fe</w:t>
                  </w:r>
                </w:p>
              </w:tc>
            </w:tr>
          </w:tbl>
          <w:p w14:paraId="1BCEEDFC">
            <w:pPr>
              <w:numPr>
                <w:ilvl w:val="0"/>
                <w:numId w:val="0"/>
              </w:numPr>
              <w:ind w:leftChars="100"/>
              <w:rPr>
                <w:rFonts w:hint="default" w:ascii="Times New Roman" w:hAnsi="Times New Roman"/>
                <w:b/>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电源性能：单电池工作续航时间不低于4小时。</w:t>
            </w:r>
          </w:p>
          <w:p w14:paraId="2D0800CC">
            <w:pPr>
              <w:pStyle w:val="51"/>
              <w:numPr>
                <w:ilvl w:val="0"/>
                <w:numId w:val="22"/>
              </w:numPr>
              <w:ind w:left="0" w:leftChars="0" w:firstLine="25" w:firstLineChars="0"/>
              <w:rPr>
                <w:rFonts w:hint="eastAsia" w:ascii="Times New Roman" w:hAnsi="Times New Roman"/>
                <w:b/>
                <w:sz w:val="21"/>
                <w:szCs w:val="21"/>
                <w:lang w:val="en-US" w:eastAsia="zh-CN"/>
              </w:rPr>
            </w:pPr>
            <w:r>
              <w:rPr>
                <w:rFonts w:hint="eastAsia" w:ascii="Times New Roman" w:hAnsi="Times New Roman"/>
                <w:b/>
                <w:sz w:val="21"/>
                <w:szCs w:val="21"/>
                <w:lang w:val="en-US" w:eastAsia="zh-CN"/>
              </w:rPr>
              <w:t>系统集成和软件功能要求</w:t>
            </w:r>
          </w:p>
          <w:p w14:paraId="1ECF6EFE">
            <w:pPr>
              <w:pStyle w:val="48"/>
              <w:numPr>
                <w:ilvl w:val="0"/>
                <w:numId w:val="0"/>
              </w:numPr>
              <w:ind w:left="227" w:leftChars="0"/>
              <w:rPr>
                <w:rFonts w:ascii="Times New Roman" w:hAnsi="Times New Roman"/>
                <w:sz w:val="21"/>
                <w:szCs w:val="21"/>
              </w:rPr>
            </w:pPr>
            <w:r>
              <w:rPr>
                <w:rFonts w:hint="eastAsia" w:ascii="Times New Roman" w:hAnsi="Times New Roman"/>
                <w:sz w:val="21"/>
                <w:szCs w:val="21"/>
                <w:lang w:val="en-US" w:eastAsia="zh-CN"/>
              </w:rPr>
              <w:t xml:space="preserve">4.1  </w:t>
            </w:r>
            <w:r>
              <w:rPr>
                <w:rFonts w:hint="eastAsia" w:ascii="Times New Roman" w:hAnsi="Times New Roman"/>
                <w:sz w:val="21"/>
                <w:szCs w:val="21"/>
              </w:rPr>
              <w:t>大型集装箱/车辆检查系统须按照《海关机检设备入网指导意见》（详见附件）要求，接入中国海关业务管理网，进行查验信息传输，须保证硬件、信息的安全性，并提供详细入网方案；承诺符合《海关网络安全管理规定》，按照海关等级保护要求，达到《网络安全等级保护基本要求》（GB/T22239-2019）中二级信息系统的安全防护要求。</w:t>
            </w:r>
          </w:p>
          <w:p w14:paraId="1F0C13F3">
            <w:pPr>
              <w:pStyle w:val="48"/>
              <w:numPr>
                <w:ilvl w:val="0"/>
                <w:numId w:val="0"/>
              </w:numPr>
              <w:ind w:firstLine="210" w:firstLineChars="100"/>
              <w:rPr>
                <w:rFonts w:ascii="Times New Roman" w:hAnsi="Times New Roman"/>
                <w:sz w:val="21"/>
                <w:szCs w:val="21"/>
              </w:rPr>
            </w:pPr>
            <w:r>
              <w:rPr>
                <w:rFonts w:hint="eastAsia" w:ascii="Times New Roman" w:hAnsi="Times New Roman"/>
                <w:sz w:val="21"/>
                <w:szCs w:val="21"/>
                <w:lang w:val="en-US" w:eastAsia="zh-CN"/>
              </w:rPr>
              <w:t xml:space="preserve">4.2  </w:t>
            </w:r>
            <w:r>
              <w:rPr>
                <w:rFonts w:hint="eastAsia" w:ascii="Times New Roman" w:hAnsi="Times New Roman"/>
                <w:sz w:val="21"/>
                <w:szCs w:val="21"/>
              </w:rPr>
              <w:t>大型集装箱/车辆检查系统需能接入中国海关大型集装箱/车辆检查设备联网集中图像分析系统并实现集中审像作业，需能与中国海关现有设备实现互联互通。需提供相应方案，并提供相关应用实例等证明。</w:t>
            </w:r>
          </w:p>
          <w:p w14:paraId="251E92ED">
            <w:pPr>
              <w:pStyle w:val="48"/>
              <w:numPr>
                <w:ilvl w:val="0"/>
                <w:numId w:val="0"/>
              </w:numPr>
              <w:ind w:left="227" w:leftChars="0"/>
              <w:rPr>
                <w:rFonts w:ascii="Times New Roman" w:hAnsi="Times New Roman"/>
                <w:sz w:val="21"/>
                <w:szCs w:val="21"/>
              </w:rPr>
            </w:pPr>
            <w:bookmarkStart w:id="22" w:name="_Hlk176438530"/>
            <w:r>
              <w:rPr>
                <w:rFonts w:hint="eastAsia" w:ascii="Times New Roman" w:hAnsi="Times New Roman"/>
                <w:sz w:val="21"/>
                <w:szCs w:val="21"/>
                <w:lang w:val="en-US" w:eastAsia="zh-CN"/>
              </w:rPr>
              <w:t xml:space="preserve">4.3  </w:t>
            </w:r>
            <w:r>
              <w:rPr>
                <w:rFonts w:hint="eastAsia" w:ascii="Times New Roman" w:hAnsi="Times New Roman"/>
                <w:sz w:val="21"/>
                <w:szCs w:val="21"/>
              </w:rPr>
              <w:t>大型集装箱/车辆检查系统</w:t>
            </w:r>
            <w:bookmarkEnd w:id="22"/>
            <w:r>
              <w:rPr>
                <w:rFonts w:hint="eastAsia" w:ascii="Times New Roman" w:hAnsi="Times New Roman"/>
                <w:sz w:val="21"/>
                <w:szCs w:val="21"/>
              </w:rPr>
              <w:t>需能接入中国海关智能审图系统。所生成并输出的无损图像需能应用于图像智能分析。需提供相应方案，并提供大型集装箱/车辆检查系统相关应用实例等证明。</w:t>
            </w:r>
          </w:p>
          <w:p w14:paraId="06708CC9">
            <w:pPr>
              <w:pStyle w:val="48"/>
              <w:numPr>
                <w:ilvl w:val="0"/>
                <w:numId w:val="0"/>
              </w:numPr>
              <w:ind w:firstLine="210" w:firstLineChars="100"/>
              <w:rPr>
                <w:rFonts w:ascii="Times New Roman" w:hAnsi="Times New Roman"/>
                <w:sz w:val="21"/>
                <w:szCs w:val="21"/>
              </w:rPr>
            </w:pPr>
            <w:r>
              <w:rPr>
                <w:rFonts w:hint="eastAsia" w:ascii="Segoe UI Symbol" w:hAnsi="Segoe UI Symbol" w:cs="Segoe UI Symbol"/>
                <w:sz w:val="21"/>
                <w:szCs w:val="21"/>
                <w:lang w:val="en-US" w:eastAsia="zh-CN"/>
              </w:rPr>
              <w:t xml:space="preserve">4.4  </w:t>
            </w:r>
            <w:r>
              <w:rPr>
                <w:rFonts w:hint="eastAsia" w:ascii="Segoe UI Symbol" w:hAnsi="Segoe UI Symbol" w:cs="Segoe UI Symbol"/>
                <w:sz w:val="21"/>
                <w:szCs w:val="21"/>
              </w:rPr>
              <w:t>大型集装箱/车辆检查系统可通过IP地址进行远程管理，应至少具有2个千兆（或万兆）网络接口。应保证大型集装箱/车辆检查系统封闭，除业务操作必需设备外，无其他输入、输出设备，整个大型集装箱/车辆检查系统只暴露确定网口（海关规划IP地址）连接海关管理网络。大型集装箱/车辆检查系统内部数据流转网络封闭，不存在对外信息点。</w:t>
            </w:r>
          </w:p>
          <w:p w14:paraId="4836BDE3">
            <w:pPr>
              <w:pStyle w:val="48"/>
              <w:numPr>
                <w:ilvl w:val="0"/>
                <w:numId w:val="0"/>
              </w:numPr>
              <w:ind w:left="227" w:leftChars="0"/>
              <w:rPr>
                <w:rFonts w:ascii="Times New Roman" w:hAnsi="Times New Roman"/>
                <w:sz w:val="21"/>
                <w:szCs w:val="21"/>
              </w:rPr>
            </w:pPr>
            <w:bookmarkStart w:id="23" w:name="OLE_LINK10"/>
            <w:bookmarkStart w:id="24" w:name="OLE_LINK11"/>
            <w:r>
              <w:rPr>
                <w:rFonts w:hint="eastAsia" w:ascii="Segoe UI Symbol" w:hAnsi="Segoe UI Symbol" w:cs="Segoe UI Symbol"/>
                <w:sz w:val="21"/>
                <w:szCs w:val="21"/>
                <w:lang w:val="en-US" w:eastAsia="zh-CN"/>
              </w:rPr>
              <w:t xml:space="preserve">4.5  </w:t>
            </w:r>
            <w:r>
              <w:rPr>
                <w:rFonts w:hint="eastAsia" w:ascii="Segoe UI Symbol" w:hAnsi="Segoe UI Symbol" w:cs="Segoe UI Symbol"/>
                <w:sz w:val="21"/>
                <w:szCs w:val="21"/>
              </w:rPr>
              <w:t>大型集装箱/车辆检查系统提供系统升级、补丁更新等功能，以应对存在的安全漏洞，同时系统可安装杀毒软件进行病毒查杀，需支持海关现有杀毒软件（360天擎）安装。设备上安装软件、开启服务时，应当遵循最少服务、最小授权原则，仅安装必需的组件和应用程序，关闭无关的服务和网络端口。设备入网前，进行恶意代码扫描、漏洞扫描及安全配置核查，确认无重大安全隐患后方可正式入网运行。</w:t>
            </w:r>
          </w:p>
          <w:bookmarkEnd w:id="23"/>
          <w:bookmarkEnd w:id="24"/>
          <w:p w14:paraId="52C61D7F">
            <w:pPr>
              <w:pStyle w:val="48"/>
              <w:numPr>
                <w:ilvl w:val="0"/>
                <w:numId w:val="0"/>
              </w:numPr>
              <w:ind w:left="227" w:leftChars="0"/>
              <w:rPr>
                <w:rFonts w:hint="eastAsia" w:ascii="Times New Roman" w:hAnsi="Times New Roman"/>
                <w:sz w:val="21"/>
                <w:szCs w:val="21"/>
              </w:rPr>
            </w:pPr>
            <w:r>
              <w:rPr>
                <w:rFonts w:hint="eastAsia" w:ascii="Times New Roman" w:hAnsi="Times New Roman"/>
                <w:sz w:val="21"/>
                <w:szCs w:val="21"/>
                <w:lang w:val="en-US" w:eastAsia="zh-CN"/>
              </w:rPr>
              <w:t xml:space="preserve">4.6  </w:t>
            </w:r>
            <w:r>
              <w:rPr>
                <w:rFonts w:hint="eastAsia" w:ascii="Times New Roman" w:hAnsi="Times New Roman"/>
                <w:sz w:val="21"/>
                <w:szCs w:val="21"/>
              </w:rPr>
              <w:t>大型集装箱/车辆检查系统的设备运行状态数据、设备业务数据通过HTTP、HTTPS、MQ等协议，使用WEBSERVICE或MQ与外部系统进行数据传输。其中MQ协议应同时支持IBMMQ和国产MQ软件。系统相关数据传输可支持加密传输。</w:t>
            </w:r>
          </w:p>
          <w:p w14:paraId="3A4635A7">
            <w:pPr>
              <w:pStyle w:val="48"/>
              <w:numPr>
                <w:ilvl w:val="0"/>
                <w:numId w:val="0"/>
              </w:numPr>
              <w:ind w:left="227" w:leftChars="0"/>
              <w:rPr>
                <w:rFonts w:hint="eastAsia" w:ascii="Times New Roman" w:hAnsi="Times New Roman"/>
                <w:sz w:val="21"/>
                <w:szCs w:val="21"/>
              </w:rPr>
            </w:pPr>
          </w:p>
          <w:p w14:paraId="592BD949">
            <w:pPr>
              <w:pStyle w:val="4"/>
              <w:tabs>
                <w:tab w:val="right" w:pos="9135"/>
              </w:tabs>
              <w:spacing w:line="395" w:lineRule="exact"/>
              <w:ind w:left="0" w:leftChars="0" w:right="4351" w:firstLine="0" w:firstLineChars="0"/>
              <w:jc w:val="lef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附件</w:t>
            </w:r>
            <w:r>
              <w:rPr>
                <w:rFonts w:hint="eastAsia" w:cs="宋体"/>
                <w:b/>
                <w:bCs/>
                <w:color w:val="auto"/>
                <w:sz w:val="21"/>
                <w:szCs w:val="21"/>
                <w:lang w:eastAsia="zh-CN"/>
              </w:rPr>
              <w:tab/>
            </w:r>
          </w:p>
          <w:p w14:paraId="1C9DE281">
            <w:pPr>
              <w:spacing w:before="0" w:line="508" w:lineRule="exact"/>
              <w:ind w:left="176" w:right="288"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海关机检设备入网指导意见</w:t>
            </w:r>
          </w:p>
          <w:p w14:paraId="5A420FA0">
            <w:pPr>
              <w:spacing w:before="10" w:line="240" w:lineRule="auto"/>
              <w:rPr>
                <w:rFonts w:hint="eastAsia" w:ascii="宋体" w:hAnsi="宋体" w:eastAsia="宋体" w:cs="宋体"/>
                <w:color w:val="auto"/>
                <w:sz w:val="21"/>
                <w:szCs w:val="21"/>
              </w:rPr>
            </w:pPr>
          </w:p>
          <w:p w14:paraId="127C66C8">
            <w:pPr>
              <w:pStyle w:val="4"/>
              <w:spacing w:line="331" w:lineRule="auto"/>
              <w:ind w:right="216"/>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针对当前仍有相当数量的机检设备独立运行，存在扫描图像不</w:t>
            </w:r>
            <w:r>
              <w:rPr>
                <w:rFonts w:hint="eastAsia" w:ascii="宋体" w:hAnsi="宋体" w:eastAsia="宋体" w:cs="宋体"/>
                <w:color w:val="auto"/>
                <w:w w:val="101"/>
                <w:sz w:val="21"/>
                <w:szCs w:val="21"/>
              </w:rPr>
              <w:t xml:space="preserve"> </w:t>
            </w:r>
            <w:r>
              <w:rPr>
                <w:rFonts w:hint="eastAsia" w:ascii="宋体" w:hAnsi="宋体" w:eastAsia="宋体" w:cs="宋体"/>
                <w:color w:val="auto"/>
                <w:spacing w:val="-8"/>
                <w:sz w:val="21"/>
                <w:szCs w:val="21"/>
              </w:rPr>
              <w:t>能共享、图像分析系统与海关业务系统不互通等问题，海关总署提</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8"/>
                <w:sz w:val="21"/>
                <w:szCs w:val="21"/>
              </w:rPr>
              <w:t>出了“联起来、存起来、管起来、智能起来”的建设原则，要求将</w:t>
            </w:r>
            <w:r>
              <w:rPr>
                <w:rFonts w:hint="eastAsia" w:ascii="宋体" w:hAnsi="宋体" w:eastAsia="宋体" w:cs="宋体"/>
                <w:color w:val="auto"/>
                <w:sz w:val="21"/>
                <w:szCs w:val="21"/>
              </w:rPr>
              <w:t>各关的</w:t>
            </w:r>
            <w:r>
              <w:rPr>
                <w:rFonts w:hint="eastAsia" w:ascii="宋体" w:hAnsi="宋体" w:eastAsia="宋体" w:cs="宋体"/>
                <w:color w:val="auto"/>
                <w:spacing w:val="-10"/>
                <w:sz w:val="21"/>
                <w:szCs w:val="21"/>
              </w:rPr>
              <w:t xml:space="preserve">H986（大型集装箱/车辆检查设备）、CT、X </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光机及辐射探</w:t>
            </w:r>
            <w:r>
              <w:rPr>
                <w:rFonts w:hint="eastAsia" w:ascii="宋体" w:hAnsi="宋体" w:eastAsia="宋体" w:cs="宋体"/>
                <w:color w:val="auto"/>
                <w:spacing w:val="-8"/>
                <w:sz w:val="21"/>
                <w:szCs w:val="21"/>
              </w:rPr>
              <w:t>测设备接入海关网络，将机检数据传输存储到大数据云，由海关对</w:t>
            </w:r>
            <w:r>
              <w:rPr>
                <w:rFonts w:hint="eastAsia" w:ascii="宋体" w:hAnsi="宋体" w:eastAsia="宋体" w:cs="宋体"/>
                <w:color w:val="auto"/>
                <w:spacing w:val="2"/>
                <w:sz w:val="21"/>
                <w:szCs w:val="21"/>
              </w:rPr>
              <w:t>机检数据信息进行统一管理，以便更好地利用这些海量的数据资</w:t>
            </w:r>
            <w:r>
              <w:rPr>
                <w:rFonts w:hint="eastAsia" w:ascii="宋体" w:hAnsi="宋体" w:eastAsia="宋体" w:cs="宋体"/>
                <w:color w:val="auto"/>
                <w:spacing w:val="12"/>
                <w:sz w:val="21"/>
                <w:szCs w:val="21"/>
              </w:rPr>
              <w:t xml:space="preserve"> </w:t>
            </w:r>
            <w:r>
              <w:rPr>
                <w:rFonts w:hint="eastAsia" w:ascii="宋体" w:hAnsi="宋体" w:eastAsia="宋体" w:cs="宋体"/>
                <w:color w:val="auto"/>
                <w:sz w:val="21"/>
                <w:szCs w:val="21"/>
              </w:rPr>
              <w:t>源，支撑海关业务向着更智能、更高效的方向发展。</w:t>
            </w:r>
          </w:p>
          <w:p w14:paraId="057B4391">
            <w:pPr>
              <w:pStyle w:val="4"/>
              <w:spacing w:before="35" w:line="319" w:lineRule="auto"/>
              <w:ind w:right="237"/>
              <w:jc w:val="both"/>
              <w:rPr>
                <w:rFonts w:hint="eastAsia" w:ascii="宋体" w:hAnsi="宋体" w:eastAsia="宋体" w:cs="宋体"/>
                <w:color w:val="auto"/>
                <w:sz w:val="21"/>
                <w:szCs w:val="21"/>
              </w:rPr>
            </w:pPr>
            <w:r>
              <w:rPr>
                <w:rFonts w:hint="eastAsia" w:ascii="宋体" w:hAnsi="宋体" w:eastAsia="宋体" w:cs="宋体"/>
                <w:color w:val="auto"/>
                <w:sz w:val="21"/>
                <w:szCs w:val="21"/>
              </w:rPr>
              <w:t>为实现</w:t>
            </w:r>
            <w:r>
              <w:rPr>
                <w:rFonts w:hint="eastAsia" w:ascii="宋体" w:hAnsi="宋体" w:eastAsia="宋体" w:cs="宋体"/>
                <w:color w:val="auto"/>
                <w:spacing w:val="-4"/>
                <w:sz w:val="21"/>
                <w:szCs w:val="21"/>
              </w:rPr>
              <w:t>H986、CT、X</w:t>
            </w:r>
            <w:r>
              <w:rPr>
                <w:rFonts w:hint="eastAsia" w:ascii="宋体" w:hAnsi="宋体" w:eastAsia="宋体" w:cs="宋体"/>
                <w:color w:val="auto"/>
                <w:spacing w:val="-3"/>
                <w:sz w:val="21"/>
                <w:szCs w:val="21"/>
              </w:rPr>
              <w:t>光机及辐射探测设备接入海关业务管理</w:t>
            </w:r>
            <w:r>
              <w:rPr>
                <w:rFonts w:hint="eastAsia" w:ascii="宋体" w:hAnsi="宋体" w:eastAsia="宋体" w:cs="宋体"/>
                <w:color w:val="auto"/>
                <w:spacing w:val="-8"/>
                <w:sz w:val="21"/>
                <w:szCs w:val="21"/>
              </w:rPr>
              <w:t>网（以下简称管理网），根据设备安装场所的不同，特制定以下两</w:t>
            </w:r>
            <w:r>
              <w:rPr>
                <w:rFonts w:hint="eastAsia" w:ascii="宋体" w:hAnsi="宋体" w:eastAsia="宋体" w:cs="宋体"/>
                <w:color w:val="auto"/>
                <w:sz w:val="21"/>
                <w:szCs w:val="21"/>
              </w:rPr>
              <w:t>种接入方案：</w:t>
            </w:r>
          </w:p>
          <w:p w14:paraId="5F89A632">
            <w:pPr>
              <w:pStyle w:val="4"/>
              <w:spacing w:before="35" w:line="319" w:lineRule="auto"/>
              <w:ind w:right="237"/>
              <w:jc w:val="both"/>
              <w:rPr>
                <w:rFonts w:hint="eastAsia" w:ascii="宋体" w:hAnsi="宋体" w:eastAsia="宋体" w:cs="宋体"/>
                <w:color w:val="auto"/>
                <w:sz w:val="21"/>
                <w:szCs w:val="21"/>
              </w:rPr>
            </w:pPr>
            <w:r>
              <w:rPr>
                <w:rFonts w:hint="eastAsia" w:ascii="宋体" w:hAnsi="宋体" w:eastAsia="宋体" w:cs="宋体"/>
                <w:color w:val="auto"/>
                <w:sz w:val="21"/>
                <w:szCs w:val="21"/>
              </w:rPr>
              <w:t>制定本方案的依据来源主要包括《科技司关于做好海关机检 设备入网工作的函》（科技函〔2017〕187号）、《科技司关于印发〈海关信息化网络建设总体方案〉等方案的通知》（科技函〔2019〕56号）、《海关网络安全管理规定》（署科发〔2018〕194号）、《科 技司监管司关于印发&lt;海关机检设备智能审图长效工作机制（试 行）的通知》（科技司便函〔2020〕16号）等。</w:t>
            </w:r>
          </w:p>
          <w:p w14:paraId="55571857">
            <w:pPr>
              <w:pStyle w:val="4"/>
              <w:spacing w:before="60" w:line="240" w:lineRule="auto"/>
              <w:ind w:left="0" w:leftChars="0" w:right="0" w:firstLine="0" w:firstLineChars="0"/>
              <w:jc w:val="left"/>
              <w:rPr>
                <w:rFonts w:hint="eastAsia" w:ascii="宋体" w:hAnsi="宋体" w:eastAsia="宋体" w:cs="宋体"/>
                <w:color w:val="auto"/>
                <w:sz w:val="21"/>
                <w:szCs w:val="21"/>
              </w:rPr>
            </w:pPr>
          </w:p>
          <w:p w14:paraId="346CAA4E">
            <w:pPr>
              <w:pStyle w:val="4"/>
              <w:spacing w:before="60" w:line="240" w:lineRule="auto"/>
              <w:ind w:left="783" w:right="0"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方案一：设备整体接入管理</w:t>
            </w:r>
          </w:p>
          <w:p w14:paraId="7D4F88D0">
            <w:pPr>
              <w:pStyle w:val="4"/>
              <w:spacing w:before="60" w:line="240" w:lineRule="auto"/>
              <w:ind w:left="783" w:right="0" w:firstLine="0"/>
              <w:jc w:val="left"/>
              <w:rPr>
                <w:rFonts w:hint="eastAsia" w:ascii="宋体" w:hAnsi="宋体" w:eastAsia="宋体" w:cs="宋体"/>
                <w:color w:val="auto"/>
                <w:sz w:val="21"/>
                <w:szCs w:val="21"/>
              </w:rPr>
            </w:pPr>
          </w:p>
          <w:p w14:paraId="6D443BEF">
            <w:pPr>
              <w:pStyle w:val="4"/>
              <w:spacing w:before="60" w:line="240" w:lineRule="auto"/>
              <w:ind w:left="783" w:right="0" w:firstLine="0"/>
              <w:jc w:val="left"/>
              <w:rPr>
                <w:rFonts w:hint="eastAsia" w:ascii="宋体" w:hAnsi="宋体" w:eastAsia="宋体" w:cs="宋体"/>
                <w:color w:val="auto"/>
                <w:sz w:val="21"/>
                <w:szCs w:val="21"/>
              </w:rPr>
            </w:pPr>
            <w:r>
              <w:rPr>
                <w:rFonts w:hint="eastAsia" w:ascii="宋体" w:hAnsi="宋体" w:eastAsia="宋体" w:cs="宋体"/>
                <w:color w:val="auto"/>
                <w:position w:val="-136"/>
                <w:sz w:val="21"/>
                <w:szCs w:val="21"/>
              </w:rPr>
              <w:drawing>
                <wp:inline distT="0" distB="0" distL="0" distR="0">
                  <wp:extent cx="5177790" cy="4361815"/>
                  <wp:effectExtent l="0" t="0" r="3810" b="1206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4" cstate="print"/>
                          <a:stretch>
                            <a:fillRect/>
                          </a:stretch>
                        </pic:blipFill>
                        <pic:spPr>
                          <a:xfrm>
                            <a:off x="0" y="0"/>
                            <a:ext cx="5178084" cy="4361973"/>
                          </a:xfrm>
                          <a:prstGeom prst="rect">
                            <a:avLst/>
                          </a:prstGeom>
                        </pic:spPr>
                      </pic:pic>
                    </a:graphicData>
                  </a:graphic>
                </wp:inline>
              </w:drawing>
            </w:r>
          </w:p>
          <w:p w14:paraId="6DFA2C9F">
            <w:pPr>
              <w:pStyle w:val="4"/>
              <w:spacing w:before="9" w:line="328" w:lineRule="auto"/>
              <w:ind w:right="237"/>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（一）机检系统内设备纳入管理网统一管理，应符合《海关信</w:t>
            </w:r>
            <w:r>
              <w:rPr>
                <w:rFonts w:hint="eastAsia" w:ascii="宋体" w:hAnsi="宋体" w:eastAsia="宋体" w:cs="宋体"/>
                <w:color w:val="auto"/>
                <w:sz w:val="21"/>
                <w:szCs w:val="21"/>
              </w:rPr>
              <w:t>息系统安全管理规定》相关要求。</w:t>
            </w:r>
          </w:p>
          <w:p w14:paraId="1F7A0B8F">
            <w:pPr>
              <w:pStyle w:val="4"/>
              <w:spacing w:before="35" w:line="319" w:lineRule="auto"/>
              <w:ind w:right="253"/>
              <w:jc w:val="both"/>
              <w:rPr>
                <w:rFonts w:hint="eastAsia" w:ascii="宋体" w:hAnsi="宋体" w:eastAsia="宋体" w:cs="宋体"/>
                <w:color w:val="auto"/>
                <w:sz w:val="21"/>
                <w:szCs w:val="21"/>
              </w:rPr>
            </w:pPr>
            <w:r>
              <w:rPr>
                <w:rFonts w:hint="eastAsia" w:ascii="宋体" w:hAnsi="宋体" w:eastAsia="宋体" w:cs="宋体"/>
                <w:color w:val="auto"/>
                <w:spacing w:val="15"/>
                <w:sz w:val="21"/>
                <w:szCs w:val="21"/>
              </w:rPr>
              <w:t>（二）各关应为机检系统网络规划独立的网段，划分独立</w:t>
            </w:r>
            <w:r>
              <w:rPr>
                <w:rFonts w:hint="eastAsia" w:ascii="宋体" w:hAnsi="宋体" w:eastAsia="宋体" w:cs="宋体"/>
                <w:color w:val="auto"/>
                <w:sz w:val="21"/>
                <w:szCs w:val="21"/>
              </w:rPr>
              <w:t>VLAN，开放必要端口，保证机检系统正常业务运行不受影响。该网段的</w:t>
            </w:r>
            <w:r>
              <w:rPr>
                <w:rFonts w:hint="eastAsia" w:ascii="宋体" w:hAnsi="宋体" w:eastAsia="宋体" w:cs="宋体"/>
                <w:color w:val="auto"/>
                <w:spacing w:val="-3"/>
                <w:sz w:val="21"/>
                <w:szCs w:val="21"/>
              </w:rPr>
              <w:t>IP</w:t>
            </w:r>
            <w:r>
              <w:rPr>
                <w:rFonts w:hint="eastAsia" w:ascii="宋体" w:hAnsi="宋体" w:eastAsia="宋体" w:cs="宋体"/>
                <w:color w:val="auto"/>
                <w:sz w:val="21"/>
                <w:szCs w:val="21"/>
              </w:rPr>
              <w:t>地址应保持相对稳定。</w:t>
            </w:r>
          </w:p>
          <w:p w14:paraId="783088AB">
            <w:pPr>
              <w:pStyle w:val="4"/>
              <w:spacing w:line="391" w:lineRule="exact"/>
              <w:ind w:right="0"/>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（三）系统封闭、具备安全性证明的机检系统可以作为整体系统接入管理网，整个机检系统只暴露确定网口对外，机检系统内部</w:t>
            </w:r>
            <w:r>
              <w:rPr>
                <w:rFonts w:hint="eastAsia" w:ascii="宋体" w:hAnsi="宋体" w:eastAsia="宋体" w:cs="宋体"/>
                <w:color w:val="auto"/>
                <w:sz w:val="21"/>
                <w:szCs w:val="21"/>
              </w:rPr>
              <w:t>数据流转网络封闭，不存在对外信息点。</w:t>
            </w:r>
          </w:p>
          <w:p w14:paraId="0A70E86D">
            <w:pPr>
              <w:pStyle w:val="4"/>
              <w:spacing w:before="35" w:line="338" w:lineRule="auto"/>
              <w:ind w:right="0"/>
              <w:jc w:val="left"/>
              <w:rPr>
                <w:rFonts w:hint="eastAsia" w:ascii="宋体" w:hAnsi="宋体" w:eastAsia="宋体" w:cs="宋体"/>
                <w:color w:val="auto"/>
                <w:sz w:val="21"/>
                <w:szCs w:val="21"/>
              </w:rPr>
            </w:pPr>
            <w:r>
              <w:rPr>
                <w:rFonts w:hint="eastAsia" w:ascii="宋体" w:hAnsi="宋体" w:eastAsia="宋体" w:cs="宋体"/>
                <w:color w:val="auto"/>
                <w:spacing w:val="-8"/>
                <w:sz w:val="21"/>
                <w:szCs w:val="21"/>
              </w:rPr>
              <w:t>（四）存在开放内部网络的机检系统，内部网络中每一个网络</w:t>
            </w:r>
            <w:r>
              <w:rPr>
                <w:rFonts w:hint="eastAsia" w:ascii="宋体" w:hAnsi="宋体" w:eastAsia="宋体" w:cs="宋体"/>
                <w:color w:val="auto"/>
                <w:spacing w:val="-3"/>
                <w:sz w:val="21"/>
                <w:szCs w:val="21"/>
              </w:rPr>
              <w:t>终端均需要满足管理网终端设备管理要求，配置管理网内静态</w:t>
            </w:r>
            <w:r>
              <w:rPr>
                <w:rFonts w:hint="eastAsia" w:ascii="宋体" w:hAnsi="宋体" w:eastAsia="宋体" w:cs="宋体"/>
                <w:color w:val="auto"/>
                <w:spacing w:val="-6"/>
                <w:sz w:val="21"/>
                <w:szCs w:val="21"/>
              </w:rPr>
              <w:t>IP。</w:t>
            </w:r>
          </w:p>
          <w:p w14:paraId="4C2AAF53">
            <w:pPr>
              <w:pStyle w:val="4"/>
              <w:spacing w:line="400" w:lineRule="exact"/>
              <w:ind w:right="0"/>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rPr>
              <w:t>（五）机检系统使用海关统一IP地址后，机检设备运行检查</w:t>
            </w:r>
            <w:r>
              <w:rPr>
                <w:rFonts w:hint="eastAsia" w:ascii="宋体" w:hAnsi="宋体" w:eastAsia="宋体" w:cs="宋体"/>
                <w:color w:val="auto"/>
                <w:spacing w:val="-8"/>
                <w:sz w:val="21"/>
                <w:szCs w:val="21"/>
              </w:rPr>
              <w:t>分系统软件需进行重新调试，与业务系统做好对接。各关部署机检系统应充分考虑磁盘空间、性能、网络等因素，确保系统整体部署</w:t>
            </w:r>
            <w:r>
              <w:rPr>
                <w:rFonts w:hint="eastAsia" w:ascii="宋体" w:hAnsi="宋体" w:eastAsia="宋体" w:cs="宋体"/>
                <w:color w:val="auto"/>
                <w:sz w:val="21"/>
                <w:szCs w:val="21"/>
              </w:rPr>
              <w:t>和连接的稳定性。</w:t>
            </w:r>
          </w:p>
          <w:p w14:paraId="6A0F9D1E">
            <w:pPr>
              <w:rPr>
                <w:rFonts w:hint="eastAsia"/>
                <w:color w:val="auto"/>
                <w:sz w:val="21"/>
                <w:szCs w:val="21"/>
              </w:rPr>
            </w:pPr>
            <w:r>
              <w:rPr>
                <w:rFonts w:hint="eastAsia" w:ascii="宋体" w:hAnsi="宋体" w:eastAsia="宋体" w:cs="宋体"/>
                <w:color w:val="auto"/>
                <w:sz w:val="21"/>
                <w:szCs w:val="21"/>
              </w:rPr>
              <w:br w:type="page"/>
            </w:r>
          </w:p>
          <w:p w14:paraId="6BFCB858">
            <w:pPr>
              <w:pStyle w:val="4"/>
              <w:spacing w:before="29" w:line="240" w:lineRule="auto"/>
              <w:ind w:left="783" w:right="0"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方案二：通过安全隔离措施接入管理网</w:t>
            </w:r>
          </w:p>
          <w:p w14:paraId="04087307">
            <w:pPr>
              <w:spacing w:before="3" w:line="240" w:lineRule="auto"/>
              <w:rPr>
                <w:rFonts w:hint="eastAsia" w:ascii="宋体" w:hAnsi="宋体" w:eastAsia="宋体" w:cs="宋体"/>
                <w:color w:val="auto"/>
                <w:sz w:val="21"/>
                <w:szCs w:val="21"/>
              </w:rPr>
            </w:pPr>
          </w:p>
          <w:p w14:paraId="57A07D85">
            <w:pPr>
              <w:spacing w:before="2" w:line="240" w:lineRule="auto"/>
              <w:rPr>
                <w:rFonts w:hint="eastAsia" w:ascii="宋体" w:hAnsi="宋体" w:eastAsia="宋体" w:cs="宋体"/>
                <w:color w:val="auto"/>
                <w:sz w:val="21"/>
                <w:szCs w:val="21"/>
              </w:rPr>
            </w:pPr>
            <w:r>
              <w:rPr>
                <w:rFonts w:hint="eastAsia" w:ascii="宋体" w:hAnsi="宋体" w:eastAsia="宋体" w:cs="宋体"/>
                <w:color w:val="auto"/>
                <w:position w:val="-104"/>
                <w:sz w:val="21"/>
                <w:szCs w:val="21"/>
              </w:rPr>
              <w:drawing>
                <wp:inline distT="0" distB="0" distL="0" distR="0">
                  <wp:extent cx="5759450" cy="3342005"/>
                  <wp:effectExtent l="0" t="0" r="1270" b="10795"/>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5" cstate="print"/>
                          <a:stretch>
                            <a:fillRect/>
                          </a:stretch>
                        </pic:blipFill>
                        <pic:spPr>
                          <a:xfrm>
                            <a:off x="0" y="0"/>
                            <a:ext cx="5759450" cy="3342132"/>
                          </a:xfrm>
                          <a:prstGeom prst="rect">
                            <a:avLst/>
                          </a:prstGeom>
                        </pic:spPr>
                      </pic:pic>
                    </a:graphicData>
                  </a:graphic>
                </wp:inline>
              </w:drawing>
            </w:r>
          </w:p>
          <w:p w14:paraId="2722BC75">
            <w:pPr>
              <w:pStyle w:val="4"/>
              <w:spacing w:before="9" w:line="328" w:lineRule="auto"/>
              <w:ind w:right="169"/>
              <w:jc w:val="left"/>
              <w:rPr>
                <w:rFonts w:hint="eastAsia" w:ascii="宋体" w:hAnsi="宋体" w:eastAsia="宋体" w:cs="宋体"/>
                <w:color w:val="auto"/>
                <w:sz w:val="21"/>
                <w:szCs w:val="21"/>
              </w:rPr>
            </w:pPr>
            <w:r>
              <w:rPr>
                <w:rFonts w:hint="eastAsia" w:ascii="宋体" w:hAnsi="宋体" w:eastAsia="宋体" w:cs="宋体"/>
                <w:color w:val="auto"/>
                <w:spacing w:val="-8"/>
                <w:sz w:val="21"/>
                <w:szCs w:val="21"/>
              </w:rPr>
              <w:t>对于海关管辖场所外的机检系统，需通过对外接入局域网接入</w:t>
            </w:r>
            <w:r>
              <w:rPr>
                <w:rFonts w:hint="eastAsia" w:ascii="宋体" w:hAnsi="宋体" w:eastAsia="宋体" w:cs="宋体"/>
                <w:color w:val="auto"/>
                <w:sz w:val="21"/>
                <w:szCs w:val="21"/>
              </w:rPr>
              <w:t>管理网，部署要求如下：</w:t>
            </w:r>
          </w:p>
          <w:p w14:paraId="74DE1CCD">
            <w:pPr>
              <w:pStyle w:val="4"/>
              <w:spacing w:before="35" w:line="333" w:lineRule="auto"/>
              <w:ind w:right="169"/>
              <w:jc w:val="left"/>
              <w:rPr>
                <w:rFonts w:hint="eastAsia" w:ascii="宋体" w:hAnsi="宋体" w:eastAsia="宋体" w:cs="宋体"/>
                <w:color w:val="auto"/>
                <w:sz w:val="21"/>
                <w:szCs w:val="21"/>
              </w:rPr>
            </w:pPr>
            <w:r>
              <w:rPr>
                <w:rFonts w:hint="eastAsia" w:ascii="宋体" w:hAnsi="宋体" w:eastAsia="宋体" w:cs="宋体"/>
                <w:color w:val="auto"/>
                <w:spacing w:val="-14"/>
                <w:sz w:val="21"/>
                <w:szCs w:val="21"/>
              </w:rPr>
              <w:t>（一）安全管理要求。按照《海关信息系统跨网传输指导方案》</w:t>
            </w:r>
            <w:r>
              <w:rPr>
                <w:rFonts w:hint="eastAsia" w:ascii="宋体" w:hAnsi="宋体" w:eastAsia="宋体" w:cs="宋体"/>
                <w:color w:val="auto"/>
                <w:spacing w:val="2"/>
                <w:sz w:val="21"/>
                <w:szCs w:val="21"/>
              </w:rPr>
              <w:t>中外部网络与对外接入局域网边界以及管理网与对外接入局域网</w:t>
            </w:r>
            <w:r>
              <w:rPr>
                <w:rFonts w:hint="eastAsia" w:ascii="宋体" w:hAnsi="宋体" w:eastAsia="宋体" w:cs="宋体"/>
                <w:color w:val="auto"/>
                <w:sz w:val="21"/>
                <w:szCs w:val="21"/>
              </w:rPr>
              <w:t>边界跨网要求进行安全接入。</w:t>
            </w:r>
          </w:p>
          <w:p w14:paraId="7833C672">
            <w:pPr>
              <w:pStyle w:val="4"/>
              <w:spacing w:before="29" w:line="333" w:lineRule="auto"/>
              <w:ind w:right="169"/>
              <w:jc w:val="left"/>
              <w:rPr>
                <w:rFonts w:hint="eastAsia" w:ascii="宋体" w:hAnsi="宋体" w:eastAsia="宋体" w:cs="宋体"/>
                <w:color w:val="auto"/>
                <w:sz w:val="21"/>
                <w:szCs w:val="21"/>
              </w:rPr>
            </w:pPr>
            <w:r>
              <w:rPr>
                <w:rFonts w:hint="eastAsia" w:ascii="宋体" w:hAnsi="宋体" w:eastAsia="宋体" w:cs="宋体"/>
                <w:color w:val="auto"/>
                <w:spacing w:val="-8"/>
                <w:sz w:val="21"/>
                <w:szCs w:val="21"/>
              </w:rPr>
              <w:t>（二）系统部署要求。系统通过跨网方式接入管理网后应与海</w:t>
            </w:r>
            <w:r>
              <w:rPr>
                <w:rFonts w:hint="eastAsia" w:ascii="宋体" w:hAnsi="宋体" w:eastAsia="宋体" w:cs="宋体"/>
                <w:color w:val="auto"/>
                <w:spacing w:val="-13"/>
                <w:sz w:val="21"/>
                <w:szCs w:val="21"/>
              </w:rPr>
              <w:t>关相关系统做好对接，部署过程中应充分考虑服务器、网络等状况，</w:t>
            </w:r>
            <w:r>
              <w:rPr>
                <w:rFonts w:hint="eastAsia" w:ascii="宋体" w:hAnsi="宋体" w:eastAsia="宋体" w:cs="宋体"/>
                <w:color w:val="auto"/>
                <w:sz w:val="21"/>
                <w:szCs w:val="21"/>
              </w:rPr>
              <w:t>确保系统整体部署和连接的稳定性。</w:t>
            </w:r>
          </w:p>
          <w:p w14:paraId="4CC961D2">
            <w:pPr>
              <w:pStyle w:val="4"/>
              <w:spacing w:before="29" w:line="338" w:lineRule="auto"/>
              <w:ind w:right="169"/>
              <w:jc w:val="left"/>
              <w:rPr>
                <w:rFonts w:hint="eastAsia" w:ascii="宋体" w:hAnsi="宋体" w:eastAsia="宋体" w:cs="宋体"/>
                <w:color w:val="auto"/>
                <w:sz w:val="21"/>
                <w:szCs w:val="21"/>
              </w:rPr>
            </w:pPr>
            <w:r>
              <w:rPr>
                <w:rFonts w:hint="eastAsia" w:ascii="宋体" w:hAnsi="宋体" w:eastAsia="宋体" w:cs="宋体"/>
                <w:color w:val="auto"/>
                <w:spacing w:val="-8"/>
                <w:sz w:val="21"/>
                <w:szCs w:val="21"/>
              </w:rPr>
              <w:t>（三）应用的网闸系统需要支持协议落地的数据交换方式，只</w:t>
            </w:r>
            <w:r>
              <w:rPr>
                <w:rFonts w:hint="eastAsia" w:ascii="宋体" w:hAnsi="宋体" w:eastAsia="宋体" w:cs="宋体"/>
                <w:color w:val="auto"/>
                <w:sz w:val="21"/>
                <w:szCs w:val="21"/>
              </w:rPr>
              <w:t>支持文件落地的老式网闸系统无法满足应用要求。</w:t>
            </w:r>
          </w:p>
          <w:p w14:paraId="57AD0AE7">
            <w:pPr>
              <w:numPr>
                <w:ilvl w:val="0"/>
                <w:numId w:val="0"/>
              </w:numPr>
              <w:rPr>
                <w:rFonts w:hint="default" w:ascii="Times New Roman" w:hAnsi="Times New Roman"/>
                <w:b/>
                <w:sz w:val="21"/>
                <w:szCs w:val="21"/>
                <w:lang w:val="en-US" w:eastAsia="zh-CN"/>
              </w:rPr>
            </w:pPr>
          </w:p>
          <w:p w14:paraId="44C38486">
            <w:pPr>
              <w:pStyle w:val="50"/>
              <w:spacing w:line="322" w:lineRule="auto"/>
              <w:ind w:right="2960"/>
              <w:jc w:val="left"/>
              <w:rPr>
                <w:rFonts w:hint="eastAsia"/>
                <w:spacing w:val="-12"/>
                <w:sz w:val="20"/>
                <w:szCs w:val="20"/>
                <w:lang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8E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sz w:val="24"/>
                <w:szCs w:val="24"/>
                <w:u w:val="none"/>
                <w:lang w:val="en-US" w:eastAsia="zh-CN"/>
              </w:rPr>
            </w:pPr>
            <w:r>
              <w:rPr>
                <w:rFonts w:hint="eastAsia" w:asciiTheme="minorEastAsia" w:hAnsiTheme="minorEastAsia" w:eastAsiaTheme="minorEastAsia" w:cstheme="minorEastAsia"/>
                <w:b w:val="0"/>
                <w:bCs w:val="0"/>
                <w:i w:val="0"/>
                <w:iCs w:val="0"/>
                <w:color w:val="auto"/>
                <w:sz w:val="24"/>
                <w:szCs w:val="24"/>
                <w:u w:val="none"/>
                <w:lang w:val="en-US" w:eastAsia="zh-CN"/>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79A1">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sz w:val="24"/>
                <w:szCs w:val="24"/>
                <w:u w:val="none"/>
                <w:lang w:val="en-US" w:eastAsia="zh-CN"/>
              </w:rPr>
            </w:pPr>
            <w:r>
              <w:rPr>
                <w:rFonts w:hint="eastAsia" w:asciiTheme="minorEastAsia" w:hAnsiTheme="minorEastAsia" w:eastAsiaTheme="minorEastAsia" w:cstheme="minorEastAsia"/>
                <w:b w:val="0"/>
                <w:bCs w:val="0"/>
                <w:i w:val="0"/>
                <w:iCs w:val="0"/>
                <w:color w:val="auto"/>
                <w:sz w:val="24"/>
                <w:szCs w:val="24"/>
                <w:u w:val="none"/>
                <w:lang w:val="en-US" w:eastAsia="zh-CN"/>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117">
            <w:pPr>
              <w:rPr>
                <w:rFonts w:hint="eastAsia" w:asciiTheme="minorEastAsia" w:hAnsiTheme="minorEastAsia" w:eastAsiaTheme="minorEastAsia" w:cstheme="minorEastAsia"/>
                <w:b w:val="0"/>
                <w:bCs w:val="0"/>
                <w:i w:val="0"/>
                <w:iCs w:val="0"/>
                <w:color w:val="auto"/>
                <w:sz w:val="24"/>
                <w:szCs w:val="24"/>
                <w:u w:val="none"/>
              </w:rPr>
            </w:pPr>
          </w:p>
        </w:tc>
      </w:tr>
    </w:tbl>
    <w:p w14:paraId="4BE70340">
      <w:pPr>
        <w:pStyle w:val="16"/>
        <w:rPr>
          <w:rFonts w:hint="eastAsia"/>
          <w:lang w:val="en-US" w:eastAsia="zh-CN"/>
        </w:rPr>
      </w:pPr>
    </w:p>
    <w:p w14:paraId="7B14251F">
      <w:pPr>
        <w:keepNext w:val="0"/>
        <w:keepLines w:val="0"/>
        <w:pageBreakBefore w:val="0"/>
        <w:widowControl w:val="0"/>
        <w:kinsoku/>
        <w:wordWrap/>
        <w:overflowPunct/>
        <w:topLinePunct w:val="0"/>
        <w:autoSpaceDE/>
        <w:autoSpaceDN/>
        <w:bidi w:val="0"/>
        <w:adjustRightInd/>
        <w:snapToGrid/>
        <w:spacing w:line="400" w:lineRule="exact"/>
        <w:ind w:firstLine="402" w:firstLineChars="200"/>
        <w:textAlignment w:val="auto"/>
        <w:rPr>
          <w:rFonts w:hint="eastAsia" w:ascii="宋体" w:hAnsi="宋体"/>
          <w:b/>
          <w:color w:val="FF0000"/>
          <w:sz w:val="20"/>
          <w:szCs w:val="20"/>
        </w:rPr>
      </w:pPr>
      <w:r>
        <w:rPr>
          <w:rFonts w:hint="eastAsia" w:ascii="宋体" w:hAnsi="宋体"/>
          <w:b/>
          <w:color w:val="FF0000"/>
          <w:sz w:val="20"/>
          <w:szCs w:val="20"/>
        </w:rPr>
        <w:t>说明：</w:t>
      </w:r>
    </w:p>
    <w:p w14:paraId="4480812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b/>
          <w:bCs/>
          <w:sz w:val="22"/>
          <w:szCs w:val="22"/>
          <w:highlight w:val="yellow"/>
        </w:rPr>
      </w:pPr>
      <w:r>
        <w:rPr>
          <w:rFonts w:hint="eastAsia" w:ascii="宋体" w:hAnsi="宋体"/>
          <w:b w:val="0"/>
          <w:bCs/>
          <w:sz w:val="22"/>
          <w:szCs w:val="22"/>
        </w:rPr>
        <w:t>（1）加注“★”号为实质条款，</w:t>
      </w:r>
      <w:r>
        <w:rPr>
          <w:rFonts w:hint="eastAsia" w:ascii="宋体" w:hAnsi="宋体"/>
          <w:b w:val="0"/>
          <w:bCs/>
          <w:sz w:val="22"/>
          <w:szCs w:val="22"/>
          <w:lang w:eastAsia="zh-CN"/>
        </w:rPr>
        <w:t>投标参数不符合招标文件要求</w:t>
      </w:r>
      <w:r>
        <w:rPr>
          <w:rFonts w:hint="eastAsia" w:ascii="宋体" w:hAnsi="宋体"/>
          <w:b w:val="0"/>
          <w:bCs/>
          <w:sz w:val="22"/>
          <w:szCs w:val="22"/>
        </w:rPr>
        <w:t>视同为无效投标；</w:t>
      </w:r>
    </w:p>
    <w:p w14:paraId="4FA405A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0"/>
        <w:rPr>
          <w:rFonts w:ascii="宋体" w:hAnsi="宋体"/>
          <w:sz w:val="22"/>
          <w:szCs w:val="22"/>
        </w:rPr>
      </w:pPr>
      <w:r>
        <w:rPr>
          <w:rFonts w:hint="eastAsia" w:ascii="宋体" w:hAnsi="宋体"/>
          <w:sz w:val="22"/>
          <w:szCs w:val="22"/>
        </w:rPr>
        <w:t>（2）加注“</w:t>
      </w:r>
      <w:r>
        <w:rPr>
          <w:rFonts w:hint="eastAsia" w:ascii="微软雅黑" w:hAnsi="微软雅黑" w:eastAsia="微软雅黑" w:cs="微软雅黑"/>
          <w:sz w:val="28"/>
          <w:szCs w:val="28"/>
          <w:lang w:eastAsia="zh-CN"/>
        </w:rPr>
        <w:t>⊙</w:t>
      </w:r>
      <w:r>
        <w:rPr>
          <w:rFonts w:hint="eastAsia" w:ascii="宋体" w:hAnsi="宋体"/>
          <w:sz w:val="22"/>
          <w:szCs w:val="22"/>
        </w:rPr>
        <w:t>”号的产品为核心产品，任意一种核心产品为同一品牌时，按照87号令第三十一条执行。</w:t>
      </w:r>
    </w:p>
    <w:p w14:paraId="34DFA4B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0"/>
        <w:rPr>
          <w:rFonts w:ascii="宋体" w:hAnsi="宋体"/>
          <w:sz w:val="22"/>
          <w:szCs w:val="22"/>
        </w:rPr>
      </w:pPr>
      <w:r>
        <w:rPr>
          <w:rFonts w:hint="eastAsia" w:hAnsi="宋体"/>
          <w:sz w:val="22"/>
          <w:szCs w:val="22"/>
        </w:rPr>
        <w:t>（3）加注“</w:t>
      </w:r>
      <w:r>
        <w:rPr>
          <w:rFonts w:hint="eastAsia" w:hAnsi="宋体"/>
          <w:sz w:val="22"/>
          <w:szCs w:val="22"/>
          <w:highlight w:val="red"/>
          <w:lang w:eastAsia="zh-CN"/>
        </w:rPr>
        <w:t>▲</w:t>
      </w:r>
      <w:r>
        <w:rPr>
          <w:rFonts w:hint="eastAsia" w:hAnsi="宋体"/>
          <w:sz w:val="22"/>
          <w:szCs w:val="22"/>
        </w:rPr>
        <w:t>”产品依照《关于印发节能产品政府采购品目清单的通知》（财库〔</w:t>
      </w:r>
      <w:r>
        <w:rPr>
          <w:rFonts w:hint="eastAsia"/>
          <w:sz w:val="22"/>
          <w:szCs w:val="22"/>
        </w:rPr>
        <w:t>2019</w:t>
      </w:r>
      <w:r>
        <w:rPr>
          <w:rFonts w:hint="eastAsia" w:hAnsi="宋体"/>
          <w:sz w:val="22"/>
          <w:szCs w:val="22"/>
        </w:rPr>
        <w:t>〕</w:t>
      </w:r>
      <w:r>
        <w:rPr>
          <w:rFonts w:hint="eastAsia"/>
          <w:sz w:val="22"/>
          <w:szCs w:val="22"/>
        </w:rPr>
        <w:t>19</w:t>
      </w:r>
      <w:r>
        <w:rPr>
          <w:rFonts w:hint="eastAsia" w:hAnsi="宋体"/>
          <w:sz w:val="22"/>
          <w:szCs w:val="22"/>
        </w:rPr>
        <w:t>号）文件要求属于现行节能产品政府采购强制采购的产品，投标人只能选择符合按照《关于调整优化节能产品、环境标志产品政府采购执行机制的通知》（财库〔</w:t>
      </w:r>
      <w:r>
        <w:rPr>
          <w:rFonts w:hint="eastAsia"/>
          <w:sz w:val="22"/>
          <w:szCs w:val="22"/>
        </w:rPr>
        <w:t>2019</w:t>
      </w:r>
      <w:r>
        <w:rPr>
          <w:rFonts w:hint="eastAsia" w:hAnsi="宋体"/>
          <w:sz w:val="22"/>
          <w:szCs w:val="22"/>
        </w:rPr>
        <w:t>〕</w:t>
      </w:r>
      <w:r>
        <w:rPr>
          <w:rFonts w:hint="eastAsia"/>
          <w:sz w:val="22"/>
          <w:szCs w:val="22"/>
        </w:rPr>
        <w:t>9</w:t>
      </w:r>
      <w:r>
        <w:rPr>
          <w:rFonts w:hint="eastAsia" w:hAnsi="宋体"/>
          <w:sz w:val="22"/>
          <w:szCs w:val="22"/>
        </w:rPr>
        <w:t>号）、《关于印发节能产品政府采购品目清单的通知》（财库〔</w:t>
      </w:r>
      <w:r>
        <w:rPr>
          <w:rFonts w:hint="eastAsia"/>
          <w:sz w:val="22"/>
          <w:szCs w:val="22"/>
        </w:rPr>
        <w:t>2019</w:t>
      </w:r>
      <w:r>
        <w:rPr>
          <w:rFonts w:hint="eastAsia" w:hAnsi="宋体"/>
          <w:sz w:val="22"/>
          <w:szCs w:val="22"/>
        </w:rPr>
        <w:t>〕</w:t>
      </w:r>
      <w:r>
        <w:rPr>
          <w:rFonts w:hint="eastAsia"/>
          <w:sz w:val="22"/>
          <w:szCs w:val="22"/>
        </w:rPr>
        <w:t>19</w:t>
      </w:r>
      <w:r>
        <w:rPr>
          <w:rFonts w:hint="eastAsia" w:hAnsi="宋体"/>
          <w:sz w:val="22"/>
          <w:szCs w:val="22"/>
        </w:rPr>
        <w:t>号）、《市场监管总局关于发布参与实施政府采购节能产品、环境标志产品认证机构名录的公告》（</w:t>
      </w:r>
      <w:r>
        <w:rPr>
          <w:rFonts w:hint="eastAsia"/>
          <w:sz w:val="22"/>
          <w:szCs w:val="22"/>
        </w:rPr>
        <w:t>2019</w:t>
      </w:r>
      <w:r>
        <w:rPr>
          <w:rFonts w:hint="eastAsia" w:hAnsi="宋体"/>
          <w:sz w:val="22"/>
          <w:szCs w:val="22"/>
        </w:rPr>
        <w:t>年第</w:t>
      </w:r>
      <w:r>
        <w:rPr>
          <w:rFonts w:hint="eastAsia"/>
          <w:sz w:val="22"/>
          <w:szCs w:val="22"/>
        </w:rPr>
        <w:t>16</w:t>
      </w:r>
      <w:r>
        <w:rPr>
          <w:rFonts w:hint="eastAsia" w:hAnsi="宋体"/>
          <w:sz w:val="22"/>
          <w:szCs w:val="22"/>
        </w:rPr>
        <w:t>号）等文件要求的强制采购的节能产品进行投标，并提供相关认证证书扫描件，否则不予认定，将视同为无效投标。</w:t>
      </w:r>
    </w:p>
    <w:p w14:paraId="3DD27E3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0"/>
        <w:rPr>
          <w:rFonts w:hint="eastAsia" w:ascii="宋体" w:hAnsi="宋体"/>
          <w:sz w:val="22"/>
          <w:szCs w:val="22"/>
        </w:rPr>
      </w:pPr>
      <w:r>
        <w:rPr>
          <w:rFonts w:hint="eastAsia" w:ascii="宋体" w:hAnsi="宋体"/>
          <w:sz w:val="22"/>
          <w:szCs w:val="22"/>
        </w:rPr>
        <w:t>（4）标注“</w:t>
      </w:r>
      <w:r>
        <w:rPr>
          <w:rFonts w:hint="eastAsia" w:ascii="宋体" w:hAnsi="宋体"/>
          <w:sz w:val="22"/>
          <w:szCs w:val="22"/>
          <w:lang w:eastAsia="zh-CN"/>
        </w:rPr>
        <w:t>■</w:t>
      </w:r>
      <w:r>
        <w:rPr>
          <w:rFonts w:hint="eastAsia" w:ascii="宋体" w:hAnsi="宋体"/>
          <w:sz w:val="22"/>
          <w:szCs w:val="22"/>
        </w:rPr>
        <w:t>”为强制性产品，依照《强制性产品认证管理规定》（2009年7月3日国家质量监督检验检疫总局令第117号公布 根据2022年9月29日国家市场监督管理总局令第61号修订）、《市场监管总局关于发布强制性产品认证目录描述与界定表的公告》（2023年第36号)文件要求属于现行强制CCC认证的产品，投标人只能选择有</w:t>
      </w:r>
      <w:r>
        <w:rPr>
          <w:rFonts w:hint="eastAsia" w:ascii="宋体" w:hAnsi="宋体"/>
          <w:sz w:val="22"/>
          <w:szCs w:val="22"/>
          <w:lang w:eastAsia="zh-CN"/>
        </w:rPr>
        <w:t>符合强制</w:t>
      </w:r>
      <w:r>
        <w:rPr>
          <w:rFonts w:hint="eastAsia" w:ascii="宋体" w:hAnsi="宋体"/>
          <w:sz w:val="22"/>
          <w:szCs w:val="22"/>
        </w:rPr>
        <w:t>认证</w:t>
      </w:r>
      <w:r>
        <w:rPr>
          <w:rFonts w:hint="eastAsia" w:ascii="宋体" w:hAnsi="宋体"/>
          <w:sz w:val="22"/>
          <w:szCs w:val="22"/>
          <w:lang w:eastAsia="zh-CN"/>
        </w:rPr>
        <w:t>要求</w:t>
      </w:r>
      <w:r>
        <w:rPr>
          <w:rFonts w:hint="eastAsia" w:ascii="宋体" w:hAnsi="宋体"/>
          <w:sz w:val="22"/>
          <w:szCs w:val="22"/>
        </w:rPr>
        <w:t>的产品进行投标，并提供相关认证</w:t>
      </w:r>
      <w:r>
        <w:rPr>
          <w:rFonts w:hint="eastAsia" w:ascii="宋体" w:hAnsi="宋体"/>
          <w:sz w:val="22"/>
          <w:szCs w:val="22"/>
          <w:lang w:eastAsia="zh-CN"/>
        </w:rPr>
        <w:t>证书或证明材料</w:t>
      </w:r>
      <w:r>
        <w:rPr>
          <w:rFonts w:hint="eastAsia" w:ascii="宋体" w:hAnsi="宋体"/>
          <w:sz w:val="22"/>
          <w:szCs w:val="22"/>
        </w:rPr>
        <w:t>扫描件，否则不予认定，并视同为无效投标。</w:t>
      </w:r>
    </w:p>
    <w:p w14:paraId="7C16D61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lang w:eastAsia="zh-CN"/>
        </w:rPr>
      </w:pPr>
      <w:r>
        <w:rPr>
          <w:rFonts w:hint="eastAsia" w:ascii="宋体" w:hAnsi="宋体"/>
          <w:sz w:val="22"/>
          <w:szCs w:val="22"/>
          <w:lang w:eastAsia="zh-CN"/>
        </w:rPr>
        <w:t>（</w:t>
      </w:r>
      <w:r>
        <w:rPr>
          <w:rFonts w:hint="eastAsia" w:ascii="宋体" w:hAnsi="宋体"/>
          <w:sz w:val="22"/>
          <w:szCs w:val="22"/>
          <w:lang w:val="en-US" w:eastAsia="zh-CN"/>
        </w:rPr>
        <w:t>5）</w:t>
      </w:r>
      <w:r>
        <w:rPr>
          <w:rFonts w:hint="eastAsia" w:ascii="宋体" w:hAnsi="宋体"/>
          <w:sz w:val="22"/>
          <w:szCs w:val="22"/>
        </w:rPr>
        <w:t>标书中需附所投产品的品牌、规格、参数和</w:t>
      </w:r>
      <w:r>
        <w:rPr>
          <w:rFonts w:hint="eastAsia" w:ascii="宋体" w:hAnsi="宋体"/>
          <w:sz w:val="22"/>
          <w:szCs w:val="22"/>
          <w:lang w:eastAsia="zh-CN"/>
        </w:rPr>
        <w:t>图片、货物说明；</w:t>
      </w:r>
    </w:p>
    <w:p w14:paraId="1A9569EC">
      <w:pPr>
        <w:pStyle w:val="16"/>
        <w:rPr>
          <w:rFonts w:hint="eastAsia" w:ascii="宋体" w:hAnsi="宋体"/>
          <w:sz w:val="22"/>
          <w:szCs w:val="22"/>
          <w:lang w:eastAsia="zh-CN"/>
        </w:rPr>
      </w:pPr>
    </w:p>
    <w:p w14:paraId="763DDF4C">
      <w:pPr>
        <w:pStyle w:val="16"/>
        <w:rPr>
          <w:rFonts w:hint="eastAsia" w:ascii="宋体" w:hAnsi="宋体"/>
          <w:sz w:val="22"/>
          <w:szCs w:val="22"/>
          <w:lang w:eastAsia="zh-CN"/>
        </w:rPr>
      </w:pPr>
    </w:p>
    <w:p w14:paraId="74908EBA">
      <w:pPr>
        <w:pStyle w:val="16"/>
        <w:rPr>
          <w:rFonts w:hint="eastAsia" w:ascii="宋体" w:hAnsi="宋体"/>
          <w:sz w:val="22"/>
          <w:szCs w:val="22"/>
          <w:lang w:eastAsia="zh-CN"/>
        </w:rPr>
      </w:pPr>
    </w:p>
    <w:p w14:paraId="7E5C9061">
      <w:pPr>
        <w:pStyle w:val="16"/>
        <w:rPr>
          <w:rFonts w:hint="eastAsia" w:ascii="宋体" w:hAnsi="宋体"/>
          <w:sz w:val="22"/>
          <w:szCs w:val="22"/>
          <w:lang w:eastAsia="zh-CN"/>
        </w:rPr>
      </w:pPr>
    </w:p>
    <w:p w14:paraId="329B5FCB">
      <w:pPr>
        <w:pStyle w:val="16"/>
        <w:rPr>
          <w:rFonts w:hint="eastAsia" w:ascii="宋体" w:hAnsi="宋体"/>
          <w:sz w:val="22"/>
          <w:szCs w:val="22"/>
          <w:lang w:eastAsia="zh-CN"/>
        </w:rPr>
      </w:pPr>
    </w:p>
    <w:p w14:paraId="0736B507">
      <w:pPr>
        <w:pStyle w:val="16"/>
        <w:rPr>
          <w:rFonts w:hint="eastAsia" w:ascii="宋体" w:hAnsi="宋体"/>
          <w:sz w:val="22"/>
          <w:szCs w:val="22"/>
          <w:lang w:eastAsia="zh-CN"/>
        </w:rPr>
      </w:pPr>
    </w:p>
    <w:p w14:paraId="4908A556">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仿宋_GB2312" w:hAnsi="仿宋_GB2312" w:eastAsia="仿宋_GB2312" w:cs="仿宋_GB2312"/>
          <w:b/>
          <w:bCs/>
          <w:color w:val="000000"/>
          <w:sz w:val="25"/>
          <w:szCs w:val="25"/>
          <w:highlight w:val="red"/>
        </w:rPr>
      </w:pPr>
      <w:r>
        <w:rPr>
          <w:rFonts w:hint="eastAsia" w:ascii="宋体" w:hAnsi="宋体"/>
          <w:b/>
          <w:bCs/>
          <w:color w:val="auto"/>
          <w:sz w:val="28"/>
          <w:szCs w:val="28"/>
          <w:highlight w:val="red"/>
          <w:lang w:eastAsia="zh-CN"/>
        </w:rPr>
        <w:t>（</w:t>
      </w:r>
      <w:r>
        <w:rPr>
          <w:rFonts w:hint="eastAsia" w:ascii="宋体" w:hAnsi="宋体"/>
          <w:b/>
          <w:bCs/>
          <w:color w:val="auto"/>
          <w:sz w:val="28"/>
          <w:szCs w:val="28"/>
          <w:highlight w:val="red"/>
          <w:lang w:val="en-US" w:eastAsia="zh-CN"/>
        </w:rPr>
        <w:t>4</w:t>
      </w:r>
      <w:r>
        <w:rPr>
          <w:rFonts w:hint="eastAsia" w:ascii="宋体" w:hAnsi="宋体"/>
          <w:b/>
          <w:bCs/>
          <w:color w:val="auto"/>
          <w:sz w:val="28"/>
          <w:szCs w:val="28"/>
          <w:highlight w:val="red"/>
          <w:lang w:eastAsia="zh-CN"/>
        </w:rPr>
        <w:t>）</w:t>
      </w:r>
      <w:r>
        <w:rPr>
          <w:rFonts w:hint="eastAsia" w:ascii="宋体" w:hAnsi="宋体"/>
          <w:b/>
          <w:bCs/>
          <w:color w:val="auto"/>
          <w:sz w:val="28"/>
          <w:szCs w:val="28"/>
          <w:highlight w:val="red"/>
          <w:lang w:val="en-US" w:eastAsia="zh-CN"/>
        </w:rPr>
        <w:t>涉及本项目的行业标准：（工业）</w:t>
      </w:r>
    </w:p>
    <w:p w14:paraId="6D65203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4"/>
        <w:rPr>
          <w:b/>
          <w:bCs/>
          <w:highlight w:val="red"/>
        </w:rPr>
      </w:pPr>
      <w:r>
        <w:rPr>
          <w:rFonts w:hint="eastAsia" w:ascii="仿宋_GB2312" w:hAnsi="仿宋_GB2312" w:eastAsia="仿宋_GB2312" w:cs="仿宋_GB2312"/>
          <w:b/>
          <w:bCs/>
          <w:color w:val="000000"/>
          <w:sz w:val="25"/>
          <w:szCs w:val="25"/>
          <w:highlight w:val="red"/>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56EC28">
      <w:pPr>
        <w:pStyle w:val="16"/>
        <w:rPr>
          <w:rFonts w:hint="eastAsia" w:ascii="宋体" w:hAnsi="宋体"/>
          <w:sz w:val="22"/>
          <w:szCs w:val="22"/>
          <w:lang w:eastAsia="zh-CN"/>
        </w:rPr>
        <w:sectPr>
          <w:pgSz w:w="16838" w:h="11906" w:orient="landscape"/>
          <w:pgMar w:top="1800" w:right="1440" w:bottom="1800" w:left="1440" w:header="851" w:footer="992" w:gutter="0"/>
          <w:cols w:space="425" w:num="1"/>
          <w:docGrid w:type="lines" w:linePitch="312" w:charSpace="0"/>
        </w:sectPr>
      </w:pPr>
    </w:p>
    <w:p w14:paraId="7D979821">
      <w:pPr>
        <w:jc w:val="both"/>
        <w:rPr>
          <w:rFonts w:hint="eastAsia" w:ascii="宋体" w:hAnsi="宋体"/>
          <w:b/>
          <w:color w:val="000000" w:themeColor="text1"/>
          <w:sz w:val="32"/>
          <w:szCs w:val="32"/>
          <w14:textFill>
            <w14:solidFill>
              <w14:schemeClr w14:val="tx1"/>
            </w14:solidFill>
          </w14:textFill>
        </w:rPr>
      </w:pPr>
    </w:p>
    <w:p w14:paraId="16F585A1">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第六章 投标文件格式</w:t>
      </w:r>
    </w:p>
    <w:p w14:paraId="40E284A2">
      <w:pPr>
        <w:adjustRightInd w:val="0"/>
        <w:snapToGrid w:val="0"/>
        <w:spacing w:line="400" w:lineRule="atLeast"/>
        <w:jc w:val="center"/>
        <w:rPr>
          <w:rFonts w:ascii="宋体" w:hAnsi="宋体"/>
          <w:b/>
          <w:color w:val="000000" w:themeColor="text1"/>
          <w:szCs w:val="21"/>
          <w14:textFill>
            <w14:solidFill>
              <w14:schemeClr w14:val="tx1"/>
            </w14:solidFill>
          </w14:textFill>
        </w:rPr>
      </w:pPr>
    </w:p>
    <w:p w14:paraId="0269C716">
      <w:pPr>
        <w:adjustRightInd w:val="0"/>
        <w:snapToGrid w:val="0"/>
        <w:spacing w:line="400" w:lineRule="atLeast"/>
        <w:jc w:val="center"/>
        <w:rPr>
          <w:rFonts w:ascii="宋体" w:hAnsi="宋体"/>
          <w:b/>
          <w:color w:val="000000" w:themeColor="text1"/>
          <w:szCs w:val="21"/>
          <w14:textFill>
            <w14:solidFill>
              <w14:schemeClr w14:val="tx1"/>
            </w14:solidFill>
          </w14:textFill>
        </w:rPr>
      </w:pPr>
    </w:p>
    <w:p w14:paraId="2F781DF2">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p>
    <w:p w14:paraId="131EABF5">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r>
        <w:rPr>
          <w:rFonts w:hint="eastAsia" w:ascii="宋体" w:hAnsi="宋体"/>
          <w:bCs/>
          <w:color w:val="000000" w:themeColor="text1"/>
          <w:sz w:val="52"/>
          <w:szCs w:val="52"/>
          <w14:textFill>
            <w14:solidFill>
              <w14:schemeClr w14:val="tx1"/>
            </w14:solidFill>
          </w14:textFill>
        </w:rPr>
        <w:t>投 标 文 件</w:t>
      </w:r>
    </w:p>
    <w:p w14:paraId="0084536E">
      <w:pPr>
        <w:spacing w:before="312" w:beforeLines="100"/>
        <w:jc w:val="center"/>
        <w:rPr>
          <w:rFonts w:ascii="宋体" w:hAnsi="宋体"/>
          <w:b/>
          <w:bCs/>
          <w:color w:val="000000" w:themeColor="text1"/>
          <w:sz w:val="28"/>
          <w:szCs w:val="28"/>
          <w14:textFill>
            <w14:solidFill>
              <w14:schemeClr w14:val="tx1"/>
            </w14:solidFill>
          </w14:textFill>
        </w:rPr>
      </w:pPr>
    </w:p>
    <w:p w14:paraId="7050AEB9">
      <w:pPr>
        <w:spacing w:before="312" w:beforeLines="100"/>
        <w:jc w:val="center"/>
        <w:rPr>
          <w:rFonts w:ascii="宋体" w:hAnsi="宋体"/>
          <w:b/>
          <w:color w:val="000000" w:themeColor="text1"/>
          <w:sz w:val="44"/>
          <w:szCs w:val="44"/>
          <w14:textFill>
            <w14:solidFill>
              <w14:schemeClr w14:val="tx1"/>
            </w14:solidFill>
          </w14:textFill>
        </w:rPr>
      </w:pPr>
    </w:p>
    <w:p w14:paraId="42790A60">
      <w:pPr>
        <w:snapToGrid w:val="0"/>
        <w:spacing w:before="312" w:beforeLines="100" w:after="312" w:afterLines="100" w:line="360" w:lineRule="auto"/>
        <w:ind w:firstLine="993" w:firstLineChars="41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p>
    <w:p w14:paraId="045E8CC2">
      <w:pPr>
        <w:snapToGrid w:val="0"/>
        <w:spacing w:before="312" w:beforeLines="100" w:after="312" w:afterLines="100" w:line="360" w:lineRule="auto"/>
        <w:ind w:firstLine="985" w:firstLineChars="40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项目编号（标项号）：</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p>
    <w:p w14:paraId="41C38413">
      <w:pPr>
        <w:pStyle w:val="7"/>
        <w:snapToGrid w:val="0"/>
        <w:spacing w:before="312" w:beforeLines="100" w:after="312" w:afterLines="100" w:line="360" w:lineRule="auto"/>
        <w:ind w:firstLine="981" w:firstLineChars="407"/>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投标人名称：</w:t>
      </w:r>
      <w:r>
        <w:rPr>
          <w:rFonts w:hint="eastAsia" w:ascii="宋体" w:hAnsi="宋体"/>
          <w:b/>
          <w:bCs/>
          <w:color w:val="000000" w:themeColor="text1"/>
          <w:sz w:val="24"/>
          <w:szCs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加盖签章）</w:t>
      </w:r>
    </w:p>
    <w:p w14:paraId="257E13A9">
      <w:pPr>
        <w:pStyle w:val="7"/>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投标人地址：</w:t>
      </w:r>
      <w:r>
        <w:rPr>
          <w:rFonts w:hint="eastAsia" w:ascii="宋体" w:hAnsi="宋体"/>
          <w:b/>
          <w:bCs/>
          <w:color w:val="000000" w:themeColor="text1"/>
          <w:sz w:val="24"/>
          <w:szCs w:val="24"/>
          <w:u w:val="single"/>
          <w14:textFill>
            <w14:solidFill>
              <w14:schemeClr w14:val="tx1"/>
            </w14:solidFill>
          </w14:textFill>
        </w:rPr>
        <w:t xml:space="preserve">                                 </w:t>
      </w:r>
    </w:p>
    <w:p w14:paraId="652B5BD1">
      <w:pPr>
        <w:pStyle w:val="7"/>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投标联系人：</w:t>
      </w:r>
      <w:r>
        <w:rPr>
          <w:rFonts w:hint="eastAsia" w:ascii="宋体" w:hAnsi="宋体"/>
          <w:b/>
          <w:bCs/>
          <w:color w:val="000000" w:themeColor="text1"/>
          <w:sz w:val="24"/>
          <w:szCs w:val="24"/>
          <w:u w:val="single"/>
          <w14:textFill>
            <w14:solidFill>
              <w14:schemeClr w14:val="tx1"/>
            </w14:solidFill>
          </w14:textFill>
        </w:rPr>
        <w:t xml:space="preserve">                                 </w:t>
      </w:r>
    </w:p>
    <w:p w14:paraId="195CA4D6">
      <w:pPr>
        <w:pStyle w:val="7"/>
        <w:snapToGrid w:val="0"/>
        <w:spacing w:before="312" w:beforeLines="100" w:after="312" w:afterLines="100" w:line="360" w:lineRule="auto"/>
        <w:ind w:firstLine="985" w:firstLineChars="409"/>
        <w:rPr>
          <w:rFonts w:hint="eastAsia"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联系电话/传真:</w:t>
      </w:r>
      <w:r>
        <w:rPr>
          <w:rFonts w:hint="eastAsia" w:ascii="宋体" w:hAnsi="宋体"/>
          <w:b/>
          <w:bCs/>
          <w:color w:val="000000" w:themeColor="text1"/>
          <w:sz w:val="24"/>
          <w:szCs w:val="24"/>
          <w:u w:val="single"/>
          <w14:textFill>
            <w14:solidFill>
              <w14:schemeClr w14:val="tx1"/>
            </w14:solidFill>
          </w14:textFill>
        </w:rPr>
        <w:t xml:space="preserve">                               </w:t>
      </w:r>
    </w:p>
    <w:p w14:paraId="009B48F2">
      <w:pPr>
        <w:pStyle w:val="8"/>
        <w:rPr>
          <w:rFonts w:hint="eastAsia" w:ascii="宋体" w:hAnsi="宋体"/>
          <w:b/>
          <w:bCs/>
          <w:color w:val="000000" w:themeColor="text1"/>
          <w:sz w:val="24"/>
          <w:szCs w:val="24"/>
          <w:u w:val="single"/>
          <w14:textFill>
            <w14:solidFill>
              <w14:schemeClr w14:val="tx1"/>
            </w14:solidFill>
          </w14:textFill>
        </w:rPr>
      </w:pPr>
    </w:p>
    <w:p w14:paraId="4C0471F8">
      <w:pPr>
        <w:rPr>
          <w:rFonts w:hint="eastAsia" w:ascii="宋体" w:hAnsi="宋体"/>
          <w:b/>
          <w:bCs/>
          <w:color w:val="000000" w:themeColor="text1"/>
          <w:sz w:val="24"/>
          <w:szCs w:val="24"/>
          <w:u w:val="single"/>
          <w14:textFill>
            <w14:solidFill>
              <w14:schemeClr w14:val="tx1"/>
            </w14:solidFill>
          </w14:textFill>
        </w:rPr>
      </w:pPr>
    </w:p>
    <w:p w14:paraId="4DD1CADE">
      <w:pPr>
        <w:pStyle w:val="16"/>
        <w:rPr>
          <w:rFonts w:hint="eastAsia" w:ascii="宋体" w:hAnsi="宋体"/>
          <w:b/>
          <w:bCs/>
          <w:color w:val="000000" w:themeColor="text1"/>
          <w:sz w:val="24"/>
          <w:szCs w:val="24"/>
          <w:u w:val="single"/>
          <w14:textFill>
            <w14:solidFill>
              <w14:schemeClr w14:val="tx1"/>
            </w14:solidFill>
          </w14:textFill>
        </w:rPr>
      </w:pPr>
    </w:p>
    <w:p w14:paraId="60D05CE8">
      <w:pPr>
        <w:pStyle w:val="16"/>
        <w:rPr>
          <w:rFonts w:hint="eastAsia" w:ascii="宋体" w:hAnsi="宋体"/>
          <w:b/>
          <w:bCs/>
          <w:color w:val="000000" w:themeColor="text1"/>
          <w:sz w:val="24"/>
          <w:szCs w:val="24"/>
          <w:u w:val="single"/>
          <w14:textFill>
            <w14:solidFill>
              <w14:schemeClr w14:val="tx1"/>
            </w14:solidFill>
          </w14:textFill>
        </w:rPr>
      </w:pPr>
    </w:p>
    <w:p w14:paraId="4B444F85">
      <w:pPr>
        <w:pStyle w:val="16"/>
        <w:rPr>
          <w:rFonts w:hint="eastAsia" w:ascii="宋体" w:hAnsi="宋体"/>
          <w:b/>
          <w:bCs/>
          <w:color w:val="000000" w:themeColor="text1"/>
          <w:sz w:val="24"/>
          <w:szCs w:val="24"/>
          <w:u w:val="single"/>
          <w14:textFill>
            <w14:solidFill>
              <w14:schemeClr w14:val="tx1"/>
            </w14:solidFill>
          </w14:textFill>
        </w:rPr>
      </w:pPr>
    </w:p>
    <w:p w14:paraId="1D0B5FBA">
      <w:pPr>
        <w:pStyle w:val="16"/>
        <w:rPr>
          <w:rFonts w:hint="eastAsia" w:ascii="宋体" w:hAnsi="宋体"/>
          <w:b/>
          <w:bCs/>
          <w:color w:val="000000" w:themeColor="text1"/>
          <w:sz w:val="24"/>
          <w:szCs w:val="24"/>
          <w:u w:val="single"/>
          <w14:textFill>
            <w14:solidFill>
              <w14:schemeClr w14:val="tx1"/>
            </w14:solidFill>
          </w14:textFill>
        </w:rPr>
      </w:pPr>
    </w:p>
    <w:p w14:paraId="7F5C9FD3">
      <w:pPr>
        <w:pStyle w:val="16"/>
        <w:rPr>
          <w:rFonts w:hint="eastAsia" w:ascii="宋体" w:hAnsi="宋体"/>
          <w:b/>
          <w:bCs/>
          <w:color w:val="000000" w:themeColor="text1"/>
          <w:sz w:val="24"/>
          <w:szCs w:val="24"/>
          <w:u w:val="single"/>
          <w14:textFill>
            <w14:solidFill>
              <w14:schemeClr w14:val="tx1"/>
            </w14:solidFill>
          </w14:textFill>
        </w:rPr>
      </w:pPr>
    </w:p>
    <w:p w14:paraId="0D6A0EAA">
      <w:pPr>
        <w:pStyle w:val="16"/>
        <w:rPr>
          <w:rFonts w:hint="eastAsia" w:ascii="宋体" w:hAnsi="宋体"/>
          <w:b/>
          <w:bCs/>
          <w:color w:val="000000" w:themeColor="text1"/>
          <w:sz w:val="24"/>
          <w:szCs w:val="24"/>
          <w:u w:val="single"/>
          <w14:textFill>
            <w14:solidFill>
              <w14:schemeClr w14:val="tx1"/>
            </w14:solidFill>
          </w14:textFill>
        </w:rPr>
      </w:pPr>
    </w:p>
    <w:p w14:paraId="3C348904">
      <w:pPr>
        <w:pStyle w:val="16"/>
        <w:rPr>
          <w:rFonts w:hint="eastAsia" w:ascii="宋体" w:hAnsi="宋体"/>
          <w:b/>
          <w:bCs/>
          <w:color w:val="000000" w:themeColor="text1"/>
          <w:sz w:val="24"/>
          <w:szCs w:val="24"/>
          <w:u w:val="single"/>
          <w14:textFill>
            <w14:solidFill>
              <w14:schemeClr w14:val="tx1"/>
            </w14:solidFill>
          </w14:textFill>
        </w:rPr>
      </w:pPr>
    </w:p>
    <w:p w14:paraId="6397E255">
      <w:pPr>
        <w:pStyle w:val="16"/>
        <w:rPr>
          <w:rFonts w:hint="eastAsia" w:ascii="宋体" w:hAnsi="宋体"/>
          <w:b/>
          <w:bCs/>
          <w:color w:val="000000" w:themeColor="text1"/>
          <w:sz w:val="24"/>
          <w:szCs w:val="24"/>
          <w:u w:val="single"/>
          <w14:textFill>
            <w14:solidFill>
              <w14:schemeClr w14:val="tx1"/>
            </w14:solidFill>
          </w14:textFill>
        </w:rPr>
      </w:pPr>
    </w:p>
    <w:p w14:paraId="58D55785">
      <w:pPr>
        <w:pStyle w:val="16"/>
        <w:rPr>
          <w:rFonts w:hint="eastAsia" w:ascii="宋体" w:hAnsi="宋体"/>
          <w:b/>
          <w:bCs/>
          <w:color w:val="000000" w:themeColor="text1"/>
          <w:sz w:val="24"/>
          <w:szCs w:val="24"/>
          <w:u w:val="single"/>
          <w14:textFill>
            <w14:solidFill>
              <w14:schemeClr w14:val="tx1"/>
            </w14:solidFill>
          </w14:textFill>
        </w:rPr>
      </w:pPr>
    </w:p>
    <w:p w14:paraId="302200C0">
      <w:pPr>
        <w:spacing w:line="240" w:lineRule="auto"/>
        <w:rPr>
          <w:rFonts w:ascii="宋体" w:hAnsi="宋体"/>
          <w:color w:val="000000" w:themeColor="text1"/>
          <w14:textFill>
            <w14:solidFill>
              <w14:schemeClr w14:val="tx1"/>
            </w14:solidFill>
          </w14:textFill>
        </w:rPr>
        <w:sectPr>
          <w:footerReference r:id="rId8" w:type="default"/>
          <w:pgSz w:w="11906" w:h="16838"/>
          <w:pgMar w:top="1440" w:right="1800" w:bottom="1440" w:left="1800" w:header="851" w:footer="992" w:gutter="0"/>
          <w:cols w:space="720" w:num="1"/>
          <w:docGrid w:type="lines" w:linePitch="312" w:charSpace="0"/>
        </w:sectPr>
      </w:pPr>
    </w:p>
    <w:p w14:paraId="53F553A5">
      <w:pPr>
        <w:adjustRightInd w:val="0"/>
        <w:snapToGrid w:val="0"/>
        <w:spacing w:line="360" w:lineRule="auto"/>
        <w:ind w:firstLine="1968" w:firstLineChars="700"/>
        <w:jc w:val="both"/>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电子版投标文件编制顺序</w:t>
      </w:r>
    </w:p>
    <w:tbl>
      <w:tblPr>
        <w:tblStyle w:val="24"/>
        <w:tblW w:w="860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472"/>
        <w:gridCol w:w="2879"/>
        <w:gridCol w:w="3660"/>
        <w:gridCol w:w="1125"/>
      </w:tblGrid>
      <w:tr w14:paraId="0F81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36" w:type="dxa"/>
            <w:gridSpan w:val="2"/>
            <w:vAlign w:val="center"/>
          </w:tcPr>
          <w:p w14:paraId="3C096212">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w:t>
            </w:r>
          </w:p>
        </w:tc>
        <w:tc>
          <w:tcPr>
            <w:tcW w:w="2879" w:type="dxa"/>
            <w:vAlign w:val="center"/>
          </w:tcPr>
          <w:p w14:paraId="13D3CF93">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编制内容</w:t>
            </w:r>
          </w:p>
        </w:tc>
        <w:tc>
          <w:tcPr>
            <w:tcW w:w="3660" w:type="dxa"/>
            <w:vAlign w:val="center"/>
          </w:tcPr>
          <w:p w14:paraId="3E2CFA5B">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1125" w:type="dxa"/>
            <w:vAlign w:val="center"/>
          </w:tcPr>
          <w:p w14:paraId="35A21D47">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0760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936" w:type="dxa"/>
            <w:gridSpan w:val="2"/>
            <w:vAlign w:val="center"/>
          </w:tcPr>
          <w:p w14:paraId="2162C565">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ascii="宋体" w:hAnsi="宋体"/>
                <w:b/>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部分：</w:t>
            </w:r>
          </w:p>
          <w:p w14:paraId="76447E0B">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开标一览表</w:t>
            </w:r>
          </w:p>
        </w:tc>
        <w:tc>
          <w:tcPr>
            <w:tcW w:w="2879" w:type="dxa"/>
            <w:vAlign w:val="center"/>
          </w:tcPr>
          <w:p w14:paraId="50BE480C">
            <w:pPr>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投标人于电子交易平台填写</w:t>
            </w:r>
          </w:p>
        </w:tc>
        <w:tc>
          <w:tcPr>
            <w:tcW w:w="3660" w:type="dxa"/>
            <w:vAlign w:val="center"/>
          </w:tcPr>
          <w:p w14:paraId="3540FC34">
            <w:pPr>
              <w:adjustRightInd w:val="0"/>
              <w:snapToGrid w:val="0"/>
              <w:jc w:val="center"/>
              <w:rPr>
                <w:rFonts w:ascii="宋体" w:hAnsi="宋体"/>
                <w:b/>
                <w:color w:val="000000" w:themeColor="text1"/>
                <w:szCs w:val="21"/>
                <w14:textFill>
                  <w14:solidFill>
                    <w14:schemeClr w14:val="tx1"/>
                  </w14:solidFill>
                </w14:textFill>
              </w:rPr>
            </w:pPr>
          </w:p>
        </w:tc>
        <w:tc>
          <w:tcPr>
            <w:tcW w:w="1125" w:type="dxa"/>
            <w:vAlign w:val="center"/>
          </w:tcPr>
          <w:p w14:paraId="6ED2C4BC">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需与报价文件中价格一致，电子交易平台生成的开标一览表内容与报价文件中相应内容不一致的，以电子交易平台生成的开标一览表为准。</w:t>
            </w:r>
          </w:p>
        </w:tc>
      </w:tr>
      <w:tr w14:paraId="1F96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gridSpan w:val="2"/>
            <w:vMerge w:val="restart"/>
            <w:vAlign w:val="center"/>
          </w:tcPr>
          <w:p w14:paraId="086A4825">
            <w:pPr>
              <w:adjustRightInd w:val="0"/>
              <w:snapToGrid w:val="0"/>
              <w:jc w:val="center"/>
              <w:rPr>
                <w:rFonts w:ascii="宋体" w:hAnsi="宋体"/>
                <w:b/>
                <w:color w:val="FF0000"/>
                <w:szCs w:val="21"/>
              </w:rPr>
            </w:pPr>
            <w:r>
              <w:rPr>
                <w:rFonts w:hint="eastAsia" w:ascii="宋体" w:hAnsi="宋体"/>
                <w:b/>
                <w:color w:val="FF0000"/>
                <w:szCs w:val="21"/>
              </w:rPr>
              <w:t>第二部分：</w:t>
            </w:r>
          </w:p>
          <w:p w14:paraId="2A7FA619">
            <w:pPr>
              <w:adjustRightInd w:val="0"/>
              <w:snapToGrid w:val="0"/>
              <w:jc w:val="center"/>
              <w:rPr>
                <w:rFonts w:ascii="宋体" w:hAnsi="宋体"/>
                <w:b/>
                <w:color w:val="FF0000"/>
                <w:szCs w:val="21"/>
              </w:rPr>
            </w:pPr>
            <w:r>
              <w:rPr>
                <w:rFonts w:hint="eastAsia" w:ascii="宋体" w:hAnsi="宋体"/>
                <w:b/>
                <w:color w:val="FF0000"/>
                <w:szCs w:val="21"/>
              </w:rPr>
              <w:t>资格响应文件</w:t>
            </w:r>
          </w:p>
        </w:tc>
        <w:tc>
          <w:tcPr>
            <w:tcW w:w="2879" w:type="dxa"/>
            <w:vAlign w:val="center"/>
          </w:tcPr>
          <w:p w14:paraId="062480B2">
            <w:pPr>
              <w:adjustRightInd w:val="0"/>
              <w:snapToGrid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有效的营业执照</w:t>
            </w:r>
          </w:p>
        </w:tc>
        <w:tc>
          <w:tcPr>
            <w:tcW w:w="3660" w:type="dxa"/>
            <w:vAlign w:val="center"/>
          </w:tcPr>
          <w:p w14:paraId="16698C12">
            <w:pPr>
              <w:adjustRightInd w:val="0"/>
              <w:snapToGrid w:val="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有效期范围内</w:t>
            </w:r>
          </w:p>
        </w:tc>
        <w:tc>
          <w:tcPr>
            <w:tcW w:w="1125" w:type="dxa"/>
            <w:vMerge w:val="restart"/>
            <w:vAlign w:val="center"/>
          </w:tcPr>
          <w:p w14:paraId="2B3E5E16">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具体要求查看投标人的资格证明材料说明</w:t>
            </w:r>
          </w:p>
          <w:p w14:paraId="467BA15C">
            <w:pPr>
              <w:pStyle w:val="4"/>
              <w:rPr>
                <w:rFonts w:hint="eastAsia"/>
              </w:rPr>
            </w:pPr>
          </w:p>
          <w:p w14:paraId="06DD2CDC">
            <w:pPr>
              <w:adjustRightInd w:val="0"/>
              <w:snapToGrid w:val="0"/>
              <w:jc w:val="center"/>
              <w:rPr>
                <w:rFonts w:ascii="宋体" w:hAnsi="宋体"/>
                <w:b/>
                <w:color w:val="000000" w:themeColor="text1"/>
                <w:szCs w:val="21"/>
                <w14:textFill>
                  <w14:solidFill>
                    <w14:schemeClr w14:val="tx1"/>
                  </w14:solidFill>
                </w14:textFill>
              </w:rPr>
            </w:pPr>
          </w:p>
        </w:tc>
      </w:tr>
      <w:tr w14:paraId="132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36" w:type="dxa"/>
            <w:gridSpan w:val="2"/>
            <w:vMerge w:val="continue"/>
            <w:vAlign w:val="center"/>
          </w:tcPr>
          <w:p w14:paraId="1A83D4AE">
            <w:pPr>
              <w:adjustRightInd w:val="0"/>
              <w:snapToGrid w:val="0"/>
              <w:jc w:val="center"/>
              <w:rPr>
                <w:rFonts w:ascii="宋体" w:hAnsi="宋体"/>
                <w:b/>
                <w:color w:val="FF0000"/>
                <w:szCs w:val="21"/>
              </w:rPr>
            </w:pPr>
          </w:p>
        </w:tc>
        <w:tc>
          <w:tcPr>
            <w:tcW w:w="2879" w:type="dxa"/>
            <w:shd w:val="clear" w:color="auto" w:fill="auto"/>
            <w:vAlign w:val="center"/>
          </w:tcPr>
          <w:p w14:paraId="3C5F15AA">
            <w:pPr>
              <w:adjustRightInd w:val="0"/>
              <w:snapToGrid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：法定代表人身份证明(法定代表人参加招标)</w:t>
            </w:r>
          </w:p>
          <w:p w14:paraId="1F7D389A">
            <w:pPr>
              <w:adjustRightInd w:val="0"/>
              <w:snapToGrid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或</w:t>
            </w:r>
          </w:p>
          <w:p w14:paraId="0DD1058F">
            <w:pPr>
              <w:adjustRightInd w:val="0"/>
              <w:snapToGrid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2：法定代表人授权书(委托代理人参加招标)</w:t>
            </w:r>
          </w:p>
        </w:tc>
        <w:tc>
          <w:tcPr>
            <w:tcW w:w="3660" w:type="dxa"/>
            <w:shd w:val="clear" w:color="auto" w:fill="auto"/>
            <w:vAlign w:val="center"/>
          </w:tcPr>
          <w:p w14:paraId="3E8D78D7">
            <w:pPr>
              <w:adjustRightInd w:val="0"/>
              <w:snapToGrid w:val="0"/>
              <w:ind w:firstLine="210" w:firstLineChars="1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仅需提供任意一项即可。</w:t>
            </w:r>
          </w:p>
        </w:tc>
        <w:tc>
          <w:tcPr>
            <w:tcW w:w="1125" w:type="dxa"/>
            <w:vMerge w:val="continue"/>
            <w:vAlign w:val="center"/>
          </w:tcPr>
          <w:p w14:paraId="106428E5">
            <w:pPr>
              <w:adjustRightInd w:val="0"/>
              <w:snapToGrid w:val="0"/>
              <w:jc w:val="center"/>
              <w:rPr>
                <w:rFonts w:ascii="宋体" w:hAnsi="宋体"/>
                <w:b/>
                <w:color w:val="000000" w:themeColor="text1"/>
                <w:szCs w:val="21"/>
                <w14:textFill>
                  <w14:solidFill>
                    <w14:schemeClr w14:val="tx1"/>
                  </w14:solidFill>
                </w14:textFill>
              </w:rPr>
            </w:pPr>
          </w:p>
        </w:tc>
      </w:tr>
      <w:tr w14:paraId="22F5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gridSpan w:val="2"/>
            <w:vMerge w:val="continue"/>
            <w:vAlign w:val="center"/>
          </w:tcPr>
          <w:p w14:paraId="0CFB1E9F">
            <w:pPr>
              <w:adjustRightInd w:val="0"/>
              <w:snapToGrid w:val="0"/>
              <w:jc w:val="center"/>
              <w:rPr>
                <w:rFonts w:ascii="宋体" w:hAnsi="宋体"/>
                <w:b/>
                <w:color w:val="FF0000"/>
                <w:szCs w:val="21"/>
              </w:rPr>
            </w:pPr>
          </w:p>
        </w:tc>
        <w:tc>
          <w:tcPr>
            <w:tcW w:w="2879" w:type="dxa"/>
            <w:vAlign w:val="center"/>
          </w:tcPr>
          <w:p w14:paraId="5A9DCEC5">
            <w:pPr>
              <w:numPr>
                <w:ilvl w:val="0"/>
                <w:numId w:val="0"/>
              </w:numPr>
              <w:spacing w:before="62" w:beforeLines="20" w:line="288" w:lineRule="auto"/>
              <w:rPr>
                <w:rFonts w:ascii="仿宋" w:hAnsi="仿宋" w:eastAsia="仿宋" w:cs="Times New Roman"/>
                <w:color w:val="auto"/>
                <w:sz w:val="24"/>
                <w:szCs w:val="24"/>
              </w:rPr>
            </w:pPr>
          </w:p>
          <w:p w14:paraId="6BD09603">
            <w:pPr>
              <w:adjustRightInd w:val="0"/>
              <w:snapToGrid w:val="0"/>
              <w:jc w:val="lef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具有良好的商业信誉和健全的财务会计制度；</w:t>
            </w:r>
          </w:p>
          <w:p w14:paraId="60E2506B">
            <w:pPr>
              <w:adjustRightInd w:val="0"/>
              <w:snapToGrid w:val="0"/>
              <w:jc w:val="lef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具有履行合同所必需的设备和专业技术能力；</w:t>
            </w:r>
          </w:p>
          <w:p w14:paraId="53C66A4A">
            <w:pPr>
              <w:adjustRightInd w:val="0"/>
              <w:snapToGrid w:val="0"/>
              <w:jc w:val="lef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有依法缴纳税收和社会保障资金的良好记录；</w:t>
            </w:r>
          </w:p>
          <w:p w14:paraId="38889BF1">
            <w:pPr>
              <w:adjustRightInd w:val="0"/>
              <w:snapToGrid w:val="0"/>
              <w:jc w:val="lef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参加政府采购活动前三年内，在经营活动中没有重大违法记录；</w:t>
            </w:r>
          </w:p>
          <w:p w14:paraId="5B8420C0">
            <w:pPr>
              <w:adjustRightInd w:val="0"/>
              <w:snapToGrid w:val="0"/>
              <w:jc w:val="lef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法律、行政法规规定的其他条件。 </w:t>
            </w:r>
          </w:p>
          <w:p w14:paraId="305AB0A9">
            <w:pPr>
              <w:adjustRightInd w:val="0"/>
              <w:snapToGrid w:val="0"/>
              <w:jc w:val="left"/>
              <w:rPr>
                <w:rFonts w:hint="eastAsia"/>
                <w:color w:val="000000" w:themeColor="text1"/>
                <w14:textFill>
                  <w14:solidFill>
                    <w14:schemeClr w14:val="tx1"/>
                  </w14:solidFill>
                </w14:textFill>
              </w:rPr>
            </w:pPr>
          </w:p>
        </w:tc>
        <w:tc>
          <w:tcPr>
            <w:tcW w:w="3660" w:type="dxa"/>
            <w:vAlign w:val="center"/>
          </w:tcPr>
          <w:p w14:paraId="797DAD50">
            <w:pPr>
              <w:adjustRightInd w:val="0"/>
              <w:snapToGrid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1.投标供应商可自行选择</w:t>
            </w:r>
            <w:r>
              <w:rPr>
                <w:rFonts w:hint="eastAsia"/>
                <w:b/>
                <w:bCs/>
                <w:color w:val="000000" w:themeColor="text1"/>
                <w:lang w:val="en-US" w:eastAsia="zh-CN"/>
                <w14:textFill>
                  <w14:solidFill>
                    <w14:schemeClr w14:val="tx1"/>
                  </w14:solidFill>
                </w14:textFill>
              </w:rPr>
              <w:t>是否提供本承诺函</w:t>
            </w:r>
            <w:r>
              <w:rPr>
                <w:rFonts w:hint="eastAsia"/>
                <w:color w:val="000000" w:themeColor="text1"/>
                <w:lang w:val="en-US" w:eastAsia="zh-CN"/>
                <w14:textFill>
                  <w14:solidFill>
                    <w14:schemeClr w14:val="tx1"/>
                  </w14:solidFill>
                </w14:textFill>
              </w:rPr>
              <w:t>，若不提供本承诺函，应按备注要求提供相应的证明材料。</w:t>
            </w:r>
          </w:p>
          <w:p w14:paraId="1FA80BC1">
            <w:pPr>
              <w:adjustRightInd w:val="0"/>
              <w:snapToGrid w:val="0"/>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2.提供承诺函投标人须在投标文件中按模板提供承诺函，未按照此模版承诺内容提供视为未实质性响应招标文件要求，按无效投标处理。</w:t>
            </w:r>
          </w:p>
        </w:tc>
        <w:tc>
          <w:tcPr>
            <w:tcW w:w="1125" w:type="dxa"/>
            <w:vMerge w:val="continue"/>
            <w:vAlign w:val="center"/>
          </w:tcPr>
          <w:p w14:paraId="5EE2A0AB">
            <w:pPr>
              <w:adjustRightInd w:val="0"/>
              <w:snapToGrid w:val="0"/>
              <w:jc w:val="center"/>
              <w:rPr>
                <w:rFonts w:ascii="宋体" w:hAnsi="宋体"/>
                <w:b/>
                <w:color w:val="000000" w:themeColor="text1"/>
                <w:szCs w:val="21"/>
                <w14:textFill>
                  <w14:solidFill>
                    <w14:schemeClr w14:val="tx1"/>
                  </w14:solidFill>
                </w14:textFill>
              </w:rPr>
            </w:pPr>
          </w:p>
        </w:tc>
      </w:tr>
      <w:tr w14:paraId="0ECD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gridSpan w:val="2"/>
            <w:vMerge w:val="continue"/>
            <w:vAlign w:val="center"/>
          </w:tcPr>
          <w:p w14:paraId="089524FC">
            <w:pPr>
              <w:adjustRightInd w:val="0"/>
              <w:snapToGrid w:val="0"/>
              <w:jc w:val="center"/>
              <w:rPr>
                <w:rFonts w:ascii="宋体" w:hAnsi="宋体"/>
                <w:b/>
                <w:color w:val="FF0000"/>
                <w:szCs w:val="21"/>
              </w:rPr>
            </w:pPr>
          </w:p>
        </w:tc>
        <w:tc>
          <w:tcPr>
            <w:tcW w:w="2879" w:type="dxa"/>
            <w:vAlign w:val="center"/>
          </w:tcPr>
          <w:p w14:paraId="5735DF39">
            <w:pPr>
              <w:adjustRightInd w:val="0"/>
              <w:snapToGrid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tc>
        <w:tc>
          <w:tcPr>
            <w:tcW w:w="3660" w:type="dxa"/>
            <w:vAlign w:val="center"/>
          </w:tcPr>
          <w:p w14:paraId="3584DBBD">
            <w:pPr>
              <w:adjustRightInd w:val="0"/>
              <w:snapToGrid w:val="0"/>
              <w:jc w:val="left"/>
              <w:rPr>
                <w:rFonts w:hint="eastAsia"/>
                <w:color w:val="000000" w:themeColor="text1"/>
                <w:lang w:val="en-US" w:eastAsia="zh-CN"/>
                <w14:textFill>
                  <w14:solidFill>
                    <w14:schemeClr w14:val="tx1"/>
                  </w14:solidFill>
                </w14:textFill>
              </w:rPr>
            </w:pPr>
            <w:r>
              <w:rPr>
                <w:rFonts w:hint="eastAsia" w:ascii="仿宋" w:hAnsi="仿宋" w:eastAsia="仿宋" w:cs="Times New Roman"/>
                <w:b/>
                <w:bCs/>
                <w:color w:val="auto"/>
                <w:kern w:val="2"/>
                <w:sz w:val="24"/>
                <w:szCs w:val="24"/>
                <w:lang w:val="en-US" w:eastAsia="zh-CN" w:bidi="ar-SA"/>
              </w:rPr>
              <w:t>（网页打印件时间须自招标文件发布之日起至投标截止时间从上述网站中打印）</w:t>
            </w:r>
          </w:p>
        </w:tc>
        <w:tc>
          <w:tcPr>
            <w:tcW w:w="1125" w:type="dxa"/>
            <w:vAlign w:val="center"/>
          </w:tcPr>
          <w:p w14:paraId="056BA32F">
            <w:pPr>
              <w:adjustRightInd w:val="0"/>
              <w:snapToGrid w:val="0"/>
              <w:jc w:val="center"/>
              <w:rPr>
                <w:rFonts w:ascii="宋体" w:hAnsi="宋体"/>
                <w:b/>
                <w:color w:val="000000" w:themeColor="text1"/>
                <w:szCs w:val="21"/>
                <w14:textFill>
                  <w14:solidFill>
                    <w14:schemeClr w14:val="tx1"/>
                  </w14:solidFill>
                </w14:textFill>
              </w:rPr>
            </w:pPr>
          </w:p>
        </w:tc>
      </w:tr>
      <w:tr w14:paraId="34B9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gridSpan w:val="2"/>
            <w:vMerge w:val="continue"/>
            <w:vAlign w:val="center"/>
          </w:tcPr>
          <w:p w14:paraId="5FE42419">
            <w:pPr>
              <w:adjustRightInd w:val="0"/>
              <w:snapToGrid w:val="0"/>
              <w:jc w:val="center"/>
              <w:rPr>
                <w:rFonts w:ascii="宋体" w:hAnsi="宋体"/>
                <w:b/>
                <w:color w:val="FF0000"/>
                <w:szCs w:val="21"/>
              </w:rPr>
            </w:pPr>
          </w:p>
        </w:tc>
        <w:tc>
          <w:tcPr>
            <w:tcW w:w="2879" w:type="dxa"/>
            <w:vAlign w:val="center"/>
          </w:tcPr>
          <w:p w14:paraId="11180476">
            <w:pPr>
              <w:adjustRightInd w:val="0"/>
              <w:snapToGrid w:val="0"/>
              <w:jc w:val="left"/>
              <w:rPr>
                <w:rFonts w:hint="eastAsia"/>
                <w:color w:val="000000" w:themeColor="text1"/>
                <w:lang w:val="en-US" w:eastAsia="zh-CN"/>
                <w14:textFill>
                  <w14:solidFill>
                    <w14:schemeClr w14:val="tx1"/>
                  </w14:solidFill>
                </w14:textFill>
              </w:rPr>
            </w:pPr>
          </w:p>
        </w:tc>
        <w:tc>
          <w:tcPr>
            <w:tcW w:w="3660" w:type="dxa"/>
            <w:vAlign w:val="center"/>
          </w:tcPr>
          <w:p w14:paraId="7B6BDE15">
            <w:pPr>
              <w:adjustRightInd w:val="0"/>
              <w:snapToGrid w:val="0"/>
              <w:jc w:val="left"/>
              <w:rPr>
                <w:rFonts w:hint="eastAsia"/>
                <w:color w:val="000000" w:themeColor="text1"/>
                <w:lang w:val="en-US" w:eastAsia="zh-CN"/>
                <w14:textFill>
                  <w14:solidFill>
                    <w14:schemeClr w14:val="tx1"/>
                  </w14:solidFill>
                </w14:textFill>
              </w:rPr>
            </w:pPr>
          </w:p>
        </w:tc>
        <w:tc>
          <w:tcPr>
            <w:tcW w:w="1125" w:type="dxa"/>
            <w:vAlign w:val="center"/>
          </w:tcPr>
          <w:p w14:paraId="1F48451C">
            <w:pPr>
              <w:adjustRightInd w:val="0"/>
              <w:snapToGrid w:val="0"/>
              <w:jc w:val="center"/>
              <w:rPr>
                <w:rFonts w:ascii="宋体" w:hAnsi="宋体"/>
                <w:b/>
                <w:color w:val="000000" w:themeColor="text1"/>
                <w:szCs w:val="21"/>
                <w14:textFill>
                  <w14:solidFill>
                    <w14:schemeClr w14:val="tx1"/>
                  </w14:solidFill>
                </w14:textFill>
              </w:rPr>
            </w:pPr>
          </w:p>
        </w:tc>
      </w:tr>
      <w:tr w14:paraId="4741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36" w:type="dxa"/>
            <w:gridSpan w:val="2"/>
            <w:vMerge w:val="continue"/>
            <w:vAlign w:val="center"/>
          </w:tcPr>
          <w:p w14:paraId="620C7BA5">
            <w:pPr>
              <w:adjustRightInd w:val="0"/>
              <w:snapToGrid w:val="0"/>
              <w:jc w:val="center"/>
              <w:rPr>
                <w:rFonts w:ascii="宋体" w:hAnsi="宋体"/>
                <w:b/>
                <w:color w:val="FF0000"/>
                <w:szCs w:val="21"/>
              </w:rPr>
            </w:pPr>
          </w:p>
        </w:tc>
        <w:tc>
          <w:tcPr>
            <w:tcW w:w="2879" w:type="dxa"/>
            <w:vAlign w:val="center"/>
          </w:tcPr>
          <w:p w14:paraId="681669B4">
            <w:pPr>
              <w:adjustRightInd w:val="0"/>
              <w:snapToGrid w:val="0"/>
              <w:jc w:val="left"/>
              <w:rPr>
                <w:rFonts w:hint="eastAsia" w:ascii="宋体" w:hAnsi="宋体" w:eastAsia="宋体"/>
                <w:szCs w:val="21"/>
                <w:lang w:eastAsia="zh-CN"/>
              </w:rPr>
            </w:pPr>
          </w:p>
        </w:tc>
        <w:tc>
          <w:tcPr>
            <w:tcW w:w="3660" w:type="dxa"/>
            <w:vAlign w:val="center"/>
          </w:tcPr>
          <w:p w14:paraId="01001336">
            <w:pPr>
              <w:adjustRightInd w:val="0"/>
              <w:snapToGrid w:val="0"/>
              <w:jc w:val="left"/>
              <w:rPr>
                <w:rFonts w:hint="eastAsia" w:ascii="仿宋" w:hAnsi="仿宋" w:eastAsia="仿宋" w:cs="Times New Roman"/>
                <w:b/>
                <w:bCs/>
                <w:color w:val="auto"/>
                <w:sz w:val="24"/>
                <w:szCs w:val="24"/>
                <w:lang w:val="en-US" w:eastAsia="zh-CN"/>
              </w:rPr>
            </w:pPr>
          </w:p>
        </w:tc>
        <w:tc>
          <w:tcPr>
            <w:tcW w:w="1125" w:type="dxa"/>
            <w:vAlign w:val="center"/>
          </w:tcPr>
          <w:p w14:paraId="55A8E98A">
            <w:pPr>
              <w:adjustRightInd w:val="0"/>
              <w:snapToGrid w:val="0"/>
              <w:jc w:val="center"/>
              <w:rPr>
                <w:rFonts w:ascii="宋体" w:hAnsi="宋体"/>
                <w:b/>
                <w:color w:val="000000" w:themeColor="text1"/>
                <w:szCs w:val="21"/>
                <w14:textFill>
                  <w14:solidFill>
                    <w14:schemeClr w14:val="tx1"/>
                  </w14:solidFill>
                </w14:textFill>
              </w:rPr>
            </w:pPr>
          </w:p>
        </w:tc>
      </w:tr>
      <w:tr w14:paraId="4A07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 w:type="dxa"/>
            <w:vMerge w:val="restart"/>
            <w:vAlign w:val="center"/>
          </w:tcPr>
          <w:p w14:paraId="0A204F51">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第三部分：</w:t>
            </w:r>
          </w:p>
          <w:p w14:paraId="3F51E402">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tc>
        <w:tc>
          <w:tcPr>
            <w:tcW w:w="472" w:type="dxa"/>
            <w:vMerge w:val="restart"/>
            <w:vAlign w:val="center"/>
          </w:tcPr>
          <w:p w14:paraId="1A0E0AA5">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符合性审查文件</w:t>
            </w:r>
          </w:p>
        </w:tc>
        <w:tc>
          <w:tcPr>
            <w:tcW w:w="2879" w:type="dxa"/>
            <w:vAlign w:val="center"/>
          </w:tcPr>
          <w:p w14:paraId="23885341">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：投标函</w:t>
            </w:r>
          </w:p>
        </w:tc>
        <w:tc>
          <w:tcPr>
            <w:tcW w:w="3660" w:type="dxa"/>
            <w:vAlign w:val="center"/>
          </w:tcPr>
          <w:p w14:paraId="0AD27D22">
            <w:pPr>
              <w:adjustRightInd w:val="0"/>
              <w:snapToGrid w:val="0"/>
              <w:jc w:val="center"/>
              <w:rPr>
                <w:rFonts w:hint="eastAsia" w:ascii="宋体" w:hAnsi="宋体" w:eastAsia="宋体"/>
                <w:b/>
                <w:color w:val="000000" w:themeColor="text1"/>
                <w:szCs w:val="21"/>
                <w:lang w:val="en-US" w:eastAsia="zh-CN"/>
                <w14:textFill>
                  <w14:solidFill>
                    <w14:schemeClr w14:val="tx1"/>
                  </w14:solidFill>
                </w14:textFill>
              </w:rPr>
            </w:pPr>
            <w:r>
              <w:rPr>
                <w:rFonts w:hint="eastAsia" w:ascii="宋体" w:hAnsi="宋体"/>
                <w:b w:val="0"/>
                <w:bCs/>
                <w:color w:val="auto"/>
                <w:sz w:val="18"/>
                <w:szCs w:val="18"/>
                <w:vertAlign w:val="baseline"/>
                <w:lang w:val="en-US" w:eastAsia="zh-CN"/>
              </w:rPr>
              <w:t>有效期满足文件要求，签字盖章齐全且清晰清楚</w:t>
            </w:r>
          </w:p>
        </w:tc>
        <w:tc>
          <w:tcPr>
            <w:tcW w:w="1125" w:type="dxa"/>
            <w:vMerge w:val="restart"/>
            <w:vAlign w:val="center"/>
          </w:tcPr>
          <w:p w14:paraId="547B889C">
            <w:pPr>
              <w:adjustRightInd w:val="0"/>
              <w:snapToGrid w:val="0"/>
              <w:jc w:val="center"/>
              <w:rPr>
                <w:color w:val="000000" w:themeColor="text1"/>
                <w14:textFill>
                  <w14:solidFill>
                    <w14:schemeClr w14:val="tx1"/>
                  </w14:solidFill>
                </w14:textFill>
              </w:rPr>
            </w:pPr>
          </w:p>
        </w:tc>
      </w:tr>
      <w:tr w14:paraId="6AD2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 w:type="dxa"/>
            <w:vMerge w:val="continue"/>
            <w:vAlign w:val="center"/>
          </w:tcPr>
          <w:p w14:paraId="58673118">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2B3500A2">
            <w:pPr>
              <w:adjustRightInd w:val="0"/>
              <w:snapToGrid w:val="0"/>
              <w:jc w:val="center"/>
              <w:rPr>
                <w:rFonts w:ascii="宋体" w:hAnsi="宋体"/>
                <w:bCs/>
                <w:color w:val="000000" w:themeColor="text1"/>
                <w:szCs w:val="21"/>
                <w14:textFill>
                  <w14:solidFill>
                    <w14:schemeClr w14:val="tx1"/>
                  </w14:solidFill>
                </w14:textFill>
              </w:rPr>
            </w:pPr>
          </w:p>
        </w:tc>
        <w:tc>
          <w:tcPr>
            <w:tcW w:w="2879" w:type="dxa"/>
            <w:vAlign w:val="center"/>
          </w:tcPr>
          <w:p w14:paraId="7CDAAE6C">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：开标一览表</w:t>
            </w:r>
          </w:p>
        </w:tc>
        <w:tc>
          <w:tcPr>
            <w:tcW w:w="3660" w:type="dxa"/>
            <w:vAlign w:val="center"/>
          </w:tcPr>
          <w:p w14:paraId="1DFA4D1B">
            <w:pPr>
              <w:numPr>
                <w:ilvl w:val="0"/>
                <w:numId w:val="27"/>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报价须具有唯一性；</w:t>
            </w:r>
          </w:p>
          <w:p w14:paraId="653EE115">
            <w:pPr>
              <w:numPr>
                <w:ilvl w:val="0"/>
                <w:numId w:val="27"/>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报价金额不超过项目预算价；</w:t>
            </w:r>
          </w:p>
          <w:p w14:paraId="5DCEB51C">
            <w:pPr>
              <w:numPr>
                <w:ilvl w:val="0"/>
                <w:numId w:val="27"/>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供货期限及质保期符合招标文件要求。</w:t>
            </w:r>
          </w:p>
          <w:p w14:paraId="55E329E7">
            <w:pPr>
              <w:numPr>
                <w:ilvl w:val="0"/>
                <w:numId w:val="27"/>
              </w:numPr>
              <w:adjustRightInd w:val="0"/>
              <w:snapToGrid w:val="0"/>
              <w:jc w:val="left"/>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签字盖章齐全</w:t>
            </w:r>
          </w:p>
        </w:tc>
        <w:tc>
          <w:tcPr>
            <w:tcW w:w="1125" w:type="dxa"/>
            <w:vMerge w:val="continue"/>
            <w:vAlign w:val="center"/>
          </w:tcPr>
          <w:p w14:paraId="3D5EDEC3">
            <w:pPr>
              <w:adjustRightInd w:val="0"/>
              <w:snapToGrid w:val="0"/>
              <w:jc w:val="center"/>
              <w:rPr>
                <w:color w:val="000000" w:themeColor="text1"/>
                <w14:textFill>
                  <w14:solidFill>
                    <w14:schemeClr w14:val="tx1"/>
                  </w14:solidFill>
                </w14:textFill>
              </w:rPr>
            </w:pPr>
          </w:p>
        </w:tc>
      </w:tr>
      <w:tr w14:paraId="343C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 w:type="dxa"/>
            <w:vMerge w:val="continue"/>
            <w:vAlign w:val="center"/>
          </w:tcPr>
          <w:p w14:paraId="588317E3">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4341F814">
            <w:pPr>
              <w:adjustRightInd w:val="0"/>
              <w:snapToGrid w:val="0"/>
              <w:jc w:val="center"/>
              <w:rPr>
                <w:rFonts w:ascii="宋体" w:hAnsi="宋体"/>
                <w:bCs/>
                <w:color w:val="000000" w:themeColor="text1"/>
                <w:szCs w:val="21"/>
                <w14:textFill>
                  <w14:solidFill>
                    <w14:schemeClr w14:val="tx1"/>
                  </w14:solidFill>
                </w14:textFill>
              </w:rPr>
            </w:pPr>
          </w:p>
        </w:tc>
        <w:tc>
          <w:tcPr>
            <w:tcW w:w="2879" w:type="dxa"/>
            <w:vAlign w:val="center"/>
          </w:tcPr>
          <w:p w14:paraId="35E558AC">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w:t>
            </w:r>
            <w:r>
              <w:rPr>
                <w:rFonts w:hint="eastAsia" w:ascii="黑体" w:hAnsi="黑体" w:eastAsia="黑体" w:cs="黑体"/>
                <w:color w:val="000000" w:themeColor="text1"/>
                <w:sz w:val="20"/>
                <w:szCs w:val="20"/>
                <w:lang w:val="en-US" w:eastAsia="zh-CN"/>
                <w14:textFill>
                  <w14:solidFill>
                    <w14:schemeClr w14:val="tx1"/>
                  </w14:solidFill>
                </w14:textFill>
              </w:rPr>
              <w:t>4</w:t>
            </w:r>
            <w:r>
              <w:rPr>
                <w:rFonts w:hint="eastAsia" w:ascii="黑体" w:hAnsi="黑体" w:eastAsia="黑体" w:cs="黑体"/>
                <w:color w:val="000000" w:themeColor="text1"/>
                <w:sz w:val="20"/>
                <w:szCs w:val="20"/>
                <w14:textFill>
                  <w14:solidFill>
                    <w14:schemeClr w14:val="tx1"/>
                  </w14:solidFill>
                </w14:textFill>
              </w:rPr>
              <w:t>：</w:t>
            </w:r>
            <w:r>
              <w:rPr>
                <w:rFonts w:hint="eastAsia" w:ascii="宋体" w:hAnsi="宋体"/>
                <w:color w:val="000000" w:themeColor="text1"/>
                <w:szCs w:val="21"/>
                <w14:textFill>
                  <w14:solidFill>
                    <w14:schemeClr w14:val="tx1"/>
                  </w14:solidFill>
                </w14:textFill>
              </w:rPr>
              <w:t>参数偏离表</w:t>
            </w:r>
          </w:p>
        </w:tc>
        <w:tc>
          <w:tcPr>
            <w:tcW w:w="3660" w:type="dxa"/>
            <w:vAlign w:val="center"/>
          </w:tcPr>
          <w:p w14:paraId="744A991A">
            <w:pPr>
              <w:numPr>
                <w:ilvl w:val="0"/>
                <w:numId w:val="0"/>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 xml:space="preserve"> </w:t>
            </w:r>
          </w:p>
          <w:p w14:paraId="636AF3C2">
            <w:pPr>
              <w:numPr>
                <w:ilvl w:val="0"/>
                <w:numId w:val="0"/>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 xml:space="preserve">2、“第五章 采购需求”中带★号的参数均为实质性条款，若有负偏离或不满足投标要求，会导致投标无效。 </w:t>
            </w:r>
          </w:p>
          <w:p w14:paraId="427B3EBA">
            <w:pPr>
              <w:numPr>
                <w:ilvl w:val="0"/>
                <w:numId w:val="0"/>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3、签字盖章齐全。</w:t>
            </w:r>
          </w:p>
        </w:tc>
        <w:tc>
          <w:tcPr>
            <w:tcW w:w="1125" w:type="dxa"/>
            <w:vMerge w:val="continue"/>
            <w:vAlign w:val="center"/>
          </w:tcPr>
          <w:p w14:paraId="7BFC5A33">
            <w:pPr>
              <w:adjustRightInd w:val="0"/>
              <w:snapToGrid w:val="0"/>
              <w:jc w:val="center"/>
              <w:rPr>
                <w:color w:val="000000" w:themeColor="text1"/>
                <w14:textFill>
                  <w14:solidFill>
                    <w14:schemeClr w14:val="tx1"/>
                  </w14:solidFill>
                </w14:textFill>
              </w:rPr>
            </w:pPr>
          </w:p>
        </w:tc>
      </w:tr>
      <w:tr w14:paraId="7C33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4" w:type="dxa"/>
            <w:vMerge w:val="continue"/>
            <w:vAlign w:val="center"/>
          </w:tcPr>
          <w:p w14:paraId="55F67458">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00C18D54">
            <w:pPr>
              <w:adjustRightInd w:val="0"/>
              <w:snapToGrid w:val="0"/>
              <w:jc w:val="center"/>
              <w:rPr>
                <w:rFonts w:ascii="宋体" w:hAnsi="宋体"/>
                <w:bCs/>
                <w:color w:val="000000" w:themeColor="text1"/>
                <w:szCs w:val="21"/>
                <w14:textFill>
                  <w14:solidFill>
                    <w14:schemeClr w14:val="tx1"/>
                  </w14:solidFill>
                </w14:textFill>
              </w:rPr>
            </w:pPr>
          </w:p>
        </w:tc>
        <w:tc>
          <w:tcPr>
            <w:tcW w:w="2879" w:type="dxa"/>
            <w:vAlign w:val="center"/>
          </w:tcPr>
          <w:p w14:paraId="18735D7C">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cs="Times New Roman"/>
                <w:color w:val="000000" w:themeColor="text1"/>
                <w:szCs w:val="21"/>
                <w:lang w:val="en-US" w:eastAsia="zh-CN"/>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eastAsia="宋体" w:cs="Times New Roman"/>
                <w:color w:val="000000" w:themeColor="text1"/>
                <w:szCs w:val="21"/>
                <w14:textFill>
                  <w14:solidFill>
                    <w14:schemeClr w14:val="tx1"/>
                  </w14:solidFill>
                </w14:textFill>
              </w:rPr>
              <w:t>报价明细表</w:t>
            </w:r>
          </w:p>
        </w:tc>
        <w:tc>
          <w:tcPr>
            <w:tcW w:w="3660" w:type="dxa"/>
            <w:vAlign w:val="center"/>
          </w:tcPr>
          <w:p w14:paraId="2FF2A300">
            <w:pPr>
              <w:numPr>
                <w:ilvl w:val="0"/>
                <w:numId w:val="0"/>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 按照表格要求进行填写完整；</w:t>
            </w:r>
          </w:p>
          <w:p w14:paraId="467E5420">
            <w:pPr>
              <w:numPr>
                <w:ilvl w:val="0"/>
                <w:numId w:val="0"/>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 xml:space="preserve">2、“第五章 采购需求”中带★号的参数均为实质性条款，若有负偏离或不满足投标要求，会导致投标无效。 </w:t>
            </w:r>
          </w:p>
          <w:p w14:paraId="5DC532ED">
            <w:pPr>
              <w:numPr>
                <w:ilvl w:val="0"/>
                <w:numId w:val="0"/>
              </w:numPr>
              <w:adjustRightInd w:val="0"/>
              <w:snapToGrid w:val="0"/>
              <w:jc w:val="left"/>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3、签字盖章齐全。</w:t>
            </w:r>
          </w:p>
        </w:tc>
        <w:tc>
          <w:tcPr>
            <w:tcW w:w="1125" w:type="dxa"/>
            <w:vMerge w:val="continue"/>
            <w:vAlign w:val="center"/>
          </w:tcPr>
          <w:p w14:paraId="7971505E">
            <w:pPr>
              <w:adjustRightInd w:val="0"/>
              <w:snapToGrid w:val="0"/>
              <w:jc w:val="center"/>
              <w:rPr>
                <w:color w:val="000000" w:themeColor="text1"/>
                <w14:textFill>
                  <w14:solidFill>
                    <w14:schemeClr w14:val="tx1"/>
                  </w14:solidFill>
                </w14:textFill>
              </w:rPr>
            </w:pPr>
          </w:p>
        </w:tc>
      </w:tr>
      <w:tr w14:paraId="757C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dxa"/>
            <w:vMerge w:val="continue"/>
            <w:vAlign w:val="center"/>
          </w:tcPr>
          <w:p w14:paraId="3064EA14">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472" w:type="dxa"/>
            <w:vMerge w:val="restart"/>
            <w:vAlign w:val="center"/>
          </w:tcPr>
          <w:p w14:paraId="53AD14EA">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商务技术响应文件</w:t>
            </w:r>
          </w:p>
        </w:tc>
        <w:tc>
          <w:tcPr>
            <w:tcW w:w="2879" w:type="dxa"/>
            <w:vAlign w:val="center"/>
          </w:tcPr>
          <w:p w14:paraId="06E6725A">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w:t>
            </w:r>
            <w:r>
              <w:rPr>
                <w:rFonts w:hint="eastAsia" w:ascii="黑体" w:hAnsi="黑体" w:eastAsia="黑体" w:cs="黑体"/>
                <w:color w:val="000000" w:themeColor="text1"/>
                <w:sz w:val="20"/>
                <w:szCs w:val="20"/>
                <w:lang w:val="en-US" w:eastAsia="zh-CN"/>
                <w14:textFill>
                  <w14:solidFill>
                    <w14:schemeClr w14:val="tx1"/>
                  </w14:solidFill>
                </w14:textFill>
              </w:rPr>
              <w:t>1</w:t>
            </w:r>
            <w:r>
              <w:rPr>
                <w:rFonts w:hint="eastAsia" w:ascii="黑体" w:hAnsi="黑体" w:eastAsia="黑体" w:cs="黑体"/>
                <w:color w:val="000000" w:themeColor="text1"/>
                <w:sz w:val="20"/>
                <w:szCs w:val="20"/>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投标人基本情况表</w:t>
            </w:r>
          </w:p>
        </w:tc>
        <w:tc>
          <w:tcPr>
            <w:tcW w:w="3660" w:type="dxa"/>
            <w:vAlign w:val="center"/>
          </w:tcPr>
          <w:p w14:paraId="7FE6858F">
            <w:pPr>
              <w:adjustRightInd w:val="0"/>
              <w:snapToGrid w:val="0"/>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eastAsia="宋体" w:cs="Times New Roman"/>
                <w:b w:val="0"/>
                <w:bCs/>
                <w:color w:val="auto"/>
                <w:sz w:val="18"/>
                <w:szCs w:val="18"/>
                <w:vertAlign w:val="baseline"/>
                <w:lang w:val="en-US" w:eastAsia="zh-CN"/>
              </w:rPr>
              <w:t>如实填写相关信息；签字盖章齐全</w:t>
            </w:r>
          </w:p>
        </w:tc>
        <w:tc>
          <w:tcPr>
            <w:tcW w:w="1125" w:type="dxa"/>
            <w:vMerge w:val="restart"/>
            <w:vAlign w:val="center"/>
          </w:tcPr>
          <w:p w14:paraId="0B4AA0A0">
            <w:pPr>
              <w:adjustRightInd w:val="0"/>
              <w:snapToGrid w:val="0"/>
              <w:jc w:val="center"/>
              <w:rPr>
                <w:rFonts w:ascii="宋体" w:hAnsi="宋体"/>
                <w:b/>
                <w:color w:val="000000" w:themeColor="text1"/>
                <w:szCs w:val="21"/>
                <w14:textFill>
                  <w14:solidFill>
                    <w14:schemeClr w14:val="tx1"/>
                  </w14:solidFill>
                </w14:textFill>
              </w:rPr>
            </w:pPr>
          </w:p>
        </w:tc>
      </w:tr>
      <w:tr w14:paraId="47E7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dxa"/>
            <w:vMerge w:val="continue"/>
            <w:vAlign w:val="center"/>
          </w:tcPr>
          <w:p w14:paraId="2A790F5B">
            <w:pPr>
              <w:adjustRightInd w:val="0"/>
              <w:snapToGrid w:val="0"/>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701683EC">
            <w:pPr>
              <w:adjustRightInd w:val="0"/>
              <w:snapToGrid w:val="0"/>
              <w:jc w:val="center"/>
              <w:rPr>
                <w:rFonts w:ascii="宋体" w:hAnsi="宋体"/>
                <w:b/>
                <w:color w:val="000000" w:themeColor="text1"/>
                <w:szCs w:val="21"/>
                <w14:textFill>
                  <w14:solidFill>
                    <w14:schemeClr w14:val="tx1"/>
                  </w14:solidFill>
                </w14:textFill>
              </w:rPr>
            </w:pPr>
          </w:p>
        </w:tc>
        <w:tc>
          <w:tcPr>
            <w:tcW w:w="2879" w:type="dxa"/>
            <w:vAlign w:val="center"/>
          </w:tcPr>
          <w:p w14:paraId="4C60DF6D">
            <w:pPr>
              <w:adjustRightInd w:val="0"/>
              <w:snapToGrid w:val="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r>
              <w:rPr>
                <w:rFonts w:hint="eastAsia" w:ascii="宋体" w:hAnsi="宋体"/>
                <w:color w:val="000000" w:themeColor="text1"/>
                <w:szCs w:val="21"/>
                <w:lang w:val="en-US" w:eastAsia="zh-CN"/>
                <w14:textFill>
                  <w14:solidFill>
                    <w14:schemeClr w14:val="tx1"/>
                  </w14:solidFill>
                </w14:textFill>
              </w:rPr>
              <w:t>8：售后服务表</w:t>
            </w:r>
          </w:p>
        </w:tc>
        <w:tc>
          <w:tcPr>
            <w:tcW w:w="3660" w:type="dxa"/>
            <w:vAlign w:val="center"/>
          </w:tcPr>
          <w:p w14:paraId="078D2D02">
            <w:pPr>
              <w:adjustRightInd w:val="0"/>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s="Times New Roman"/>
                <w:b w:val="0"/>
                <w:bCs/>
                <w:color w:val="auto"/>
                <w:sz w:val="18"/>
                <w:szCs w:val="18"/>
                <w:vertAlign w:val="baseline"/>
                <w:lang w:val="en-US" w:eastAsia="zh-CN"/>
              </w:rPr>
              <w:t>根据投标企业实际情况填写</w:t>
            </w:r>
          </w:p>
        </w:tc>
        <w:tc>
          <w:tcPr>
            <w:tcW w:w="1125" w:type="dxa"/>
            <w:vMerge w:val="continue"/>
            <w:vAlign w:val="center"/>
          </w:tcPr>
          <w:p w14:paraId="60163B91">
            <w:pPr>
              <w:adjustRightInd w:val="0"/>
              <w:snapToGrid w:val="0"/>
              <w:jc w:val="center"/>
              <w:rPr>
                <w:rFonts w:ascii="宋体" w:hAnsi="宋体"/>
                <w:b/>
                <w:color w:val="000000" w:themeColor="text1"/>
                <w:szCs w:val="21"/>
                <w14:textFill>
                  <w14:solidFill>
                    <w14:schemeClr w14:val="tx1"/>
                  </w14:solidFill>
                </w14:textFill>
              </w:rPr>
            </w:pPr>
          </w:p>
        </w:tc>
      </w:tr>
      <w:tr w14:paraId="1C0C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dxa"/>
            <w:vMerge w:val="continue"/>
            <w:vAlign w:val="center"/>
          </w:tcPr>
          <w:p w14:paraId="06149226">
            <w:pPr>
              <w:adjustRightInd w:val="0"/>
              <w:snapToGrid w:val="0"/>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2AD316D8">
            <w:pPr>
              <w:adjustRightInd w:val="0"/>
              <w:snapToGrid w:val="0"/>
              <w:jc w:val="center"/>
              <w:rPr>
                <w:rFonts w:ascii="宋体" w:hAnsi="宋体"/>
                <w:b/>
                <w:color w:val="000000" w:themeColor="text1"/>
                <w:szCs w:val="21"/>
                <w14:textFill>
                  <w14:solidFill>
                    <w14:schemeClr w14:val="tx1"/>
                  </w14:solidFill>
                </w14:textFill>
              </w:rPr>
            </w:pPr>
          </w:p>
        </w:tc>
        <w:tc>
          <w:tcPr>
            <w:tcW w:w="2879" w:type="dxa"/>
            <w:vAlign w:val="center"/>
          </w:tcPr>
          <w:p w14:paraId="60AA82C3">
            <w:pPr>
              <w:adjustRightInd w:val="0"/>
              <w:snapToGrid w:val="0"/>
              <w:rPr>
                <w:rFonts w:ascii="宋体" w:hAnsi="宋体" w:cs="宋体"/>
                <w:color w:val="000000" w:themeColor="text1"/>
                <w:szCs w:val="21"/>
                <w:highlight w:val="yellow"/>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w:t>
            </w:r>
            <w:r>
              <w:rPr>
                <w:rFonts w:hint="eastAsia" w:ascii="黑体" w:hAnsi="黑体" w:eastAsia="黑体" w:cs="黑体"/>
                <w:color w:val="000000" w:themeColor="text1"/>
                <w:sz w:val="20"/>
                <w:szCs w:val="20"/>
                <w:lang w:val="en-US" w:eastAsia="zh-CN"/>
                <w14:textFill>
                  <w14:solidFill>
                    <w14:schemeClr w14:val="tx1"/>
                  </w14:solidFill>
                </w14:textFill>
              </w:rPr>
              <w:t>6</w:t>
            </w:r>
            <w:r>
              <w:rPr>
                <w:rFonts w:hint="eastAsia" w:ascii="黑体" w:hAnsi="黑体" w:eastAsia="黑体" w:cs="黑体"/>
                <w:color w:val="000000" w:themeColor="text1"/>
                <w:sz w:val="20"/>
                <w:szCs w:val="20"/>
                <w14:textFill>
                  <w14:solidFill>
                    <w14:schemeClr w14:val="tx1"/>
                  </w14:solidFill>
                </w14:textFill>
              </w:rPr>
              <w:t>：</w:t>
            </w:r>
            <w:r>
              <w:rPr>
                <w:rFonts w:hint="eastAsia" w:ascii="宋体" w:hAnsi="宋体"/>
                <w:color w:val="000000" w:themeColor="text1"/>
                <w:szCs w:val="21"/>
                <w14:textFill>
                  <w14:solidFill>
                    <w14:schemeClr w14:val="tx1"/>
                  </w14:solidFill>
                </w14:textFill>
              </w:rPr>
              <w:t>近</w:t>
            </w:r>
            <w:r>
              <w:rPr>
                <w:rFonts w:hint="eastAsia" w:ascii="宋体" w:hAnsi="宋体"/>
                <w:color w:val="000000" w:themeColor="text1"/>
                <w:szCs w:val="21"/>
                <w:lang w:eastAsia="zh-CN"/>
                <w14:textFill>
                  <w14:solidFill>
                    <w14:schemeClr w14:val="tx1"/>
                  </w14:solidFill>
                </w14:textFill>
              </w:rPr>
              <w:t>四</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eastAsia="zh-CN"/>
                <w14:textFill>
                  <w14:solidFill>
                    <w14:schemeClr w14:val="tx1"/>
                  </w14:solidFill>
                </w14:textFill>
              </w:rPr>
              <w:t>类似</w:t>
            </w:r>
            <w:r>
              <w:rPr>
                <w:rFonts w:hint="eastAsia" w:ascii="宋体" w:hAnsi="宋体"/>
                <w:color w:val="000000" w:themeColor="text1"/>
                <w:szCs w:val="21"/>
                <w14:textFill>
                  <w14:solidFill>
                    <w14:schemeClr w14:val="tx1"/>
                  </w14:solidFill>
                </w14:textFill>
              </w:rPr>
              <w:t>项目业绩表</w:t>
            </w:r>
          </w:p>
        </w:tc>
        <w:tc>
          <w:tcPr>
            <w:tcW w:w="3660" w:type="dxa"/>
            <w:vAlign w:val="center"/>
          </w:tcPr>
          <w:p w14:paraId="562C2C0D">
            <w:pPr>
              <w:adjustRightInd w:val="0"/>
              <w:snapToGrid w:val="0"/>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根据要求提供相关资料</w:t>
            </w:r>
          </w:p>
        </w:tc>
        <w:tc>
          <w:tcPr>
            <w:tcW w:w="1125" w:type="dxa"/>
            <w:vMerge w:val="continue"/>
            <w:vAlign w:val="center"/>
          </w:tcPr>
          <w:p w14:paraId="74A71FEE">
            <w:pPr>
              <w:adjustRightInd w:val="0"/>
              <w:snapToGrid w:val="0"/>
              <w:jc w:val="center"/>
              <w:rPr>
                <w:rFonts w:ascii="宋体" w:hAnsi="宋体"/>
                <w:b/>
                <w:color w:val="000000" w:themeColor="text1"/>
                <w:szCs w:val="21"/>
                <w14:textFill>
                  <w14:solidFill>
                    <w14:schemeClr w14:val="tx1"/>
                  </w14:solidFill>
                </w14:textFill>
              </w:rPr>
            </w:pPr>
          </w:p>
        </w:tc>
      </w:tr>
      <w:tr w14:paraId="62B3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dxa"/>
            <w:vMerge w:val="continue"/>
            <w:vAlign w:val="center"/>
          </w:tcPr>
          <w:p w14:paraId="7F76C42F">
            <w:pPr>
              <w:adjustRightInd w:val="0"/>
              <w:snapToGrid w:val="0"/>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1D555EAD">
            <w:pPr>
              <w:adjustRightInd w:val="0"/>
              <w:snapToGrid w:val="0"/>
              <w:jc w:val="center"/>
              <w:rPr>
                <w:rFonts w:ascii="宋体" w:hAnsi="宋体"/>
                <w:b/>
                <w:color w:val="000000" w:themeColor="text1"/>
                <w:szCs w:val="21"/>
                <w14:textFill>
                  <w14:solidFill>
                    <w14:schemeClr w14:val="tx1"/>
                  </w14:solidFill>
                </w14:textFill>
              </w:rPr>
            </w:pPr>
          </w:p>
        </w:tc>
        <w:tc>
          <w:tcPr>
            <w:tcW w:w="2879" w:type="dxa"/>
            <w:shd w:val="clear" w:color="auto" w:fill="auto"/>
            <w:vAlign w:val="center"/>
          </w:tcPr>
          <w:p w14:paraId="166BE92D">
            <w:pPr>
              <w:topLinePunc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投标企业根据评审相关要求提供相关资料</w:t>
            </w:r>
          </w:p>
        </w:tc>
        <w:tc>
          <w:tcPr>
            <w:tcW w:w="3660" w:type="dxa"/>
            <w:shd w:val="clear" w:color="auto" w:fill="auto"/>
            <w:vAlign w:val="center"/>
          </w:tcPr>
          <w:p w14:paraId="4B47335F">
            <w:pPr>
              <w:topLinePunc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资料要求根据评审要求中的描述提供</w:t>
            </w:r>
          </w:p>
        </w:tc>
        <w:tc>
          <w:tcPr>
            <w:tcW w:w="1125" w:type="dxa"/>
            <w:vMerge w:val="continue"/>
            <w:vAlign w:val="center"/>
          </w:tcPr>
          <w:p w14:paraId="1AD60D54">
            <w:pPr>
              <w:adjustRightInd w:val="0"/>
              <w:snapToGrid w:val="0"/>
              <w:jc w:val="center"/>
              <w:rPr>
                <w:rFonts w:ascii="宋体" w:hAnsi="宋体"/>
                <w:b/>
                <w:color w:val="000000" w:themeColor="text1"/>
                <w:szCs w:val="21"/>
                <w14:textFill>
                  <w14:solidFill>
                    <w14:schemeClr w14:val="tx1"/>
                  </w14:solidFill>
                </w14:textFill>
              </w:rPr>
            </w:pPr>
          </w:p>
        </w:tc>
      </w:tr>
      <w:tr w14:paraId="1C1F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dxa"/>
            <w:vMerge w:val="continue"/>
            <w:vAlign w:val="center"/>
          </w:tcPr>
          <w:p w14:paraId="6751EC19">
            <w:pPr>
              <w:adjustRightInd w:val="0"/>
              <w:snapToGrid w:val="0"/>
              <w:jc w:val="center"/>
              <w:rPr>
                <w:rFonts w:ascii="宋体" w:hAnsi="宋体"/>
                <w:b/>
                <w:color w:val="000000" w:themeColor="text1"/>
                <w:szCs w:val="21"/>
                <w14:textFill>
                  <w14:solidFill>
                    <w14:schemeClr w14:val="tx1"/>
                  </w14:solidFill>
                </w14:textFill>
              </w:rPr>
            </w:pPr>
          </w:p>
        </w:tc>
        <w:tc>
          <w:tcPr>
            <w:tcW w:w="472" w:type="dxa"/>
            <w:vMerge w:val="continue"/>
            <w:vAlign w:val="center"/>
          </w:tcPr>
          <w:p w14:paraId="2E01D6FE">
            <w:pPr>
              <w:adjustRightInd w:val="0"/>
              <w:snapToGrid w:val="0"/>
              <w:jc w:val="center"/>
              <w:rPr>
                <w:rFonts w:ascii="宋体" w:hAnsi="宋体"/>
                <w:b/>
                <w:color w:val="000000" w:themeColor="text1"/>
                <w:szCs w:val="21"/>
                <w14:textFill>
                  <w14:solidFill>
                    <w14:schemeClr w14:val="tx1"/>
                  </w14:solidFill>
                </w14:textFill>
              </w:rPr>
            </w:pPr>
          </w:p>
        </w:tc>
        <w:tc>
          <w:tcPr>
            <w:tcW w:w="2879" w:type="dxa"/>
            <w:shd w:val="clear" w:color="auto" w:fill="auto"/>
            <w:vAlign w:val="center"/>
          </w:tcPr>
          <w:p w14:paraId="2682057B">
            <w:pPr>
              <w:topLinePunct/>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r>
              <w:rPr>
                <w:rFonts w:hint="eastAsia" w:ascii="宋体" w:hAnsi="宋体"/>
                <w:color w:val="000000" w:themeColor="text1"/>
                <w:szCs w:val="21"/>
                <w:lang w:val="en-US" w:eastAsia="zh-CN"/>
                <w14:textFill>
                  <w14:solidFill>
                    <w14:schemeClr w14:val="tx1"/>
                  </w14:solidFill>
                </w14:textFill>
              </w:rPr>
              <w:t>11：其他证明相关材料</w:t>
            </w:r>
          </w:p>
        </w:tc>
        <w:tc>
          <w:tcPr>
            <w:tcW w:w="3660" w:type="dxa"/>
            <w:shd w:val="clear" w:color="auto" w:fill="auto"/>
            <w:vAlign w:val="center"/>
          </w:tcPr>
          <w:p w14:paraId="671B3538">
            <w:pPr>
              <w:topLinePunc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投标人可根据项目具体情况提供其他有利的评审证明材料</w:t>
            </w:r>
          </w:p>
        </w:tc>
        <w:tc>
          <w:tcPr>
            <w:tcW w:w="1125" w:type="dxa"/>
            <w:vMerge w:val="continue"/>
            <w:vAlign w:val="center"/>
          </w:tcPr>
          <w:p w14:paraId="40040BF5">
            <w:pPr>
              <w:adjustRightInd w:val="0"/>
              <w:snapToGrid w:val="0"/>
              <w:jc w:val="center"/>
              <w:rPr>
                <w:rFonts w:ascii="宋体" w:hAnsi="宋体"/>
                <w:b/>
                <w:color w:val="000000" w:themeColor="text1"/>
                <w:szCs w:val="21"/>
                <w14:textFill>
                  <w14:solidFill>
                    <w14:schemeClr w14:val="tx1"/>
                  </w14:solidFill>
                </w14:textFill>
              </w:rPr>
            </w:pPr>
          </w:p>
        </w:tc>
      </w:tr>
      <w:tr w14:paraId="5C54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36" w:type="dxa"/>
            <w:gridSpan w:val="2"/>
            <w:vMerge w:val="restart"/>
            <w:vAlign w:val="center"/>
          </w:tcPr>
          <w:p w14:paraId="72E222B7">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第四部分：</w:t>
            </w:r>
          </w:p>
          <w:p w14:paraId="33401701">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tc>
        <w:tc>
          <w:tcPr>
            <w:tcW w:w="2879" w:type="dxa"/>
            <w:vAlign w:val="center"/>
          </w:tcPr>
          <w:p w14:paraId="223DE6E3">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w:t>
            </w:r>
            <w:r>
              <w:rPr>
                <w:rFonts w:hint="eastAsia" w:ascii="黑体" w:hAnsi="黑体" w:eastAsia="黑体" w:cs="黑体"/>
                <w:color w:val="000000" w:themeColor="text1"/>
                <w:sz w:val="20"/>
                <w:szCs w:val="20"/>
                <w:lang w:val="en-US" w:eastAsia="zh-CN"/>
                <w14:textFill>
                  <w14:solidFill>
                    <w14:schemeClr w14:val="tx1"/>
                  </w14:solidFill>
                </w14:textFill>
              </w:rPr>
              <w:t>5</w:t>
            </w:r>
            <w:r>
              <w:rPr>
                <w:rFonts w:hint="eastAsia" w:ascii="黑体" w:hAnsi="黑体" w:eastAsia="黑体" w:cs="黑体"/>
                <w:color w:val="000000" w:themeColor="text1"/>
                <w:sz w:val="20"/>
                <w:szCs w:val="20"/>
                <w14:textFill>
                  <w14:solidFill>
                    <w14:schemeClr w14:val="tx1"/>
                  </w14:solidFill>
                </w14:textFill>
              </w:rPr>
              <w:t>：</w:t>
            </w:r>
            <w:r>
              <w:rPr>
                <w:rFonts w:hint="eastAsia" w:ascii="宋体" w:hAnsi="宋体"/>
                <w:color w:val="000000" w:themeColor="text1"/>
                <w:szCs w:val="21"/>
                <w14:textFill>
                  <w14:solidFill>
                    <w14:schemeClr w14:val="tx1"/>
                  </w14:solidFill>
                </w14:textFill>
              </w:rPr>
              <w:t>开标一览表</w:t>
            </w:r>
          </w:p>
        </w:tc>
        <w:tc>
          <w:tcPr>
            <w:tcW w:w="3660" w:type="dxa"/>
            <w:vAlign w:val="center"/>
          </w:tcPr>
          <w:p w14:paraId="6F4DFBF5">
            <w:pPr>
              <w:adjustRightInd w:val="0"/>
              <w:snapToGrid w:val="0"/>
              <w:jc w:val="center"/>
              <w:rPr>
                <w:rFonts w:ascii="宋体" w:hAnsi="宋体"/>
                <w:b/>
                <w:color w:val="000000" w:themeColor="text1"/>
                <w:szCs w:val="21"/>
                <w14:textFill>
                  <w14:solidFill>
                    <w14:schemeClr w14:val="tx1"/>
                  </w14:solidFill>
                </w14:textFill>
              </w:rPr>
            </w:pPr>
          </w:p>
        </w:tc>
        <w:tc>
          <w:tcPr>
            <w:tcW w:w="1125" w:type="dxa"/>
            <w:vAlign w:val="center"/>
          </w:tcPr>
          <w:p w14:paraId="4C418A3C">
            <w:pPr>
              <w:adjustRightInd w:val="0"/>
              <w:snapToGrid w:val="0"/>
              <w:jc w:val="center"/>
              <w:rPr>
                <w:rFonts w:ascii="宋体" w:hAnsi="宋体"/>
                <w:b/>
                <w:color w:val="000000" w:themeColor="text1"/>
                <w:szCs w:val="21"/>
                <w14:textFill>
                  <w14:solidFill>
                    <w14:schemeClr w14:val="tx1"/>
                  </w14:solidFill>
                </w14:textFill>
              </w:rPr>
            </w:pPr>
          </w:p>
        </w:tc>
      </w:tr>
      <w:tr w14:paraId="3C83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gridSpan w:val="2"/>
            <w:vMerge w:val="continue"/>
            <w:vAlign w:val="center"/>
          </w:tcPr>
          <w:p w14:paraId="304AE7E4">
            <w:pPr>
              <w:adjustRightInd w:val="0"/>
              <w:snapToGrid w:val="0"/>
              <w:jc w:val="center"/>
              <w:rPr>
                <w:rFonts w:ascii="宋体" w:hAnsi="宋体"/>
                <w:b/>
                <w:color w:val="000000" w:themeColor="text1"/>
                <w:szCs w:val="21"/>
                <w14:textFill>
                  <w14:solidFill>
                    <w14:schemeClr w14:val="tx1"/>
                  </w14:solidFill>
                </w14:textFill>
              </w:rPr>
            </w:pPr>
          </w:p>
        </w:tc>
        <w:tc>
          <w:tcPr>
            <w:tcW w:w="2879" w:type="dxa"/>
            <w:vAlign w:val="center"/>
          </w:tcPr>
          <w:p w14:paraId="742DF4EE">
            <w:pPr>
              <w:adjustRightInd w:val="0"/>
              <w:snapToGrid w:val="0"/>
              <w:rPr>
                <w:rFonts w:ascii="黑体" w:hAnsi="黑体" w:eastAsia="黑体" w:cs="黑体"/>
                <w:color w:val="000000" w:themeColor="text1"/>
                <w:sz w:val="20"/>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中小企业声明函</w:t>
            </w:r>
          </w:p>
        </w:tc>
        <w:tc>
          <w:tcPr>
            <w:tcW w:w="3660" w:type="dxa"/>
            <w:vAlign w:val="center"/>
          </w:tcPr>
          <w:p w14:paraId="19543F66">
            <w:pPr>
              <w:adjustRightInd w:val="0"/>
              <w:snapToGrid w:val="0"/>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提供承诺函的投标供应商，需按照模版填写相关数据，不能更改该模版；满足小微企业要求时，享受</w:t>
            </w:r>
            <w:r>
              <w:rPr>
                <w:rFonts w:hint="eastAsia" w:ascii="宋体" w:hAnsi="宋体"/>
                <w:b/>
                <w:color w:val="000000" w:themeColor="text1"/>
                <w:szCs w:val="21"/>
                <w:lang w:val="en-US" w:eastAsia="zh-CN"/>
                <w14:textFill>
                  <w14:solidFill>
                    <w14:schemeClr w14:val="tx1"/>
                  </w14:solidFill>
                </w14:textFill>
              </w:rPr>
              <w:t>10%的价格扣除政策；填写错误及不符合、不提供的均不享受改优惠政策；</w:t>
            </w:r>
          </w:p>
        </w:tc>
        <w:tc>
          <w:tcPr>
            <w:tcW w:w="1125" w:type="dxa"/>
            <w:vAlign w:val="center"/>
          </w:tcPr>
          <w:p w14:paraId="5FFF665B">
            <w:pPr>
              <w:adjustRightInd w:val="0"/>
              <w:snapToGrid w:val="0"/>
              <w:jc w:val="center"/>
              <w:rPr>
                <w:rFonts w:ascii="宋体" w:hAnsi="宋体"/>
                <w:b/>
                <w:color w:val="000000" w:themeColor="text1"/>
                <w:szCs w:val="21"/>
                <w14:textFill>
                  <w14:solidFill>
                    <w14:schemeClr w14:val="tx1"/>
                  </w14:solidFill>
                </w14:textFill>
              </w:rPr>
            </w:pPr>
          </w:p>
        </w:tc>
      </w:tr>
    </w:tbl>
    <w:p w14:paraId="26704735">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14:paraId="51FBF4D2">
      <w:pPr>
        <w:adjustRightInd w:val="0"/>
        <w:snapToGrid w:val="0"/>
        <w:spacing w:line="360" w:lineRule="auto"/>
        <w:rPr>
          <w:rFonts w:hint="eastAsia" w:ascii="宋体" w:hAnsi="宋体" w:cs="宋体"/>
          <w:color w:val="000000" w:themeColor="text1"/>
          <w:sz w:val="28"/>
          <w:szCs w:val="28"/>
          <w14:textFill>
            <w14:solidFill>
              <w14:schemeClr w14:val="tx1"/>
            </w14:solidFill>
          </w14:textFill>
        </w:rPr>
      </w:pPr>
    </w:p>
    <w:p w14:paraId="21E53D3D">
      <w:pPr>
        <w:spacing w:line="360" w:lineRule="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1</w:t>
      </w:r>
    </w:p>
    <w:p w14:paraId="179396FD">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投标人基本情况表</w:t>
      </w:r>
    </w:p>
    <w:p w14:paraId="425E8435">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盖投标人单位章</w:t>
      </w:r>
    </w:p>
    <w:tbl>
      <w:tblPr>
        <w:tblStyle w:val="23"/>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01"/>
        <w:gridCol w:w="1143"/>
        <w:gridCol w:w="850"/>
        <w:gridCol w:w="590"/>
        <w:gridCol w:w="294"/>
        <w:gridCol w:w="777"/>
        <w:gridCol w:w="1635"/>
        <w:gridCol w:w="1409"/>
      </w:tblGrid>
      <w:tr w14:paraId="4386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2"/>
            <w:vAlign w:val="center"/>
          </w:tcPr>
          <w:p w14:paraId="5F7653E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w:t>
            </w:r>
          </w:p>
        </w:tc>
        <w:tc>
          <w:tcPr>
            <w:tcW w:w="3654" w:type="dxa"/>
            <w:gridSpan w:val="5"/>
            <w:vAlign w:val="center"/>
          </w:tcPr>
          <w:p w14:paraId="6ED1B326">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3E71C3D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409" w:type="dxa"/>
            <w:vAlign w:val="center"/>
          </w:tcPr>
          <w:p w14:paraId="27CCE9FD">
            <w:pPr>
              <w:topLinePunct/>
              <w:spacing w:line="440" w:lineRule="exact"/>
              <w:jc w:val="center"/>
              <w:rPr>
                <w:rFonts w:ascii="宋体" w:hAnsi="宋体" w:cs="宋体"/>
                <w:color w:val="000000" w:themeColor="text1"/>
                <w:szCs w:val="21"/>
                <w14:textFill>
                  <w14:solidFill>
                    <w14:schemeClr w14:val="tx1"/>
                  </w14:solidFill>
                </w14:textFill>
              </w:rPr>
            </w:pPr>
          </w:p>
        </w:tc>
      </w:tr>
      <w:tr w14:paraId="4DBE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2"/>
            <w:vAlign w:val="center"/>
          </w:tcPr>
          <w:p w14:paraId="2A0343E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3654" w:type="dxa"/>
            <w:gridSpan w:val="5"/>
            <w:vAlign w:val="center"/>
          </w:tcPr>
          <w:p w14:paraId="1A285344">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043E7A6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1409" w:type="dxa"/>
            <w:vAlign w:val="center"/>
          </w:tcPr>
          <w:p w14:paraId="4248E430">
            <w:pPr>
              <w:topLinePunct/>
              <w:spacing w:line="440" w:lineRule="exact"/>
              <w:jc w:val="center"/>
              <w:rPr>
                <w:rFonts w:ascii="宋体" w:hAnsi="宋体" w:cs="宋体"/>
                <w:color w:val="000000" w:themeColor="text1"/>
                <w:szCs w:val="21"/>
                <w14:textFill>
                  <w14:solidFill>
                    <w14:schemeClr w14:val="tx1"/>
                  </w14:solidFill>
                </w14:textFill>
              </w:rPr>
            </w:pPr>
          </w:p>
        </w:tc>
      </w:tr>
      <w:tr w14:paraId="2978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2"/>
            <w:vAlign w:val="center"/>
          </w:tcPr>
          <w:p w14:paraId="3386E36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3654" w:type="dxa"/>
            <w:gridSpan w:val="5"/>
            <w:vAlign w:val="center"/>
          </w:tcPr>
          <w:p w14:paraId="3315147A">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23427F9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409" w:type="dxa"/>
            <w:vAlign w:val="center"/>
          </w:tcPr>
          <w:p w14:paraId="45D984A9">
            <w:pPr>
              <w:topLinePunct/>
              <w:spacing w:line="440" w:lineRule="exact"/>
              <w:jc w:val="center"/>
              <w:rPr>
                <w:rFonts w:ascii="宋体" w:hAnsi="宋体" w:cs="宋体"/>
                <w:color w:val="000000" w:themeColor="text1"/>
                <w:szCs w:val="21"/>
                <w14:textFill>
                  <w14:solidFill>
                    <w14:schemeClr w14:val="tx1"/>
                  </w14:solidFill>
                </w14:textFill>
              </w:rPr>
            </w:pPr>
          </w:p>
        </w:tc>
      </w:tr>
      <w:tr w14:paraId="2A4A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2"/>
            <w:vAlign w:val="center"/>
          </w:tcPr>
          <w:p w14:paraId="2DF78281">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上年营业收入</w:t>
            </w:r>
          </w:p>
        </w:tc>
        <w:tc>
          <w:tcPr>
            <w:tcW w:w="3654" w:type="dxa"/>
            <w:gridSpan w:val="5"/>
            <w:vAlign w:val="center"/>
          </w:tcPr>
          <w:p w14:paraId="6521E027">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3A598E2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c>
          <w:tcPr>
            <w:tcW w:w="1409" w:type="dxa"/>
            <w:vAlign w:val="center"/>
          </w:tcPr>
          <w:p w14:paraId="1403240F">
            <w:pPr>
              <w:topLinePunct/>
              <w:spacing w:line="440" w:lineRule="exact"/>
              <w:jc w:val="center"/>
              <w:rPr>
                <w:rFonts w:ascii="宋体" w:hAnsi="宋体" w:cs="宋体"/>
                <w:color w:val="000000" w:themeColor="text1"/>
                <w:szCs w:val="21"/>
                <w14:textFill>
                  <w14:solidFill>
                    <w14:schemeClr w14:val="tx1"/>
                  </w14:solidFill>
                </w14:textFill>
              </w:rPr>
            </w:pPr>
          </w:p>
        </w:tc>
      </w:tr>
      <w:tr w14:paraId="7146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2"/>
            <w:vAlign w:val="center"/>
          </w:tcPr>
          <w:p w14:paraId="4E6170B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3654" w:type="dxa"/>
            <w:gridSpan w:val="5"/>
            <w:vAlign w:val="center"/>
          </w:tcPr>
          <w:p w14:paraId="29E71E65">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7EDD546">
            <w:pPr>
              <w:topLinePunct/>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409" w:type="dxa"/>
            <w:vAlign w:val="center"/>
          </w:tcPr>
          <w:p w14:paraId="315CA52C">
            <w:pPr>
              <w:topLinePunct/>
              <w:spacing w:line="440" w:lineRule="exact"/>
              <w:jc w:val="center"/>
              <w:rPr>
                <w:rFonts w:ascii="宋体" w:hAnsi="宋体"/>
                <w:color w:val="000000" w:themeColor="text1"/>
                <w:szCs w:val="21"/>
                <w14:textFill>
                  <w14:solidFill>
                    <w14:schemeClr w14:val="tx1"/>
                  </w14:solidFill>
                </w14:textFill>
              </w:rPr>
            </w:pPr>
          </w:p>
        </w:tc>
      </w:tr>
      <w:tr w14:paraId="08E1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060C580E">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2044" w:type="dxa"/>
            <w:gridSpan w:val="2"/>
            <w:vAlign w:val="center"/>
          </w:tcPr>
          <w:p w14:paraId="6DE0AA3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注册号码</w:t>
            </w:r>
          </w:p>
        </w:tc>
        <w:tc>
          <w:tcPr>
            <w:tcW w:w="1440" w:type="dxa"/>
            <w:gridSpan w:val="2"/>
            <w:vAlign w:val="center"/>
          </w:tcPr>
          <w:p w14:paraId="6FB4995E">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14:paraId="0F6F70C5">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044" w:type="dxa"/>
            <w:gridSpan w:val="2"/>
            <w:vAlign w:val="center"/>
          </w:tcPr>
          <w:p w14:paraId="576BDA45">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14:paraId="481A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794C82BB">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2"/>
            <w:vAlign w:val="center"/>
          </w:tcPr>
          <w:p w14:paraId="1169B1FD">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1440" w:type="dxa"/>
            <w:gridSpan w:val="2"/>
            <w:vAlign w:val="center"/>
          </w:tcPr>
          <w:p w14:paraId="1871D058">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14:paraId="5A651DFA">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发证日期</w:t>
            </w:r>
          </w:p>
        </w:tc>
        <w:tc>
          <w:tcPr>
            <w:tcW w:w="3044" w:type="dxa"/>
            <w:gridSpan w:val="2"/>
            <w:vAlign w:val="center"/>
          </w:tcPr>
          <w:p w14:paraId="447C9395">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14:paraId="6CB3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9" w:type="dxa"/>
            <w:vMerge w:val="continue"/>
            <w:vAlign w:val="center"/>
          </w:tcPr>
          <w:p w14:paraId="64461FC2">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2"/>
            <w:vAlign w:val="center"/>
          </w:tcPr>
          <w:p w14:paraId="1362DED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营业范围</w:t>
            </w:r>
          </w:p>
        </w:tc>
        <w:tc>
          <w:tcPr>
            <w:tcW w:w="5555" w:type="dxa"/>
            <w:gridSpan w:val="6"/>
            <w:vAlign w:val="center"/>
          </w:tcPr>
          <w:p w14:paraId="001CD690">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14:paraId="7DA3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3"/>
            <w:vAlign w:val="center"/>
          </w:tcPr>
          <w:p w14:paraId="0E187A6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基本账户开户行及帐号</w:t>
            </w:r>
          </w:p>
        </w:tc>
        <w:tc>
          <w:tcPr>
            <w:tcW w:w="5555" w:type="dxa"/>
            <w:gridSpan w:val="6"/>
            <w:vAlign w:val="center"/>
          </w:tcPr>
          <w:p w14:paraId="44E461D4">
            <w:pPr>
              <w:topLinePunct/>
              <w:spacing w:line="440" w:lineRule="exact"/>
              <w:jc w:val="center"/>
              <w:rPr>
                <w:rFonts w:ascii="宋体" w:hAnsi="宋体" w:cs="宋体"/>
                <w:color w:val="000000" w:themeColor="text1"/>
                <w:szCs w:val="21"/>
                <w14:textFill>
                  <w14:solidFill>
                    <w14:schemeClr w14:val="tx1"/>
                  </w14:solidFill>
                </w14:textFill>
              </w:rPr>
            </w:pPr>
          </w:p>
        </w:tc>
      </w:tr>
      <w:tr w14:paraId="48A4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3"/>
            <w:vAlign w:val="center"/>
          </w:tcPr>
          <w:p w14:paraId="75379EB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税务登记机关</w:t>
            </w:r>
          </w:p>
        </w:tc>
        <w:tc>
          <w:tcPr>
            <w:tcW w:w="5555" w:type="dxa"/>
            <w:gridSpan w:val="6"/>
            <w:vAlign w:val="center"/>
          </w:tcPr>
          <w:p w14:paraId="2F2DA73D">
            <w:pPr>
              <w:topLinePunct/>
              <w:spacing w:line="440" w:lineRule="exact"/>
              <w:jc w:val="center"/>
              <w:rPr>
                <w:rFonts w:ascii="宋体" w:hAnsi="宋体" w:cs="宋体"/>
                <w:color w:val="000000" w:themeColor="text1"/>
                <w:szCs w:val="21"/>
                <w14:textFill>
                  <w14:solidFill>
                    <w14:schemeClr w14:val="tx1"/>
                  </w14:solidFill>
                </w14:textFill>
              </w:rPr>
            </w:pPr>
          </w:p>
        </w:tc>
      </w:tr>
      <w:tr w14:paraId="1CBF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4"/>
            <w:vAlign w:val="center"/>
          </w:tcPr>
          <w:p w14:paraId="435EBAF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资质名称</w:t>
            </w:r>
          </w:p>
        </w:tc>
        <w:tc>
          <w:tcPr>
            <w:tcW w:w="884" w:type="dxa"/>
            <w:gridSpan w:val="2"/>
            <w:vAlign w:val="center"/>
          </w:tcPr>
          <w:p w14:paraId="7094A4A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777" w:type="dxa"/>
            <w:vAlign w:val="center"/>
          </w:tcPr>
          <w:p w14:paraId="4CC9F685">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3044" w:type="dxa"/>
            <w:gridSpan w:val="2"/>
            <w:vAlign w:val="center"/>
          </w:tcPr>
          <w:p w14:paraId="28AD847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r>
      <w:tr w14:paraId="3983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4"/>
            <w:vAlign w:val="center"/>
          </w:tcPr>
          <w:p w14:paraId="3F7183A2">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14:paraId="0407BB7D">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14:paraId="56BA4B91">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14:paraId="1FF7519F">
            <w:pPr>
              <w:topLinePunct/>
              <w:spacing w:line="440" w:lineRule="exact"/>
              <w:jc w:val="center"/>
              <w:rPr>
                <w:rFonts w:ascii="宋体" w:hAnsi="宋体" w:cs="宋体"/>
                <w:color w:val="000000" w:themeColor="text1"/>
                <w:szCs w:val="21"/>
                <w14:textFill>
                  <w14:solidFill>
                    <w14:schemeClr w14:val="tx1"/>
                  </w14:solidFill>
                </w14:textFill>
              </w:rPr>
            </w:pPr>
          </w:p>
        </w:tc>
      </w:tr>
    </w:tbl>
    <w:p w14:paraId="4016B969">
      <w:pPr>
        <w:adjustRightInd w:val="0"/>
        <w:snapToGrid w:val="0"/>
        <w:spacing w:line="360" w:lineRule="auto"/>
        <w:rPr>
          <w:rFonts w:hint="eastAsia" w:ascii="宋体" w:hAnsi="宋体" w:cs="宋体"/>
          <w:color w:val="000000" w:themeColor="text1"/>
          <w:sz w:val="28"/>
          <w:szCs w:val="28"/>
          <w14:textFill>
            <w14:solidFill>
              <w14:schemeClr w14:val="tx1"/>
            </w14:solidFill>
          </w14:textFill>
        </w:rPr>
      </w:pPr>
    </w:p>
    <w:p w14:paraId="2CECA80D">
      <w:pPr>
        <w:adjustRightInd w:val="0"/>
        <w:snapToGrid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56B24C4C">
      <w:pPr>
        <w:adjustRightInd w:val="0"/>
        <w:snapToGrid w:val="0"/>
        <w:spacing w:line="360" w:lineRule="auto"/>
        <w:rPr>
          <w:rFonts w:hint="eastAsia" w:ascii="宋体" w:hAnsi="宋体" w:cs="宋体"/>
          <w:color w:val="000000" w:themeColor="text1"/>
          <w:sz w:val="28"/>
          <w:szCs w:val="28"/>
          <w14:textFill>
            <w14:solidFill>
              <w14:schemeClr w14:val="tx1"/>
            </w14:solidFill>
          </w14:textFill>
        </w:rPr>
      </w:pPr>
    </w:p>
    <w:p w14:paraId="6BAF591D">
      <w:pPr>
        <w:adjustRightInd w:val="0"/>
        <w:snapToGrid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p>
    <w:p w14:paraId="003F4BB9">
      <w:pPr>
        <w:adjustRightInd w:val="0"/>
        <w:snapToGrid w:val="0"/>
        <w:spacing w:line="360" w:lineRule="auto"/>
        <w:rPr>
          <w:rFonts w:hint="eastAsia" w:ascii="宋体" w:hAnsi="宋体" w:cs="宋体"/>
          <w:color w:val="000000" w:themeColor="text1"/>
          <w:sz w:val="28"/>
          <w:szCs w:val="28"/>
          <w14:textFill>
            <w14:solidFill>
              <w14:schemeClr w14:val="tx1"/>
            </w14:solidFill>
          </w14:textFill>
        </w:rPr>
      </w:pPr>
    </w:p>
    <w:p w14:paraId="30C5CCB4">
      <w:pPr>
        <w:adjustRightInd w:val="0"/>
        <w:snapToGrid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w:t>
      </w:r>
    </w:p>
    <w:p w14:paraId="0C3703C1">
      <w:pPr>
        <w:pStyle w:val="33"/>
        <w:numPr>
          <w:ilvl w:val="0"/>
          <w:numId w:val="0"/>
        </w:numPr>
        <w:rPr>
          <w:b/>
          <w:bCs/>
          <w:color w:val="000000" w:themeColor="text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投标函</w:t>
      </w:r>
    </w:p>
    <w:p w14:paraId="3EB494C9">
      <w:pPr>
        <w:adjustRightInd w:val="0"/>
        <w:snapToGrid w:val="0"/>
        <w:spacing w:line="360" w:lineRule="auto"/>
        <w:rPr>
          <w:rFonts w:ascii="宋体" w:hAnsi="宋体" w:cs="宋体"/>
          <w:color w:val="000000" w:themeColor="text1"/>
          <w:szCs w:val="21"/>
          <w14:textFill>
            <w14:solidFill>
              <w14:schemeClr w14:val="tx1"/>
            </w14:solidFill>
          </w14:textFill>
        </w:rPr>
      </w:pPr>
    </w:p>
    <w:p w14:paraId="3441CE8D">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(采购人或采购代理机构)：</w:t>
      </w:r>
    </w:p>
    <w:p w14:paraId="27C22A9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(项目名称)的招标文件（项目编号：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）的全部内容，知悉参加投标的风险，我方承诺接受招标文件的全部条款且无任何异议。</w:t>
      </w:r>
    </w:p>
    <w:p w14:paraId="3EF5F7EC">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一、我方同意在招标文件中规定的提交投标文件截止时间起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日内(投标文件有效期</w:t>
      </w:r>
      <w:r>
        <w:rPr>
          <w:rFonts w:hint="eastAsia" w:ascii="宋体" w:hAnsi="宋体"/>
          <w:color w:val="000000" w:themeColor="text1"/>
          <w:sz w:val="21"/>
          <w:szCs w:val="21"/>
          <w:lang w:eastAsia="zh-CN"/>
          <w14:textFill>
            <w14:solidFill>
              <w14:schemeClr w14:val="tx1"/>
            </w14:solidFill>
          </w14:textFill>
        </w:rPr>
        <w:t>，包含第</w:t>
      </w:r>
      <w:r>
        <w:rPr>
          <w:rFonts w:hint="eastAsia" w:ascii="宋体" w:hAnsi="宋体"/>
          <w:color w:val="000000" w:themeColor="text1"/>
          <w:sz w:val="21"/>
          <w:szCs w:val="21"/>
          <w:lang w:val="en-US" w:eastAsia="zh-CN"/>
          <w14:textFill>
            <w14:solidFill>
              <w14:schemeClr w14:val="tx1"/>
            </w14:solidFill>
          </w14:textFill>
        </w:rPr>
        <w:t>90天</w:t>
      </w:r>
      <w:r>
        <w:rPr>
          <w:rFonts w:hint="eastAsia" w:ascii="宋体" w:hAnsi="宋体"/>
          <w:color w:val="000000" w:themeColor="text1"/>
          <w:sz w:val="21"/>
          <w:szCs w:val="21"/>
          <w14:textFill>
            <w14:solidFill>
              <w14:schemeClr w14:val="tx1"/>
            </w14:solidFill>
          </w14:textFill>
        </w:rPr>
        <w:t>)遵守本投标文件中的承诺且在此期限期满之前均具有法律约束力。</w:t>
      </w:r>
    </w:p>
    <w:p w14:paraId="1CF6349A">
      <w:pPr>
        <w:pStyle w:val="14"/>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二、我方提交加密投标文件电子版</w:t>
      </w:r>
      <w:r>
        <w:rPr>
          <w:rFonts w:hint="eastAsia" w:ascii="宋体" w:hAnsi="宋体"/>
          <w:color w:val="000000" w:themeColor="text1"/>
          <w:sz w:val="21"/>
          <w:szCs w:val="21"/>
          <w:u w:val="single"/>
          <w14:textFill>
            <w14:solidFill>
              <w14:schemeClr w14:val="tx1"/>
            </w14:solidFill>
          </w14:textFill>
        </w:rPr>
        <w:t xml:space="preserve">   壹  </w:t>
      </w:r>
      <w:r>
        <w:rPr>
          <w:rFonts w:hint="eastAsia" w:ascii="宋体" w:hAnsi="宋体"/>
          <w:color w:val="000000" w:themeColor="text1"/>
          <w:sz w:val="21"/>
          <w:szCs w:val="21"/>
          <w14:textFill>
            <w14:solidFill>
              <w14:schemeClr w14:val="tx1"/>
            </w14:solidFill>
          </w14:textFill>
        </w:rPr>
        <w:t>份，并保证投标文件提供的数据和材料是真实、准确的。否则，愿承担《政府采购法》</w:t>
      </w:r>
      <w:r>
        <w:rPr>
          <w:rFonts w:hint="eastAsia" w:ascii="宋体" w:hAnsi="宋体"/>
          <w:bCs/>
          <w:color w:val="000000" w:themeColor="text1"/>
          <w:sz w:val="21"/>
          <w:szCs w:val="21"/>
          <w14:textFill>
            <w14:solidFill>
              <w14:schemeClr w14:val="tx1"/>
            </w14:solidFill>
          </w14:textFill>
        </w:rPr>
        <w:t>第七十七条规定的法律责任。</w:t>
      </w:r>
    </w:p>
    <w:p w14:paraId="0B07F612">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14:paraId="1D7CC157">
      <w:pPr>
        <w:pStyle w:val="14"/>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四、我方承诺遵守《政府采购法》的有关规定，保证在获得中标资格后，按照招标文件确定的事项签订政府采购合同，履行双方所签订的合同，并承担合同规定的责任和义务。</w:t>
      </w:r>
    </w:p>
    <w:p w14:paraId="6268BA87">
      <w:pPr>
        <w:pStyle w:val="14"/>
        <w:adjustRightInd w:val="0"/>
        <w:snapToGrid w:val="0"/>
        <w:spacing w:line="360" w:lineRule="auto"/>
        <w:ind w:firstLine="480" w:firstLineChars="200"/>
        <w:rPr>
          <w:rFonts w:ascii="宋体" w:hAnsi="宋体" w:cs="宋体"/>
          <w:color w:val="000000" w:themeColor="text1"/>
          <w14:textFill>
            <w14:solidFill>
              <w14:schemeClr w14:val="tx1"/>
            </w14:solidFill>
          </w14:textFill>
        </w:rPr>
      </w:pPr>
    </w:p>
    <w:p w14:paraId="52E93471">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14:paraId="55EACC3E">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14:paraId="3FBA5E28">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14:paraId="76FB1E54">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14:paraId="3E3F0B79">
      <w:pPr>
        <w:pStyle w:val="14"/>
        <w:adjustRightInd w:val="0"/>
        <w:snapToGrid w:val="0"/>
        <w:spacing w:line="360" w:lineRule="auto"/>
        <w:rPr>
          <w:rFonts w:ascii="宋体" w:hAnsi="宋体" w:cs="宋体"/>
          <w:color w:val="000000" w:themeColor="text1"/>
          <w14:textFill>
            <w14:solidFill>
              <w14:schemeClr w14:val="tx1"/>
            </w14:solidFill>
          </w14:textFill>
        </w:rPr>
      </w:pPr>
    </w:p>
    <w:p w14:paraId="796D0508">
      <w:pPr>
        <w:pStyle w:val="14"/>
        <w:adjustRightInd w:val="0"/>
        <w:snapToGrid w:val="0"/>
        <w:spacing w:line="360" w:lineRule="auto"/>
        <w:rPr>
          <w:rFonts w:ascii="宋体" w:hAnsi="宋体" w:cs="宋体"/>
          <w:color w:val="000000" w:themeColor="text1"/>
          <w14:textFill>
            <w14:solidFill>
              <w14:schemeClr w14:val="tx1"/>
            </w14:solidFill>
          </w14:textFill>
        </w:rPr>
      </w:pPr>
    </w:p>
    <w:p w14:paraId="3D09C89B">
      <w:pPr>
        <w:pStyle w:val="14"/>
        <w:adjustRightInd w:val="0"/>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投标人名称(盖单位章)：</w:t>
      </w:r>
    </w:p>
    <w:p w14:paraId="1CAE3F49">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14:paraId="5BF0AEA4">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02128DB2">
      <w:pPr>
        <w:adjustRightInd w:val="0"/>
        <w:snapToGrid w:val="0"/>
        <w:spacing w:before="156" w:beforeLines="50" w:line="360" w:lineRule="auto"/>
        <w:rPr>
          <w:rFonts w:hint="eastAsia" w:ascii="宋体" w:hAnsi="宋体" w:cs="宋体"/>
          <w:color w:val="000000" w:themeColor="text1"/>
          <w:kern w:val="0"/>
          <w:sz w:val="28"/>
          <w:szCs w:val="28"/>
          <w14:textFill>
            <w14:solidFill>
              <w14:schemeClr w14:val="tx1"/>
            </w14:solidFill>
          </w14:textFill>
        </w:rPr>
      </w:pPr>
    </w:p>
    <w:p w14:paraId="69D7742F">
      <w:pPr>
        <w:adjustRightInd w:val="0"/>
        <w:snapToGrid w:val="0"/>
        <w:spacing w:before="156" w:beforeLines="50" w:line="360" w:lineRule="auto"/>
        <w:rPr>
          <w:rFonts w:hint="eastAsia" w:ascii="宋体" w:hAnsi="宋体" w:cs="宋体"/>
          <w:color w:val="000000" w:themeColor="text1"/>
          <w:kern w:val="0"/>
          <w:sz w:val="28"/>
          <w:szCs w:val="28"/>
          <w14:textFill>
            <w14:solidFill>
              <w14:schemeClr w14:val="tx1"/>
            </w14:solidFill>
          </w14:textFill>
        </w:rPr>
      </w:pPr>
    </w:p>
    <w:p w14:paraId="33250DEE">
      <w:pPr>
        <w:adjustRightInd w:val="0"/>
        <w:snapToGrid w:val="0"/>
        <w:spacing w:before="156" w:beforeLines="50" w:line="360" w:lineRule="auto"/>
        <w:rPr>
          <w:rFonts w:hint="eastAsia" w:ascii="宋体" w:hAnsi="宋体" w:cs="宋体"/>
          <w:color w:val="000000" w:themeColor="text1"/>
          <w:kern w:val="0"/>
          <w:sz w:val="28"/>
          <w:szCs w:val="28"/>
          <w14:textFill>
            <w14:solidFill>
              <w14:schemeClr w14:val="tx1"/>
            </w14:solidFill>
          </w14:textFill>
        </w:rPr>
      </w:pPr>
    </w:p>
    <w:p w14:paraId="1CD0353F">
      <w:pPr>
        <w:adjustRightInd w:val="0"/>
        <w:snapToGrid w:val="0"/>
        <w:spacing w:before="156" w:beforeLines="50" w:line="360" w:lineRule="auto"/>
        <w:rPr>
          <w:rFonts w:hint="eastAsia" w:ascii="宋体" w:hAnsi="宋体" w:cs="宋体"/>
          <w:color w:val="000000" w:themeColor="text1"/>
          <w:kern w:val="0"/>
          <w:sz w:val="28"/>
          <w:szCs w:val="28"/>
          <w14:textFill>
            <w14:solidFill>
              <w14:schemeClr w14:val="tx1"/>
            </w14:solidFill>
          </w14:textFill>
        </w:rPr>
      </w:pPr>
    </w:p>
    <w:p w14:paraId="5DFD308C">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78DE5348">
      <w:pPr>
        <w:adjustRightInd w:val="0"/>
        <w:snapToGrid w:val="0"/>
        <w:spacing w:line="360" w:lineRule="auto"/>
        <w:ind w:right="24"/>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w:t>
      </w:r>
      <w:r>
        <w:rPr>
          <w:rFonts w:hint="eastAsia" w:ascii="宋体" w:hAnsi="宋体" w:cs="宋体"/>
          <w:bCs/>
          <w:color w:val="000000" w:themeColor="text1"/>
          <w:sz w:val="28"/>
          <w:szCs w:val="28"/>
          <w:lang w:val="en-US" w:eastAsia="zh-CN"/>
          <w14:textFill>
            <w14:solidFill>
              <w14:schemeClr w14:val="tx1"/>
            </w14:solidFill>
          </w14:textFill>
        </w:rPr>
        <w:t>2-1</w:t>
      </w:r>
    </w:p>
    <w:p w14:paraId="4BF3D94A">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法定代表人身份证明(法定代表人参加招标)</w:t>
      </w:r>
    </w:p>
    <w:p w14:paraId="6EF1EB27">
      <w:pPr>
        <w:snapToGrid w:val="0"/>
        <w:spacing w:line="480" w:lineRule="auto"/>
        <w:rPr>
          <w:rFonts w:ascii="宋体" w:hAnsi="宋体" w:cs="宋体"/>
          <w:color w:val="000000" w:themeColor="text1"/>
          <w:szCs w:val="21"/>
          <w14:textFill>
            <w14:solidFill>
              <w14:schemeClr w14:val="tx1"/>
            </w14:solidFill>
          </w14:textFill>
        </w:rPr>
      </w:pPr>
    </w:p>
    <w:p w14:paraId="6EF58C0E">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22AB5018">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14:paraId="3AADEEFD">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14:paraId="7BBED991">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14:paraId="5DD9F0E9">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14:paraId="720873F2">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14:paraId="3DF7D46A">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14:paraId="1CFD2ADE">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14:paraId="2E9BCE8D">
      <w:pPr>
        <w:autoSpaceDE w:val="0"/>
        <w:autoSpaceDN w:val="0"/>
        <w:adjustRightInd w:val="0"/>
        <w:snapToGrid w:val="0"/>
        <w:spacing w:before="156" w:beforeLines="50" w:line="360" w:lineRule="auto"/>
        <w:jc w:val="left"/>
        <w:rPr>
          <w:rFonts w:ascii="宋体" w:hAnsi="宋体" w:cs="宋体"/>
          <w:color w:val="000000" w:themeColor="text1"/>
          <w:szCs w:val="21"/>
          <w14:textFill>
            <w14:solidFill>
              <w14:schemeClr w14:val="tx1"/>
            </w14:solidFill>
          </w14:textFill>
        </w:rPr>
      </w:pPr>
    </w:p>
    <w:p w14:paraId="444A8590">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14:paraId="1058EA24">
      <w:pPr>
        <w:snapToGrid w:val="0"/>
        <w:spacing w:line="480" w:lineRule="auto"/>
        <w:rPr>
          <w:rFonts w:ascii="宋体" w:hAnsi="宋体" w:cs="宋体"/>
          <w:color w:val="000000" w:themeColor="text1"/>
          <w:szCs w:val="21"/>
          <w14:textFill>
            <w14:solidFill>
              <w14:schemeClr w14:val="tx1"/>
            </w14:solidFill>
          </w14:textFill>
        </w:rPr>
      </w:pPr>
    </w:p>
    <w:p w14:paraId="4270A548">
      <w:pPr>
        <w:snapToGrid w:val="0"/>
        <w:rPr>
          <w:rFonts w:ascii="宋体" w:hAnsi="宋体" w:cs="宋体"/>
          <w:color w:val="000000" w:themeColor="text1"/>
          <w:szCs w:val="21"/>
          <w14:textFill>
            <w14:solidFill>
              <w14:schemeClr w14:val="tx1"/>
            </w14:solidFill>
          </w14:textFill>
        </w:rPr>
      </w:pPr>
    </w:p>
    <w:p w14:paraId="5E591B95">
      <w:pPr>
        <w:snapToGrid w:val="0"/>
        <w:rPr>
          <w:rFonts w:ascii="宋体" w:hAnsi="宋体" w:cs="宋体"/>
          <w:color w:val="000000" w:themeColor="text1"/>
          <w:szCs w:val="21"/>
          <w14:textFill>
            <w14:solidFill>
              <w14:schemeClr w14:val="tx1"/>
            </w14:solidFill>
          </w14:textFill>
        </w:rPr>
      </w:pPr>
    </w:p>
    <w:p w14:paraId="1F27DD1E">
      <w:pPr>
        <w:snapToGrid w:val="0"/>
        <w:rPr>
          <w:rFonts w:ascii="宋体" w:hAnsi="宋体" w:cs="宋体"/>
          <w:color w:val="000000" w:themeColor="text1"/>
          <w:szCs w:val="21"/>
          <w14:textFill>
            <w14:solidFill>
              <w14:schemeClr w14:val="tx1"/>
            </w14:solidFill>
          </w14:textFill>
        </w:rPr>
      </w:pPr>
    </w:p>
    <w:p w14:paraId="67B321FF">
      <w:pPr>
        <w:snapToGrid w:val="0"/>
        <w:rPr>
          <w:rFonts w:ascii="宋体" w:hAnsi="宋体" w:cs="宋体"/>
          <w:color w:val="000000" w:themeColor="text1"/>
          <w:szCs w:val="21"/>
          <w14:textFill>
            <w14:solidFill>
              <w14:schemeClr w14:val="tx1"/>
            </w14:solidFill>
          </w14:textFill>
        </w:rPr>
      </w:pPr>
    </w:p>
    <w:p w14:paraId="5C01E4C0">
      <w:pPr>
        <w:adjustRightInd w:val="0"/>
        <w:snapToGrid w:val="0"/>
        <w:spacing w:line="360" w:lineRule="auto"/>
        <w:rPr>
          <w:rFonts w:ascii="宋体" w:hAnsi="宋体" w:cs="宋体"/>
          <w:color w:val="000000" w:themeColor="text1"/>
          <w:szCs w:val="21"/>
          <w14:textFill>
            <w14:solidFill>
              <w14:schemeClr w14:val="tx1"/>
            </w14:solidFill>
          </w14:textFill>
        </w:rPr>
      </w:pPr>
    </w:p>
    <w:p w14:paraId="22B93325">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名称（盖单位章）：</w:t>
      </w:r>
    </w:p>
    <w:p w14:paraId="1FE39AEE">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14:paraId="531F6C27">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14:paraId="51A494E0">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14:paraId="5C329A58">
      <w:pPr>
        <w:adjustRightInd w:val="0"/>
        <w:snapToGrid w:val="0"/>
        <w:spacing w:line="360" w:lineRule="auto"/>
        <w:ind w:right="24"/>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w:t>
      </w:r>
      <w:r>
        <w:rPr>
          <w:rFonts w:hint="eastAsia" w:ascii="宋体" w:hAnsi="宋体" w:cs="宋体"/>
          <w:bCs/>
          <w:color w:val="000000" w:themeColor="text1"/>
          <w:sz w:val="28"/>
          <w:szCs w:val="28"/>
          <w:lang w:val="en-US" w:eastAsia="zh-CN"/>
          <w14:textFill>
            <w14:solidFill>
              <w14:schemeClr w14:val="tx1"/>
            </w14:solidFill>
          </w14:textFill>
        </w:rPr>
        <w:t>2-2</w:t>
      </w:r>
    </w:p>
    <w:p w14:paraId="6B1C2DC6">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法定代表人授权书(委托代理人参加招标)</w:t>
      </w:r>
    </w:p>
    <w:p w14:paraId="7C4407B9">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p>
    <w:p w14:paraId="4717AB3C">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（授权单位名称）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（姓名）</w:t>
      </w:r>
      <w:r>
        <w:rPr>
          <w:rFonts w:hint="eastAsia" w:ascii="宋体" w:hAnsi="宋体" w:cs="宋体"/>
          <w:color w:val="000000" w:themeColor="text1"/>
          <w:szCs w:val="21"/>
          <w14:textFill>
            <w14:solidFill>
              <w14:schemeClr w14:val="tx1"/>
            </w14:solidFill>
          </w14:textFill>
        </w:rPr>
        <w:t>为我方代理人。代理人根据授权，以我的名义签署、澄清、说明、补正、递交、撤回、修改</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标段投标文件、鉴定合同和处理有关事宜，其法律后果由我方承担。</w:t>
      </w:r>
    </w:p>
    <w:p w14:paraId="3565CC89">
      <w:pPr>
        <w:spacing w:line="560" w:lineRule="exact"/>
        <w:ind w:firstLine="5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p>
    <w:p w14:paraId="0FF683FC">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14:paraId="0EE7F832">
      <w:pPr>
        <w:pStyle w:val="14"/>
        <w:spacing w:line="560" w:lineRule="exact"/>
        <w:ind w:right="-553" w:firstLine="57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。性别:</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。年龄: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5854F314">
      <w:pPr>
        <w:pStyle w:val="14"/>
        <w:spacing w:line="560" w:lineRule="exact"/>
        <w:ind w:right="-553"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。职务:</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tbl>
      <w:tblPr>
        <w:tblStyle w:val="23"/>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7FAF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8" w:hRule="atLeast"/>
        </w:trPr>
        <w:tc>
          <w:tcPr>
            <w:tcW w:w="4873" w:type="dxa"/>
          </w:tcPr>
          <w:p w14:paraId="3C4D337B">
            <w:pPr>
              <w:tabs>
                <w:tab w:val="left" w:pos="0"/>
              </w:tabs>
              <w:spacing w:line="560" w:lineRule="exact"/>
              <w:rPr>
                <w:rFonts w:ascii="宋体" w:hAnsi="宋体" w:cs="宋体"/>
                <w:color w:val="000000" w:themeColor="text1"/>
                <w:szCs w:val="21"/>
                <w14:textFill>
                  <w14:solidFill>
                    <w14:schemeClr w14:val="tx1"/>
                  </w14:solidFill>
                </w14:textFill>
              </w:rPr>
            </w:pPr>
          </w:p>
          <w:p w14:paraId="721237BE">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身份证复印件（人像面）</w:t>
            </w:r>
          </w:p>
        </w:tc>
        <w:tc>
          <w:tcPr>
            <w:tcW w:w="4453" w:type="dxa"/>
          </w:tcPr>
          <w:p w14:paraId="5DCE074B">
            <w:pPr>
              <w:tabs>
                <w:tab w:val="left" w:pos="0"/>
              </w:tabs>
              <w:spacing w:line="560" w:lineRule="exact"/>
              <w:rPr>
                <w:rFonts w:ascii="宋体" w:hAnsi="宋体" w:cs="宋体"/>
                <w:color w:val="000000" w:themeColor="text1"/>
                <w:szCs w:val="21"/>
                <w14:textFill>
                  <w14:solidFill>
                    <w14:schemeClr w14:val="tx1"/>
                  </w14:solidFill>
                </w14:textFill>
              </w:rPr>
            </w:pPr>
          </w:p>
          <w:p w14:paraId="12EEA9CD">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代理人</w:t>
            </w:r>
            <w:r>
              <w:rPr>
                <w:rFonts w:hint="eastAsia" w:ascii="宋体" w:hAnsi="宋体" w:cs="宋体"/>
                <w:color w:val="000000" w:themeColor="text1"/>
                <w:szCs w:val="21"/>
                <w14:textFill>
                  <w14:solidFill>
                    <w14:schemeClr w14:val="tx1"/>
                  </w14:solidFill>
                </w14:textFill>
              </w:rPr>
              <w:t>身份证复印件（人像面）</w:t>
            </w:r>
          </w:p>
        </w:tc>
      </w:tr>
    </w:tbl>
    <w:p w14:paraId="7B7E729B">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投标单位：（盖企业公章）</w:t>
      </w:r>
    </w:p>
    <w:p w14:paraId="7C677909">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法定代表人：（签字）</w:t>
      </w:r>
    </w:p>
    <w:p w14:paraId="6111D753">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委托代理人：（签字）</w:t>
      </w:r>
    </w:p>
    <w:p w14:paraId="315E25A7">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p>
    <w:p w14:paraId="10E4BDBB">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电话：</w:t>
      </w:r>
    </w:p>
    <w:p w14:paraId="38F04EF4">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传真：</w:t>
      </w:r>
    </w:p>
    <w:p w14:paraId="27EDB10A">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邮政编号：</w:t>
      </w:r>
    </w:p>
    <w:p w14:paraId="24277363">
      <w:pPr>
        <w:tabs>
          <w:tab w:val="left" w:pos="0"/>
        </w:tabs>
        <w:spacing w:line="560" w:lineRule="exact"/>
        <w:ind w:firstLine="3465" w:firstLineChars="16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70936D07">
      <w:pPr>
        <w:adjustRightInd w:val="0"/>
        <w:snapToGrid w:val="0"/>
        <w:spacing w:before="156" w:beforeLines="50" w:line="360" w:lineRule="auto"/>
        <w:rPr>
          <w:rFonts w:hint="eastAsia" w:ascii="宋体" w:hAnsi="宋体" w:cs="宋体"/>
          <w:color w:val="000000" w:themeColor="text1"/>
          <w:kern w:val="0"/>
          <w:sz w:val="28"/>
          <w:szCs w:val="28"/>
          <w14:textFill>
            <w14:solidFill>
              <w14:schemeClr w14:val="tx1"/>
            </w14:solidFill>
          </w14:textFill>
        </w:rPr>
      </w:pPr>
    </w:p>
    <w:p w14:paraId="444686CE">
      <w:pPr>
        <w:adjustRightInd w:val="0"/>
        <w:snapToGrid w:val="0"/>
        <w:spacing w:before="156" w:beforeLines="50" w:line="360" w:lineRule="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附件</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3</w:t>
      </w:r>
    </w:p>
    <w:p w14:paraId="4D95AEBE">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14:paraId="4BFD4245">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u w:val="single"/>
        </w:rPr>
        <w:t>_</w:t>
      </w:r>
      <w:r>
        <w:rPr>
          <w:rFonts w:hint="eastAsia"/>
        </w:rPr>
        <w:t>(采购人或采购代理机构) :</w:t>
      </w:r>
    </w:p>
    <w:p w14:paraId="200C2A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14:paraId="5ED4F7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14:paraId="67D7FF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14:paraId="56C354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14:paraId="48DC52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14:paraId="76BA8944">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0F2EE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14:paraId="40CF5D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14:paraId="1259A5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14:paraId="15CAC6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14:paraId="34559F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14:paraId="6B535A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w:t>
      </w:r>
      <w:r>
        <w:rPr>
          <w:rFonts w:hint="eastAsia"/>
          <w:lang w:eastAsia="zh-CN"/>
        </w:rPr>
        <w:t>六</w:t>
      </w:r>
      <w:r>
        <w:rPr>
          <w:rFonts w:hint="eastAsia"/>
        </w:rPr>
        <w:t>)符合法律、行政法规规定的其他条件。</w:t>
      </w:r>
    </w:p>
    <w:p w14:paraId="543190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p>
    <w:p w14:paraId="0BB6AC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14:paraId="64FF47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14:paraId="26D536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14:paraId="0FE3A11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14:paraId="0A66C4C6">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14:paraId="5DD36196">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rPr>
      </w:pPr>
    </w:p>
    <w:p w14:paraId="181030B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法定代表人、负责人、本人、或授权代表(签字或印章):</w:t>
      </w:r>
      <w:r>
        <w:rPr>
          <w:rFonts w:hint="eastAsia"/>
          <w:lang w:val="en-US" w:eastAsia="zh-CN"/>
        </w:rPr>
        <w:t xml:space="preserve">               </w:t>
      </w:r>
    </w:p>
    <w:p w14:paraId="2DE1001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rPr>
      </w:pPr>
    </w:p>
    <w:p w14:paraId="747D093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14:paraId="6E438F43">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14:paraId="135A4DA3">
      <w:pPr>
        <w:ind w:firstLine="420" w:firstLineChars="200"/>
        <w:rPr>
          <w:rFonts w:hint="eastAsia" w:ascii="宋体" w:hAnsi="宋体" w:cs="宋体"/>
          <w:b/>
          <w:bCs/>
          <w:color w:val="000000" w:themeColor="text1"/>
          <w:szCs w:val="21"/>
          <w:lang w:eastAsia="zh-CN"/>
          <w14:textFill>
            <w14:solidFill>
              <w14:schemeClr w14:val="tx1"/>
            </w14:solidFill>
          </w14:textFill>
        </w:rPr>
      </w:pPr>
      <w:r>
        <w:rPr>
          <w:rFonts w:hint="eastAsia"/>
        </w:rPr>
        <w:t xml:space="preserve">注: </w:t>
      </w:r>
      <w:r>
        <w:rPr>
          <w:rFonts w:hint="eastAsia"/>
          <w:b/>
          <w:bCs/>
        </w:rPr>
        <w:t>1.条款投标供应商可自行选择是否提供本承诺函，若不提供本承诺函，应按《中华人民共和国政府采购法》《中华人民共和国政府采购法实施条例》及采购文件资格要求提供相应的证明材料。（①</w:t>
      </w:r>
      <w:r>
        <w:rPr>
          <w:rFonts w:hint="eastAsia" w:ascii="宋体" w:hAnsi="宋体"/>
          <w:b/>
          <w:bCs/>
          <w:color w:val="000000" w:themeColor="text1"/>
          <w:szCs w:val="21"/>
          <w14:textFill>
            <w14:solidFill>
              <w14:schemeClr w14:val="tx1"/>
            </w14:solidFill>
          </w14:textFill>
        </w:rPr>
        <w:t>无重大违法记录声明书、</w:t>
      </w:r>
      <w:r>
        <w:rPr>
          <w:rFonts w:hint="eastAsia" w:ascii="宋体" w:hAnsi="宋体" w:cs="宋体"/>
          <w:b/>
          <w:bCs/>
          <w:szCs w:val="21"/>
        </w:rPr>
        <w:t>②202</w:t>
      </w:r>
      <w:r>
        <w:rPr>
          <w:rFonts w:hint="eastAsia" w:ascii="宋体" w:hAnsi="宋体" w:cs="宋体"/>
          <w:b/>
          <w:bCs/>
          <w:szCs w:val="21"/>
          <w:lang w:val="en-US" w:eastAsia="zh-CN"/>
        </w:rPr>
        <w:t>3</w:t>
      </w:r>
      <w:r>
        <w:rPr>
          <w:rFonts w:hint="eastAsia" w:ascii="宋体" w:hAnsi="宋体" w:cs="宋体"/>
          <w:b/>
          <w:bCs/>
          <w:szCs w:val="21"/>
        </w:rPr>
        <w:t>年度财务审计报告或近六个月内银行出具的资信证明、③</w:t>
      </w:r>
      <w:r>
        <w:rPr>
          <w:rFonts w:hint="eastAsia" w:ascii="宋体" w:hAnsi="宋体" w:cs="宋体"/>
          <w:b/>
          <w:bCs/>
          <w:color w:val="000000" w:themeColor="text1"/>
          <w:szCs w:val="21"/>
          <w14:textFill>
            <w14:solidFill>
              <w14:schemeClr w14:val="tx1"/>
            </w14:solidFill>
          </w14:textFill>
        </w:rPr>
        <w:t>税务部门出具的202</w:t>
      </w:r>
      <w:r>
        <w:rPr>
          <w:rFonts w:hint="eastAsia" w:ascii="宋体" w:hAnsi="宋体" w:cs="宋体"/>
          <w:b/>
          <w:bCs/>
          <w:color w:val="000000" w:themeColor="text1"/>
          <w:szCs w:val="21"/>
          <w:lang w:val="en-US" w:eastAsia="zh-CN"/>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年任一个月完税证明、④</w:t>
      </w:r>
      <w:r>
        <w:rPr>
          <w:rFonts w:hint="eastAsia"/>
          <w:b/>
          <w:bCs/>
        </w:rPr>
        <w:t>社保机构出具的投标单位给员工近三个月</w:t>
      </w:r>
      <w:r>
        <w:rPr>
          <w:rFonts w:hint="eastAsia"/>
          <w:b/>
          <w:bCs/>
          <w:lang w:eastAsia="zh-CN"/>
        </w:rPr>
        <w:t>内任意一个月的</w:t>
      </w:r>
      <w:r>
        <w:rPr>
          <w:rFonts w:hint="eastAsia"/>
          <w:b/>
          <w:bCs/>
        </w:rPr>
        <w:t>社保缴纳证明、</w:t>
      </w:r>
      <w:r>
        <w:rPr>
          <w:rFonts w:hint="eastAsia" w:ascii="宋体" w:hAnsi="宋体" w:cs="宋体"/>
          <w:b/>
          <w:bCs/>
          <w:color w:val="000000" w:themeColor="text1"/>
          <w:szCs w:val="21"/>
          <w14:textFill>
            <w14:solidFill>
              <w14:schemeClr w14:val="tx1"/>
            </w14:solidFill>
          </w14:textFill>
        </w:rPr>
        <w:t>⑤具备履行合同所必需的设备和专业技术能力的承诺</w:t>
      </w:r>
      <w:r>
        <w:rPr>
          <w:rFonts w:hint="eastAsia" w:ascii="宋体" w:hAnsi="宋体" w:cs="宋体"/>
          <w:b/>
          <w:bCs/>
          <w:color w:val="000000" w:themeColor="text1"/>
          <w:szCs w:val="21"/>
          <w:lang w:eastAsia="zh-CN"/>
          <w14:textFill>
            <w14:solidFill>
              <w14:schemeClr w14:val="tx1"/>
            </w14:solidFill>
          </w14:textFill>
        </w:rPr>
        <w:t>、</w:t>
      </w:r>
    </w:p>
    <w:p w14:paraId="6462B802">
      <w:pPr>
        <w:ind w:firstLine="420" w:firstLineChars="200"/>
        <w:rPr>
          <w:highlight w:val="none"/>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14:paraId="56336616">
      <w:pPr>
        <w:ind w:firstLine="420" w:firstLineChars="200"/>
      </w:pPr>
      <w:r>
        <w:rPr>
          <w:rFonts w:hint="eastAsia"/>
        </w:rPr>
        <w:t>3.投标人的法定代表人或者授权代表的签字或盖章应真实、有效，如由授权代表签字或盖章的，应提供“法定代表人授权书”。</w:t>
      </w:r>
    </w:p>
    <w:p w14:paraId="1505DF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14:paraId="554ABB2B">
      <w:pPr>
        <w:spacing w:line="360" w:lineRule="auto"/>
      </w:pPr>
    </w:p>
    <w:p w14:paraId="5BBEEC72">
      <w:pPr>
        <w:adjustRightInd w:val="0"/>
        <w:snapToGrid w:val="0"/>
        <w:spacing w:line="360" w:lineRule="auto"/>
        <w:ind w:right="24"/>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w:t>
      </w:r>
      <w:r>
        <w:rPr>
          <w:rFonts w:hint="eastAsia" w:ascii="宋体" w:hAnsi="宋体" w:cs="宋体"/>
          <w:bCs/>
          <w:color w:val="000000" w:themeColor="text1"/>
          <w:sz w:val="28"/>
          <w:szCs w:val="28"/>
          <w:lang w:val="en-US" w:eastAsia="zh-CN"/>
          <w14:textFill>
            <w14:solidFill>
              <w14:schemeClr w14:val="tx1"/>
            </w14:solidFill>
          </w14:textFill>
        </w:rPr>
        <w:t>:3-1</w:t>
      </w:r>
    </w:p>
    <w:p w14:paraId="043D9FB1">
      <w:pPr>
        <w:autoSpaceDE w:val="0"/>
        <w:autoSpaceDN w:val="0"/>
        <w:adjustRightInd w:val="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 xml:space="preserve">         信用记录</w:t>
      </w:r>
    </w:p>
    <w:p w14:paraId="5D40AAA2">
      <w:pPr>
        <w:widowControl/>
        <w:adjustRightInd w:val="0"/>
        <w:snapToGrid w:val="0"/>
        <w:spacing w:line="360" w:lineRule="auto"/>
        <w:ind w:firstLine="444" w:firstLineChars="200"/>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（复印件并加盖投标单位公章）</w:t>
      </w:r>
    </w:p>
    <w:p w14:paraId="555719F6">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14:paraId="0D5A1EF7">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依据财库[2016]125号文件规定，投标单位须符合《关于在政府采购活动中查询及使用信用记录有关问题的通知》的相关要求，即具有良好的信用记录。</w:t>
      </w:r>
    </w:p>
    <w:p w14:paraId="7FA98210">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投标单位须提供本单位近3年（本项目至递交投标文件截止日前）“信用中国”网站（www.creditchina.gov.cn）及中国政府采购网（www.ccgp.gov.cn）已公布的信用记录查询截图。</w:t>
      </w:r>
      <w:r>
        <w:rPr>
          <w:rFonts w:hint="eastAsia"/>
          <w:b/>
          <w:bCs/>
        </w:rPr>
        <w:t>（网页打印件须自招标文件发布之日起至投标截止时间从上述网站中</w:t>
      </w:r>
      <w:r>
        <w:rPr>
          <w:rFonts w:hint="eastAsia"/>
          <w:b/>
          <w:bCs/>
          <w:lang w:eastAsia="zh-CN"/>
        </w:rPr>
        <w:t>通过浏览器打印</w:t>
      </w:r>
      <w:r>
        <w:rPr>
          <w:rFonts w:hint="eastAsia"/>
          <w:b/>
          <w:bCs/>
        </w:rPr>
        <w:t>）</w:t>
      </w:r>
    </w:p>
    <w:p w14:paraId="13194952">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截图含1）被列入失信被执行人</w:t>
      </w:r>
    </w:p>
    <w:p w14:paraId="4CC61A18">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2）重大税收违法案件当事人名单的投标单位</w:t>
      </w:r>
    </w:p>
    <w:p w14:paraId="303CFD46">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3）列入政府采购严重违法失信行为记录名单</w:t>
      </w:r>
    </w:p>
    <w:p w14:paraId="751A81A1">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14:paraId="2EF3E1D6">
      <w:pPr>
        <w:adjustRightInd w:val="0"/>
        <w:snapToGrid w:val="0"/>
        <w:ind w:left="-88" w:leftChars="-42" w:firstLine="222" w:firstLineChars="10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例如：网站搜索页输入投标单位名称，</w:t>
      </w:r>
      <w:r>
        <w:rPr>
          <w:rFonts w:hint="eastAsia" w:ascii="宋体" w:hAnsi="宋体" w:cs="宋体"/>
          <w:color w:val="000000" w:themeColor="text1"/>
          <w:spacing w:val="6"/>
          <w:kern w:val="0"/>
          <w:szCs w:val="21"/>
          <w:lang w:eastAsia="zh-CN"/>
          <w14:textFill>
            <w14:solidFill>
              <w14:schemeClr w14:val="tx1"/>
            </w14:solidFill>
          </w14:textFill>
        </w:rPr>
        <w:t>通过浏览器</w:t>
      </w:r>
      <w:r>
        <w:rPr>
          <w:rFonts w:hint="eastAsia" w:ascii="宋体" w:hAnsi="宋体" w:cs="宋体"/>
          <w:color w:val="000000" w:themeColor="text1"/>
          <w:spacing w:val="6"/>
          <w:kern w:val="0"/>
          <w:szCs w:val="21"/>
          <w14:textFill>
            <w14:solidFill>
              <w14:schemeClr w14:val="tx1"/>
            </w14:solidFill>
          </w14:textFill>
        </w:rPr>
        <w:t>查询结果</w:t>
      </w:r>
    </w:p>
    <w:p w14:paraId="39E42722">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14:paraId="411B36E4">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0C2475B9">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665935E9">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7E8FC29B">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593D600D">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593296EA">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56A8EA94">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4D2DE77C">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26675F91">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18C6C4F8">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63270E7B">
      <w:pPr>
        <w:rPr>
          <w:rFonts w:hint="eastAsia" w:ascii="宋体" w:hAnsi="宋体"/>
          <w:bCs/>
          <w:color w:val="000000" w:themeColor="text1"/>
          <w:sz w:val="28"/>
          <w:szCs w:val="28"/>
          <w14:textFill>
            <w14:solidFill>
              <w14:schemeClr w14:val="tx1"/>
            </w14:solidFill>
          </w14:textFill>
        </w:rPr>
      </w:pPr>
    </w:p>
    <w:p w14:paraId="15A89FF2">
      <w:pPr>
        <w:adjustRightInd w:val="0"/>
        <w:snapToGrid w:val="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3-2</w:t>
      </w:r>
    </w:p>
    <w:p w14:paraId="4EEBC896">
      <w:pPr>
        <w:adjustRightInd w:val="0"/>
        <w:snapToGrid w:val="0"/>
        <w:spacing w:line="360" w:lineRule="auto"/>
        <w:ind w:firstLine="560" w:firstLineChars="200"/>
        <w:jc w:val="center"/>
        <w:rPr>
          <w:rFonts w:ascii="宋体" w:hAnsi="宋体" w:cs="宋体"/>
          <w:color w:val="000000" w:themeColor="text1"/>
          <w:sz w:val="28"/>
          <w:szCs w:val="28"/>
          <w:highlight w:val="yellow"/>
          <w14:textFill>
            <w14:solidFill>
              <w14:schemeClr w14:val="tx1"/>
            </w14:solidFill>
          </w14:textFill>
        </w:rPr>
      </w:pPr>
    </w:p>
    <w:p w14:paraId="0C2CDC82">
      <w:pPr>
        <w:adjustRightInd w:val="0"/>
        <w:snapToGrid w:val="0"/>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具备履行合同所必需的设备和专业技术能力的承诺</w:t>
      </w:r>
    </w:p>
    <w:p w14:paraId="30A78357">
      <w:pPr>
        <w:adjustRightInd w:val="0"/>
        <w:snapToGrid w:val="0"/>
        <w:spacing w:line="360" w:lineRule="auto"/>
        <w:ind w:firstLine="560" w:firstLineChars="200"/>
        <w:jc w:val="center"/>
        <w:rPr>
          <w:rFonts w:ascii="宋体" w:hAnsi="宋体" w:cs="宋体"/>
          <w:color w:val="000000" w:themeColor="text1"/>
          <w:sz w:val="28"/>
          <w:szCs w:val="28"/>
          <w14:textFill>
            <w14:solidFill>
              <w14:schemeClr w14:val="tx1"/>
            </w14:solidFill>
          </w14:textFill>
        </w:rPr>
      </w:pPr>
    </w:p>
    <w:p w14:paraId="0DDA4F6F">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本投标单位郑重声明： </w:t>
      </w:r>
    </w:p>
    <w:p w14:paraId="183E8995">
      <w:pPr>
        <w:autoSpaceDE w:val="0"/>
        <w:autoSpaceDN w:val="0"/>
        <w:adjustRightInd w:val="0"/>
        <w:spacing w:line="440" w:lineRule="exact"/>
        <w:ind w:left="420"/>
        <w:jc w:val="left"/>
        <w:rPr>
          <w:rFonts w:ascii="宋体" w:hAnsi="宋体" w:cs="宋体"/>
          <w:color w:val="000000" w:themeColor="text1"/>
          <w:kern w:val="0"/>
          <w:sz w:val="23"/>
          <w:szCs w:val="23"/>
          <w14:textFill>
            <w14:solidFill>
              <w14:schemeClr w14:val="tx1"/>
            </w14:solidFill>
          </w14:textFill>
        </w:rPr>
      </w:pPr>
    </w:p>
    <w:p w14:paraId="04B2D577">
      <w:pPr>
        <w:autoSpaceDE w:val="0"/>
        <w:autoSpaceDN w:val="0"/>
        <w:adjustRightInd w:val="0"/>
        <w:spacing w:line="440" w:lineRule="exact"/>
        <w:ind w:firstLine="460" w:firstLineChars="200"/>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本公司（或单位）具备本项目履行合同所必需的设备和专业技术能力，特此承诺。 </w:t>
      </w:r>
    </w:p>
    <w:p w14:paraId="333669D6">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p>
    <w:p w14:paraId="5CC13F1E">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投标单位</w:t>
      </w:r>
      <w:r>
        <w:rPr>
          <w:rFonts w:hint="eastAsia" w:ascii="宋体" w:hAnsi="宋体" w:cs="宋体"/>
          <w:color w:val="000000" w:themeColor="text1"/>
          <w:szCs w:val="21"/>
          <w14:textFill>
            <w14:solidFill>
              <w14:schemeClr w14:val="tx1"/>
            </w14:solidFill>
          </w14:textFill>
        </w:rPr>
        <w:t>（盖单位章）：</w:t>
      </w:r>
    </w:p>
    <w:p w14:paraId="7A407F13">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5945B10C">
      <w:pPr>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p>
    <w:p w14:paraId="25D8BB7D">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14:paraId="06E2864E">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716AEED">
      <w:pPr>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w:t>
      </w:r>
      <w:r>
        <w:rPr>
          <w:rFonts w:hint="eastAsia" w:ascii="宋体" w:hAnsi="宋体"/>
          <w:bCs/>
          <w:color w:val="000000" w:themeColor="text1"/>
          <w:sz w:val="28"/>
          <w:szCs w:val="28"/>
          <w:lang w:val="en-US" w:eastAsia="zh-CN"/>
          <w14:textFill>
            <w14:solidFill>
              <w14:schemeClr w14:val="tx1"/>
            </w14:solidFill>
          </w14:textFill>
        </w:rPr>
        <w:t>4</w:t>
      </w:r>
    </w:p>
    <w:p w14:paraId="0216C99F">
      <w:pPr>
        <w:pStyle w:val="22"/>
        <w:ind w:left="0" w:leftChars="0" w:firstLine="0" w:firstLineChars="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参数偏离表（商务、技术）</w:t>
      </w:r>
    </w:p>
    <w:p w14:paraId="14E1B930">
      <w:pPr>
        <w:autoSpaceDE w:val="0"/>
        <w:autoSpaceDN w:val="0"/>
        <w:ind w:right="471"/>
        <w:textAlignment w:val="bottom"/>
        <w:rPr>
          <w:rFonts w:ascii="宋体" w:hAnsi="宋体" w:cs="Arial"/>
          <w:color w:val="000000" w:themeColor="text1"/>
          <w:u w:val="single"/>
          <w14:textFill>
            <w14:solidFill>
              <w14:schemeClr w14:val="tx1"/>
            </w14:solidFill>
          </w14:textFill>
        </w:rPr>
      </w:pPr>
    </w:p>
    <w:tbl>
      <w:tblPr>
        <w:tblStyle w:val="23"/>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14:paraId="4985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6" w:type="dxa"/>
            <w:vAlign w:val="center"/>
          </w:tcPr>
          <w:p w14:paraId="5C996346">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605" w:type="dxa"/>
            <w:vAlign w:val="center"/>
          </w:tcPr>
          <w:p w14:paraId="6AA7236B">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采购文件品目名称</w:t>
            </w:r>
          </w:p>
        </w:tc>
        <w:tc>
          <w:tcPr>
            <w:tcW w:w="1994" w:type="dxa"/>
            <w:vAlign w:val="center"/>
          </w:tcPr>
          <w:p w14:paraId="4F630A7A">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采购文件要求参数</w:t>
            </w:r>
          </w:p>
        </w:tc>
        <w:tc>
          <w:tcPr>
            <w:tcW w:w="1932" w:type="dxa"/>
            <w:vAlign w:val="center"/>
          </w:tcPr>
          <w:p w14:paraId="4317240F">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投标文件响应参数（</w:t>
            </w:r>
            <w:r>
              <w:rPr>
                <w:rFonts w:hint="eastAsia" w:ascii="宋体" w:hAnsi="宋体"/>
                <w:color w:val="000000" w:themeColor="text1"/>
                <w:szCs w:val="21"/>
                <w14:textFill>
                  <w14:solidFill>
                    <w14:schemeClr w14:val="tx1"/>
                  </w14:solidFill>
                </w14:textFill>
              </w:rPr>
              <w:t>投标文件技术参数</w:t>
            </w:r>
            <w:r>
              <w:rPr>
                <w:rFonts w:hint="eastAsia" w:ascii="宋体" w:hAnsi="宋体"/>
                <w:color w:val="000000" w:themeColor="text1"/>
                <w14:textFill>
                  <w14:solidFill>
                    <w14:schemeClr w14:val="tx1"/>
                  </w14:solidFill>
                </w14:textFill>
              </w:rPr>
              <w:t>）</w:t>
            </w:r>
          </w:p>
        </w:tc>
        <w:tc>
          <w:tcPr>
            <w:tcW w:w="1560" w:type="dxa"/>
            <w:vAlign w:val="center"/>
          </w:tcPr>
          <w:p w14:paraId="43312598">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相关证明文件中的描述在投标文件中的具体页码</w:t>
            </w:r>
          </w:p>
        </w:tc>
        <w:tc>
          <w:tcPr>
            <w:tcW w:w="1103" w:type="dxa"/>
            <w:vAlign w:val="center"/>
          </w:tcPr>
          <w:p w14:paraId="128AFBC6">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偏离说明（无偏离，正/负偏离及偏离情况）</w:t>
            </w:r>
          </w:p>
        </w:tc>
      </w:tr>
      <w:tr w14:paraId="79F7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66A28248">
            <w:pPr>
              <w:snapToGrid w:val="0"/>
              <w:spacing w:line="400" w:lineRule="exact"/>
              <w:jc w:val="center"/>
            </w:pPr>
            <w:r>
              <w:rPr>
                <w:rFonts w:hint="eastAsia"/>
              </w:rPr>
              <w:t>1</w:t>
            </w:r>
          </w:p>
        </w:tc>
        <w:tc>
          <w:tcPr>
            <w:tcW w:w="1605" w:type="dxa"/>
            <w:vAlign w:val="center"/>
          </w:tcPr>
          <w:p w14:paraId="3DC8E843">
            <w:pPr>
              <w:snapToGrid w:val="0"/>
              <w:spacing w:line="400" w:lineRule="exact"/>
              <w:jc w:val="center"/>
              <w:rPr>
                <w:rFonts w:hint="eastAsia" w:ascii="宋体" w:hAnsi="宋体" w:eastAsia="宋体" w:cs="宋体"/>
                <w:i/>
                <w:iCs/>
                <w:szCs w:val="21"/>
                <w:lang w:eastAsia="zh-CN"/>
              </w:rPr>
            </w:pPr>
            <w:r>
              <w:rPr>
                <w:rFonts w:hint="eastAsia" w:ascii="宋体" w:hAnsi="宋体"/>
                <w:szCs w:val="21"/>
              </w:rPr>
              <w:t>第二章第1.5款：</w:t>
            </w:r>
            <w:r>
              <w:rPr>
                <w:rFonts w:hint="eastAsia" w:ascii="宋体" w:hAnsi="宋体"/>
                <w:lang w:eastAsia="zh-CN"/>
              </w:rPr>
              <w:t>供货期限</w:t>
            </w:r>
          </w:p>
        </w:tc>
        <w:tc>
          <w:tcPr>
            <w:tcW w:w="1994" w:type="dxa"/>
            <w:vAlign w:val="center"/>
          </w:tcPr>
          <w:p w14:paraId="67DF9260">
            <w:pPr>
              <w:shd w:val="clear" w:color="auto" w:fill="FFFFFF"/>
              <w:spacing w:line="400" w:lineRule="exact"/>
              <w:ind w:left="-88" w:leftChars="-42"/>
              <w:jc w:val="center"/>
              <w:rPr>
                <w:rFonts w:hint="default" w:ascii="宋体" w:hAnsi="宋体" w:eastAsia="宋体"/>
                <w:lang w:val="en-US" w:eastAsia="zh-CN"/>
              </w:rPr>
            </w:pPr>
            <w:r>
              <w:rPr>
                <w:rFonts w:hint="eastAsia" w:ascii="宋体" w:hAnsi="宋体"/>
                <w:lang w:eastAsia="zh-CN"/>
              </w:rPr>
              <w:t>合同签订后</w:t>
            </w:r>
            <w:r>
              <w:rPr>
                <w:rFonts w:hint="eastAsia" w:ascii="宋体" w:hAnsi="宋体"/>
                <w:lang w:val="en-US" w:eastAsia="zh-CN"/>
              </w:rPr>
              <w:t>6个月内供货完毕</w:t>
            </w:r>
          </w:p>
        </w:tc>
        <w:tc>
          <w:tcPr>
            <w:tcW w:w="1932" w:type="dxa"/>
            <w:vAlign w:val="center"/>
          </w:tcPr>
          <w:p w14:paraId="6E4AD28B">
            <w:pPr>
              <w:shd w:val="clear" w:color="auto" w:fill="FFFFFF"/>
              <w:spacing w:line="400" w:lineRule="exact"/>
              <w:ind w:left="-88" w:leftChars="-42"/>
              <w:rPr>
                <w:rFonts w:ascii="宋体" w:hAnsi="宋体" w:cs="宋体"/>
                <w:i/>
                <w:iCs/>
                <w:szCs w:val="21"/>
              </w:rPr>
            </w:pPr>
            <w:r>
              <w:rPr>
                <w:rFonts w:hint="eastAsia" w:ascii="宋体" w:hAnsi="宋体"/>
                <w:lang w:eastAsia="zh-CN"/>
              </w:rPr>
              <w:t>合同签订后</w:t>
            </w:r>
            <w:r>
              <w:rPr>
                <w:rFonts w:hint="eastAsia" w:ascii="宋体" w:hAnsi="宋体"/>
                <w:lang w:val="en-US" w:eastAsia="zh-CN"/>
              </w:rPr>
              <w:t>6个月内供货完毕</w:t>
            </w:r>
          </w:p>
        </w:tc>
        <w:tc>
          <w:tcPr>
            <w:tcW w:w="1560" w:type="dxa"/>
            <w:vAlign w:val="center"/>
          </w:tcPr>
          <w:p w14:paraId="2AAD3C5E">
            <w:pPr>
              <w:shd w:val="clear" w:color="auto" w:fill="FFFFFF"/>
              <w:spacing w:line="400" w:lineRule="exact"/>
              <w:ind w:left="-88" w:leftChars="-42"/>
              <w:jc w:val="center"/>
              <w:rPr>
                <w:rFonts w:ascii="宋体" w:hAnsi="宋体"/>
              </w:rPr>
            </w:pPr>
            <w:r>
              <w:rPr>
                <w:rFonts w:hint="eastAsia" w:ascii="宋体" w:hAnsi="宋体" w:cs="宋体"/>
                <w:kern w:val="0"/>
                <w:szCs w:val="21"/>
              </w:rPr>
              <w:t xml:space="preserve">开标一览表（符合性审查文件） </w:t>
            </w:r>
          </w:p>
        </w:tc>
        <w:tc>
          <w:tcPr>
            <w:tcW w:w="1103" w:type="dxa"/>
            <w:vAlign w:val="center"/>
          </w:tcPr>
          <w:p w14:paraId="465C86A9">
            <w:pPr>
              <w:shd w:val="clear" w:color="auto" w:fill="FFFFFF"/>
              <w:spacing w:line="400" w:lineRule="exact"/>
              <w:ind w:left="-88" w:leftChars="-42"/>
              <w:jc w:val="center"/>
              <w:rPr>
                <w:rFonts w:ascii="宋体" w:hAnsi="宋体"/>
              </w:rPr>
            </w:pPr>
          </w:p>
        </w:tc>
      </w:tr>
      <w:tr w14:paraId="5325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13470235">
            <w:pPr>
              <w:snapToGrid w:val="0"/>
              <w:spacing w:line="400" w:lineRule="exact"/>
              <w:jc w:val="center"/>
            </w:pPr>
            <w:r>
              <w:rPr>
                <w:rFonts w:hint="eastAsia"/>
              </w:rPr>
              <w:t>2</w:t>
            </w:r>
          </w:p>
        </w:tc>
        <w:tc>
          <w:tcPr>
            <w:tcW w:w="1605" w:type="dxa"/>
            <w:vAlign w:val="center"/>
          </w:tcPr>
          <w:p w14:paraId="2FDF3F52">
            <w:pPr>
              <w:snapToGrid w:val="0"/>
              <w:spacing w:line="400" w:lineRule="exact"/>
              <w:jc w:val="center"/>
              <w:rPr>
                <w:rFonts w:ascii="宋体" w:hAnsi="宋体"/>
              </w:rPr>
            </w:pPr>
            <w:r>
              <w:rPr>
                <w:rFonts w:hint="eastAsia" w:ascii="宋体" w:hAnsi="宋体"/>
                <w:szCs w:val="21"/>
              </w:rPr>
              <w:t>第二章第10.1款：</w:t>
            </w:r>
            <w:r>
              <w:rPr>
                <w:rFonts w:hint="eastAsia" w:ascii="宋体" w:hAnsi="宋体"/>
              </w:rPr>
              <w:t>质保期</w:t>
            </w:r>
          </w:p>
        </w:tc>
        <w:tc>
          <w:tcPr>
            <w:tcW w:w="1994" w:type="dxa"/>
            <w:vAlign w:val="center"/>
          </w:tcPr>
          <w:p w14:paraId="0F32958D">
            <w:pPr>
              <w:rPr>
                <w:rFonts w:hint="default" w:ascii="宋体" w:hAnsi="宋体" w:eastAsia="宋体"/>
                <w:lang w:val="en-US" w:eastAsia="zh-CN"/>
              </w:rPr>
            </w:pPr>
            <w:r>
              <w:rPr>
                <w:rFonts w:hint="eastAsia" w:ascii="宋体" w:hAnsi="宋体"/>
                <w:lang w:eastAsia="zh-CN"/>
              </w:rPr>
              <w:t>质保期为</w:t>
            </w:r>
            <w:r>
              <w:rPr>
                <w:rFonts w:hint="eastAsia" w:ascii="宋体" w:hAnsi="宋体"/>
                <w:lang w:val="en-US" w:eastAsia="zh-CN"/>
              </w:rPr>
              <w:t>2年</w:t>
            </w:r>
          </w:p>
        </w:tc>
        <w:tc>
          <w:tcPr>
            <w:tcW w:w="1932" w:type="dxa"/>
            <w:vAlign w:val="center"/>
          </w:tcPr>
          <w:p w14:paraId="175F5228">
            <w:pPr>
              <w:shd w:val="clear" w:color="auto" w:fill="FFFFFF"/>
              <w:spacing w:line="400" w:lineRule="exact"/>
              <w:ind w:left="-88" w:leftChars="-42"/>
              <w:jc w:val="center"/>
              <w:rPr>
                <w:rFonts w:ascii="宋体" w:hAnsi="宋体"/>
              </w:rPr>
            </w:pPr>
            <w:r>
              <w:rPr>
                <w:rFonts w:hint="eastAsia" w:ascii="宋体" w:hAnsi="宋体"/>
                <w:lang w:eastAsia="zh-CN"/>
              </w:rPr>
              <w:t>质保期为</w:t>
            </w:r>
            <w:r>
              <w:rPr>
                <w:rFonts w:hint="eastAsia" w:ascii="宋体" w:hAnsi="宋体"/>
                <w:lang w:val="en-US" w:eastAsia="zh-CN"/>
              </w:rPr>
              <w:t>2年</w:t>
            </w:r>
          </w:p>
        </w:tc>
        <w:tc>
          <w:tcPr>
            <w:tcW w:w="1560" w:type="dxa"/>
            <w:vAlign w:val="center"/>
          </w:tcPr>
          <w:p w14:paraId="44379BE0">
            <w:pPr>
              <w:shd w:val="clear" w:color="auto" w:fill="FFFFFF"/>
              <w:spacing w:line="400" w:lineRule="exact"/>
              <w:ind w:left="-88" w:leftChars="-42"/>
              <w:jc w:val="center"/>
              <w:rPr>
                <w:rFonts w:ascii="宋体" w:hAnsi="宋体"/>
              </w:rPr>
            </w:pPr>
            <w:r>
              <w:rPr>
                <w:rFonts w:hint="eastAsia" w:ascii="宋体" w:hAnsi="宋体" w:cs="宋体"/>
                <w:kern w:val="0"/>
                <w:szCs w:val="21"/>
              </w:rPr>
              <w:t>开标一览表（符合性审查文件）</w:t>
            </w:r>
          </w:p>
        </w:tc>
        <w:tc>
          <w:tcPr>
            <w:tcW w:w="1103" w:type="dxa"/>
            <w:vAlign w:val="center"/>
          </w:tcPr>
          <w:p w14:paraId="19C50AD5">
            <w:pPr>
              <w:shd w:val="clear" w:color="auto" w:fill="FFFFFF"/>
              <w:spacing w:line="400" w:lineRule="exact"/>
              <w:ind w:left="-88" w:leftChars="-42"/>
              <w:jc w:val="center"/>
              <w:rPr>
                <w:rFonts w:ascii="宋体" w:hAnsi="宋体"/>
              </w:rPr>
            </w:pPr>
          </w:p>
        </w:tc>
      </w:tr>
      <w:tr w14:paraId="397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39462B37">
            <w:pPr>
              <w:snapToGrid w:val="0"/>
              <w:spacing w:line="400" w:lineRule="exact"/>
              <w:jc w:val="center"/>
              <w:rPr>
                <w:rFonts w:ascii="宋体" w:hAnsi="宋体"/>
              </w:rPr>
            </w:pPr>
            <w:r>
              <w:rPr>
                <w:rFonts w:hint="eastAsia"/>
              </w:rPr>
              <w:t>3</w:t>
            </w:r>
          </w:p>
        </w:tc>
        <w:tc>
          <w:tcPr>
            <w:tcW w:w="1605" w:type="dxa"/>
            <w:vAlign w:val="center"/>
          </w:tcPr>
          <w:p w14:paraId="02895050">
            <w:pPr>
              <w:numPr>
                <w:ilvl w:val="0"/>
                <w:numId w:val="0"/>
              </w:numPr>
              <w:snapToGrid w:val="0"/>
              <w:spacing w:line="400" w:lineRule="exact"/>
              <w:ind w:leftChars="0"/>
              <w:jc w:val="both"/>
              <w:rPr>
                <w:rFonts w:hint="eastAsia" w:ascii="宋体" w:hAnsi="宋体"/>
              </w:rPr>
            </w:pPr>
            <w:r>
              <w:rPr>
                <w:rFonts w:hint="eastAsia" w:ascii="宋体" w:hAnsi="宋体"/>
                <w:lang w:val="en-US" w:eastAsia="zh-CN"/>
              </w:rPr>
              <w:t>第五章：采购需求表中标的物</w:t>
            </w:r>
            <w:r>
              <w:rPr>
                <w:rFonts w:hint="eastAsia" w:ascii="宋体" w:hAnsi="宋体"/>
              </w:rPr>
              <w:t>：</w:t>
            </w:r>
          </w:p>
          <w:p w14:paraId="2A511414">
            <w:pPr>
              <w:pStyle w:val="16"/>
              <w:rPr>
                <w:rFonts w:hint="default" w:asciiTheme="minorEastAsia" w:hAnsiTheme="minorEastAsia" w:eastAsiaTheme="minorEastAsia" w:cstheme="minorEastAsia"/>
                <w:b w:val="0"/>
                <w:bCs w:val="0"/>
                <w:i w:val="0"/>
                <w:iCs w:val="0"/>
                <w:color w:val="auto"/>
                <w:sz w:val="24"/>
                <w:szCs w:val="24"/>
                <w:u w:val="none"/>
                <w:lang w:val="en-US" w:eastAsia="zh-CN"/>
              </w:rPr>
            </w:pPr>
          </w:p>
          <w:p w14:paraId="53DD2F98">
            <w:pPr>
              <w:pStyle w:val="16"/>
              <w:rPr>
                <w:rFonts w:hint="eastAsia"/>
              </w:rPr>
            </w:pPr>
            <w:r>
              <w:rPr>
                <w:rFonts w:hint="default" w:asciiTheme="minorEastAsia" w:hAnsiTheme="minorEastAsia" w:eastAsiaTheme="minorEastAsia" w:cstheme="minorEastAsia"/>
                <w:b w:val="0"/>
                <w:bCs w:val="0"/>
                <w:i w:val="0"/>
                <w:iCs w:val="0"/>
                <w:color w:val="auto"/>
                <w:sz w:val="24"/>
                <w:szCs w:val="24"/>
                <w:u w:val="none"/>
                <w:lang w:val="en-US" w:eastAsia="zh-CN"/>
              </w:rPr>
              <w:t>货物/车辆检查系统</w:t>
            </w:r>
          </w:p>
          <w:p w14:paraId="1B082FF4">
            <w:pPr>
              <w:numPr>
                <w:ilvl w:val="0"/>
                <w:numId w:val="0"/>
              </w:numPr>
              <w:snapToGrid w:val="0"/>
              <w:spacing w:line="400" w:lineRule="exact"/>
              <w:ind w:leftChars="0"/>
              <w:jc w:val="both"/>
              <w:rPr>
                <w:rFonts w:hint="eastAsia" w:ascii="宋体" w:hAnsi="宋体"/>
              </w:rPr>
            </w:pPr>
          </w:p>
          <w:p w14:paraId="08C5BC1B">
            <w:pPr>
              <w:numPr>
                <w:ilvl w:val="0"/>
                <w:numId w:val="0"/>
              </w:numPr>
              <w:snapToGrid w:val="0"/>
              <w:spacing w:line="400" w:lineRule="exact"/>
              <w:ind w:leftChars="0" w:firstLine="420" w:firstLineChars="200"/>
              <w:jc w:val="both"/>
              <w:rPr>
                <w:rFonts w:hint="eastAsia" w:ascii="宋体" w:hAnsi="宋体" w:eastAsia="宋体"/>
                <w:lang w:eastAsia="zh-CN"/>
              </w:rPr>
            </w:pPr>
          </w:p>
        </w:tc>
        <w:tc>
          <w:tcPr>
            <w:tcW w:w="1994" w:type="dxa"/>
            <w:vAlign w:val="center"/>
          </w:tcPr>
          <w:p w14:paraId="0AD7F06F">
            <w:pPr>
              <w:shd w:val="clear" w:color="auto" w:fill="FFFFFF"/>
              <w:spacing w:line="400" w:lineRule="exact"/>
              <w:ind w:left="-88" w:leftChars="-42"/>
              <w:jc w:val="center"/>
              <w:rPr>
                <w:rFonts w:hint="eastAsia" w:ascii="宋体" w:hAnsi="宋体" w:eastAsia="宋体"/>
                <w:lang w:val="en-US" w:eastAsia="zh-CN"/>
              </w:rPr>
            </w:pPr>
            <w:r>
              <w:rPr>
                <w:rFonts w:hint="eastAsia" w:ascii="宋体" w:hAnsi="宋体"/>
                <w:color w:val="000000" w:themeColor="text1"/>
                <w14:textFill>
                  <w14:solidFill>
                    <w14:schemeClr w14:val="tx1"/>
                  </w14:solidFill>
                </w14:textFill>
              </w:rPr>
              <w:t>采购文件</w:t>
            </w:r>
            <w:r>
              <w:rPr>
                <w:rFonts w:hint="eastAsia" w:ascii="宋体" w:hAnsi="宋体"/>
                <w:color w:val="000000" w:themeColor="text1"/>
                <w:lang w:eastAsia="zh-CN"/>
                <w14:textFill>
                  <w14:solidFill>
                    <w14:schemeClr w14:val="tx1"/>
                  </w14:solidFill>
                </w14:textFill>
              </w:rPr>
              <w:t>中</w:t>
            </w:r>
            <w:r>
              <w:rPr>
                <w:rFonts w:hint="eastAsia" w:ascii="宋体" w:hAnsi="宋体"/>
                <w:color w:val="000000" w:themeColor="text1"/>
                <w14:textFill>
                  <w14:solidFill>
                    <w14:schemeClr w14:val="tx1"/>
                  </w14:solidFill>
                </w14:textFill>
              </w:rPr>
              <w:t>要求</w:t>
            </w:r>
            <w:r>
              <w:rPr>
                <w:rFonts w:hint="eastAsia" w:ascii="宋体" w:hAnsi="宋体"/>
                <w:color w:val="000000" w:themeColor="text1"/>
                <w:lang w:eastAsia="zh-CN"/>
                <w14:textFill>
                  <w14:solidFill>
                    <w14:schemeClr w14:val="tx1"/>
                  </w14:solidFill>
                </w14:textFill>
              </w:rPr>
              <w:t>的参数</w:t>
            </w:r>
          </w:p>
        </w:tc>
        <w:tc>
          <w:tcPr>
            <w:tcW w:w="1932" w:type="dxa"/>
            <w:vAlign w:val="center"/>
          </w:tcPr>
          <w:p w14:paraId="31EE42BB">
            <w:pPr>
              <w:shd w:val="clear" w:color="auto" w:fill="FFFFFF"/>
              <w:spacing w:line="400" w:lineRule="exact"/>
              <w:ind w:left="-88" w:leftChars="-42"/>
              <w:jc w:val="center"/>
              <w:rPr>
                <w:rFonts w:ascii="宋体" w:hAnsi="宋体"/>
              </w:rPr>
            </w:pPr>
            <w:r>
              <w:rPr>
                <w:rFonts w:hint="eastAsia" w:ascii="宋体" w:hAnsi="宋体"/>
                <w:color w:val="000000" w:themeColor="text1"/>
                <w14:textFill>
                  <w14:solidFill>
                    <w14:schemeClr w14:val="tx1"/>
                  </w14:solidFill>
                </w14:textFill>
              </w:rPr>
              <w:t>投标文件</w:t>
            </w:r>
            <w:r>
              <w:rPr>
                <w:rFonts w:hint="eastAsia" w:ascii="宋体" w:hAnsi="宋体"/>
                <w:color w:val="000000" w:themeColor="text1"/>
                <w:lang w:eastAsia="zh-CN"/>
                <w14:textFill>
                  <w14:solidFill>
                    <w14:schemeClr w14:val="tx1"/>
                  </w14:solidFill>
                </w14:textFill>
              </w:rPr>
              <w:t>中</w:t>
            </w:r>
            <w:r>
              <w:rPr>
                <w:rFonts w:hint="eastAsia" w:ascii="宋体" w:hAnsi="宋体"/>
                <w:color w:val="000000" w:themeColor="text1"/>
                <w14:textFill>
                  <w14:solidFill>
                    <w14:schemeClr w14:val="tx1"/>
                  </w14:solidFill>
                </w14:textFill>
              </w:rPr>
              <w:t>响应</w:t>
            </w:r>
            <w:r>
              <w:rPr>
                <w:rFonts w:hint="eastAsia" w:ascii="宋体" w:hAnsi="宋体"/>
                <w:color w:val="000000" w:themeColor="text1"/>
                <w:lang w:eastAsia="zh-CN"/>
                <w14:textFill>
                  <w14:solidFill>
                    <w14:schemeClr w14:val="tx1"/>
                  </w14:solidFill>
                </w14:textFill>
              </w:rPr>
              <w:t>得</w:t>
            </w:r>
            <w:r>
              <w:rPr>
                <w:rFonts w:hint="eastAsia" w:ascii="宋体" w:hAnsi="宋体"/>
                <w:color w:val="000000" w:themeColor="text1"/>
                <w14:textFill>
                  <w14:solidFill>
                    <w14:schemeClr w14:val="tx1"/>
                  </w14:solidFill>
                </w14:textFill>
              </w:rPr>
              <w:t>参数</w:t>
            </w:r>
          </w:p>
        </w:tc>
        <w:tc>
          <w:tcPr>
            <w:tcW w:w="1560" w:type="dxa"/>
            <w:vAlign w:val="center"/>
          </w:tcPr>
          <w:p w14:paraId="4737C494">
            <w:pPr>
              <w:shd w:val="clear" w:color="auto" w:fill="FFFFFF"/>
              <w:spacing w:line="400" w:lineRule="exact"/>
              <w:ind w:left="-88" w:leftChars="-42"/>
              <w:jc w:val="center"/>
              <w:rPr>
                <w:rFonts w:ascii="宋体" w:hAnsi="宋体"/>
              </w:rPr>
            </w:pPr>
            <w:r>
              <w:rPr>
                <w:rFonts w:hint="eastAsia" w:ascii="宋体" w:hAnsi="宋体"/>
              </w:rPr>
              <w:t>投标明细表</w:t>
            </w:r>
          </w:p>
          <w:p w14:paraId="577EA6DE">
            <w:pPr>
              <w:shd w:val="clear" w:color="auto" w:fill="FFFFFF"/>
              <w:spacing w:line="400" w:lineRule="exact"/>
              <w:ind w:left="-88" w:leftChars="-42"/>
              <w:jc w:val="center"/>
              <w:rPr>
                <w:rFonts w:ascii="宋体" w:hAnsi="宋体"/>
              </w:rPr>
            </w:pPr>
            <w:r>
              <w:rPr>
                <w:rFonts w:hint="eastAsia" w:ascii="宋体" w:hAnsi="宋体"/>
              </w:rPr>
              <w:t>（页码）</w:t>
            </w:r>
          </w:p>
        </w:tc>
        <w:tc>
          <w:tcPr>
            <w:tcW w:w="1103" w:type="dxa"/>
            <w:vAlign w:val="center"/>
          </w:tcPr>
          <w:p w14:paraId="35DD5835">
            <w:pPr>
              <w:shd w:val="clear" w:color="auto" w:fill="FFFFFF"/>
              <w:spacing w:line="400" w:lineRule="exact"/>
              <w:ind w:left="-88" w:leftChars="-42"/>
              <w:jc w:val="center"/>
              <w:rPr>
                <w:rFonts w:hint="eastAsia" w:ascii="宋体" w:hAnsi="宋体" w:eastAsia="宋体"/>
                <w:lang w:eastAsia="zh-CN"/>
              </w:rPr>
            </w:pPr>
          </w:p>
        </w:tc>
      </w:tr>
      <w:tr w14:paraId="690D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241CD670">
            <w:pPr>
              <w:snapToGrid w:val="0"/>
              <w:spacing w:line="400" w:lineRule="exact"/>
              <w:jc w:val="center"/>
              <w:rPr>
                <w:rFonts w:hint="eastAsia" w:ascii="宋体" w:hAnsi="宋体" w:eastAsia="宋体"/>
                <w:lang w:val="en-US" w:eastAsia="zh-CN"/>
              </w:rPr>
            </w:pPr>
            <w:r>
              <w:rPr>
                <w:rFonts w:hint="eastAsia" w:ascii="宋体" w:hAnsi="宋体"/>
                <w:lang w:val="en-US" w:eastAsia="zh-CN"/>
              </w:rPr>
              <w:t>4</w:t>
            </w:r>
          </w:p>
        </w:tc>
        <w:tc>
          <w:tcPr>
            <w:tcW w:w="1605" w:type="dxa"/>
            <w:vAlign w:val="center"/>
          </w:tcPr>
          <w:p w14:paraId="1A487306">
            <w:pPr>
              <w:snapToGrid w:val="0"/>
              <w:spacing w:line="400" w:lineRule="exact"/>
              <w:jc w:val="center"/>
              <w:rPr>
                <w:rFonts w:ascii="宋体" w:hAnsi="宋体"/>
              </w:rPr>
            </w:pPr>
          </w:p>
        </w:tc>
        <w:tc>
          <w:tcPr>
            <w:tcW w:w="1994" w:type="dxa"/>
            <w:vAlign w:val="center"/>
          </w:tcPr>
          <w:p w14:paraId="5D441E51">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14:paraId="04B8F219">
            <w:pPr>
              <w:shd w:val="clear" w:color="auto" w:fill="FFFFFF"/>
              <w:spacing w:line="400" w:lineRule="exact"/>
              <w:ind w:left="-88" w:leftChars="-42"/>
              <w:jc w:val="center"/>
              <w:rPr>
                <w:rFonts w:ascii="宋体" w:hAnsi="宋体"/>
              </w:rPr>
            </w:pPr>
          </w:p>
        </w:tc>
        <w:tc>
          <w:tcPr>
            <w:tcW w:w="1560" w:type="dxa"/>
            <w:vAlign w:val="center"/>
          </w:tcPr>
          <w:p w14:paraId="173B835B">
            <w:pPr>
              <w:shd w:val="clear" w:color="auto" w:fill="FFFFFF"/>
              <w:spacing w:line="400" w:lineRule="exact"/>
              <w:ind w:left="-88" w:leftChars="-42"/>
              <w:jc w:val="center"/>
              <w:rPr>
                <w:rFonts w:ascii="宋体" w:hAnsi="宋体"/>
              </w:rPr>
            </w:pPr>
          </w:p>
        </w:tc>
        <w:tc>
          <w:tcPr>
            <w:tcW w:w="1103" w:type="dxa"/>
            <w:vAlign w:val="center"/>
          </w:tcPr>
          <w:p w14:paraId="4D7EC6CC">
            <w:pPr>
              <w:shd w:val="clear" w:color="auto" w:fill="FFFFFF"/>
              <w:spacing w:line="400" w:lineRule="exact"/>
              <w:ind w:left="-88" w:leftChars="-42"/>
              <w:jc w:val="center"/>
              <w:rPr>
                <w:rFonts w:ascii="宋体" w:hAnsi="宋体"/>
              </w:rPr>
            </w:pPr>
          </w:p>
        </w:tc>
      </w:tr>
      <w:tr w14:paraId="77E9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5F8C987A">
            <w:pPr>
              <w:snapToGrid w:val="0"/>
              <w:spacing w:line="400" w:lineRule="exact"/>
              <w:jc w:val="center"/>
              <w:rPr>
                <w:rFonts w:hint="eastAsia" w:ascii="宋体" w:hAnsi="宋体" w:eastAsia="宋体"/>
                <w:lang w:val="en-US" w:eastAsia="zh-CN"/>
              </w:rPr>
            </w:pPr>
            <w:r>
              <w:rPr>
                <w:rFonts w:hint="eastAsia" w:ascii="宋体" w:hAnsi="宋体"/>
                <w:lang w:val="en-US" w:eastAsia="zh-CN"/>
              </w:rPr>
              <w:t>5</w:t>
            </w:r>
          </w:p>
        </w:tc>
        <w:tc>
          <w:tcPr>
            <w:tcW w:w="1605" w:type="dxa"/>
            <w:vAlign w:val="center"/>
          </w:tcPr>
          <w:p w14:paraId="4C0822FC">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14:paraId="64B885DE">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14:paraId="3B8FF7B0">
            <w:pPr>
              <w:shd w:val="clear" w:color="auto" w:fill="FFFFFF"/>
              <w:spacing w:line="400" w:lineRule="exact"/>
              <w:ind w:left="-88" w:leftChars="-42"/>
              <w:jc w:val="center"/>
              <w:rPr>
                <w:rFonts w:ascii="宋体" w:hAnsi="宋体"/>
              </w:rPr>
            </w:pPr>
          </w:p>
        </w:tc>
        <w:tc>
          <w:tcPr>
            <w:tcW w:w="1560" w:type="dxa"/>
            <w:vAlign w:val="center"/>
          </w:tcPr>
          <w:p w14:paraId="5EB4FD80">
            <w:pPr>
              <w:shd w:val="clear" w:color="auto" w:fill="FFFFFF"/>
              <w:spacing w:line="400" w:lineRule="exact"/>
              <w:ind w:left="-88" w:leftChars="-42"/>
              <w:jc w:val="center"/>
              <w:rPr>
                <w:rFonts w:ascii="宋体" w:hAnsi="宋体"/>
              </w:rPr>
            </w:pPr>
          </w:p>
        </w:tc>
        <w:tc>
          <w:tcPr>
            <w:tcW w:w="1103" w:type="dxa"/>
            <w:vAlign w:val="center"/>
          </w:tcPr>
          <w:p w14:paraId="6349C3AE">
            <w:pPr>
              <w:shd w:val="clear" w:color="auto" w:fill="FFFFFF"/>
              <w:spacing w:line="400" w:lineRule="exact"/>
              <w:ind w:left="-88" w:leftChars="-42"/>
              <w:jc w:val="center"/>
              <w:rPr>
                <w:rFonts w:ascii="宋体" w:hAnsi="宋体"/>
              </w:rPr>
            </w:pPr>
          </w:p>
        </w:tc>
      </w:tr>
      <w:tr w14:paraId="18E8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7C0BE68F">
            <w:pPr>
              <w:snapToGrid w:val="0"/>
              <w:spacing w:line="400" w:lineRule="exact"/>
              <w:jc w:val="center"/>
              <w:rPr>
                <w:rFonts w:hint="eastAsia" w:ascii="宋体" w:hAnsi="宋体" w:eastAsia="宋体"/>
                <w:lang w:val="en-US" w:eastAsia="zh-CN"/>
              </w:rPr>
            </w:pPr>
            <w:r>
              <w:rPr>
                <w:rFonts w:hint="eastAsia" w:ascii="宋体" w:hAnsi="宋体"/>
                <w:lang w:val="en-US" w:eastAsia="zh-CN"/>
              </w:rPr>
              <w:t>6</w:t>
            </w:r>
          </w:p>
        </w:tc>
        <w:tc>
          <w:tcPr>
            <w:tcW w:w="1605" w:type="dxa"/>
            <w:vAlign w:val="center"/>
          </w:tcPr>
          <w:p w14:paraId="2ECDC063">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14:paraId="183A0038">
            <w:pPr>
              <w:snapToGrid w:val="0"/>
              <w:spacing w:line="400" w:lineRule="exact"/>
              <w:ind w:firstLine="630" w:firstLineChars="300"/>
              <w:jc w:val="both"/>
            </w:pPr>
            <w:r>
              <w:rPr>
                <w:rFonts w:hint="eastAsia" w:ascii="宋体" w:hAnsi="宋体" w:cs="宋体"/>
                <w:szCs w:val="21"/>
              </w:rPr>
              <w:t>……</w:t>
            </w:r>
          </w:p>
        </w:tc>
        <w:tc>
          <w:tcPr>
            <w:tcW w:w="1932" w:type="dxa"/>
            <w:vAlign w:val="center"/>
          </w:tcPr>
          <w:p w14:paraId="705BB7D0">
            <w:pPr>
              <w:snapToGrid w:val="0"/>
              <w:spacing w:line="400" w:lineRule="exact"/>
              <w:jc w:val="center"/>
            </w:pPr>
          </w:p>
        </w:tc>
        <w:tc>
          <w:tcPr>
            <w:tcW w:w="1560" w:type="dxa"/>
            <w:vAlign w:val="center"/>
          </w:tcPr>
          <w:p w14:paraId="5C339ED6">
            <w:pPr>
              <w:shd w:val="clear" w:color="auto" w:fill="FFFFFF"/>
              <w:spacing w:line="400" w:lineRule="exact"/>
              <w:ind w:left="-88" w:leftChars="-42"/>
              <w:jc w:val="center"/>
              <w:rPr>
                <w:rFonts w:ascii="宋体" w:hAnsi="宋体"/>
              </w:rPr>
            </w:pPr>
          </w:p>
        </w:tc>
        <w:tc>
          <w:tcPr>
            <w:tcW w:w="1103" w:type="dxa"/>
            <w:vAlign w:val="center"/>
          </w:tcPr>
          <w:p w14:paraId="7DCB196D">
            <w:pPr>
              <w:shd w:val="clear" w:color="auto" w:fill="FFFFFF"/>
              <w:spacing w:line="400" w:lineRule="exact"/>
              <w:ind w:left="-88" w:leftChars="-42"/>
              <w:jc w:val="center"/>
              <w:rPr>
                <w:rFonts w:ascii="宋体" w:hAnsi="宋体"/>
              </w:rPr>
            </w:pPr>
          </w:p>
        </w:tc>
      </w:tr>
    </w:tbl>
    <w:p w14:paraId="4A72B676">
      <w:pPr>
        <w:adjustRightInd w:val="0"/>
        <w:snapToGrid w:val="0"/>
        <w:spacing w:line="360" w:lineRule="auto"/>
        <w:rPr>
          <w:rFonts w:hint="eastAsia" w:ascii="宋体" w:hAnsi="宋体" w:cs="宋体"/>
          <w:color w:val="000000"/>
          <w:szCs w:val="21"/>
        </w:rPr>
      </w:pPr>
    </w:p>
    <w:p w14:paraId="660C0F30">
      <w:pPr>
        <w:adjustRightInd w:val="0"/>
        <w:snapToGrid w:val="0"/>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（此表根据项目采购需求进行自行向下延伸</w:t>
      </w:r>
      <w:r>
        <w:rPr>
          <w:rFonts w:hint="eastAsia" w:ascii="宋体" w:hAnsi="宋体" w:cs="宋体"/>
          <w:color w:val="000000"/>
          <w:szCs w:val="21"/>
          <w:lang w:val="en-US" w:eastAsia="zh-CN"/>
        </w:rPr>
        <w:t>,按要求进行逐一填写标的物的技术参数</w:t>
      </w:r>
      <w:r>
        <w:rPr>
          <w:rFonts w:hint="eastAsia" w:ascii="宋体" w:hAnsi="宋体" w:cs="宋体"/>
          <w:color w:val="000000"/>
          <w:szCs w:val="21"/>
          <w:lang w:eastAsia="zh-CN"/>
        </w:rPr>
        <w:t>）</w:t>
      </w:r>
    </w:p>
    <w:p w14:paraId="6DF5C61B">
      <w:pPr>
        <w:adjustRightInd w:val="0"/>
        <w:snapToGrid w:val="0"/>
        <w:spacing w:line="360" w:lineRule="auto"/>
        <w:rPr>
          <w:rFonts w:hint="eastAsia" w:ascii="宋体" w:hAnsi="宋体" w:cs="宋体"/>
          <w:color w:val="000000"/>
          <w:szCs w:val="21"/>
        </w:rPr>
      </w:pPr>
    </w:p>
    <w:p w14:paraId="3C076DEE">
      <w:pPr>
        <w:adjustRightInd w:val="0"/>
        <w:snapToGrid w:val="0"/>
        <w:spacing w:line="360" w:lineRule="auto"/>
        <w:ind w:firstLine="630" w:firstLineChars="300"/>
        <w:rPr>
          <w:rFonts w:ascii="宋体" w:hAnsi="宋体" w:cs="宋体"/>
          <w:color w:val="000000"/>
          <w:szCs w:val="21"/>
        </w:rPr>
      </w:pPr>
      <w:r>
        <w:rPr>
          <w:rFonts w:hint="eastAsia" w:ascii="宋体" w:hAnsi="宋体" w:cs="宋体"/>
          <w:color w:val="000000"/>
          <w:szCs w:val="21"/>
        </w:rPr>
        <w:t>投标单位（盖单位章）：</w:t>
      </w:r>
    </w:p>
    <w:p w14:paraId="274980DA">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               </w:t>
      </w:r>
    </w:p>
    <w:p w14:paraId="2CE996E4">
      <w:pPr>
        <w:adjustRightInd w:val="0"/>
        <w:snapToGrid w:val="0"/>
        <w:spacing w:line="360" w:lineRule="auto"/>
        <w:rPr>
          <w:rFonts w:ascii="宋体" w:hAnsi="宋体" w:cs="宋体"/>
          <w:bCs/>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bCs/>
          <w:color w:val="000000"/>
          <w:szCs w:val="21"/>
        </w:rPr>
        <w:t>日</w:t>
      </w:r>
    </w:p>
    <w:p w14:paraId="40727ECE">
      <w:pPr>
        <w:spacing w:line="360" w:lineRule="auto"/>
        <w:ind w:firstLine="3502" w:firstLineChars="1668"/>
        <w:rPr>
          <w:rFonts w:ascii="宋体" w:hAnsi="宋体" w:cs="宋体"/>
          <w:color w:val="000000"/>
          <w:szCs w:val="21"/>
        </w:rPr>
      </w:pPr>
    </w:p>
    <w:p w14:paraId="1C39A19A">
      <w:pPr>
        <w:autoSpaceDE w:val="0"/>
        <w:autoSpaceDN w:val="0"/>
        <w:spacing w:line="360" w:lineRule="auto"/>
        <w:ind w:right="471"/>
        <w:textAlignment w:val="bottom"/>
        <w:rPr>
          <w:rFonts w:hint="eastAsia" w:ascii="宋体" w:hAnsi="宋体" w:cs="Arial"/>
        </w:rPr>
      </w:pPr>
    </w:p>
    <w:p w14:paraId="2050835D">
      <w:pPr>
        <w:autoSpaceDE w:val="0"/>
        <w:autoSpaceDN w:val="0"/>
        <w:spacing w:line="360" w:lineRule="auto"/>
        <w:ind w:right="471"/>
        <w:textAlignment w:val="bottom"/>
        <w:rPr>
          <w:rFonts w:ascii="宋体" w:hAnsi="宋体" w:cs="Arial"/>
          <w:b/>
          <w:bCs/>
        </w:rPr>
      </w:pPr>
      <w:r>
        <w:rPr>
          <w:rFonts w:hint="eastAsia" w:ascii="宋体" w:hAnsi="宋体" w:cs="Arial"/>
          <w:b/>
          <w:bCs/>
        </w:rPr>
        <w:t>注：</w:t>
      </w:r>
    </w:p>
    <w:p w14:paraId="73506F1B">
      <w:pPr>
        <w:numPr>
          <w:ilvl w:val="0"/>
          <w:numId w:val="29"/>
        </w:numPr>
        <w:autoSpaceDE w:val="0"/>
        <w:autoSpaceDN w:val="0"/>
        <w:spacing w:line="360" w:lineRule="auto"/>
        <w:ind w:right="471"/>
        <w:textAlignment w:val="bottom"/>
        <w:rPr>
          <w:rFonts w:hint="eastAsia" w:ascii="宋体" w:hAnsi="宋体" w:cs="Arial"/>
          <w:szCs w:val="21"/>
        </w:rPr>
      </w:pPr>
      <w:r>
        <w:rPr>
          <w:rFonts w:hint="eastAsia" w:ascii="宋体" w:hAnsi="宋体" w:cs="Arial"/>
          <w:szCs w:val="21"/>
        </w:rPr>
        <w:t>投标单位应在响应技术文件中对本技术规格书逐条按顺序响应，</w:t>
      </w:r>
      <w:r>
        <w:rPr>
          <w:rFonts w:hint="eastAsia" w:ascii="宋体" w:hAnsi="宋体" w:cs="Arial"/>
          <w:szCs w:val="21"/>
          <w:lang w:eastAsia="zh-CN"/>
        </w:rPr>
        <w:t>根据自身投标的货物参数进行在表格内填写，如实根据偏离情况在相应位置内填写偏离的指标；如响应指标参数有偏离的，须在偏离说明里面写明偏离的指标；</w:t>
      </w:r>
    </w:p>
    <w:p w14:paraId="3147B7B3">
      <w:pPr>
        <w:numPr>
          <w:ilvl w:val="0"/>
          <w:numId w:val="0"/>
        </w:numPr>
        <w:autoSpaceDE w:val="0"/>
        <w:autoSpaceDN w:val="0"/>
        <w:spacing w:line="360" w:lineRule="auto"/>
        <w:ind w:right="471" w:rightChars="0"/>
        <w:textAlignment w:val="bottom"/>
        <w:rPr>
          <w:rFonts w:ascii="宋体" w:hAnsi="宋体" w:cs="Arial"/>
          <w:szCs w:val="21"/>
        </w:rPr>
      </w:pPr>
      <w:r>
        <w:rPr>
          <w:rFonts w:hint="eastAsia" w:ascii="宋体" w:hAnsi="宋体" w:cs="Arial"/>
          <w:szCs w:val="21"/>
        </w:rPr>
        <w:t>2、</w:t>
      </w:r>
      <w:r>
        <w:rPr>
          <w:rFonts w:hint="eastAsia" w:ascii="宋体" w:hAnsi="宋体" w:cs="Arial"/>
          <w:szCs w:val="21"/>
          <w:lang w:eastAsia="zh-CN"/>
        </w:rPr>
        <w:t>采购需求中带★号的参数要求，</w:t>
      </w:r>
      <w:r>
        <w:rPr>
          <w:rFonts w:hint="eastAsia" w:ascii="宋体" w:hAnsi="宋体" w:cs="Arial"/>
          <w:szCs w:val="21"/>
        </w:rPr>
        <w:t>均为实质性要求，不得存在负偏离，否则视同为无效投标。</w:t>
      </w:r>
    </w:p>
    <w:p w14:paraId="5974A650">
      <w:pPr>
        <w:autoSpaceDE w:val="0"/>
        <w:autoSpaceDN w:val="0"/>
        <w:spacing w:line="360" w:lineRule="auto"/>
        <w:ind w:right="471"/>
        <w:textAlignment w:val="bottom"/>
        <w:rPr>
          <w:rFonts w:ascii="宋体" w:hAnsi="宋体" w:cs="Arial"/>
          <w:szCs w:val="21"/>
          <w:lang w:val="zh-CN"/>
        </w:rPr>
      </w:pPr>
      <w:r>
        <w:rPr>
          <w:rFonts w:hint="eastAsia" w:ascii="宋体" w:hAnsi="宋体" w:cs="Arial"/>
          <w:b/>
          <w:bCs/>
          <w:szCs w:val="21"/>
        </w:rPr>
        <w:t>3、</w:t>
      </w:r>
      <w:r>
        <w:rPr>
          <w:rFonts w:hint="eastAsia" w:ascii="宋体" w:hAnsi="宋体" w:cs="Arial"/>
          <w:b/>
          <w:bCs/>
          <w:szCs w:val="21"/>
          <w:lang w:val="zh-CN"/>
        </w:rPr>
        <w:t>供应商应根据投标</w:t>
      </w:r>
      <w:r>
        <w:rPr>
          <w:rFonts w:hint="eastAsia" w:ascii="宋体" w:hAnsi="宋体" w:cs="Arial"/>
          <w:b/>
          <w:bCs/>
          <w:szCs w:val="21"/>
        </w:rPr>
        <w:t>货物</w:t>
      </w:r>
      <w:r>
        <w:rPr>
          <w:rFonts w:hint="eastAsia" w:ascii="宋体" w:hAnsi="宋体" w:cs="Arial"/>
          <w:b/>
          <w:bCs/>
          <w:szCs w:val="21"/>
          <w:lang w:val="zh-CN"/>
        </w:rPr>
        <w:t>的性能指标、对照文件中“</w:t>
      </w:r>
      <w:r>
        <w:rPr>
          <w:rFonts w:hint="eastAsia" w:ascii="宋体" w:hAnsi="宋体" w:cs="Arial"/>
          <w:b/>
          <w:bCs/>
          <w:szCs w:val="21"/>
        </w:rPr>
        <w:t>第五部分 采购需求</w:t>
      </w:r>
      <w:r>
        <w:rPr>
          <w:rFonts w:hint="eastAsia" w:ascii="宋体" w:hAnsi="宋体" w:cs="Arial"/>
          <w:b/>
          <w:bCs/>
          <w:szCs w:val="21"/>
          <w:lang w:val="zh-CN"/>
        </w:rPr>
        <w:t>”中的</w:t>
      </w:r>
      <w:r>
        <w:rPr>
          <w:rFonts w:hint="eastAsia" w:ascii="宋体" w:hAnsi="宋体" w:cs="Arial"/>
          <w:b/>
          <w:bCs/>
          <w:szCs w:val="21"/>
        </w:rPr>
        <w:t>所有</w:t>
      </w:r>
      <w:r>
        <w:rPr>
          <w:rFonts w:hint="eastAsia" w:ascii="宋体" w:hAnsi="宋体" w:cs="Arial"/>
          <w:b/>
          <w:bCs/>
          <w:szCs w:val="21"/>
          <w:lang w:val="zh-CN"/>
        </w:rPr>
        <w:t>参数要求，如实逐条一一对应填写响应情况。第五章采购需求中，对产品实质性要求不得负偏离，负偏离视为无效投标；</w:t>
      </w:r>
    </w:p>
    <w:p w14:paraId="787CC25A">
      <w:pPr>
        <w:pStyle w:val="2"/>
        <w:rPr>
          <w:rFonts w:hint="default" w:eastAsia="宋体"/>
          <w:lang w:val="en-US" w:eastAsia="zh-CN"/>
        </w:rPr>
      </w:pPr>
      <w:r>
        <w:rPr>
          <w:rFonts w:hint="eastAsia" w:ascii="宋体" w:hAnsi="宋体" w:cs="Arial"/>
          <w:b/>
          <w:bCs/>
          <w:color w:val="auto"/>
          <w:szCs w:val="21"/>
          <w:lang w:val="en-US" w:eastAsia="zh-CN"/>
        </w:rPr>
        <w:t>4、所投产品参数、服务指标是中标后提供货物、服务的指标。</w:t>
      </w:r>
    </w:p>
    <w:p w14:paraId="6209D378">
      <w:pPr>
        <w:pStyle w:val="2"/>
        <w:rPr>
          <w:rFonts w:hint="eastAsia" w:eastAsia="宋体"/>
          <w:lang w:val="en-US" w:eastAsia="zh-CN"/>
        </w:rPr>
      </w:pPr>
    </w:p>
    <w:p w14:paraId="3DF881DD">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5AEDB3EA">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25406411">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6BE24BD0">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406880E4">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66B941B2">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6CFE33B9">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2CE1C57F">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04B88B94">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0C2EBA38">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4F7F3D5A">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27874A2E">
      <w:pPr>
        <w:pStyle w:val="16"/>
        <w:rPr>
          <w:rFonts w:hint="eastAsia" w:ascii="宋体" w:hAnsi="宋体" w:cs="宋体"/>
          <w:bCs/>
          <w:color w:val="000000" w:themeColor="text1"/>
          <w:sz w:val="28"/>
          <w:szCs w:val="28"/>
          <w14:textFill>
            <w14:solidFill>
              <w14:schemeClr w14:val="tx1"/>
            </w14:solidFill>
          </w14:textFill>
        </w:rPr>
      </w:pPr>
    </w:p>
    <w:p w14:paraId="4E65EE07">
      <w:pPr>
        <w:pStyle w:val="16"/>
        <w:rPr>
          <w:rFonts w:hint="eastAsia" w:ascii="宋体" w:hAnsi="宋体" w:cs="宋体"/>
          <w:bCs/>
          <w:color w:val="000000" w:themeColor="text1"/>
          <w:sz w:val="28"/>
          <w:szCs w:val="28"/>
          <w14:textFill>
            <w14:solidFill>
              <w14:schemeClr w14:val="tx1"/>
            </w14:solidFill>
          </w14:textFill>
        </w:rPr>
      </w:pPr>
    </w:p>
    <w:p w14:paraId="1C305AC6">
      <w:pPr>
        <w:pStyle w:val="16"/>
        <w:rPr>
          <w:rFonts w:hint="eastAsia" w:ascii="宋体" w:hAnsi="宋体" w:cs="宋体"/>
          <w:bCs/>
          <w:color w:val="000000" w:themeColor="text1"/>
          <w:sz w:val="28"/>
          <w:szCs w:val="28"/>
          <w14:textFill>
            <w14:solidFill>
              <w14:schemeClr w14:val="tx1"/>
            </w14:solidFill>
          </w14:textFill>
        </w:rPr>
      </w:pPr>
    </w:p>
    <w:p w14:paraId="0CD41584">
      <w:pPr>
        <w:adjustRightInd w:val="0"/>
        <w:snapToGrid w:val="0"/>
        <w:spacing w:line="360" w:lineRule="auto"/>
        <w:ind w:right="24"/>
        <w:rPr>
          <w:rFonts w:hint="eastAsia" w:ascii="宋体" w:hAnsi="宋体" w:cs="宋体"/>
          <w:bCs/>
          <w:color w:val="000000" w:themeColor="text1"/>
          <w:sz w:val="28"/>
          <w:szCs w:val="28"/>
          <w14:textFill>
            <w14:solidFill>
              <w14:schemeClr w14:val="tx1"/>
            </w14:solidFill>
          </w14:textFill>
        </w:rPr>
      </w:pPr>
    </w:p>
    <w:p w14:paraId="4EFC7689">
      <w:pPr>
        <w:adjustRightInd w:val="0"/>
        <w:snapToGrid w:val="0"/>
        <w:spacing w:line="360" w:lineRule="auto"/>
        <w:jc w:val="both"/>
        <w:outlineLvl w:val="1"/>
        <w:rPr>
          <w:rFonts w:hint="eastAsia" w:ascii="宋体" w:hAnsi="宋体"/>
          <w:bCs/>
          <w:color w:val="000000" w:themeColor="text1"/>
          <w:sz w:val="28"/>
          <w:szCs w:val="28"/>
          <w14:textFill>
            <w14:solidFill>
              <w14:schemeClr w14:val="tx1"/>
            </w14:solidFill>
          </w14:textFill>
        </w:rPr>
      </w:pPr>
    </w:p>
    <w:p w14:paraId="54080093">
      <w:pPr>
        <w:adjustRightInd w:val="0"/>
        <w:snapToGrid w:val="0"/>
        <w:spacing w:line="360" w:lineRule="auto"/>
        <w:jc w:val="both"/>
        <w:outlineLvl w:val="1"/>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5</w:t>
      </w:r>
    </w:p>
    <w:p w14:paraId="0CBC0FAA">
      <w:pPr>
        <w:adjustRightInd w:val="0"/>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开标一览表 </w:t>
      </w:r>
    </w:p>
    <w:p w14:paraId="37CDF392">
      <w:pPr>
        <w:pStyle w:val="13"/>
        <w:tabs>
          <w:tab w:val="left" w:pos="1470"/>
          <w:tab w:val="right" w:leader="dot" w:pos="8296"/>
        </w:tabs>
        <w:rPr>
          <w:rFonts w:ascii="宋体" w:hAnsi="宋体" w:cs="宋体"/>
          <w:color w:val="000000" w:themeColor="text1"/>
          <w14:textFill>
            <w14:solidFill>
              <w14:schemeClr w14:val="tx1"/>
            </w14:solidFill>
          </w14:textFill>
        </w:rPr>
      </w:pPr>
    </w:p>
    <w:p w14:paraId="6DDD4513">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p w14:paraId="5344670A">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bl>
      <w:tblPr>
        <w:tblStyle w:val="23"/>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127"/>
        <w:gridCol w:w="4012"/>
        <w:gridCol w:w="1655"/>
      </w:tblGrid>
      <w:tr w14:paraId="2CFFE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14:paraId="23ADC7E4">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139" w:type="dxa"/>
            <w:gridSpan w:val="2"/>
            <w:tcBorders>
              <w:top w:val="single" w:color="auto" w:sz="4" w:space="0"/>
              <w:left w:val="single" w:color="auto" w:sz="4" w:space="0"/>
              <w:right w:val="single" w:color="auto" w:sz="4" w:space="0"/>
            </w:tcBorders>
            <w:vAlign w:val="center"/>
          </w:tcPr>
          <w:p w14:paraId="39FF9446">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655" w:type="dxa"/>
            <w:tcBorders>
              <w:top w:val="single" w:color="auto" w:sz="4" w:space="0"/>
              <w:left w:val="single" w:color="auto" w:sz="4" w:space="0"/>
              <w:right w:val="single" w:color="auto" w:sz="4" w:space="0"/>
            </w:tcBorders>
            <w:vAlign w:val="center"/>
          </w:tcPr>
          <w:p w14:paraId="6E00326D">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14:paraId="19414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14:paraId="15325F62">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7" w:type="dxa"/>
            <w:tcBorders>
              <w:top w:val="single" w:color="auto" w:sz="4" w:space="0"/>
              <w:left w:val="single" w:color="auto" w:sz="4" w:space="0"/>
              <w:right w:val="single" w:color="auto" w:sz="4" w:space="0"/>
            </w:tcBorders>
            <w:vAlign w:val="center"/>
          </w:tcPr>
          <w:p w14:paraId="302F22AB">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4012" w:type="dxa"/>
            <w:tcBorders>
              <w:top w:val="single" w:color="auto" w:sz="4" w:space="0"/>
              <w:left w:val="single" w:color="auto" w:sz="4" w:space="0"/>
              <w:right w:val="single" w:color="auto" w:sz="4" w:space="0"/>
            </w:tcBorders>
            <w:vAlign w:val="center"/>
          </w:tcPr>
          <w:p w14:paraId="4D0BDA38">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right w:val="single" w:color="auto" w:sz="4" w:space="0"/>
            </w:tcBorders>
            <w:vAlign w:val="center"/>
          </w:tcPr>
          <w:p w14:paraId="4B13CED3">
            <w:pPr>
              <w:snapToGrid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投标企业全称</w:t>
            </w:r>
          </w:p>
        </w:tc>
      </w:tr>
      <w:tr w14:paraId="6A11D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14:paraId="5489BE63">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vAlign w:val="center"/>
          </w:tcPr>
          <w:p w14:paraId="7DA66D95">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r>
              <w:rPr>
                <w:rFonts w:hint="eastAsia" w:ascii="宋体" w:hAnsi="宋体" w:cs="宋体"/>
                <w:color w:val="000000" w:themeColor="text1"/>
                <w:szCs w:val="21"/>
                <w:lang w:eastAsia="zh-CN"/>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w:t>
            </w:r>
          </w:p>
        </w:tc>
        <w:tc>
          <w:tcPr>
            <w:tcW w:w="4012" w:type="dxa"/>
            <w:tcBorders>
              <w:top w:val="single" w:color="auto" w:sz="4" w:space="0"/>
              <w:left w:val="single" w:color="auto" w:sz="4" w:space="0"/>
              <w:bottom w:val="single" w:color="auto" w:sz="4" w:space="0"/>
              <w:right w:val="single" w:color="auto" w:sz="4" w:space="0"/>
            </w:tcBorders>
            <w:vAlign w:val="center"/>
          </w:tcPr>
          <w:p w14:paraId="14671FB7">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14:paraId="00A212F5">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不超过总预算</w:t>
            </w:r>
          </w:p>
        </w:tc>
      </w:tr>
      <w:tr w14:paraId="6D4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5775D16">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14:paraId="7963F8ED">
            <w:pPr>
              <w:snapToGrid w:val="0"/>
              <w:spacing w:line="400" w:lineRule="exact"/>
              <w:jc w:val="lef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供货期限</w:t>
            </w:r>
          </w:p>
        </w:tc>
        <w:tc>
          <w:tcPr>
            <w:tcW w:w="4012" w:type="dxa"/>
            <w:tcBorders>
              <w:top w:val="single" w:color="auto" w:sz="4" w:space="0"/>
              <w:left w:val="single" w:color="auto" w:sz="4" w:space="0"/>
              <w:bottom w:val="single" w:color="auto" w:sz="4" w:space="0"/>
              <w:right w:val="single" w:color="auto" w:sz="4" w:space="0"/>
            </w:tcBorders>
            <w:vAlign w:val="center"/>
          </w:tcPr>
          <w:p w14:paraId="66EB23D8">
            <w:pPr>
              <w:snapToGrid w:val="0"/>
              <w:spacing w:line="400" w:lineRule="exact"/>
              <w:jc w:val="center"/>
              <w:rPr>
                <w:rFonts w:ascii="宋体" w:hAnsi="宋体" w:cs="宋体"/>
                <w:color w:val="000000" w:themeColor="text1"/>
                <w:szCs w:val="21"/>
                <w:u w:val="single"/>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14:paraId="69E47367">
            <w:pPr>
              <w:snapToGrid w:val="0"/>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满足招标文件要求</w:t>
            </w:r>
          </w:p>
        </w:tc>
      </w:tr>
      <w:tr w14:paraId="046C3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866C5A9">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14:paraId="2307655C">
            <w:pPr>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质保期</w:t>
            </w:r>
          </w:p>
        </w:tc>
        <w:tc>
          <w:tcPr>
            <w:tcW w:w="4012" w:type="dxa"/>
            <w:tcBorders>
              <w:top w:val="single" w:color="auto" w:sz="4" w:space="0"/>
              <w:left w:val="single" w:color="auto" w:sz="4" w:space="0"/>
              <w:bottom w:val="single" w:color="auto" w:sz="4" w:space="0"/>
              <w:right w:val="single" w:color="auto" w:sz="4" w:space="0"/>
            </w:tcBorders>
            <w:vAlign w:val="center"/>
          </w:tcPr>
          <w:p w14:paraId="60963D8A">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14:paraId="7522BF80">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满足招标文件要求</w:t>
            </w:r>
          </w:p>
        </w:tc>
      </w:tr>
      <w:tr w14:paraId="1ABD1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CEF84E0">
            <w:pPr>
              <w:snapToGrid w:val="0"/>
              <w:spacing w:line="400" w:lineRule="exact"/>
              <w:jc w:val="center"/>
              <w:rPr>
                <w:rFonts w:ascii="宋体" w:hAnsi="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75535B35">
            <w:pPr>
              <w:snapToGrid w:val="0"/>
              <w:spacing w:line="400" w:lineRule="exact"/>
              <w:rPr>
                <w:rFonts w:ascii="宋体" w:hAnsi="宋体" w:cs="宋体"/>
                <w:szCs w:val="21"/>
              </w:rPr>
            </w:pPr>
          </w:p>
        </w:tc>
        <w:tc>
          <w:tcPr>
            <w:tcW w:w="4012" w:type="dxa"/>
            <w:tcBorders>
              <w:top w:val="single" w:color="auto" w:sz="4" w:space="0"/>
              <w:left w:val="single" w:color="auto" w:sz="4" w:space="0"/>
              <w:bottom w:val="single" w:color="auto" w:sz="4" w:space="0"/>
              <w:right w:val="single" w:color="auto" w:sz="4" w:space="0"/>
            </w:tcBorders>
          </w:tcPr>
          <w:p w14:paraId="1CA1C1C7">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tcPr>
          <w:p w14:paraId="3BD41CAE">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p>
        </w:tc>
      </w:tr>
    </w:tbl>
    <w:p w14:paraId="722FC7DA">
      <w:pPr>
        <w:adjustRightInd w:val="0"/>
        <w:snapToGrid w:val="0"/>
        <w:spacing w:line="360" w:lineRule="auto"/>
        <w:rPr>
          <w:rFonts w:ascii="宋体" w:hAnsi="宋体" w:cs="宋体"/>
          <w:color w:val="000000" w:themeColor="text1"/>
          <w:sz w:val="24"/>
          <w14:textFill>
            <w14:solidFill>
              <w14:schemeClr w14:val="tx1"/>
            </w14:solidFill>
          </w14:textFill>
        </w:rPr>
      </w:pPr>
    </w:p>
    <w:p w14:paraId="31291523">
      <w:pPr>
        <w:adjustRightInd w:val="0"/>
        <w:snapToGrid w:val="0"/>
        <w:spacing w:line="360" w:lineRule="auto"/>
        <w:rPr>
          <w:rFonts w:ascii="宋体" w:hAnsi="宋体" w:cs="宋体"/>
          <w:color w:val="000000" w:themeColor="text1"/>
          <w:sz w:val="24"/>
          <w14:textFill>
            <w14:solidFill>
              <w14:schemeClr w14:val="tx1"/>
            </w14:solidFill>
          </w14:textFill>
        </w:rPr>
      </w:pPr>
    </w:p>
    <w:p w14:paraId="37AB30BC">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1、报价一经涂改，应在涂改处加盖单位公章或者由法定代表人或授权委托人签字或盖章，否则其投标作无效标处理。</w:t>
      </w:r>
    </w:p>
    <w:p w14:paraId="29B45F42">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2、报价包括完成本项目招标范围内所有其他平台数据对接费用、运输费、人工费、保险费、增值税、仓储费，操作方面的培训费、调试费、保修期内的维修所需的备件费以及上门服务等所有相关费用。</w:t>
      </w:r>
    </w:p>
    <w:p w14:paraId="1DD92F3C">
      <w:pPr>
        <w:adjustRightInd w:val="0"/>
        <w:snapToGrid w:val="0"/>
        <w:spacing w:line="360" w:lineRule="auto"/>
        <w:ind w:firstLine="420" w:firstLineChars="200"/>
        <w:rPr>
          <w:rFonts w:hint="eastAsia" w:ascii="宋体" w:hAnsi="宋体" w:eastAsia="黑体" w:cs="宋体"/>
          <w:color w:val="000000" w:themeColor="text1"/>
          <w:szCs w:val="21"/>
          <w:highlight w:val="none"/>
          <w:lang w:eastAsia="zh-CN"/>
          <w14:textFill>
            <w14:solidFill>
              <w14:schemeClr w14:val="tx1"/>
            </w14:solidFill>
          </w14:textFill>
        </w:rPr>
      </w:pPr>
      <w:r>
        <w:rPr>
          <w:rFonts w:hint="eastAsia" w:ascii="宋体" w:hAnsi="宋体" w:cs="宋体"/>
          <w:szCs w:val="21"/>
          <w:highlight w:val="none"/>
          <w:lang w:val="en-US" w:eastAsia="zh-CN"/>
        </w:rPr>
        <w:t>3</w:t>
      </w:r>
      <w:r>
        <w:rPr>
          <w:rFonts w:hint="eastAsia" w:ascii="宋体" w:hAnsi="宋体" w:cs="宋体"/>
          <w:szCs w:val="21"/>
          <w:highlight w:val="none"/>
        </w:rPr>
        <w:t>、加注“</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szCs w:val="21"/>
          <w:highlight w:val="none"/>
        </w:rPr>
        <w:t>”号的产品为核心产品，任意一种核心产品为同一品牌时，按照87号令第三十一条执行。</w:t>
      </w:r>
    </w:p>
    <w:p w14:paraId="70C7EB7B">
      <w:pPr>
        <w:adjustRightInd w:val="0"/>
        <w:snapToGrid w:val="0"/>
        <w:spacing w:line="360" w:lineRule="auto"/>
        <w:rPr>
          <w:rFonts w:ascii="宋体" w:hAnsi="宋体" w:cs="宋体"/>
          <w:color w:val="000000" w:themeColor="text1"/>
          <w:szCs w:val="21"/>
          <w14:textFill>
            <w14:solidFill>
              <w14:schemeClr w14:val="tx1"/>
            </w14:solidFill>
          </w14:textFill>
        </w:rPr>
      </w:pPr>
    </w:p>
    <w:p w14:paraId="4592979E">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14:paraId="07F90022">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3B850AE1">
      <w:pPr>
        <w:adjustRightInd w:val="0"/>
        <w:snapToGrid w:val="0"/>
        <w:spacing w:line="360" w:lineRule="auto"/>
        <w:jc w:val="right"/>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3D621369">
      <w:pPr>
        <w:adjustRightInd w:val="0"/>
        <w:snapToGrid w:val="0"/>
        <w:spacing w:line="360" w:lineRule="auto"/>
        <w:rPr>
          <w:rFonts w:hint="eastAsia" w:hAnsi="宋体"/>
          <w:bCs/>
          <w:color w:val="000000" w:themeColor="text1"/>
          <w:sz w:val="28"/>
          <w:szCs w:val="28"/>
          <w14:textFill>
            <w14:solidFill>
              <w14:schemeClr w14:val="tx1"/>
            </w14:solidFill>
          </w14:textFill>
        </w:rPr>
      </w:pPr>
    </w:p>
    <w:p w14:paraId="30EAAABC">
      <w:pPr>
        <w:adjustRightInd w:val="0"/>
        <w:snapToGrid w:val="0"/>
        <w:spacing w:line="360" w:lineRule="auto"/>
        <w:rPr>
          <w:rFonts w:hint="eastAsia" w:ascii="宋体" w:hAnsi="宋体" w:eastAsia="宋体"/>
          <w:bCs/>
          <w:color w:val="000000" w:themeColor="text1"/>
          <w:sz w:val="28"/>
          <w:szCs w:val="28"/>
          <w:lang w:eastAsia="zh-CN"/>
          <w14:textFill>
            <w14:solidFill>
              <w14:schemeClr w14:val="tx1"/>
            </w14:solidFill>
          </w14:textFill>
        </w:rPr>
      </w:pPr>
      <w:r>
        <w:rPr>
          <w:rFonts w:hint="eastAsia" w:hAnsi="宋体"/>
          <w:bCs/>
          <w:color w:val="000000" w:themeColor="text1"/>
          <w:sz w:val="28"/>
          <w:szCs w:val="28"/>
          <w14:textFill>
            <w14:solidFill>
              <w14:schemeClr w14:val="tx1"/>
            </w14:solidFill>
          </w14:textFill>
        </w:rPr>
        <w:t>附件</w:t>
      </w:r>
      <w:r>
        <w:rPr>
          <w:rFonts w:hint="eastAsia" w:hAnsi="宋体"/>
          <w:bCs/>
          <w:color w:val="000000" w:themeColor="text1"/>
          <w:sz w:val="28"/>
          <w:szCs w:val="28"/>
          <w:lang w:eastAsia="zh-CN"/>
          <w14:textFill>
            <w14:solidFill>
              <w14:schemeClr w14:val="tx1"/>
            </w14:solidFill>
          </w14:textFill>
        </w:rPr>
        <w:t>：</w:t>
      </w:r>
      <w:r>
        <w:rPr>
          <w:rFonts w:hint="eastAsia" w:hAnsi="宋体"/>
          <w:bCs/>
          <w:color w:val="000000" w:themeColor="text1"/>
          <w:sz w:val="28"/>
          <w:szCs w:val="28"/>
          <w:lang w:val="en-US" w:eastAsia="zh-CN"/>
          <w14:textFill>
            <w14:solidFill>
              <w14:schemeClr w14:val="tx1"/>
            </w14:solidFill>
          </w14:textFill>
        </w:rPr>
        <w:t>6</w:t>
      </w:r>
    </w:p>
    <w:p w14:paraId="1E387FB1">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同类项目业绩表</w:t>
      </w:r>
    </w:p>
    <w:p w14:paraId="5B19D1B5">
      <w:pPr>
        <w:tabs>
          <w:tab w:val="left" w:pos="3600"/>
        </w:tabs>
        <w:adjustRightInd w:val="0"/>
        <w:snapToGrid w:val="0"/>
        <w:jc w:val="center"/>
        <w:rPr>
          <w:rFonts w:ascii="宋体" w:hAnsi="宋体" w:cs="宋体"/>
          <w:b/>
          <w:bCs/>
          <w:color w:val="000000" w:themeColor="text1"/>
          <w:spacing w:val="6"/>
          <w:kern w:val="0"/>
          <w:szCs w:val="21"/>
          <w14:textFill>
            <w14:solidFill>
              <w14:schemeClr w14:val="tx1"/>
            </w14:solidFill>
          </w14:textFill>
        </w:rPr>
      </w:pPr>
    </w:p>
    <w:p w14:paraId="39B06824">
      <w:pPr>
        <w:tabs>
          <w:tab w:val="left" w:pos="5580"/>
        </w:tabs>
        <w:spacing w:before="1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w:t>
      </w:r>
      <w:r>
        <w:rPr>
          <w:rFonts w:hint="eastAsia" w:ascii="宋体" w:hAnsi="宋体" w:cs="宋体"/>
          <w:color w:val="000000" w:themeColor="text1"/>
          <w:szCs w:val="21"/>
          <w:highlight w:val="none"/>
          <w:lang w:eastAsia="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年(20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月1日至今）</w:t>
      </w:r>
      <w:r>
        <w:rPr>
          <w:rFonts w:hint="eastAsia" w:ascii="宋体" w:hAnsi="宋体" w:cs="宋体"/>
          <w:b/>
          <w:bCs/>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14:textFill>
            <w14:solidFill>
              <w14:schemeClr w14:val="tx1"/>
            </w14:solidFill>
          </w14:textFill>
        </w:rPr>
        <w:t>业绩统计：</w:t>
      </w:r>
    </w:p>
    <w:tbl>
      <w:tblPr>
        <w:tblStyle w:val="2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14:paraId="1341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58CFE7AA">
            <w:pPr>
              <w:pStyle w:val="34"/>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　　区</w:t>
            </w:r>
          </w:p>
        </w:tc>
        <w:tc>
          <w:tcPr>
            <w:tcW w:w="2106" w:type="dxa"/>
            <w:vAlign w:val="center"/>
          </w:tcPr>
          <w:p w14:paraId="3310049E">
            <w:pPr>
              <w:pStyle w:val="34"/>
              <w:spacing w:line="320" w:lineRule="exact"/>
              <w:ind w:right="-107" w:rightChars="-5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1841" w:type="dxa"/>
            <w:vAlign w:val="center"/>
          </w:tcPr>
          <w:p w14:paraId="57E59F44">
            <w:pPr>
              <w:pStyle w:val="34"/>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中标日期或</w:t>
            </w:r>
          </w:p>
          <w:p w14:paraId="47EA7FA3">
            <w:pPr>
              <w:pStyle w:val="34"/>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合同签订日期</w:t>
            </w:r>
          </w:p>
        </w:tc>
        <w:tc>
          <w:tcPr>
            <w:tcW w:w="1528" w:type="dxa"/>
            <w:vAlign w:val="center"/>
          </w:tcPr>
          <w:p w14:paraId="6151BEEE">
            <w:pPr>
              <w:pStyle w:val="34"/>
              <w:spacing w:line="320" w:lineRule="exact"/>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中标金额</w:t>
            </w:r>
            <w:r>
              <w:rPr>
                <w:rFonts w:hint="eastAsia" w:ascii="宋体" w:hAnsi="宋体" w:cs="宋体"/>
                <w:color w:val="000000" w:themeColor="text1"/>
                <w:kern w:val="2"/>
                <w:sz w:val="21"/>
                <w:szCs w:val="21"/>
                <w:lang w:eastAsia="zh-CN"/>
                <w14:textFill>
                  <w14:solidFill>
                    <w14:schemeClr w14:val="tx1"/>
                  </w14:solidFill>
                </w14:textFill>
              </w:rPr>
              <w:t>或合同签订金额</w:t>
            </w:r>
          </w:p>
        </w:tc>
        <w:tc>
          <w:tcPr>
            <w:tcW w:w="1628" w:type="dxa"/>
            <w:vAlign w:val="center"/>
          </w:tcPr>
          <w:p w14:paraId="6E5F5F03">
            <w:pPr>
              <w:pStyle w:val="34"/>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验收结果</w:t>
            </w:r>
          </w:p>
        </w:tc>
      </w:tr>
      <w:tr w14:paraId="6AF0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004BBC63">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529D012D">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0441581F">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31C60E6E">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778B2ABA">
            <w:pPr>
              <w:spacing w:line="320" w:lineRule="exact"/>
              <w:jc w:val="center"/>
              <w:rPr>
                <w:rFonts w:ascii="宋体" w:hAnsi="宋体" w:cs="宋体"/>
                <w:color w:val="000000" w:themeColor="text1"/>
                <w:szCs w:val="21"/>
                <w14:textFill>
                  <w14:solidFill>
                    <w14:schemeClr w14:val="tx1"/>
                  </w14:solidFill>
                </w14:textFill>
              </w:rPr>
            </w:pPr>
          </w:p>
        </w:tc>
      </w:tr>
      <w:tr w14:paraId="5EB5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155FD87D">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156AEC2F">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5181B923">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7D0F14BB">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76A8DDB2">
            <w:pPr>
              <w:spacing w:line="320" w:lineRule="exact"/>
              <w:jc w:val="center"/>
              <w:rPr>
                <w:rFonts w:ascii="宋体" w:hAnsi="宋体" w:cs="宋体"/>
                <w:color w:val="000000" w:themeColor="text1"/>
                <w:szCs w:val="21"/>
                <w14:textFill>
                  <w14:solidFill>
                    <w14:schemeClr w14:val="tx1"/>
                  </w14:solidFill>
                </w14:textFill>
              </w:rPr>
            </w:pPr>
          </w:p>
        </w:tc>
      </w:tr>
      <w:tr w14:paraId="4869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4" w:type="dxa"/>
            <w:vAlign w:val="center"/>
          </w:tcPr>
          <w:p w14:paraId="16D6DE75">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307D2105">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0C34D05E">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006A587F">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493F0A24">
            <w:pPr>
              <w:spacing w:line="320" w:lineRule="exact"/>
              <w:jc w:val="center"/>
              <w:rPr>
                <w:rFonts w:ascii="宋体" w:hAnsi="宋体" w:cs="宋体"/>
                <w:color w:val="000000" w:themeColor="text1"/>
                <w:szCs w:val="21"/>
                <w14:textFill>
                  <w14:solidFill>
                    <w14:schemeClr w14:val="tx1"/>
                  </w14:solidFill>
                </w14:textFill>
              </w:rPr>
            </w:pPr>
          </w:p>
        </w:tc>
      </w:tr>
      <w:tr w14:paraId="56BC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6EE34FAA">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7220A826">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616D650B">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473E9A6F">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53DEE7F7">
            <w:pPr>
              <w:spacing w:line="320" w:lineRule="exact"/>
              <w:jc w:val="center"/>
              <w:rPr>
                <w:rFonts w:ascii="宋体" w:hAnsi="宋体" w:cs="宋体"/>
                <w:color w:val="000000" w:themeColor="text1"/>
                <w:szCs w:val="21"/>
                <w14:textFill>
                  <w14:solidFill>
                    <w14:schemeClr w14:val="tx1"/>
                  </w14:solidFill>
                </w14:textFill>
              </w:rPr>
            </w:pPr>
          </w:p>
        </w:tc>
      </w:tr>
      <w:tr w14:paraId="7AFC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24696D34">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36FBA4A4">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697147B0">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37251482">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6F8DCF8D">
            <w:pPr>
              <w:spacing w:line="320" w:lineRule="exact"/>
              <w:jc w:val="center"/>
              <w:rPr>
                <w:rFonts w:ascii="宋体" w:hAnsi="宋体" w:cs="宋体"/>
                <w:color w:val="000000" w:themeColor="text1"/>
                <w:szCs w:val="21"/>
                <w14:textFill>
                  <w14:solidFill>
                    <w14:schemeClr w14:val="tx1"/>
                  </w14:solidFill>
                </w14:textFill>
              </w:rPr>
            </w:pPr>
          </w:p>
        </w:tc>
      </w:tr>
      <w:tr w14:paraId="5248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6CFE176F">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4B0D9A06">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0DBD53ED">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50AC5C68">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042687BC">
            <w:pPr>
              <w:spacing w:line="320" w:lineRule="exact"/>
              <w:jc w:val="center"/>
              <w:rPr>
                <w:rFonts w:ascii="宋体" w:hAnsi="宋体" w:cs="宋体"/>
                <w:color w:val="000000" w:themeColor="text1"/>
                <w:szCs w:val="21"/>
                <w14:textFill>
                  <w14:solidFill>
                    <w14:schemeClr w14:val="tx1"/>
                  </w14:solidFill>
                </w14:textFill>
              </w:rPr>
            </w:pPr>
          </w:p>
        </w:tc>
      </w:tr>
      <w:tr w14:paraId="5B77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6E1F2D3A">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7AE9DB29">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2C0ED1B0">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4DF4F6BB">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0A5F04B1">
            <w:pPr>
              <w:spacing w:line="320" w:lineRule="exact"/>
              <w:jc w:val="center"/>
              <w:rPr>
                <w:rFonts w:ascii="宋体" w:hAnsi="宋体" w:cs="宋体"/>
                <w:color w:val="000000" w:themeColor="text1"/>
                <w:szCs w:val="21"/>
                <w14:textFill>
                  <w14:solidFill>
                    <w14:schemeClr w14:val="tx1"/>
                  </w14:solidFill>
                </w14:textFill>
              </w:rPr>
            </w:pPr>
          </w:p>
        </w:tc>
      </w:tr>
      <w:tr w14:paraId="1DCB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05E570C5">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63A9710C">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52612552">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612C6786">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65BC1BC5">
            <w:pPr>
              <w:spacing w:line="320" w:lineRule="exact"/>
              <w:jc w:val="center"/>
              <w:rPr>
                <w:rFonts w:ascii="宋体" w:hAnsi="宋体" w:cs="宋体"/>
                <w:color w:val="000000" w:themeColor="text1"/>
                <w:szCs w:val="21"/>
                <w14:textFill>
                  <w14:solidFill>
                    <w14:schemeClr w14:val="tx1"/>
                  </w14:solidFill>
                </w14:textFill>
              </w:rPr>
            </w:pPr>
          </w:p>
        </w:tc>
      </w:tr>
      <w:tr w14:paraId="3BCC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51B4F18F">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14:paraId="27093101">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27877BD3">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72E490DD">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3F6B01E4">
            <w:pPr>
              <w:spacing w:line="320" w:lineRule="exact"/>
              <w:jc w:val="center"/>
              <w:rPr>
                <w:rFonts w:ascii="宋体" w:hAnsi="宋体" w:cs="宋体"/>
                <w:color w:val="000000" w:themeColor="text1"/>
                <w:szCs w:val="21"/>
                <w14:textFill>
                  <w14:solidFill>
                    <w14:schemeClr w14:val="tx1"/>
                  </w14:solidFill>
                </w14:textFill>
              </w:rPr>
            </w:pPr>
          </w:p>
        </w:tc>
      </w:tr>
      <w:tr w14:paraId="09E6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58E5A795">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14:paraId="41C942C0">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6BA23B5C">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2D669921">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0EF4BF81">
            <w:pPr>
              <w:spacing w:line="320" w:lineRule="exact"/>
              <w:jc w:val="center"/>
              <w:rPr>
                <w:rFonts w:ascii="宋体" w:hAnsi="宋体" w:cs="宋体"/>
                <w:color w:val="000000" w:themeColor="text1"/>
                <w:szCs w:val="21"/>
                <w14:textFill>
                  <w14:solidFill>
                    <w14:schemeClr w14:val="tx1"/>
                  </w14:solidFill>
                </w14:textFill>
              </w:rPr>
            </w:pPr>
          </w:p>
        </w:tc>
      </w:tr>
      <w:tr w14:paraId="21D8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dxa"/>
            <w:vAlign w:val="center"/>
          </w:tcPr>
          <w:p w14:paraId="22F12078">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14:paraId="070A148D">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14:paraId="585DA2E6">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14:paraId="55FD0A7D">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14:paraId="060CCE9A">
            <w:pPr>
              <w:spacing w:line="320" w:lineRule="exact"/>
              <w:jc w:val="center"/>
              <w:rPr>
                <w:rFonts w:ascii="宋体" w:hAnsi="宋体" w:cs="宋体"/>
                <w:color w:val="000000" w:themeColor="text1"/>
                <w:szCs w:val="21"/>
                <w14:textFill>
                  <w14:solidFill>
                    <w14:schemeClr w14:val="tx1"/>
                  </w14:solidFill>
                </w14:textFill>
              </w:rPr>
            </w:pPr>
          </w:p>
        </w:tc>
      </w:tr>
    </w:tbl>
    <w:p w14:paraId="6FB8EB0A">
      <w:pPr>
        <w:tabs>
          <w:tab w:val="left" w:pos="5580"/>
        </w:tabs>
        <w:spacing w:before="120" w:line="360" w:lineRule="auto"/>
        <w:ind w:firstLine="210" w:firstLineChars="100"/>
        <w:rPr>
          <w:rFonts w:hint="eastAsia" w:ascii="宋体" w:hAnsi="宋体" w:eastAsia="宋体" w:cs="宋体"/>
          <w:b/>
          <w:bCs/>
          <w:sz w:val="24"/>
          <w:u w:val="single"/>
          <w:lang w:eastAsia="zh-CN"/>
        </w:rPr>
      </w:pPr>
      <w:r>
        <w:rPr>
          <w:rFonts w:hint="eastAsia" w:ascii="宋体" w:hAnsi="宋体" w:cs="宋体"/>
          <w:color w:val="000000" w:themeColor="text1"/>
          <w:szCs w:val="21"/>
          <w14:textFill>
            <w14:solidFill>
              <w14:schemeClr w14:val="tx1"/>
            </w14:solidFill>
          </w14:textFill>
        </w:rPr>
        <w:t>注：1、此表可向下延伸</w:t>
      </w:r>
      <w:r>
        <w:rPr>
          <w:rFonts w:hint="eastAsia" w:ascii="宋体" w:hAnsi="宋体" w:cs="宋体"/>
          <w:color w:val="000000" w:themeColor="text1"/>
          <w:szCs w:val="21"/>
          <w:lang w:eastAsia="zh-CN"/>
          <w14:textFill>
            <w14:solidFill>
              <w14:schemeClr w14:val="tx1"/>
            </w14:solidFill>
          </w14:textFill>
        </w:rPr>
        <w:t>，</w:t>
      </w:r>
      <w:r>
        <w:rPr>
          <w:rFonts w:hint="default" w:ascii="Times New Roman" w:hAnsi="Times New Roman" w:eastAsia="方正仿宋简体" w:cs="Times New Roman"/>
          <w:b w:val="0"/>
          <w:bCs w:val="0"/>
          <w:color w:val="000000"/>
          <w:sz w:val="21"/>
          <w:szCs w:val="21"/>
        </w:rPr>
        <w:t>（</w:t>
      </w:r>
      <w:r>
        <w:rPr>
          <w:rFonts w:hint="eastAsia" w:eastAsia="方正仿宋简体" w:cs="Times New Roman"/>
          <w:b w:val="0"/>
          <w:bCs w:val="0"/>
          <w:color w:val="000000"/>
          <w:sz w:val="21"/>
          <w:szCs w:val="21"/>
          <w:lang w:eastAsia="zh-CN"/>
        </w:rPr>
        <w:t>根据评审因素提供相应的资料</w:t>
      </w:r>
      <w:r>
        <w:rPr>
          <w:rFonts w:hint="default" w:ascii="Times New Roman" w:hAnsi="Times New Roman" w:eastAsia="方正仿宋简体" w:cs="Times New Roman"/>
          <w:b w:val="0"/>
          <w:bCs w:val="0"/>
          <w:color w:val="000000"/>
          <w:sz w:val="21"/>
          <w:szCs w:val="21"/>
        </w:rPr>
        <w:t>）</w:t>
      </w:r>
    </w:p>
    <w:p w14:paraId="6DE3FFD0">
      <w:pPr>
        <w:pStyle w:val="13"/>
        <w:tabs>
          <w:tab w:val="left" w:pos="1470"/>
          <w:tab w:val="right" w:leader="dot" w:pos="8296"/>
        </w:tabs>
        <w:spacing w:line="360" w:lineRule="auto"/>
        <w:ind w:left="0"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i w:val="0"/>
          <w:iCs w:val="0"/>
          <w:sz w:val="21"/>
          <w:szCs w:val="21"/>
        </w:rPr>
        <w:t>2、表格内需提供同类项目业绩，请勿提供其他无关项目业绩影响评分，</w:t>
      </w:r>
    </w:p>
    <w:p w14:paraId="4D2481FB">
      <w:pPr>
        <w:tabs>
          <w:tab w:val="left" w:pos="5580"/>
        </w:tabs>
        <w:spacing w:before="120"/>
        <w:ind w:firstLine="4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兹证明上述声明是真实、正确的，我们同意遵照贵方要求出示有关证明文件。</w:t>
      </w:r>
    </w:p>
    <w:p w14:paraId="16EB6654">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日期：__________________________________________</w:t>
      </w:r>
    </w:p>
    <w:p w14:paraId="3B06A914">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投标单位授权代表(签字)：________________________________</w:t>
      </w:r>
    </w:p>
    <w:p w14:paraId="40B6ECF7">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投标单位授权代表的职务：________________________________</w:t>
      </w:r>
    </w:p>
    <w:p w14:paraId="48686CE4">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电话号：________________________________________</w:t>
      </w:r>
    </w:p>
    <w:p w14:paraId="4CE035DD">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传真号：________________________________________</w:t>
      </w:r>
    </w:p>
    <w:p w14:paraId="46E0014C">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签章：__________________________________________</w:t>
      </w:r>
    </w:p>
    <w:p w14:paraId="654EDDF7">
      <w:pPr>
        <w:adjustRightInd w:val="0"/>
        <w:snapToGrid w:val="0"/>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7</w:t>
      </w:r>
    </w:p>
    <w:p w14:paraId="3333E67F">
      <w:pPr>
        <w:adjustRightInd w:val="0"/>
        <w:snapToGrid w:val="0"/>
        <w:ind w:left="-88" w:leftChars="-42" w:firstLine="280" w:firstLineChars="100"/>
        <w:jc w:val="center"/>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拟投入本项目的服务人员一览表</w:t>
      </w:r>
    </w:p>
    <w:p w14:paraId="306DBA53">
      <w:pPr>
        <w:spacing w:line="42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（此表仅仅做参考，投标企业可自行调整，投标企业根据自身情况确定是否提供该表格）</w:t>
      </w:r>
    </w:p>
    <w:tbl>
      <w:tblPr>
        <w:tblStyle w:val="23"/>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1626"/>
        <w:gridCol w:w="1128"/>
        <w:gridCol w:w="1137"/>
        <w:gridCol w:w="1359"/>
        <w:gridCol w:w="1470"/>
        <w:gridCol w:w="1142"/>
      </w:tblGrid>
      <w:tr w14:paraId="1CB86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8512" w:type="dxa"/>
            <w:gridSpan w:val="7"/>
            <w:vAlign w:val="center"/>
          </w:tcPr>
          <w:p w14:paraId="47E6C9F8">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w:t>
            </w:r>
          </w:p>
        </w:tc>
      </w:tr>
      <w:tr w14:paraId="6BD65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exact"/>
          <w:jc w:val="center"/>
        </w:trPr>
        <w:tc>
          <w:tcPr>
            <w:tcW w:w="650" w:type="dxa"/>
            <w:vAlign w:val="center"/>
          </w:tcPr>
          <w:p w14:paraId="441B4789">
            <w:pPr>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序号</w:t>
            </w:r>
          </w:p>
        </w:tc>
        <w:tc>
          <w:tcPr>
            <w:tcW w:w="1626" w:type="dxa"/>
            <w:vAlign w:val="center"/>
          </w:tcPr>
          <w:p w14:paraId="0B07D434">
            <w:pPr>
              <w:jc w:val="center"/>
              <w:rPr>
                <w:rFonts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128" w:type="dxa"/>
            <w:vAlign w:val="center"/>
          </w:tcPr>
          <w:p w14:paraId="6FAF5B1A">
            <w:pPr>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1137" w:type="dxa"/>
            <w:vAlign w:val="center"/>
          </w:tcPr>
          <w:p w14:paraId="54E06FA8">
            <w:pPr>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eastAsia="zh-CN"/>
                <w14:textFill>
                  <w14:solidFill>
                    <w14:schemeClr w14:val="tx1"/>
                  </w14:solidFill>
                </w14:textFill>
              </w:rPr>
              <w:t>职务</w:t>
            </w:r>
          </w:p>
        </w:tc>
        <w:tc>
          <w:tcPr>
            <w:tcW w:w="1359" w:type="dxa"/>
            <w:vAlign w:val="center"/>
          </w:tcPr>
          <w:p w14:paraId="77D645B7">
            <w:pPr>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联系方式</w:t>
            </w:r>
          </w:p>
        </w:tc>
        <w:tc>
          <w:tcPr>
            <w:tcW w:w="1470" w:type="dxa"/>
            <w:vAlign w:val="center"/>
          </w:tcPr>
          <w:p w14:paraId="681A2944">
            <w:pPr>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eastAsia="zh-CN"/>
                <w14:textFill>
                  <w14:solidFill>
                    <w14:schemeClr w14:val="tx1"/>
                  </w14:solidFill>
                </w14:textFill>
              </w:rPr>
              <w:t>在本企业工龄</w:t>
            </w:r>
          </w:p>
        </w:tc>
        <w:tc>
          <w:tcPr>
            <w:tcW w:w="1142" w:type="dxa"/>
            <w:vAlign w:val="center"/>
          </w:tcPr>
          <w:p w14:paraId="68C21D51">
            <w:pPr>
              <w:ind w:firstLine="12"/>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备注</w:t>
            </w:r>
          </w:p>
        </w:tc>
      </w:tr>
      <w:tr w14:paraId="1B075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50" w:type="dxa"/>
            <w:vAlign w:val="center"/>
          </w:tcPr>
          <w:p w14:paraId="6273223E">
            <w:pPr>
              <w:jc w:val="center"/>
              <w:rPr>
                <w:rFonts w:hint="eastAsia" w:ascii="宋体" w:hAnsi="宋体" w:eastAsia="宋体"/>
                <w:color w:val="000000" w:themeColor="text1"/>
                <w:lang w:eastAsia="zh-CN"/>
                <w14:textFill>
                  <w14:solidFill>
                    <w14:schemeClr w14:val="tx1"/>
                  </w14:solidFill>
                </w14:textFill>
              </w:rPr>
            </w:pPr>
          </w:p>
        </w:tc>
        <w:tc>
          <w:tcPr>
            <w:tcW w:w="1626" w:type="dxa"/>
            <w:vAlign w:val="center"/>
          </w:tcPr>
          <w:p w14:paraId="2E56F741">
            <w:pPr>
              <w:jc w:val="center"/>
              <w:rPr>
                <w:rFonts w:ascii="宋体" w:hAnsi="宋体"/>
                <w:color w:val="000000" w:themeColor="text1"/>
                <w14:textFill>
                  <w14:solidFill>
                    <w14:schemeClr w14:val="tx1"/>
                  </w14:solidFill>
                </w14:textFill>
              </w:rPr>
            </w:pPr>
          </w:p>
        </w:tc>
        <w:tc>
          <w:tcPr>
            <w:tcW w:w="1128" w:type="dxa"/>
            <w:vAlign w:val="center"/>
          </w:tcPr>
          <w:p w14:paraId="7BFF2E8B">
            <w:pPr>
              <w:jc w:val="center"/>
              <w:rPr>
                <w:rFonts w:ascii="宋体" w:hAnsi="宋体"/>
                <w:color w:val="000000" w:themeColor="text1"/>
                <w14:textFill>
                  <w14:solidFill>
                    <w14:schemeClr w14:val="tx1"/>
                  </w14:solidFill>
                </w14:textFill>
              </w:rPr>
            </w:pPr>
          </w:p>
        </w:tc>
        <w:tc>
          <w:tcPr>
            <w:tcW w:w="1137" w:type="dxa"/>
            <w:vAlign w:val="center"/>
          </w:tcPr>
          <w:p w14:paraId="1E7671EC">
            <w:pPr>
              <w:pStyle w:val="35"/>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14:paraId="560D0F45">
            <w:pPr>
              <w:jc w:val="center"/>
              <w:rPr>
                <w:rFonts w:ascii="宋体" w:hAnsi="宋体"/>
                <w:color w:val="000000" w:themeColor="text1"/>
                <w14:textFill>
                  <w14:solidFill>
                    <w14:schemeClr w14:val="tx1"/>
                  </w14:solidFill>
                </w14:textFill>
              </w:rPr>
            </w:pPr>
          </w:p>
        </w:tc>
        <w:tc>
          <w:tcPr>
            <w:tcW w:w="1470" w:type="dxa"/>
            <w:vAlign w:val="center"/>
          </w:tcPr>
          <w:p w14:paraId="7ABC4E3D">
            <w:pPr>
              <w:ind w:firstLine="12"/>
              <w:jc w:val="center"/>
              <w:rPr>
                <w:rFonts w:ascii="宋体" w:hAnsi="宋体"/>
                <w:color w:val="000000" w:themeColor="text1"/>
                <w14:textFill>
                  <w14:solidFill>
                    <w14:schemeClr w14:val="tx1"/>
                  </w14:solidFill>
                </w14:textFill>
              </w:rPr>
            </w:pPr>
          </w:p>
        </w:tc>
        <w:tc>
          <w:tcPr>
            <w:tcW w:w="1142" w:type="dxa"/>
            <w:vAlign w:val="center"/>
          </w:tcPr>
          <w:p w14:paraId="056E68C7">
            <w:pPr>
              <w:ind w:firstLine="12"/>
              <w:jc w:val="center"/>
              <w:rPr>
                <w:rFonts w:ascii="宋体" w:hAnsi="宋体"/>
                <w:color w:val="000000" w:themeColor="text1"/>
                <w14:textFill>
                  <w14:solidFill>
                    <w14:schemeClr w14:val="tx1"/>
                  </w14:solidFill>
                </w14:textFill>
              </w:rPr>
            </w:pPr>
          </w:p>
        </w:tc>
      </w:tr>
      <w:tr w14:paraId="736B8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50" w:type="dxa"/>
            <w:vAlign w:val="center"/>
          </w:tcPr>
          <w:p w14:paraId="38EA64F7">
            <w:pPr>
              <w:jc w:val="center"/>
              <w:rPr>
                <w:rFonts w:hint="eastAsia" w:ascii="宋体" w:hAnsi="宋体" w:eastAsia="宋体"/>
                <w:color w:val="000000" w:themeColor="text1"/>
                <w:lang w:eastAsia="zh-CN"/>
                <w14:textFill>
                  <w14:solidFill>
                    <w14:schemeClr w14:val="tx1"/>
                  </w14:solidFill>
                </w14:textFill>
              </w:rPr>
            </w:pPr>
          </w:p>
        </w:tc>
        <w:tc>
          <w:tcPr>
            <w:tcW w:w="1626" w:type="dxa"/>
            <w:vAlign w:val="center"/>
          </w:tcPr>
          <w:p w14:paraId="642B65A8">
            <w:pPr>
              <w:jc w:val="center"/>
              <w:rPr>
                <w:rFonts w:ascii="宋体" w:hAnsi="宋体"/>
                <w:color w:val="000000" w:themeColor="text1"/>
                <w14:textFill>
                  <w14:solidFill>
                    <w14:schemeClr w14:val="tx1"/>
                  </w14:solidFill>
                </w14:textFill>
              </w:rPr>
            </w:pPr>
          </w:p>
        </w:tc>
        <w:tc>
          <w:tcPr>
            <w:tcW w:w="1128" w:type="dxa"/>
            <w:vAlign w:val="center"/>
          </w:tcPr>
          <w:p w14:paraId="49BF368B">
            <w:pPr>
              <w:jc w:val="center"/>
              <w:rPr>
                <w:rFonts w:ascii="宋体" w:hAnsi="宋体"/>
                <w:color w:val="000000" w:themeColor="text1"/>
                <w14:textFill>
                  <w14:solidFill>
                    <w14:schemeClr w14:val="tx1"/>
                  </w14:solidFill>
                </w14:textFill>
              </w:rPr>
            </w:pPr>
          </w:p>
        </w:tc>
        <w:tc>
          <w:tcPr>
            <w:tcW w:w="1137" w:type="dxa"/>
            <w:vAlign w:val="center"/>
          </w:tcPr>
          <w:p w14:paraId="0F61CFDE">
            <w:pPr>
              <w:pStyle w:val="35"/>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14:paraId="5A267092">
            <w:pPr>
              <w:jc w:val="center"/>
              <w:rPr>
                <w:rFonts w:ascii="宋体" w:hAnsi="宋体"/>
                <w:color w:val="000000" w:themeColor="text1"/>
                <w14:textFill>
                  <w14:solidFill>
                    <w14:schemeClr w14:val="tx1"/>
                  </w14:solidFill>
                </w14:textFill>
              </w:rPr>
            </w:pPr>
          </w:p>
        </w:tc>
        <w:tc>
          <w:tcPr>
            <w:tcW w:w="1470" w:type="dxa"/>
            <w:vAlign w:val="center"/>
          </w:tcPr>
          <w:p w14:paraId="55156476">
            <w:pPr>
              <w:ind w:firstLine="12"/>
              <w:jc w:val="center"/>
              <w:rPr>
                <w:rFonts w:ascii="宋体" w:hAnsi="宋体"/>
                <w:color w:val="000000" w:themeColor="text1"/>
                <w14:textFill>
                  <w14:solidFill>
                    <w14:schemeClr w14:val="tx1"/>
                  </w14:solidFill>
                </w14:textFill>
              </w:rPr>
            </w:pPr>
          </w:p>
        </w:tc>
        <w:tc>
          <w:tcPr>
            <w:tcW w:w="1142" w:type="dxa"/>
            <w:vAlign w:val="center"/>
          </w:tcPr>
          <w:p w14:paraId="766C52E7">
            <w:pPr>
              <w:ind w:firstLine="12"/>
              <w:jc w:val="center"/>
              <w:rPr>
                <w:rFonts w:ascii="宋体" w:hAnsi="宋体"/>
                <w:color w:val="000000" w:themeColor="text1"/>
                <w14:textFill>
                  <w14:solidFill>
                    <w14:schemeClr w14:val="tx1"/>
                  </w14:solidFill>
                </w14:textFill>
              </w:rPr>
            </w:pPr>
          </w:p>
        </w:tc>
      </w:tr>
      <w:tr w14:paraId="2C9F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50" w:type="dxa"/>
            <w:vAlign w:val="center"/>
          </w:tcPr>
          <w:p w14:paraId="62A21F3B">
            <w:pPr>
              <w:jc w:val="center"/>
              <w:rPr>
                <w:rFonts w:hint="eastAsia" w:ascii="宋体" w:hAnsi="宋体" w:eastAsia="宋体"/>
                <w:color w:val="000000" w:themeColor="text1"/>
                <w:lang w:eastAsia="zh-CN"/>
                <w14:textFill>
                  <w14:solidFill>
                    <w14:schemeClr w14:val="tx1"/>
                  </w14:solidFill>
                </w14:textFill>
              </w:rPr>
            </w:pPr>
          </w:p>
        </w:tc>
        <w:tc>
          <w:tcPr>
            <w:tcW w:w="1626" w:type="dxa"/>
            <w:vAlign w:val="center"/>
          </w:tcPr>
          <w:p w14:paraId="155CCEF9">
            <w:pPr>
              <w:jc w:val="center"/>
              <w:rPr>
                <w:rFonts w:ascii="宋体" w:hAnsi="宋体"/>
                <w:color w:val="000000" w:themeColor="text1"/>
                <w14:textFill>
                  <w14:solidFill>
                    <w14:schemeClr w14:val="tx1"/>
                  </w14:solidFill>
                </w14:textFill>
              </w:rPr>
            </w:pPr>
          </w:p>
        </w:tc>
        <w:tc>
          <w:tcPr>
            <w:tcW w:w="1128" w:type="dxa"/>
            <w:vAlign w:val="center"/>
          </w:tcPr>
          <w:p w14:paraId="4E8EA46D">
            <w:pPr>
              <w:jc w:val="center"/>
              <w:rPr>
                <w:rFonts w:ascii="宋体" w:hAnsi="宋体"/>
                <w:color w:val="000000" w:themeColor="text1"/>
                <w14:textFill>
                  <w14:solidFill>
                    <w14:schemeClr w14:val="tx1"/>
                  </w14:solidFill>
                </w14:textFill>
              </w:rPr>
            </w:pPr>
          </w:p>
        </w:tc>
        <w:tc>
          <w:tcPr>
            <w:tcW w:w="1137" w:type="dxa"/>
            <w:vAlign w:val="center"/>
          </w:tcPr>
          <w:p w14:paraId="0B2BC8E1">
            <w:pPr>
              <w:pStyle w:val="35"/>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14:paraId="00CEFE1B">
            <w:pPr>
              <w:jc w:val="center"/>
              <w:rPr>
                <w:rFonts w:ascii="宋体" w:hAnsi="宋体"/>
                <w:color w:val="000000" w:themeColor="text1"/>
                <w14:textFill>
                  <w14:solidFill>
                    <w14:schemeClr w14:val="tx1"/>
                  </w14:solidFill>
                </w14:textFill>
              </w:rPr>
            </w:pPr>
          </w:p>
        </w:tc>
        <w:tc>
          <w:tcPr>
            <w:tcW w:w="1470" w:type="dxa"/>
            <w:vAlign w:val="center"/>
          </w:tcPr>
          <w:p w14:paraId="283F65D7">
            <w:pPr>
              <w:ind w:firstLine="12"/>
              <w:jc w:val="center"/>
              <w:rPr>
                <w:rFonts w:ascii="宋体" w:hAnsi="宋体"/>
                <w:color w:val="000000" w:themeColor="text1"/>
                <w14:textFill>
                  <w14:solidFill>
                    <w14:schemeClr w14:val="tx1"/>
                  </w14:solidFill>
                </w14:textFill>
              </w:rPr>
            </w:pPr>
          </w:p>
        </w:tc>
        <w:tc>
          <w:tcPr>
            <w:tcW w:w="1142" w:type="dxa"/>
            <w:vAlign w:val="center"/>
          </w:tcPr>
          <w:p w14:paraId="788AEFB5">
            <w:pPr>
              <w:ind w:firstLine="12"/>
              <w:jc w:val="center"/>
              <w:rPr>
                <w:rFonts w:ascii="宋体" w:hAnsi="宋体"/>
                <w:color w:val="000000" w:themeColor="text1"/>
                <w14:textFill>
                  <w14:solidFill>
                    <w14:schemeClr w14:val="tx1"/>
                  </w14:solidFill>
                </w14:textFill>
              </w:rPr>
            </w:pPr>
          </w:p>
        </w:tc>
      </w:tr>
    </w:tbl>
    <w:p w14:paraId="69D79DAD">
      <w:pPr>
        <w:spacing w:line="400" w:lineRule="exact"/>
        <w:rPr>
          <w:rFonts w:ascii="宋体" w:hAnsi="宋体"/>
          <w:color w:val="000000" w:themeColor="text1"/>
          <w14:textFill>
            <w14:solidFill>
              <w14:schemeClr w14:val="tx1"/>
            </w14:solidFill>
          </w14:textFill>
        </w:rPr>
      </w:pPr>
    </w:p>
    <w:p w14:paraId="59FA01F5">
      <w:pPr>
        <w:pStyle w:val="15"/>
        <w:adjustRightInd w:val="0"/>
        <w:snapToGrid w:val="0"/>
        <w:spacing w:line="360" w:lineRule="auto"/>
        <w:rPr>
          <w:rFonts w:hint="eastAsia" w:ascii="宋体" w:hAnsi="宋体"/>
          <w:color w:val="000000" w:themeColor="text1"/>
          <w:sz w:val="21"/>
          <w:szCs w:val="21"/>
          <w14:textFill>
            <w14:solidFill>
              <w14:schemeClr w14:val="tx1"/>
            </w14:solidFill>
          </w14:textFill>
        </w:rPr>
      </w:pPr>
    </w:p>
    <w:p w14:paraId="27EE7E0D">
      <w:pPr>
        <w:pStyle w:val="15"/>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14:paraId="7C37A5C6">
      <w:pPr>
        <w:adjustRightInd w:val="0"/>
        <w:snapToGrid w:val="0"/>
        <w:spacing w:line="360" w:lineRule="auto"/>
        <w:rPr>
          <w:rFonts w:hint="eastAsia" w:ascii="宋体" w:hAnsi="宋体"/>
          <w:color w:val="000000" w:themeColor="text1"/>
          <w:szCs w:val="21"/>
          <w14:textFill>
            <w14:solidFill>
              <w14:schemeClr w14:val="tx1"/>
            </w14:solidFill>
          </w14:textFill>
        </w:rPr>
      </w:pPr>
    </w:p>
    <w:p w14:paraId="7F62895E">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14:paraId="021165C8">
      <w:pPr>
        <w:adjustRightInd w:val="0"/>
        <w:snapToGrid w:val="0"/>
        <w:spacing w:line="360" w:lineRule="auto"/>
        <w:rPr>
          <w:rFonts w:hint="eastAsia" w:ascii="宋体" w:hAnsi="宋体"/>
          <w:color w:val="000000" w:themeColor="text1"/>
          <w:szCs w:val="21"/>
          <w14:textFill>
            <w14:solidFill>
              <w14:schemeClr w14:val="tx1"/>
            </w14:solidFill>
          </w14:textFill>
        </w:rPr>
      </w:pPr>
    </w:p>
    <w:p w14:paraId="4CE7EB54">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14:paraId="5A94FA4F">
      <w:pPr>
        <w:topLinePunct/>
        <w:spacing w:line="440" w:lineRule="exact"/>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8</w:t>
      </w:r>
    </w:p>
    <w:p w14:paraId="456885A7">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售后服务附表</w:t>
      </w:r>
    </w:p>
    <w:p w14:paraId="0A73260D">
      <w:pPr>
        <w:topLinePunct/>
        <w:spacing w:line="440" w:lineRule="exact"/>
        <w:rPr>
          <w:rFonts w:ascii="宋体" w:hAnsi="宋体"/>
          <w:b/>
          <w:color w:val="000000" w:themeColor="text1"/>
          <w:szCs w:val="21"/>
          <w14:textFill>
            <w14:solidFill>
              <w14:schemeClr w14:val="tx1"/>
            </w14:solidFill>
          </w14:textFill>
        </w:rPr>
      </w:pPr>
    </w:p>
    <w:p w14:paraId="4504738D">
      <w:pPr>
        <w:topLinePunct/>
        <w:spacing w:line="440" w:lineRule="exac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r>
        <w:rPr>
          <w:rFonts w:hint="eastAsia" w:ascii="宋体" w:hAnsi="宋体"/>
          <w:b/>
          <w:color w:val="000000" w:themeColor="text1"/>
          <w:szCs w:val="21"/>
          <w:u w:val="single"/>
          <w14:textFill>
            <w14:solidFill>
              <w14:schemeClr w14:val="tx1"/>
            </w14:solidFill>
          </w14:textFill>
        </w:rPr>
        <w:t xml:space="preserve">                           </w:t>
      </w:r>
    </w:p>
    <w:p w14:paraId="2A1DAA7F">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投标人名称：</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tbl>
      <w:tblPr>
        <w:tblStyle w:val="23"/>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D49B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10F5788D">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DDF5744">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5382CEC7">
            <w:pPr>
              <w:snapToGrid w:val="0"/>
              <w:spacing w:before="50" w:after="156" w:afterLines="50"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11505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6545A666">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D4C1E83">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0CE824FC">
            <w:pPr>
              <w:jc w:val="center"/>
              <w:rPr>
                <w:rFonts w:ascii="宋体" w:hAnsi="宋体"/>
                <w:color w:val="000000" w:themeColor="text1"/>
                <w:szCs w:val="21"/>
                <w14:textFill>
                  <w14:solidFill>
                    <w14:schemeClr w14:val="tx1"/>
                  </w14:solidFill>
                </w14:textFill>
              </w:rPr>
            </w:pPr>
          </w:p>
        </w:tc>
      </w:tr>
      <w:tr w14:paraId="63215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9DF26F0">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注册资本金</w:t>
            </w:r>
          </w:p>
        </w:tc>
        <w:tc>
          <w:tcPr>
            <w:tcW w:w="1440" w:type="dxa"/>
            <w:tcBorders>
              <w:top w:val="single" w:color="auto" w:sz="4" w:space="0"/>
              <w:left w:val="single" w:color="auto" w:sz="4" w:space="0"/>
              <w:bottom w:val="single" w:color="auto" w:sz="4" w:space="0"/>
              <w:right w:val="single" w:color="auto" w:sz="4" w:space="0"/>
            </w:tcBorders>
          </w:tcPr>
          <w:p w14:paraId="7BBACFD3">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14:paraId="36EB15B4">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530C025C">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14:paraId="59728889">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提供相关证明材料（如：营业执照或租房合同等）</w:t>
            </w:r>
          </w:p>
        </w:tc>
      </w:tr>
      <w:tr w14:paraId="765B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30BC62F">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40" w:type="dxa"/>
            <w:tcBorders>
              <w:top w:val="single" w:color="auto" w:sz="4" w:space="0"/>
              <w:left w:val="single" w:color="auto" w:sz="4" w:space="0"/>
              <w:bottom w:val="single" w:color="auto" w:sz="4" w:space="0"/>
              <w:right w:val="single" w:color="auto" w:sz="4" w:space="0"/>
            </w:tcBorders>
          </w:tcPr>
          <w:p w14:paraId="2767614C">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14:paraId="507F29AA">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其中：技术人员数</w:t>
            </w:r>
          </w:p>
        </w:tc>
        <w:tc>
          <w:tcPr>
            <w:tcW w:w="1196" w:type="dxa"/>
            <w:tcBorders>
              <w:top w:val="single" w:color="auto" w:sz="4" w:space="0"/>
              <w:left w:val="single" w:color="auto" w:sz="4" w:space="0"/>
              <w:bottom w:val="single" w:color="auto" w:sz="4" w:space="0"/>
              <w:right w:val="single" w:color="auto" w:sz="4" w:space="0"/>
            </w:tcBorders>
          </w:tcPr>
          <w:p w14:paraId="2112F37B">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right w:val="single" w:color="auto" w:sz="4" w:space="0"/>
            </w:tcBorders>
            <w:vAlign w:val="center"/>
          </w:tcPr>
          <w:p w14:paraId="638AF230">
            <w:pPr>
              <w:snapToGrid w:val="0"/>
              <w:spacing w:before="50" w:after="156" w:afterLines="50" w:line="400" w:lineRule="exact"/>
              <w:rPr>
                <w:rFonts w:ascii="宋体" w:hAnsi="宋体"/>
                <w:color w:val="000000" w:themeColor="text1"/>
                <w:szCs w:val="21"/>
                <w14:textFill>
                  <w14:solidFill>
                    <w14:schemeClr w14:val="tx1"/>
                  </w14:solidFill>
                </w14:textFill>
              </w:rPr>
            </w:pPr>
          </w:p>
        </w:tc>
      </w:tr>
      <w:tr w14:paraId="58196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6DB5953">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75437BDC">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14:paraId="50DDFA68">
            <w:pPr>
              <w:snapToGrid w:val="0"/>
              <w:spacing w:before="50" w:after="156" w:afterLines="50" w:line="400" w:lineRule="exact"/>
              <w:rPr>
                <w:rFonts w:ascii="宋体" w:hAnsi="宋体"/>
                <w:color w:val="000000" w:themeColor="text1"/>
                <w:szCs w:val="21"/>
                <w14:textFill>
                  <w14:solidFill>
                    <w14:schemeClr w14:val="tx1"/>
                  </w14:solidFill>
                </w14:textFill>
              </w:rPr>
            </w:pPr>
          </w:p>
        </w:tc>
      </w:tr>
      <w:tr w14:paraId="17AD5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D4FE88A">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本地化（伊犁州、霍尔果斯）售后服务协议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1BCA7DE3">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14:paraId="5FA3F50C">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注:如外地企业在伊犁州或霍尔果斯有本地售后服务机构可提供相关证明材料。本地企业可不填写。</w:t>
            </w:r>
          </w:p>
        </w:tc>
      </w:tr>
      <w:tr w14:paraId="70DC9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1383777">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540CBFA1">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14:paraId="03637421">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此部分内容做附件进行详细说明</w:t>
            </w:r>
          </w:p>
        </w:tc>
      </w:tr>
      <w:tr w14:paraId="7134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554D3BC">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5BD58EE2">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14:paraId="536049B0">
            <w:pPr>
              <w:snapToGrid w:val="0"/>
              <w:spacing w:before="50" w:after="156" w:afterLines="50" w:line="400" w:lineRule="exact"/>
              <w:rPr>
                <w:rFonts w:ascii="宋体" w:hAnsi="宋体"/>
                <w:color w:val="000000" w:themeColor="text1"/>
                <w:szCs w:val="21"/>
                <w14:textFill>
                  <w14:solidFill>
                    <w14:schemeClr w14:val="tx1"/>
                  </w14:solidFill>
                </w14:textFill>
              </w:rPr>
            </w:pPr>
          </w:p>
        </w:tc>
      </w:tr>
      <w:tr w14:paraId="0D3E8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53031D7">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50355B9A">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14:paraId="1C4868E3">
            <w:pPr>
              <w:snapToGrid w:val="0"/>
              <w:spacing w:before="50" w:after="156" w:afterLines="50" w:line="400" w:lineRule="exact"/>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238414FC">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2" w:space="0"/>
              <w:right w:val="single" w:color="auto" w:sz="4" w:space="0"/>
            </w:tcBorders>
            <w:vAlign w:val="center"/>
          </w:tcPr>
          <w:p w14:paraId="6EC1353C">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附人员身份证等相关证件</w:t>
            </w:r>
          </w:p>
        </w:tc>
      </w:tr>
      <w:tr w14:paraId="65AA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260FA04">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67EBC63E">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14:paraId="474C1FF0">
            <w:pPr>
              <w:snapToGrid w:val="0"/>
              <w:spacing w:before="50" w:after="156" w:afterLines="50"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3378F80B">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2" w:space="0"/>
              <w:bottom w:val="single" w:color="auto" w:sz="4" w:space="0"/>
              <w:right w:val="single" w:color="auto" w:sz="4" w:space="0"/>
            </w:tcBorders>
          </w:tcPr>
          <w:p w14:paraId="45EFEA4B">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r>
    </w:tbl>
    <w:p w14:paraId="715FB224">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备注：售后服务、售后计划等方案可另起页说明。</w:t>
      </w:r>
    </w:p>
    <w:p w14:paraId="2A37BD11">
      <w:pPr>
        <w:pStyle w:val="15"/>
        <w:adjustRightInd w:val="0"/>
        <w:snapToGrid w:val="0"/>
        <w:spacing w:line="360" w:lineRule="auto"/>
        <w:rPr>
          <w:rFonts w:ascii="宋体" w:hAnsi="宋体"/>
          <w:color w:val="000000" w:themeColor="text1"/>
          <w:sz w:val="21"/>
          <w:szCs w:val="21"/>
          <w14:textFill>
            <w14:solidFill>
              <w14:schemeClr w14:val="tx1"/>
            </w14:solidFill>
          </w14:textFill>
        </w:rPr>
      </w:pPr>
    </w:p>
    <w:p w14:paraId="1348E5BE">
      <w:pPr>
        <w:pStyle w:val="15"/>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14:paraId="0B3E6073">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14:paraId="55E95868">
      <w:pPr>
        <w:topLinePunct/>
        <w:spacing w:line="4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日          期：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年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月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14:paraId="7B693647">
      <w:pP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:9</w:t>
      </w:r>
    </w:p>
    <w:p w14:paraId="02FD488F">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投标报价明细表</w:t>
      </w:r>
    </w:p>
    <w:p w14:paraId="7BE3E08E">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14:paraId="2E426897">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23"/>
        <w:tblW w:w="8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14:paraId="04D79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2AB0AB70">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AA05D5B">
            <w:pPr>
              <w:tabs>
                <w:tab w:val="left" w:pos="1418"/>
              </w:tabs>
              <w:snapToGrid w:val="0"/>
              <w:spacing w:before="50" w:after="50"/>
              <w:jc w:val="center"/>
              <w:rPr>
                <w:rFonts w:hint="eastAsia" w:ascii="宋体" w:hAnsi="宋体" w:cs="宋体"/>
                <w:szCs w:val="21"/>
              </w:rPr>
            </w:pPr>
            <w:r>
              <w:rPr>
                <w:rFonts w:hint="eastAsia" w:ascii="宋体" w:hAnsi="宋体" w:cs="宋体"/>
                <w:szCs w:val="21"/>
              </w:rPr>
              <w:t>货物名称</w:t>
            </w:r>
          </w:p>
          <w:p w14:paraId="5997CCB0">
            <w:pPr>
              <w:pStyle w:val="28"/>
              <w:ind w:left="0" w:leftChars="0" w:firstLine="0" w:firstLineChars="0"/>
              <w:rPr>
                <w:rFonts w:hint="eastAsia" w:eastAsia="华文楷体"/>
                <w:lang w:eastAsia="zh-CN"/>
              </w:rPr>
            </w:pPr>
            <w:r>
              <w:rPr>
                <w:rFonts w:hint="eastAsia" w:ascii="宋体" w:hAnsi="宋体" w:cs="宋体"/>
                <w:szCs w:val="21"/>
                <w:lang w:eastAsia="zh-CN"/>
              </w:rPr>
              <w:t>（标的物名称）</w:t>
            </w:r>
          </w:p>
        </w:tc>
        <w:tc>
          <w:tcPr>
            <w:tcW w:w="928" w:type="dxa"/>
            <w:tcBorders>
              <w:top w:val="single" w:color="auto" w:sz="4" w:space="0"/>
              <w:left w:val="single" w:color="auto" w:sz="4" w:space="0"/>
              <w:bottom w:val="single" w:color="auto" w:sz="4" w:space="0"/>
              <w:right w:val="single" w:color="auto" w:sz="4" w:space="0"/>
            </w:tcBorders>
            <w:noWrap w:val="0"/>
            <w:vAlign w:val="center"/>
          </w:tcPr>
          <w:p w14:paraId="40FAEC3E">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w:t>
            </w:r>
            <w:r>
              <w:rPr>
                <w:rFonts w:hint="eastAsia" w:ascii="宋体" w:hAnsi="宋体" w:cs="宋体"/>
                <w:color w:val="000000"/>
                <w:szCs w:val="21"/>
                <w:lang w:eastAsia="zh-CN"/>
              </w:rPr>
              <w:t>及</w:t>
            </w:r>
            <w:r>
              <w:rPr>
                <w:rFonts w:hint="eastAsia" w:ascii="宋体" w:hAnsi="宋体" w:cs="宋体"/>
                <w:color w:val="000000"/>
                <w:szCs w:val="21"/>
              </w:rPr>
              <w:t>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3975F42">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规格及</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44604B4">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6F4C734">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0A31D10">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04D6EA5C">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1E56F7B9">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14:paraId="181FC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514A41D7">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AC27562">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69D81230">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33786E9D">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6319F90">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3BA9CB20">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B8B2DAC">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7612BA90">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690798EE">
            <w:pPr>
              <w:tabs>
                <w:tab w:val="left" w:pos="1418"/>
              </w:tabs>
              <w:snapToGrid w:val="0"/>
              <w:spacing w:before="50" w:after="50"/>
              <w:jc w:val="center"/>
              <w:rPr>
                <w:rFonts w:ascii="宋体" w:hAnsi="宋体" w:cs="宋体"/>
                <w:szCs w:val="21"/>
              </w:rPr>
            </w:pPr>
          </w:p>
        </w:tc>
      </w:tr>
      <w:tr w14:paraId="1CA6E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00090567">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C2E07F9">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3C767499">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B8A394">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0BDB870">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68A502E4">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D307590">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DB57805">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1ECFDA7F">
            <w:pPr>
              <w:tabs>
                <w:tab w:val="left" w:pos="1418"/>
              </w:tabs>
              <w:snapToGrid w:val="0"/>
              <w:spacing w:before="50" w:after="50"/>
              <w:jc w:val="center"/>
              <w:rPr>
                <w:rFonts w:ascii="宋体" w:hAnsi="宋体" w:cs="宋体"/>
                <w:szCs w:val="21"/>
              </w:rPr>
            </w:pPr>
          </w:p>
        </w:tc>
      </w:tr>
      <w:tr w14:paraId="7F35A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67D71802">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E068BDE">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36B5824F">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4D52BD4C">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F0B8FD4">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78B54172">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44E9236">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EC090ED">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5D61C84">
            <w:pPr>
              <w:tabs>
                <w:tab w:val="left" w:pos="1418"/>
              </w:tabs>
              <w:snapToGrid w:val="0"/>
              <w:spacing w:before="50" w:after="50"/>
              <w:jc w:val="center"/>
              <w:rPr>
                <w:rFonts w:ascii="宋体" w:hAnsi="宋体" w:cs="宋体"/>
                <w:szCs w:val="21"/>
              </w:rPr>
            </w:pPr>
          </w:p>
        </w:tc>
      </w:tr>
      <w:tr w14:paraId="5666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6D3C1FF9">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D85EE18">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5DDB7DE8">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FF00321">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D7D73E0">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2F469F05">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C0601F1">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D63B405">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6FA08039">
            <w:pPr>
              <w:tabs>
                <w:tab w:val="left" w:pos="1418"/>
              </w:tabs>
              <w:snapToGrid w:val="0"/>
              <w:spacing w:before="50" w:after="50"/>
              <w:jc w:val="center"/>
              <w:rPr>
                <w:rFonts w:ascii="宋体" w:hAnsi="宋体" w:cs="宋体"/>
                <w:szCs w:val="21"/>
              </w:rPr>
            </w:pPr>
          </w:p>
        </w:tc>
      </w:tr>
      <w:tr w14:paraId="7FE68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22B4FAF1">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BF42023">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705E7069">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2B85C90B">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7067118">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232AABCE">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5E2B5CD">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E98A9F9">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2AF89C41">
            <w:pPr>
              <w:tabs>
                <w:tab w:val="left" w:pos="1418"/>
              </w:tabs>
              <w:snapToGrid w:val="0"/>
              <w:spacing w:before="50" w:after="50"/>
              <w:jc w:val="center"/>
              <w:rPr>
                <w:rFonts w:ascii="宋体" w:hAnsi="宋体" w:cs="宋体"/>
                <w:szCs w:val="21"/>
              </w:rPr>
            </w:pPr>
          </w:p>
        </w:tc>
      </w:tr>
      <w:tr w14:paraId="3527C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70C4CF07">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04F186F">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7A35D733">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6F205157">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B341D16">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4E6285B3">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450CA3B">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0BAE177">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7BCB88E4">
            <w:pPr>
              <w:tabs>
                <w:tab w:val="left" w:pos="1418"/>
              </w:tabs>
              <w:snapToGrid w:val="0"/>
              <w:spacing w:before="50" w:after="50"/>
              <w:jc w:val="center"/>
              <w:rPr>
                <w:rFonts w:ascii="宋体" w:hAnsi="宋体" w:cs="宋体"/>
                <w:szCs w:val="21"/>
              </w:rPr>
            </w:pPr>
          </w:p>
        </w:tc>
      </w:tr>
      <w:tr w14:paraId="1B4F7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5D086FF4">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E745CB3">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44B5AA0E">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4C719095">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767F7A3">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14DC4DD7">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D8085BF">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BF1F0E1">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7FF2AF5E">
            <w:pPr>
              <w:tabs>
                <w:tab w:val="left" w:pos="1418"/>
              </w:tabs>
              <w:snapToGrid w:val="0"/>
              <w:spacing w:before="50" w:after="50"/>
              <w:jc w:val="center"/>
              <w:rPr>
                <w:rFonts w:ascii="宋体" w:hAnsi="宋体" w:cs="宋体"/>
                <w:szCs w:val="21"/>
              </w:rPr>
            </w:pPr>
          </w:p>
        </w:tc>
      </w:tr>
      <w:tr w14:paraId="22BAB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6EA68FE1">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98391AE">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34810C16">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6B51E0B6">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2ECA01F">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7427736F">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B097895">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FB2CA8D">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100A8936">
            <w:pPr>
              <w:tabs>
                <w:tab w:val="left" w:pos="1418"/>
              </w:tabs>
              <w:snapToGrid w:val="0"/>
              <w:spacing w:before="50" w:after="50"/>
              <w:jc w:val="center"/>
              <w:rPr>
                <w:rFonts w:ascii="宋体" w:hAnsi="宋体" w:cs="宋体"/>
                <w:szCs w:val="21"/>
              </w:rPr>
            </w:pPr>
          </w:p>
        </w:tc>
      </w:tr>
      <w:tr w14:paraId="062EE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2DAA5DAC">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330908C">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4A410C4E">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5477AD64">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7E018F3">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1E49D359">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46377A8">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1FA89B6">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F4B24EB">
            <w:pPr>
              <w:tabs>
                <w:tab w:val="left" w:pos="1418"/>
              </w:tabs>
              <w:snapToGrid w:val="0"/>
              <w:spacing w:before="50" w:after="50"/>
              <w:jc w:val="center"/>
              <w:rPr>
                <w:rFonts w:ascii="宋体" w:hAnsi="宋体" w:cs="宋体"/>
                <w:szCs w:val="21"/>
              </w:rPr>
            </w:pPr>
          </w:p>
        </w:tc>
      </w:tr>
      <w:tr w14:paraId="23F44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284AFBAD">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68C90F5">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57E71DB1">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1AE87B30">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54572FD">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4AF66035">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3076FAC">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BD49666">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3DB16057">
            <w:pPr>
              <w:tabs>
                <w:tab w:val="left" w:pos="1418"/>
              </w:tabs>
              <w:snapToGrid w:val="0"/>
              <w:spacing w:before="50" w:after="50"/>
              <w:jc w:val="center"/>
              <w:rPr>
                <w:rFonts w:ascii="宋体" w:hAnsi="宋体" w:cs="宋体"/>
                <w:szCs w:val="21"/>
              </w:rPr>
            </w:pPr>
          </w:p>
        </w:tc>
      </w:tr>
      <w:tr w14:paraId="72D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2C94B739">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EB52D80">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14:paraId="161A1E25">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631627E5">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918797E">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3736CE5B">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37F4AB6">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1282DAB">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7265600">
            <w:pPr>
              <w:tabs>
                <w:tab w:val="left" w:pos="1418"/>
              </w:tabs>
              <w:snapToGrid w:val="0"/>
              <w:spacing w:before="50" w:after="50"/>
              <w:jc w:val="center"/>
              <w:rPr>
                <w:rFonts w:ascii="宋体" w:hAnsi="宋体" w:cs="宋体"/>
                <w:szCs w:val="21"/>
              </w:rPr>
            </w:pPr>
          </w:p>
        </w:tc>
      </w:tr>
      <w:tr w14:paraId="285E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2F3E9E5F">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A20D768">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14:paraId="53A7A6A8">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0D6EB35">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ADE0A68">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3B46D57A">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9FFB900">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26FC10D">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10B3C65F">
            <w:pPr>
              <w:tabs>
                <w:tab w:val="left" w:pos="1418"/>
              </w:tabs>
              <w:snapToGrid w:val="0"/>
              <w:spacing w:before="50" w:after="50"/>
              <w:jc w:val="center"/>
              <w:rPr>
                <w:rFonts w:ascii="宋体" w:hAnsi="宋体" w:cs="宋体"/>
                <w:szCs w:val="21"/>
              </w:rPr>
            </w:pPr>
          </w:p>
        </w:tc>
      </w:tr>
      <w:tr w14:paraId="60026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52FC2165">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14:paraId="16D189E3">
            <w:pPr>
              <w:tabs>
                <w:tab w:val="left" w:pos="1418"/>
              </w:tabs>
              <w:snapToGrid w:val="0"/>
              <w:spacing w:before="50" w:after="50"/>
              <w:jc w:val="left"/>
              <w:rPr>
                <w:rFonts w:ascii="宋体" w:hAnsi="宋体" w:cs="宋体"/>
                <w:szCs w:val="21"/>
              </w:rPr>
            </w:pPr>
            <w:r>
              <w:rPr>
                <w:rFonts w:hint="eastAsia" w:ascii="宋体" w:hAnsi="宋体" w:cs="宋体"/>
                <w:szCs w:val="21"/>
              </w:rPr>
              <w:t>大写：</w:t>
            </w:r>
          </w:p>
          <w:p w14:paraId="6EB9CF20">
            <w:pPr>
              <w:tabs>
                <w:tab w:val="left" w:pos="1418"/>
              </w:tabs>
              <w:snapToGrid w:val="0"/>
              <w:spacing w:before="50" w:after="50"/>
              <w:jc w:val="left"/>
              <w:rPr>
                <w:rFonts w:ascii="宋体" w:hAnsi="宋体" w:cs="宋体"/>
                <w:szCs w:val="21"/>
              </w:rPr>
            </w:pPr>
          </w:p>
          <w:p w14:paraId="0D8DF845">
            <w:pPr>
              <w:tabs>
                <w:tab w:val="left" w:pos="1418"/>
              </w:tabs>
              <w:snapToGrid w:val="0"/>
              <w:spacing w:before="50" w:after="50"/>
              <w:jc w:val="left"/>
            </w:pPr>
            <w:r>
              <w:rPr>
                <w:rFonts w:hint="eastAsia" w:ascii="宋体" w:hAnsi="宋体" w:cs="宋体"/>
                <w:szCs w:val="21"/>
              </w:rPr>
              <w:t>小写：</w:t>
            </w:r>
          </w:p>
        </w:tc>
      </w:tr>
    </w:tbl>
    <w:p w14:paraId="2D732734">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14:paraId="70E25432">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注：1、投标人可在此表后附其报价详细说明。</w:t>
      </w:r>
    </w:p>
    <w:p w14:paraId="3BB12E2D">
      <w:pPr>
        <w:adjustRightInd w:val="0"/>
        <w:snapToGrid w:val="0"/>
        <w:spacing w:line="360" w:lineRule="auto"/>
        <w:ind w:left="-88" w:leftChars="-42"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p>
    <w:p w14:paraId="1AF549C8">
      <w:pPr>
        <w:adjustRightInd w:val="0"/>
        <w:snapToGrid w:val="0"/>
        <w:spacing w:line="360" w:lineRule="auto"/>
        <w:rPr>
          <w:rFonts w:ascii="宋体" w:hAnsi="宋体" w:cs="宋体"/>
          <w:color w:val="000000" w:themeColor="text1"/>
          <w14:textFill>
            <w14:solidFill>
              <w14:schemeClr w14:val="tx1"/>
            </w14:solidFill>
          </w14:textFill>
        </w:rPr>
      </w:pPr>
    </w:p>
    <w:p w14:paraId="72645972">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14:paraId="68E47F4B">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77AEB727">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p w14:paraId="1460CB45">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14:paraId="1FC1BF11">
      <w:pPr>
        <w:rPr>
          <w:rFonts w:hint="default" w:ascii="宋体" w:hAnsi="宋体" w:eastAsia="宋体"/>
          <w:bCs/>
          <w:color w:val="000000" w:themeColor="text1"/>
          <w:sz w:val="28"/>
          <w:szCs w:val="28"/>
          <w:lang w:val="en-US"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10</w:t>
      </w:r>
    </w:p>
    <w:p w14:paraId="4446118A">
      <w:pPr>
        <w:tabs>
          <w:tab w:val="left" w:pos="3600"/>
        </w:tabs>
        <w:adjustRightInd w:val="0"/>
        <w:snapToGrid w:val="0"/>
        <w:spacing w:line="360" w:lineRule="auto"/>
        <w:jc w:val="center"/>
        <w:rPr>
          <w:rFonts w:ascii="宋体" w:hAnsi="宋体" w:cs="宋体"/>
          <w:b/>
          <w:bCs/>
          <w:color w:val="000000" w:themeColor="text1"/>
          <w:spacing w:val="6"/>
          <w:kern w:val="0"/>
          <w:sz w:val="24"/>
          <w14:textFill>
            <w14:solidFill>
              <w14:schemeClr w14:val="tx1"/>
            </w14:solidFill>
          </w14:textFill>
        </w:rPr>
      </w:pPr>
      <w:r>
        <w:rPr>
          <w:rFonts w:hint="eastAsia" w:ascii="宋体" w:hAnsi="宋体" w:cs="宋体"/>
          <w:b/>
          <w:bCs/>
          <w:color w:val="000000" w:themeColor="text1"/>
          <w:spacing w:val="6"/>
          <w:kern w:val="0"/>
          <w:sz w:val="24"/>
          <w14:textFill>
            <w14:solidFill>
              <w14:schemeClr w14:val="tx1"/>
            </w14:solidFill>
          </w14:textFill>
        </w:rPr>
        <w:t>中小企业声明函（货物）</w:t>
      </w:r>
    </w:p>
    <w:p w14:paraId="4A50E847">
      <w:pPr>
        <w:autoSpaceDE w:val="0"/>
        <w:autoSpaceDN w:val="0"/>
        <w:spacing w:line="500" w:lineRule="exact"/>
        <w:ind w:firstLine="480" w:firstLineChars="200"/>
        <w:jc w:val="left"/>
        <w:rPr>
          <w:rFonts w:ascii="宋体" w:hAnsi="宋体" w:cs="宋体"/>
          <w:sz w:val="24"/>
        </w:rPr>
      </w:pPr>
    </w:p>
    <w:p w14:paraId="63BDC2E1">
      <w:pPr>
        <w:autoSpaceDE w:val="0"/>
        <w:autoSpaceDN w:val="0"/>
        <w:spacing w:line="500" w:lineRule="exact"/>
        <w:ind w:firstLine="480" w:firstLineChars="200"/>
        <w:jc w:val="left"/>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 供的货物全部由符合政策要求的中小企业制造。相关企业 （含联合体中的中小企业、签订分包意向协议的中小企业） 的具体情况如下：</w:t>
      </w:r>
    </w:p>
    <w:p w14:paraId="1E0BE37E">
      <w:pPr>
        <w:autoSpaceDE w:val="0"/>
        <w:autoSpaceDN w:val="0"/>
        <w:spacing w:line="500" w:lineRule="exact"/>
        <w:ind w:firstLine="480" w:firstLineChars="200"/>
        <w:jc w:val="left"/>
        <w:rPr>
          <w:rFonts w:ascii="宋体" w:hAnsi="宋体" w:cs="宋体"/>
          <w:szCs w:val="21"/>
          <w:u w:val="single"/>
        </w:rPr>
      </w:pPr>
      <w:r>
        <w:rPr>
          <w:rFonts w:ascii="宋体" w:hAnsi="宋体" w:cs="宋体"/>
          <w:sz w:val="24"/>
        </w:rPr>
        <w:t>1</w:t>
      </w:r>
      <w:r>
        <w:rPr>
          <w:rFonts w:ascii="宋体" w:hAnsi="宋体" w:cs="宋体"/>
          <w:sz w:val="32"/>
          <w:szCs w:val="32"/>
          <w:u w:val="single"/>
        </w:rPr>
        <w:t>.（</w:t>
      </w:r>
      <w:r>
        <w:rPr>
          <w:rFonts w:hint="eastAsia" w:asciiTheme="majorEastAsia" w:hAnsiTheme="majorEastAsia" w:eastAsiaTheme="majorEastAsia" w:cstheme="majorEastAsia"/>
          <w:sz w:val="24"/>
          <w:szCs w:val="24"/>
          <w:u w:val="single"/>
          <w:vertAlign w:val="baseline"/>
          <w:lang w:val="en-US" w:eastAsia="zh-CN"/>
        </w:rPr>
        <w:t>标的物名称</w:t>
      </w:r>
      <w:r>
        <w:rPr>
          <w:rFonts w:ascii="宋体" w:hAnsi="宋体" w:cs="宋体"/>
          <w:sz w:val="32"/>
          <w:szCs w:val="32"/>
          <w:u w:val="single"/>
        </w:rPr>
        <w:t>）</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14:paraId="7609B61F">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w:t>
      </w:r>
      <w:r>
        <w:rPr>
          <w:rFonts w:ascii="宋体" w:hAnsi="宋体" w:cs="宋体"/>
          <w:sz w:val="32"/>
          <w:szCs w:val="32"/>
          <w:u w:val="single"/>
        </w:rPr>
        <w:t>（</w:t>
      </w:r>
      <w:r>
        <w:rPr>
          <w:rFonts w:hint="eastAsia" w:asciiTheme="majorEastAsia" w:hAnsiTheme="majorEastAsia" w:eastAsiaTheme="majorEastAsia" w:cstheme="majorEastAsia"/>
          <w:sz w:val="24"/>
          <w:szCs w:val="24"/>
          <w:u w:val="single"/>
          <w:vertAlign w:val="baseline"/>
          <w:lang w:val="en-US" w:eastAsia="zh-CN"/>
        </w:rPr>
        <w:t>标的物名称</w:t>
      </w:r>
      <w:r>
        <w:rPr>
          <w:rFonts w:ascii="宋体" w:hAnsi="宋体" w:cs="宋体"/>
          <w:sz w:val="32"/>
          <w:szCs w:val="32"/>
          <w:u w:val="single"/>
        </w:rPr>
        <w:t>）</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14:paraId="1A8F2CB5">
      <w:pPr>
        <w:autoSpaceDE w:val="0"/>
        <w:autoSpaceDN w:val="0"/>
        <w:spacing w:line="500" w:lineRule="exact"/>
        <w:ind w:firstLine="420" w:firstLineChars="200"/>
        <w:jc w:val="left"/>
        <w:rPr>
          <w:rFonts w:ascii="宋体" w:hAnsi="宋体" w:cs="宋体"/>
          <w:szCs w:val="21"/>
        </w:rPr>
      </w:pPr>
      <w:r>
        <w:rPr>
          <w:rFonts w:hint="eastAsia" w:ascii="宋体" w:hAnsi="宋体" w:cs="宋体"/>
          <w:szCs w:val="21"/>
        </w:rPr>
        <w:t>……</w:t>
      </w:r>
    </w:p>
    <w:p w14:paraId="4BFD560F">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以上企业，不属于大型企业的分支机构，不存在控股股东为大型企业的情形，也不存在与大型企业的负责人为同一人的情形。</w:t>
      </w:r>
    </w:p>
    <w:p w14:paraId="58A708B6">
      <w:pPr>
        <w:widowControl/>
        <w:shd w:val="clear" w:color="auto" w:fill="FFFFFF"/>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14:paraId="4422F2C5">
      <w:pPr>
        <w:widowControl/>
        <w:shd w:val="clear" w:color="auto" w:fill="FFFFFF"/>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14:paraId="19696E5E">
      <w:pPr>
        <w:widowControl/>
        <w:shd w:val="clear" w:color="auto" w:fill="FFFFFF"/>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14:paraId="0BDAEE99">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309B6084">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0301DFBD">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14:paraId="40A45C3B">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仿宋_GB2312" w:hAnsi="仿宋_GB2312" w:eastAsia="仿宋_GB2312" w:cs="仿宋_GB2312"/>
          <w:b/>
          <w:bCs/>
          <w:color w:val="000000"/>
          <w:sz w:val="25"/>
          <w:szCs w:val="25"/>
          <w:highlight w:val="red"/>
        </w:rPr>
      </w:pPr>
      <w:r>
        <w:rPr>
          <w:rFonts w:hint="eastAsia" w:ascii="宋体" w:hAnsi="宋体"/>
          <w:b/>
          <w:bCs/>
          <w:color w:val="auto"/>
          <w:sz w:val="28"/>
          <w:szCs w:val="28"/>
          <w:highlight w:val="red"/>
          <w:lang w:eastAsia="zh-CN"/>
        </w:rPr>
        <w:t>（</w:t>
      </w:r>
      <w:r>
        <w:rPr>
          <w:rFonts w:hint="eastAsia" w:ascii="宋体" w:hAnsi="宋体"/>
          <w:b/>
          <w:bCs/>
          <w:color w:val="auto"/>
          <w:sz w:val="28"/>
          <w:szCs w:val="28"/>
          <w:highlight w:val="red"/>
          <w:lang w:val="en-US" w:eastAsia="zh-CN"/>
        </w:rPr>
        <w:t>4</w:t>
      </w:r>
      <w:r>
        <w:rPr>
          <w:rFonts w:hint="eastAsia" w:ascii="宋体" w:hAnsi="宋体"/>
          <w:b/>
          <w:bCs/>
          <w:color w:val="auto"/>
          <w:sz w:val="28"/>
          <w:szCs w:val="28"/>
          <w:highlight w:val="red"/>
          <w:lang w:eastAsia="zh-CN"/>
        </w:rPr>
        <w:t>）</w:t>
      </w:r>
      <w:r>
        <w:rPr>
          <w:rFonts w:hint="eastAsia" w:ascii="宋体" w:hAnsi="宋体"/>
          <w:b/>
          <w:bCs/>
          <w:color w:val="auto"/>
          <w:sz w:val="28"/>
          <w:szCs w:val="28"/>
          <w:highlight w:val="red"/>
          <w:lang w:val="en-US" w:eastAsia="zh-CN"/>
        </w:rPr>
        <w:t>涉及本项目的行业标准：（工业）</w:t>
      </w:r>
    </w:p>
    <w:p w14:paraId="2E7A137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4"/>
        <w:rPr>
          <w:b/>
          <w:bCs/>
          <w:highlight w:val="red"/>
        </w:rPr>
      </w:pPr>
      <w:r>
        <w:rPr>
          <w:rFonts w:hint="eastAsia" w:ascii="仿宋_GB2312" w:hAnsi="仿宋_GB2312" w:eastAsia="仿宋_GB2312" w:cs="仿宋_GB2312"/>
          <w:b/>
          <w:bCs/>
          <w:color w:val="000000"/>
          <w:sz w:val="25"/>
          <w:szCs w:val="25"/>
          <w:highlight w:val="red"/>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A9A842">
      <w:pPr>
        <w:numPr>
          <w:ilvl w:val="0"/>
          <w:numId w:val="30"/>
        </w:num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供应商填写中小企业声明函应根据标的物</w:t>
      </w:r>
      <w:r>
        <w:rPr>
          <w:rFonts w:hint="eastAsia" w:ascii="宋体" w:hAnsi="宋体" w:eastAsia="宋体" w:cs="Times New Roman"/>
          <w:color w:val="FF0000"/>
          <w:szCs w:val="21"/>
          <w:highlight w:val="none"/>
          <w:lang w:val="en-US" w:eastAsia="zh-CN"/>
        </w:rPr>
        <w:t>逐一</w:t>
      </w:r>
      <w:r>
        <w:rPr>
          <w:rFonts w:hint="eastAsia" w:ascii="宋体" w:hAnsi="宋体" w:eastAsia="宋体" w:cs="Times New Roman"/>
          <w:szCs w:val="21"/>
          <w:lang w:val="en-US" w:eastAsia="zh-CN"/>
        </w:rPr>
        <w:t>填写，制造商具体信息投标人应根据实际情况据实填写，投标人自行承担因填写信息不真实、内容不齐全等原因造成的不利后果。</w:t>
      </w:r>
    </w:p>
    <w:p w14:paraId="51266AEE">
      <w:pPr>
        <w:numPr>
          <w:ilvl w:val="0"/>
          <w:numId w:val="30"/>
        </w:num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供应商按照本办法规定提供声明函内容不实的，属于提供虚假材料谋取中标、成交，依照《中华人民共和国政府采购法》等国家有关规定追究相应责任。</w:t>
      </w:r>
    </w:p>
    <w:p w14:paraId="7F0FEC9C">
      <w:pPr>
        <w:rPr>
          <w:rFonts w:hint="default"/>
          <w:lang w:val="en-US" w:eastAsia="zh-CN"/>
        </w:rPr>
      </w:pPr>
      <w:r>
        <w:rPr>
          <w:rFonts w:hint="default"/>
          <w:lang w:val="en-US" w:eastAsia="zh-CN"/>
        </w:rPr>
        <w:br w:type="page"/>
      </w:r>
    </w:p>
    <w:p w14:paraId="276F9F36">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1</w:t>
      </w:r>
      <w:r>
        <w:rPr>
          <w:rFonts w:hint="eastAsia" w:ascii="宋体" w:hAnsi="宋体"/>
          <w:bCs/>
          <w:color w:val="000000" w:themeColor="text1"/>
          <w:sz w:val="28"/>
          <w:szCs w:val="28"/>
          <w:lang w:val="en-US" w:eastAsia="zh-CN"/>
          <w14:textFill>
            <w14:solidFill>
              <w14:schemeClr w14:val="tx1"/>
            </w14:solidFill>
          </w14:textFill>
        </w:rPr>
        <w:t>0</w:t>
      </w:r>
      <w:r>
        <w:rPr>
          <w:rFonts w:hint="eastAsia" w:ascii="宋体" w:hAnsi="宋体"/>
          <w:bCs/>
          <w:color w:val="000000" w:themeColor="text1"/>
          <w:sz w:val="28"/>
          <w:szCs w:val="28"/>
          <w14:textFill>
            <w14:solidFill>
              <w14:schemeClr w14:val="tx1"/>
            </w14:solidFill>
          </w14:textFill>
        </w:rPr>
        <w:t>-1</w:t>
      </w:r>
    </w:p>
    <w:p w14:paraId="63BEE215">
      <w:pPr>
        <w:tabs>
          <w:tab w:val="left" w:pos="3600"/>
        </w:tabs>
        <w:adjustRightInd w:val="0"/>
        <w:snapToGrid w:val="0"/>
        <w:jc w:val="center"/>
        <w:rPr>
          <w:rFonts w:ascii="宋体" w:hAnsi="宋体" w:cs="宋体"/>
          <w:b/>
          <w:bCs/>
          <w:spacing w:val="6"/>
          <w:kern w:val="0"/>
          <w:sz w:val="24"/>
        </w:rPr>
      </w:pPr>
      <w:r>
        <w:rPr>
          <w:rFonts w:hint="eastAsia" w:ascii="宋体" w:hAnsi="宋体" w:cs="宋体"/>
          <w:b/>
          <w:bCs/>
          <w:spacing w:val="6"/>
          <w:kern w:val="0"/>
          <w:sz w:val="24"/>
        </w:rPr>
        <w:t>残疾人福利性单位声明函</w:t>
      </w:r>
    </w:p>
    <w:p w14:paraId="2C5D79C8">
      <w:pPr>
        <w:spacing w:line="588" w:lineRule="exact"/>
        <w:rPr>
          <w:rFonts w:ascii="仿宋_GB2312" w:eastAsia="仿宋_GB2312"/>
          <w:b/>
          <w:spacing w:val="6"/>
          <w:sz w:val="30"/>
          <w:szCs w:val="30"/>
        </w:rPr>
      </w:pPr>
    </w:p>
    <w:p w14:paraId="63B7AB97">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w:t>
      </w:r>
      <w:r>
        <w:rPr>
          <w:rFonts w:ascii="宋体" w:hAnsi="宋体" w:cs="宋体"/>
          <w:spacing w:val="6"/>
          <w:kern w:val="0"/>
          <w:szCs w:val="21"/>
        </w:rPr>
        <w:t xml:space="preserve"> </w:t>
      </w:r>
      <w:r>
        <w:rPr>
          <w:rFonts w:hint="eastAsia" w:ascii="宋体" w:hAnsi="宋体" w:cs="宋体"/>
          <w:spacing w:val="6"/>
          <w:kern w:val="0"/>
          <w:szCs w:val="21"/>
        </w:rPr>
        <w:t>民政部</w:t>
      </w:r>
      <w:r>
        <w:rPr>
          <w:rFonts w:ascii="宋体" w:hAnsi="宋体" w:cs="宋体"/>
          <w:spacing w:val="6"/>
          <w:kern w:val="0"/>
          <w:szCs w:val="21"/>
        </w:rPr>
        <w:t xml:space="preserve"> </w:t>
      </w:r>
      <w:r>
        <w:rPr>
          <w:rFonts w:hint="eastAsia" w:ascii="宋体" w:hAnsi="宋体" w:cs="宋体"/>
          <w:spacing w:val="6"/>
          <w:kern w:val="0"/>
          <w:szCs w:val="21"/>
        </w:rPr>
        <w:t>中国残疾人联合会关于促进残疾人就业政府采购政策的通知》（财库〔</w:t>
      </w:r>
      <w:r>
        <w:rPr>
          <w:rFonts w:ascii="宋体" w:hAnsi="宋体" w:cs="宋体"/>
          <w:spacing w:val="6"/>
          <w:kern w:val="0"/>
          <w:szCs w:val="21"/>
        </w:rPr>
        <w:t>2017</w:t>
      </w:r>
      <w:r>
        <w:rPr>
          <w:rFonts w:hint="eastAsia" w:ascii="宋体" w:hAnsi="宋体" w:cs="宋体"/>
          <w:spacing w:val="6"/>
          <w:kern w:val="0"/>
          <w:szCs w:val="21"/>
        </w:rPr>
        <w:t>〕</w:t>
      </w:r>
      <w:r>
        <w:rPr>
          <w:rFonts w:ascii="宋体" w:hAnsi="宋体" w:cs="宋体"/>
          <w:spacing w:val="6"/>
          <w:kern w:val="0"/>
          <w:szCs w:val="21"/>
        </w:rPr>
        <w:t xml:space="preserve"> 141</w:t>
      </w:r>
      <w:r>
        <w:rPr>
          <w:rFonts w:hint="eastAsia" w:ascii="宋体" w:hAnsi="宋体" w:cs="宋体"/>
          <w:spacing w:val="6"/>
          <w:kern w:val="0"/>
          <w:szCs w:val="21"/>
        </w:rPr>
        <w:t>号）的规定，本单位为符合条件的残疾人福利性单位，且本单位参加</w:t>
      </w:r>
      <w:r>
        <w:rPr>
          <w:rFonts w:ascii="宋体" w:hAnsi="宋体" w:cs="宋体"/>
          <w:spacing w:val="6"/>
          <w:kern w:val="0"/>
          <w:szCs w:val="21"/>
        </w:rPr>
        <w:t>______</w:t>
      </w:r>
      <w:r>
        <w:rPr>
          <w:rFonts w:hint="eastAsia" w:ascii="宋体" w:hAnsi="宋体" w:cs="宋体"/>
          <w:spacing w:val="6"/>
          <w:kern w:val="0"/>
          <w:szCs w:val="21"/>
        </w:rPr>
        <w:t>单位的</w:t>
      </w:r>
      <w:r>
        <w:rPr>
          <w:rFonts w:ascii="宋体" w:hAnsi="宋体" w:cs="宋体"/>
          <w:spacing w:val="6"/>
          <w:kern w:val="0"/>
          <w:szCs w:val="21"/>
        </w:rPr>
        <w:t>______</w:t>
      </w:r>
      <w:r>
        <w:rPr>
          <w:rFonts w:hint="eastAsia" w:ascii="宋体" w:hAnsi="宋体" w:cs="宋体"/>
          <w:spacing w:val="6"/>
          <w:kern w:val="0"/>
          <w:szCs w:val="21"/>
        </w:rPr>
        <w:t>项目采购活动提供本单位制造的货物（由本单位承担工程</w:t>
      </w:r>
      <w:r>
        <w:rPr>
          <w:rFonts w:ascii="宋体" w:hAnsi="宋体" w:cs="宋体"/>
          <w:spacing w:val="6"/>
          <w:kern w:val="0"/>
          <w:szCs w:val="21"/>
        </w:rPr>
        <w:t>/</w:t>
      </w:r>
      <w:r>
        <w:rPr>
          <w:rFonts w:hint="eastAsia" w:ascii="宋体" w:hAnsi="宋体" w:cs="宋体"/>
          <w:spacing w:val="6"/>
          <w:kern w:val="0"/>
          <w:szCs w:val="21"/>
        </w:rPr>
        <w:t>提供服务），或者提供其他残疾人福利性单位制造的货物（不包括使用非残疾人福利性单位注册商标的货物）。</w:t>
      </w:r>
    </w:p>
    <w:p w14:paraId="7F490B5C">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14:paraId="0F93790F">
      <w:pPr>
        <w:spacing w:line="588" w:lineRule="exact"/>
        <w:ind w:firstLine="624" w:firstLineChars="200"/>
        <w:rPr>
          <w:rFonts w:ascii="仿宋_GB2312" w:eastAsia="仿宋_GB2312"/>
          <w:spacing w:val="6"/>
          <w:sz w:val="30"/>
          <w:szCs w:val="30"/>
        </w:rPr>
      </w:pPr>
    </w:p>
    <w:p w14:paraId="19B438A4">
      <w:pPr>
        <w:spacing w:line="588" w:lineRule="exact"/>
        <w:ind w:firstLine="624" w:firstLineChars="200"/>
        <w:rPr>
          <w:rFonts w:ascii="仿宋_GB2312" w:eastAsia="仿宋_GB2312"/>
          <w:spacing w:val="6"/>
          <w:sz w:val="30"/>
          <w:szCs w:val="30"/>
        </w:rPr>
      </w:pPr>
    </w:p>
    <w:p w14:paraId="7B6D7D0A">
      <w:pPr>
        <w:widowControl/>
        <w:adjustRightInd w:val="0"/>
        <w:snapToGrid w:val="0"/>
        <w:spacing w:line="360" w:lineRule="auto"/>
        <w:ind w:firstLine="624" w:firstLineChars="200"/>
        <w:jc w:val="center"/>
        <w:rPr>
          <w:rFonts w:ascii="宋体" w:hAnsi="宋体" w:cs="宋体"/>
          <w:spacing w:val="6"/>
          <w:kern w:val="0"/>
          <w:szCs w:val="21"/>
        </w:rPr>
      </w:pPr>
      <w:r>
        <w:rPr>
          <w:rFonts w:ascii="仿宋_GB2312" w:eastAsia="仿宋_GB2312"/>
          <w:spacing w:val="6"/>
          <w:sz w:val="30"/>
          <w:szCs w:val="30"/>
        </w:rPr>
        <w:t xml:space="preserve">       </w:t>
      </w:r>
      <w:r>
        <w:rPr>
          <w:rFonts w:hint="eastAsia" w:ascii="宋体" w:hAnsi="宋体" w:cs="宋体"/>
          <w:spacing w:val="6"/>
          <w:kern w:val="0"/>
          <w:szCs w:val="21"/>
        </w:rPr>
        <w:t xml:space="preserve">投标单位名称（盖单位章）： </w:t>
      </w:r>
    </w:p>
    <w:p w14:paraId="73F496FD">
      <w:pPr>
        <w:widowControl/>
        <w:adjustRightInd w:val="0"/>
        <w:snapToGrid w:val="0"/>
        <w:spacing w:line="360" w:lineRule="auto"/>
        <w:ind w:firstLine="444" w:firstLineChars="200"/>
        <w:jc w:val="center"/>
        <w:rPr>
          <w:rFonts w:ascii="宋体" w:hAnsi="宋体"/>
          <w:szCs w:val="21"/>
        </w:rPr>
      </w:pPr>
      <w:r>
        <w:rPr>
          <w:rFonts w:hint="eastAsia" w:ascii="宋体" w:hAnsi="宋体" w:cs="宋体"/>
          <w:spacing w:val="6"/>
          <w:kern w:val="0"/>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24B5DF7">
      <w:pPr>
        <w:adjustRightInd w:val="0"/>
        <w:snapToGrid w:val="0"/>
        <w:spacing w:line="360" w:lineRule="auto"/>
        <w:ind w:right="24"/>
        <w:rPr>
          <w:rFonts w:ascii="宋体" w:hAnsi="宋体"/>
          <w:b/>
          <w:sz w:val="28"/>
          <w:szCs w:val="28"/>
        </w:rPr>
      </w:pPr>
    </w:p>
    <w:p w14:paraId="3ABE917A">
      <w:pPr>
        <w:pStyle w:val="20"/>
        <w:spacing w:before="0" w:beforeAutospacing="0" w:after="0" w:afterAutospacing="0"/>
        <w:rPr>
          <w:spacing w:val="6"/>
          <w:sz w:val="21"/>
          <w:szCs w:val="21"/>
        </w:rPr>
      </w:pPr>
      <w:r>
        <w:rPr>
          <w:rFonts w:hint="eastAsia"/>
          <w:spacing w:val="6"/>
          <w:sz w:val="21"/>
          <w:szCs w:val="21"/>
        </w:rPr>
        <w:t>说明：</w:t>
      </w:r>
    </w:p>
    <w:p w14:paraId="4E3E8D01">
      <w:pPr>
        <w:pStyle w:val="20"/>
        <w:spacing w:before="0" w:beforeAutospacing="0" w:after="0" w:afterAutospacing="0"/>
        <w:ind w:firstLine="444" w:firstLineChars="200"/>
        <w:rPr>
          <w:spacing w:val="6"/>
          <w:sz w:val="21"/>
          <w:szCs w:val="21"/>
        </w:rPr>
      </w:pPr>
      <w:r>
        <w:rPr>
          <w:rFonts w:hint="eastAsia"/>
          <w:spacing w:val="6"/>
          <w:sz w:val="21"/>
          <w:szCs w:val="21"/>
        </w:rPr>
        <w:t>1、</w:t>
      </w:r>
      <w:r>
        <w:rPr>
          <w:rFonts w:hint="eastAsia"/>
          <w:b/>
          <w:bCs/>
          <w:spacing w:val="6"/>
          <w:sz w:val="21"/>
          <w:szCs w:val="21"/>
        </w:rPr>
        <w:t>残疾人福利性单位视同小微企业</w:t>
      </w:r>
      <w:r>
        <w:rPr>
          <w:rFonts w:hint="eastAsia"/>
          <w:spacing w:val="6"/>
          <w:sz w:val="21"/>
          <w:szCs w:val="21"/>
        </w:rPr>
        <w:t>，残疾人福利性单位应当同时满足以下条件：</w:t>
      </w:r>
    </w:p>
    <w:p w14:paraId="71013484">
      <w:pPr>
        <w:pStyle w:val="20"/>
        <w:spacing w:before="0" w:beforeAutospacing="0" w:after="0" w:afterAutospacing="0"/>
        <w:ind w:firstLine="444" w:firstLineChars="200"/>
        <w:rPr>
          <w:spacing w:val="6"/>
          <w:sz w:val="21"/>
          <w:szCs w:val="21"/>
        </w:rPr>
      </w:pPr>
      <w:r>
        <w:rPr>
          <w:rFonts w:hint="eastAsia"/>
          <w:spacing w:val="6"/>
          <w:sz w:val="21"/>
          <w:szCs w:val="21"/>
        </w:rPr>
        <w:t>①安置的残疾人占本单位在职职工人数的比例不低于25%（含25%），并且安置的残疾人人数不少于10人（含10人）；</w:t>
      </w:r>
    </w:p>
    <w:p w14:paraId="49B06295">
      <w:pPr>
        <w:pStyle w:val="20"/>
        <w:spacing w:before="0" w:beforeAutospacing="0" w:after="0" w:afterAutospacing="0"/>
        <w:ind w:firstLine="444" w:firstLineChars="200"/>
        <w:rPr>
          <w:spacing w:val="6"/>
          <w:sz w:val="21"/>
          <w:szCs w:val="21"/>
        </w:rPr>
      </w:pPr>
      <w:r>
        <w:rPr>
          <w:rFonts w:hint="eastAsia"/>
          <w:spacing w:val="6"/>
          <w:sz w:val="21"/>
          <w:szCs w:val="21"/>
        </w:rPr>
        <w:t>②依法与安置的每位残疾人签订了一年以上（含一年）的劳动合同或服务协议；</w:t>
      </w:r>
    </w:p>
    <w:p w14:paraId="6E9EC9C4">
      <w:pPr>
        <w:pStyle w:val="20"/>
        <w:spacing w:before="0" w:beforeAutospacing="0" w:after="0" w:afterAutospacing="0"/>
        <w:ind w:firstLine="444" w:firstLineChars="200"/>
        <w:rPr>
          <w:spacing w:val="6"/>
          <w:sz w:val="21"/>
          <w:szCs w:val="21"/>
        </w:rPr>
      </w:pPr>
      <w:r>
        <w:rPr>
          <w:rFonts w:hint="eastAsia"/>
          <w:spacing w:val="6"/>
          <w:sz w:val="21"/>
          <w:szCs w:val="21"/>
        </w:rPr>
        <w:t>③为安置的每位残疾人按月足额缴纳了基本养老保险、基本医疗保险、失业保险、工伤保险和生育保险等社会保险费；</w:t>
      </w:r>
    </w:p>
    <w:p w14:paraId="10803135">
      <w:pPr>
        <w:pStyle w:val="20"/>
        <w:spacing w:before="0" w:beforeAutospacing="0" w:after="0" w:afterAutospacing="0"/>
        <w:ind w:firstLine="444" w:firstLineChars="200"/>
        <w:rPr>
          <w:spacing w:val="6"/>
          <w:sz w:val="21"/>
          <w:szCs w:val="21"/>
        </w:rPr>
      </w:pPr>
      <w:r>
        <w:rPr>
          <w:rFonts w:hint="eastAsia"/>
          <w:spacing w:val="6"/>
          <w:sz w:val="21"/>
          <w:szCs w:val="21"/>
        </w:rPr>
        <w:t>④通过银行等金融机构向安置的每位残疾人，按月支付了不低于单位所在区县适用的经省级人民政府批准的月最低工资标准的工资；</w:t>
      </w:r>
    </w:p>
    <w:p w14:paraId="5E290EFE">
      <w:pPr>
        <w:pStyle w:val="20"/>
        <w:spacing w:before="0" w:beforeAutospacing="0" w:after="0" w:afterAutospacing="0"/>
        <w:ind w:firstLine="444" w:firstLineChars="200"/>
        <w:rPr>
          <w:spacing w:val="6"/>
          <w:sz w:val="21"/>
          <w:szCs w:val="21"/>
        </w:rPr>
      </w:pPr>
      <w:r>
        <w:rPr>
          <w:rFonts w:hint="eastAsia"/>
          <w:spacing w:val="6"/>
          <w:sz w:val="21"/>
          <w:szCs w:val="21"/>
        </w:rPr>
        <w:t>⑤提供本单位制造的货物、承担的工程或者服务（以下简称产品），或者提供其他残疾人福利性单位制造的货物（不包括使用非残疾人福利性单位注册商标的货物）。</w:t>
      </w:r>
    </w:p>
    <w:p w14:paraId="619672F1">
      <w:pPr>
        <w:pStyle w:val="20"/>
        <w:spacing w:before="0" w:beforeAutospacing="0" w:after="0" w:afterAutospacing="0"/>
        <w:rPr>
          <w:spacing w:val="6"/>
          <w:sz w:val="21"/>
          <w:szCs w:val="21"/>
        </w:rPr>
      </w:pPr>
    </w:p>
    <w:p w14:paraId="036F71A2">
      <w:pPr>
        <w:pStyle w:val="20"/>
        <w:spacing w:before="0" w:beforeAutospacing="0" w:after="0" w:afterAutospacing="0"/>
        <w:ind w:firstLine="444" w:firstLineChars="200"/>
        <w:rPr>
          <w:spacing w:val="6"/>
          <w:sz w:val="21"/>
          <w:szCs w:val="21"/>
        </w:rPr>
      </w:pPr>
    </w:p>
    <w:p w14:paraId="317C7D75">
      <w:pPr>
        <w:pStyle w:val="20"/>
        <w:spacing w:before="0" w:beforeAutospacing="0" w:after="0" w:afterAutospacing="0"/>
        <w:ind w:firstLine="444" w:firstLineChars="200"/>
        <w:rPr>
          <w:spacing w:val="6"/>
          <w:sz w:val="21"/>
          <w:szCs w:val="21"/>
        </w:rPr>
      </w:pPr>
      <w:r>
        <w:rPr>
          <w:rFonts w:hint="eastAsia"/>
          <w:spacing w:val="6"/>
          <w:sz w:val="21"/>
          <w:szCs w:val="21"/>
        </w:rPr>
        <w:t>2、</w:t>
      </w:r>
      <w:r>
        <w:rPr>
          <w:rFonts w:hint="eastAsia"/>
          <w:b/>
          <w:bCs/>
          <w:spacing w:val="6"/>
          <w:sz w:val="21"/>
          <w:szCs w:val="21"/>
        </w:rPr>
        <w:t>监狱企业视同为小微企业。</w:t>
      </w:r>
      <w:r>
        <w:rPr>
          <w:rFonts w:hint="eastAsia"/>
          <w:spacing w:val="6"/>
          <w:sz w:val="21"/>
          <w:szCs w:val="21"/>
        </w:rPr>
        <w:t>如属于监狱企业，需提供由省级以上监狱管理局、戒毒管理局（含新疆生产建设兵团）出具的属于监狱企业的证明文件。</w:t>
      </w:r>
    </w:p>
    <w:p w14:paraId="7FCA87A6">
      <w:r>
        <w:rPr>
          <w:rFonts w:hint="eastAsia"/>
          <w:spacing w:val="6"/>
          <w:sz w:val="21"/>
          <w:szCs w:val="21"/>
        </w:rPr>
        <w:br w:type="page"/>
      </w:r>
    </w:p>
    <w:p w14:paraId="524C8875">
      <w:pPr>
        <w:pStyle w:val="6"/>
        <w:rPr>
          <w:rFonts w:hint="default" w:ascii="宋体" w:hAnsi="宋体" w:eastAsia="宋体" w:cs="Times New Roman"/>
          <w:bCs/>
          <w:i w:val="0"/>
          <w:iCs w:val="0"/>
          <w:color w:val="auto"/>
          <w:kern w:val="2"/>
          <w:sz w:val="28"/>
          <w:szCs w:val="28"/>
          <w:lang w:val="en-US" w:eastAsia="zh-CN" w:bidi="ar-SA"/>
        </w:rPr>
      </w:pPr>
      <w:r>
        <w:rPr>
          <w:rFonts w:hint="eastAsia" w:ascii="宋体" w:hAnsi="宋体" w:eastAsia="宋体" w:cs="Times New Roman"/>
          <w:bCs/>
          <w:i w:val="0"/>
          <w:iCs w:val="0"/>
          <w:color w:val="auto"/>
          <w:kern w:val="2"/>
          <w:sz w:val="28"/>
          <w:szCs w:val="28"/>
          <w:lang w:val="en-US" w:eastAsia="zh-CN" w:bidi="ar-SA"/>
        </w:rPr>
        <w:t>附件：11</w:t>
      </w:r>
    </w:p>
    <w:p w14:paraId="28BA2641">
      <w:pPr>
        <w:rPr>
          <w:rFonts w:hint="eastAsia" w:ascii="宋体" w:hAnsi="宋体" w:cs="Times New Roman"/>
          <w:b/>
          <w:bCs w:val="0"/>
          <w:i w:val="0"/>
          <w:iCs w:val="0"/>
          <w:color w:val="auto"/>
          <w:kern w:val="2"/>
          <w:sz w:val="28"/>
          <w:szCs w:val="28"/>
          <w:lang w:val="en-US" w:eastAsia="zh-CN" w:bidi="ar-SA"/>
        </w:rPr>
      </w:pPr>
      <w:r>
        <w:rPr>
          <w:rFonts w:hint="eastAsia" w:ascii="宋体" w:hAnsi="宋体" w:cs="Times New Roman"/>
          <w:bCs/>
          <w:i w:val="0"/>
          <w:iCs w:val="0"/>
          <w:color w:val="auto"/>
          <w:kern w:val="2"/>
          <w:sz w:val="28"/>
          <w:szCs w:val="28"/>
          <w:lang w:val="en-US" w:eastAsia="zh-CN" w:bidi="ar-SA"/>
        </w:rPr>
        <w:t xml:space="preserve">                </w:t>
      </w:r>
      <w:r>
        <w:rPr>
          <w:rFonts w:hint="eastAsia" w:ascii="宋体" w:hAnsi="宋体" w:cs="Times New Roman"/>
          <w:b/>
          <w:bCs w:val="0"/>
          <w:i w:val="0"/>
          <w:iCs w:val="0"/>
          <w:color w:val="auto"/>
          <w:kern w:val="2"/>
          <w:sz w:val="28"/>
          <w:szCs w:val="28"/>
          <w:lang w:val="en-US" w:eastAsia="zh-CN" w:bidi="ar-SA"/>
        </w:rPr>
        <w:t>供应商提供的其他相关证明资料</w:t>
      </w:r>
    </w:p>
    <w:p w14:paraId="70148B95">
      <w:pPr>
        <w:pStyle w:val="2"/>
        <w:rPr>
          <w:rFonts w:hint="default"/>
          <w:lang w:val="en-US" w:eastAsia="zh-CN"/>
        </w:rPr>
      </w:pPr>
      <w:r>
        <w:rPr>
          <w:rFonts w:hint="eastAsia" w:ascii="宋体" w:hAnsi="宋体" w:cs="Times New Roman"/>
          <w:b/>
          <w:bCs w:val="0"/>
          <w:i w:val="0"/>
          <w:iCs w:val="0"/>
          <w:color w:val="auto"/>
          <w:kern w:val="2"/>
          <w:sz w:val="28"/>
          <w:szCs w:val="28"/>
          <w:lang w:val="en-US" w:eastAsia="zh-CN" w:bidi="ar-SA"/>
        </w:rPr>
        <w:t xml:space="preserve">      （投标供应商根据评审因素自行提供有利于评审的资料格式自拟）</w:t>
      </w:r>
    </w:p>
    <w:p w14:paraId="268BBE5D">
      <w:pPr>
        <w:jc w:val="center"/>
        <w:rPr>
          <w:rFonts w:ascii="宋体" w:hAnsi="宋体"/>
          <w:color w:val="000000" w:themeColor="text1"/>
          <w:sz w:val="28"/>
          <w:szCs w:val="28"/>
          <w14:textFill>
            <w14:solidFill>
              <w14:schemeClr w14:val="tx1"/>
            </w14:solidFill>
          </w14:textFill>
        </w:rPr>
      </w:pPr>
    </w:p>
    <w:p w14:paraId="527231F2">
      <w:pPr>
        <w:rPr>
          <w:rFonts w:ascii="宋体" w:hAnsi="宋体" w:cs="宋体"/>
          <w:b/>
          <w:color w:val="000000" w:themeColor="text1"/>
          <w:sz w:val="28"/>
          <w:szCs w:val="28"/>
          <w14:textFill>
            <w14:solidFill>
              <w14:schemeClr w14:val="tx1"/>
            </w14:solidFill>
          </w14:textFill>
        </w:rPr>
      </w:pPr>
    </w:p>
    <w:bookmarkEnd w:id="14"/>
    <w:p w14:paraId="433854FF">
      <w:pPr>
        <w:adjustRightInd w:val="0"/>
        <w:snapToGrid w:val="0"/>
        <w:spacing w:line="360" w:lineRule="auto"/>
        <w:ind w:right="24"/>
      </w:pPr>
    </w:p>
    <w:p w14:paraId="2267F332">
      <w:pPr>
        <w:pStyle w:val="2"/>
      </w:pPr>
    </w:p>
    <w:p w14:paraId="570B392A">
      <w:pPr>
        <w:pStyle w:val="2"/>
      </w:pPr>
    </w:p>
    <w:p w14:paraId="18FEA36E">
      <w:pPr>
        <w:pStyle w:val="2"/>
      </w:pPr>
    </w:p>
    <w:p w14:paraId="174CB71B">
      <w:pPr>
        <w:pStyle w:val="2"/>
      </w:pPr>
    </w:p>
    <w:p w14:paraId="2012825E">
      <w:pPr>
        <w:pStyle w:val="2"/>
      </w:pPr>
    </w:p>
    <w:p w14:paraId="23E94CAE">
      <w:pPr>
        <w:pStyle w:val="2"/>
      </w:pPr>
    </w:p>
    <w:p w14:paraId="7B25DAC9">
      <w:pPr>
        <w:pStyle w:val="2"/>
      </w:pPr>
    </w:p>
    <w:p w14:paraId="071BEC06">
      <w:pPr>
        <w:pStyle w:val="2"/>
      </w:pPr>
    </w:p>
    <w:p w14:paraId="46750634">
      <w:pPr>
        <w:pStyle w:val="2"/>
      </w:pPr>
    </w:p>
    <w:p w14:paraId="75529CED">
      <w:pPr>
        <w:pStyle w:val="2"/>
      </w:pPr>
    </w:p>
    <w:p w14:paraId="5E3F9552">
      <w:pPr>
        <w:pStyle w:val="2"/>
      </w:pPr>
    </w:p>
    <w:p w14:paraId="68247444">
      <w:pPr>
        <w:pStyle w:val="2"/>
      </w:pPr>
    </w:p>
    <w:p w14:paraId="5F1C7FE4">
      <w:pPr>
        <w:pStyle w:val="2"/>
      </w:pPr>
    </w:p>
    <w:p w14:paraId="4B5A23FD">
      <w:pPr>
        <w:pStyle w:val="2"/>
      </w:pPr>
    </w:p>
    <w:p w14:paraId="3DC5CCA4">
      <w:pPr>
        <w:pStyle w:val="2"/>
      </w:pPr>
    </w:p>
    <w:p w14:paraId="162AC496">
      <w:pPr>
        <w:pStyle w:val="2"/>
      </w:pPr>
    </w:p>
    <w:p w14:paraId="6E1FA43B">
      <w:pPr>
        <w:pStyle w:val="2"/>
      </w:pPr>
    </w:p>
    <w:p w14:paraId="530C8C25">
      <w:pPr>
        <w:pStyle w:val="2"/>
      </w:pPr>
    </w:p>
    <w:p w14:paraId="4B905B3B">
      <w:pPr>
        <w:pStyle w:val="2"/>
      </w:pPr>
    </w:p>
    <w:p w14:paraId="3F599004">
      <w:pPr>
        <w:pStyle w:val="2"/>
      </w:pPr>
    </w:p>
    <w:p w14:paraId="0BF202D2">
      <w:pPr>
        <w:pStyle w:val="2"/>
      </w:pPr>
    </w:p>
    <w:p w14:paraId="33369B03">
      <w:pPr>
        <w:pStyle w:val="2"/>
      </w:pPr>
    </w:p>
    <w:p w14:paraId="1783D593">
      <w:pPr>
        <w:pStyle w:val="2"/>
      </w:pPr>
    </w:p>
    <w:p w14:paraId="0F72B8E3">
      <w:pPr>
        <w:pStyle w:val="2"/>
      </w:pPr>
    </w:p>
    <w:p w14:paraId="2BF595A6">
      <w:pPr>
        <w:pStyle w:val="2"/>
      </w:pPr>
    </w:p>
    <w:p w14:paraId="1BE38E26">
      <w:pPr>
        <w:pStyle w:val="2"/>
      </w:pPr>
    </w:p>
    <w:p w14:paraId="5D4DB534">
      <w:pPr>
        <w:pStyle w:val="2"/>
      </w:pPr>
    </w:p>
    <w:p w14:paraId="60908CD9">
      <w:pPr>
        <w:pStyle w:val="2"/>
      </w:pPr>
    </w:p>
    <w:p w14:paraId="154340A2">
      <w:pPr>
        <w:pStyle w:val="6"/>
        <w:rPr>
          <w:rFonts w:hint="eastAsia"/>
          <w:lang w:val="en-US" w:eastAsia="zh-CN"/>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12</w:t>
      </w:r>
      <w:r>
        <w:rPr>
          <w:rFonts w:hint="eastAsia" w:ascii="宋体" w:hAnsi="宋体" w:eastAsia="宋体" w:cs="宋体"/>
          <w:color w:val="auto"/>
          <w:sz w:val="32"/>
          <w:szCs w:val="32"/>
        </w:rPr>
        <w:t xml:space="preserve">  </w:t>
      </w:r>
    </w:p>
    <w:p w14:paraId="565991A9">
      <w:pPr>
        <w:autoSpaceDN w:val="0"/>
        <w:spacing w:line="360" w:lineRule="auto"/>
        <w:jc w:val="center"/>
        <w:rPr>
          <w:b/>
          <w:bCs/>
          <w:sz w:val="24"/>
        </w:rPr>
      </w:pPr>
      <w:r>
        <w:rPr>
          <w:rFonts w:hint="eastAsia"/>
          <w:b/>
          <w:bCs/>
          <w:sz w:val="24"/>
          <w:highlight w:val="yellow"/>
          <w:lang w:eastAsia="zh-CN"/>
        </w:rPr>
        <w:t>强制认证产品</w:t>
      </w:r>
      <w:r>
        <w:rPr>
          <w:rFonts w:hint="eastAsia"/>
          <w:b/>
          <w:bCs/>
          <w:sz w:val="24"/>
          <w:highlight w:val="yellow"/>
        </w:rPr>
        <w:t>情况表</w:t>
      </w:r>
      <w:r>
        <w:rPr>
          <w:rFonts w:hint="eastAsia" w:ascii="-webkit-standard" w:hAnsi="-webkit-standard" w:eastAsia="宋体" w:cs="-webkit-standard"/>
          <w:color w:val="000000"/>
          <w:sz w:val="22"/>
          <w:szCs w:val="22"/>
          <w:lang w:eastAsia="zh-CN"/>
        </w:rPr>
        <w:t>（本项目不涉及该表格）</w:t>
      </w:r>
    </w:p>
    <w:p w14:paraId="0C94E122">
      <w:pPr>
        <w:spacing w:line="460" w:lineRule="exact"/>
        <w:rPr>
          <w:rFonts w:ascii="宋体" w:hAnsi="宋体" w:cs="宋体"/>
          <w:szCs w:val="21"/>
        </w:rPr>
      </w:pPr>
      <w:r>
        <w:rPr>
          <w:rFonts w:hint="eastAsia" w:ascii="宋体" w:hAnsi="宋体" w:cs="宋体"/>
          <w:szCs w:val="21"/>
        </w:rPr>
        <w:t>项目名称：</w:t>
      </w:r>
    </w:p>
    <w:p w14:paraId="183C9C91">
      <w:pPr>
        <w:spacing w:line="460" w:lineRule="exact"/>
        <w:rPr>
          <w:rFonts w:ascii="宋体" w:hAnsi="宋体" w:cs="宋体"/>
          <w:szCs w:val="21"/>
        </w:rPr>
      </w:pPr>
      <w:r>
        <w:rPr>
          <w:rFonts w:hint="eastAsia" w:ascii="宋体" w:hAnsi="宋体" w:cs="宋体"/>
          <w:szCs w:val="21"/>
        </w:rPr>
        <w:t>项目编号：</w:t>
      </w:r>
    </w:p>
    <w:tbl>
      <w:tblPr>
        <w:tblStyle w:val="23"/>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55"/>
        <w:gridCol w:w="1860"/>
        <w:gridCol w:w="1841"/>
        <w:gridCol w:w="1620"/>
      </w:tblGrid>
      <w:tr w14:paraId="1ECF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5"/>
            <w:noWrap w:val="0"/>
            <w:vAlign w:val="center"/>
          </w:tcPr>
          <w:p w14:paraId="2EF41D79">
            <w:pPr>
              <w:pStyle w:val="36"/>
              <w:tabs>
                <w:tab w:val="left" w:pos="1260"/>
              </w:tabs>
              <w:adjustRightInd w:val="0"/>
              <w:snapToGrid w:val="0"/>
              <w:jc w:val="center"/>
              <w:rPr>
                <w:rFonts w:ascii="宋体" w:hAnsi="宋体" w:cs="宋体"/>
                <w:sz w:val="24"/>
              </w:rPr>
            </w:pPr>
            <w:r>
              <w:rPr>
                <w:rFonts w:hint="eastAsia" w:ascii="Helvetica" w:hAnsi="Helvetica" w:eastAsia="宋体" w:cs="Helvetica"/>
                <w:color w:val="000000"/>
                <w:szCs w:val="21"/>
                <w:shd w:val="clear" w:color="auto" w:fill="FFFFFF"/>
                <w:lang w:eastAsia="zh-CN"/>
              </w:rPr>
              <w:t>强制认证</w:t>
            </w:r>
            <w:r>
              <w:rPr>
                <w:rFonts w:hint="eastAsia" w:ascii="Helvetica" w:hAnsi="Helvetica" w:eastAsia="Helvetica" w:cs="Helvetica"/>
                <w:color w:val="000000"/>
                <w:szCs w:val="21"/>
                <w:shd w:val="clear" w:color="auto" w:fill="FFFFFF"/>
              </w:rPr>
              <w:t>产品</w:t>
            </w:r>
          </w:p>
        </w:tc>
      </w:tr>
      <w:tr w14:paraId="0303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5"/>
            <w:noWrap w:val="0"/>
            <w:vAlign w:val="center"/>
          </w:tcPr>
          <w:p w14:paraId="15AF1416">
            <w:pPr>
              <w:pStyle w:val="3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依照《强制性产品认证管理规定》（2009年7月3日国家质量监督检验检疫总局令第117号公布 根据2022年9月29日国家市场监督管理总局令第61号修订）、《市场监管总局关于发布强制性产品认证目录描述与界定表的公告》（2023年第36号)</w:t>
            </w:r>
            <w:r>
              <w:rPr>
                <w:rFonts w:ascii="Helvetica" w:hAnsi="Helvetica" w:eastAsia="Helvetica" w:cs="Helvetica"/>
                <w:color w:val="000000"/>
                <w:szCs w:val="21"/>
                <w:shd w:val="clear" w:color="auto" w:fill="FFFFFF"/>
              </w:rPr>
              <w:t>规定</w:t>
            </w:r>
            <w:r>
              <w:rPr>
                <w:rFonts w:hint="eastAsia" w:ascii="Helvetica" w:hAnsi="Helvetica" w:cs="Helvetica"/>
                <w:color w:val="000000"/>
                <w:szCs w:val="21"/>
                <w:shd w:val="clear" w:color="auto" w:fill="FFFFFF"/>
              </w:rPr>
              <w:t>，</w:t>
            </w:r>
            <w:r>
              <w:rPr>
                <w:rFonts w:hint="eastAsia" w:ascii="Helvetica" w:hAnsi="Helvetica" w:eastAsia="宋体" w:cs="Helvetica"/>
                <w:color w:val="000000"/>
                <w:szCs w:val="21"/>
                <w:shd w:val="clear" w:color="auto" w:fill="FFFFFF"/>
                <w:lang w:eastAsia="zh-CN"/>
              </w:rPr>
              <w:t>采购需求</w:t>
            </w:r>
            <w:r>
              <w:rPr>
                <w:rFonts w:ascii="Helvetica" w:hAnsi="Helvetica" w:eastAsia="Helvetica" w:cs="Helvetica"/>
                <w:color w:val="000000"/>
                <w:szCs w:val="21"/>
                <w:shd w:val="clear" w:color="auto" w:fill="FFFFFF"/>
              </w:rPr>
              <w:t>清单中标记</w:t>
            </w:r>
            <w:r>
              <w:rPr>
                <w:rFonts w:hint="eastAsia" w:ascii="Helvetica" w:hAnsi="Helvetica" w:eastAsia="宋体" w:cs="Helvetica"/>
                <w:color w:val="000000"/>
                <w:szCs w:val="21"/>
                <w:shd w:val="clear" w:color="auto" w:fill="FFFFFF"/>
                <w:lang w:eastAsia="zh-CN"/>
              </w:rPr>
              <w:t>“</w:t>
            </w:r>
            <w:r>
              <w:rPr>
                <w:rFonts w:hint="eastAsia" w:ascii="Helvetica" w:hAnsi="Helvetica" w:cs="Helvetica"/>
                <w:color w:val="000000"/>
                <w:szCs w:val="21"/>
                <w:shd w:val="clear" w:color="auto" w:fill="FFFFFF"/>
                <w:lang w:eastAsia="zh-CN"/>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产品的投标产品必须有认证证书，否则投标无效。</w:t>
            </w:r>
          </w:p>
        </w:tc>
      </w:tr>
      <w:tr w14:paraId="3419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4655E17F">
            <w:pPr>
              <w:pStyle w:val="3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455" w:type="dxa"/>
            <w:noWrap w:val="0"/>
            <w:vAlign w:val="center"/>
          </w:tcPr>
          <w:p w14:paraId="1D650A7B">
            <w:pPr>
              <w:pStyle w:val="3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860" w:type="dxa"/>
            <w:noWrap w:val="0"/>
            <w:vAlign w:val="center"/>
          </w:tcPr>
          <w:p w14:paraId="63C0EDCD">
            <w:pPr>
              <w:pStyle w:val="3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1841" w:type="dxa"/>
            <w:noWrap w:val="0"/>
            <w:vAlign w:val="center"/>
          </w:tcPr>
          <w:p w14:paraId="494B4794">
            <w:pPr>
              <w:pStyle w:val="36"/>
              <w:tabs>
                <w:tab w:val="left" w:pos="1260"/>
              </w:tabs>
              <w:adjustRightInd w:val="0"/>
              <w:snapToGrid w:val="0"/>
              <w:jc w:val="center"/>
              <w:rPr>
                <w:rFonts w:ascii="宋体" w:hAnsi="宋体" w:cs="宋体"/>
                <w:szCs w:val="21"/>
              </w:rPr>
            </w:pPr>
            <w:r>
              <w:rPr>
                <w:rFonts w:hint="eastAsia" w:ascii="宋体" w:hAnsi="宋体" w:cs="宋体"/>
                <w:szCs w:val="21"/>
                <w:lang w:val="en-GB"/>
              </w:rPr>
              <w:t>认证证书编号</w:t>
            </w:r>
          </w:p>
        </w:tc>
        <w:tc>
          <w:tcPr>
            <w:tcW w:w="1620" w:type="dxa"/>
            <w:noWrap w:val="0"/>
            <w:vAlign w:val="center"/>
          </w:tcPr>
          <w:p w14:paraId="1C4D9B9B">
            <w:pPr>
              <w:pStyle w:val="3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14:paraId="6F5C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CBA8B86">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2C3CDF5C">
            <w:pPr>
              <w:pStyle w:val="36"/>
              <w:tabs>
                <w:tab w:val="left" w:pos="1260"/>
              </w:tabs>
              <w:adjustRightInd w:val="0"/>
              <w:snapToGrid w:val="0"/>
              <w:jc w:val="center"/>
              <w:rPr>
                <w:rFonts w:eastAsia="黑体"/>
                <w:color w:val="000000"/>
                <w:kern w:val="0"/>
                <w:sz w:val="20"/>
                <w:szCs w:val="20"/>
                <w:lang w:bidi="ar"/>
              </w:rPr>
            </w:pPr>
          </w:p>
        </w:tc>
        <w:tc>
          <w:tcPr>
            <w:tcW w:w="1860" w:type="dxa"/>
            <w:noWrap w:val="0"/>
            <w:vAlign w:val="center"/>
          </w:tcPr>
          <w:p w14:paraId="7C69066A">
            <w:pPr>
              <w:widowControl/>
              <w:jc w:val="center"/>
              <w:rPr>
                <w:rFonts w:hint="default" w:eastAsia="黑体"/>
                <w:color w:val="000000"/>
                <w:kern w:val="0"/>
                <w:sz w:val="20"/>
                <w:szCs w:val="20"/>
                <w:lang w:val="en-US" w:eastAsia="zh-CN" w:bidi="ar"/>
              </w:rPr>
            </w:pPr>
          </w:p>
        </w:tc>
        <w:tc>
          <w:tcPr>
            <w:tcW w:w="1841" w:type="dxa"/>
            <w:noWrap w:val="0"/>
            <w:vAlign w:val="center"/>
          </w:tcPr>
          <w:p w14:paraId="1969E02F">
            <w:pPr>
              <w:pStyle w:val="3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14:paraId="6ED85F9C">
            <w:pPr>
              <w:pStyle w:val="36"/>
              <w:tabs>
                <w:tab w:val="left" w:pos="1260"/>
              </w:tabs>
              <w:adjustRightInd w:val="0"/>
              <w:snapToGrid w:val="0"/>
              <w:jc w:val="center"/>
              <w:rPr>
                <w:rFonts w:eastAsia="黑体"/>
                <w:color w:val="000000"/>
                <w:kern w:val="0"/>
                <w:sz w:val="20"/>
                <w:szCs w:val="20"/>
                <w:lang w:bidi="ar"/>
              </w:rPr>
            </w:pPr>
          </w:p>
        </w:tc>
      </w:tr>
      <w:tr w14:paraId="4354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F4268D7">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0E5E6270">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5E7A1021">
            <w:pPr>
              <w:widowControl/>
              <w:jc w:val="center"/>
              <w:rPr>
                <w:rFonts w:hint="default" w:eastAsia="黑体"/>
                <w:color w:val="000000"/>
                <w:kern w:val="0"/>
                <w:sz w:val="20"/>
                <w:szCs w:val="20"/>
                <w:lang w:val="en-US" w:eastAsia="zh-CN" w:bidi="ar"/>
              </w:rPr>
            </w:pPr>
          </w:p>
        </w:tc>
        <w:tc>
          <w:tcPr>
            <w:tcW w:w="1841" w:type="dxa"/>
            <w:noWrap w:val="0"/>
            <w:vAlign w:val="center"/>
          </w:tcPr>
          <w:p w14:paraId="74C0D4D3">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52C76BE0">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2AE0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21517494">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2BFF271E">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45D322D8">
            <w:pPr>
              <w:widowControl/>
              <w:jc w:val="center"/>
              <w:rPr>
                <w:rFonts w:hint="eastAsia" w:eastAsia="黑体"/>
                <w:color w:val="000000"/>
                <w:kern w:val="0"/>
                <w:sz w:val="20"/>
                <w:szCs w:val="20"/>
                <w:lang w:val="en-US" w:eastAsia="zh-CN" w:bidi="ar"/>
              </w:rPr>
            </w:pPr>
          </w:p>
        </w:tc>
        <w:tc>
          <w:tcPr>
            <w:tcW w:w="1841" w:type="dxa"/>
            <w:noWrap w:val="0"/>
            <w:vAlign w:val="center"/>
          </w:tcPr>
          <w:p w14:paraId="78FF51EC">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426ECE08">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325D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1626E6AE">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1748EF36">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07AF67FC">
            <w:pPr>
              <w:widowControl/>
              <w:jc w:val="center"/>
              <w:rPr>
                <w:rFonts w:hint="eastAsia" w:eastAsia="黑体"/>
                <w:color w:val="000000"/>
                <w:kern w:val="0"/>
                <w:sz w:val="20"/>
                <w:szCs w:val="20"/>
                <w:lang w:val="en-US" w:eastAsia="zh-CN" w:bidi="ar"/>
              </w:rPr>
            </w:pPr>
          </w:p>
        </w:tc>
        <w:tc>
          <w:tcPr>
            <w:tcW w:w="1841" w:type="dxa"/>
            <w:noWrap w:val="0"/>
            <w:vAlign w:val="center"/>
          </w:tcPr>
          <w:p w14:paraId="2A71A4B4">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52F24E04">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2A95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10ABE6E8">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2CCE7D30">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6BA4851B">
            <w:pPr>
              <w:widowControl/>
              <w:jc w:val="center"/>
              <w:rPr>
                <w:rFonts w:hint="eastAsia" w:eastAsia="黑体"/>
                <w:color w:val="000000"/>
                <w:kern w:val="0"/>
                <w:sz w:val="20"/>
                <w:szCs w:val="20"/>
                <w:lang w:val="en-US" w:eastAsia="zh-CN" w:bidi="ar"/>
              </w:rPr>
            </w:pPr>
          </w:p>
        </w:tc>
        <w:tc>
          <w:tcPr>
            <w:tcW w:w="1841" w:type="dxa"/>
            <w:noWrap w:val="0"/>
            <w:vAlign w:val="center"/>
          </w:tcPr>
          <w:p w14:paraId="2B38F78A">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71F31506">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1015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38EFB4C">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61DCDA46">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07C9C903">
            <w:pPr>
              <w:widowControl/>
              <w:jc w:val="center"/>
              <w:rPr>
                <w:rFonts w:hint="eastAsia" w:eastAsia="黑体"/>
                <w:color w:val="000000"/>
                <w:kern w:val="0"/>
                <w:sz w:val="20"/>
                <w:szCs w:val="20"/>
                <w:lang w:val="en-US" w:eastAsia="zh-CN" w:bidi="ar"/>
              </w:rPr>
            </w:pPr>
          </w:p>
        </w:tc>
        <w:tc>
          <w:tcPr>
            <w:tcW w:w="1841" w:type="dxa"/>
            <w:noWrap w:val="0"/>
            <w:vAlign w:val="center"/>
          </w:tcPr>
          <w:p w14:paraId="1C041032">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10C7D701">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76EA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4C1C75F">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4B27C976">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397ECCE9">
            <w:pPr>
              <w:widowControl/>
              <w:jc w:val="center"/>
              <w:rPr>
                <w:rFonts w:hint="eastAsia" w:eastAsia="黑体"/>
                <w:color w:val="000000"/>
                <w:kern w:val="0"/>
                <w:sz w:val="20"/>
                <w:szCs w:val="20"/>
                <w:lang w:val="en-US" w:eastAsia="zh-CN" w:bidi="ar"/>
              </w:rPr>
            </w:pPr>
          </w:p>
        </w:tc>
        <w:tc>
          <w:tcPr>
            <w:tcW w:w="1841" w:type="dxa"/>
            <w:noWrap w:val="0"/>
            <w:vAlign w:val="center"/>
          </w:tcPr>
          <w:p w14:paraId="2C7CE74E">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7E87C972">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2CB4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1C589D40">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78838006">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79FD42E7">
            <w:pPr>
              <w:widowControl/>
              <w:jc w:val="center"/>
              <w:rPr>
                <w:rFonts w:hint="eastAsia" w:eastAsia="黑体"/>
                <w:color w:val="000000"/>
                <w:kern w:val="0"/>
                <w:sz w:val="20"/>
                <w:szCs w:val="20"/>
                <w:lang w:val="en-US" w:eastAsia="zh-CN" w:bidi="ar"/>
              </w:rPr>
            </w:pPr>
          </w:p>
        </w:tc>
        <w:tc>
          <w:tcPr>
            <w:tcW w:w="1841" w:type="dxa"/>
            <w:noWrap w:val="0"/>
            <w:vAlign w:val="center"/>
          </w:tcPr>
          <w:p w14:paraId="45D63A27">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6BD12F34">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4B24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BAEA3A7">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3F1B7BDD">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6FF6C24E">
            <w:pPr>
              <w:pStyle w:val="2"/>
              <w:jc w:val="center"/>
              <w:rPr>
                <w:rFonts w:hint="default"/>
                <w:lang w:val="en-US" w:eastAsia="zh-CN"/>
              </w:rPr>
            </w:pPr>
          </w:p>
        </w:tc>
        <w:tc>
          <w:tcPr>
            <w:tcW w:w="1841" w:type="dxa"/>
            <w:noWrap w:val="0"/>
            <w:vAlign w:val="center"/>
          </w:tcPr>
          <w:p w14:paraId="3D77B9AE">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37752475">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41DA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955F9D1">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040B10D7">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61A561C0">
            <w:pPr>
              <w:widowControl/>
              <w:jc w:val="center"/>
              <w:rPr>
                <w:rFonts w:hint="eastAsia" w:eastAsia="黑体"/>
                <w:color w:val="000000"/>
                <w:kern w:val="0"/>
                <w:sz w:val="20"/>
                <w:szCs w:val="20"/>
                <w:lang w:val="en-US" w:eastAsia="zh-CN" w:bidi="ar"/>
              </w:rPr>
            </w:pPr>
          </w:p>
        </w:tc>
        <w:tc>
          <w:tcPr>
            <w:tcW w:w="1841" w:type="dxa"/>
            <w:noWrap w:val="0"/>
            <w:vAlign w:val="center"/>
          </w:tcPr>
          <w:p w14:paraId="34B46500">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165473EA">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4DD0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1C668A49">
            <w:pPr>
              <w:pStyle w:val="36"/>
              <w:tabs>
                <w:tab w:val="left" w:pos="1260"/>
              </w:tabs>
              <w:adjustRightInd w:val="0"/>
              <w:snapToGrid w:val="0"/>
              <w:jc w:val="center"/>
              <w:rPr>
                <w:rFonts w:hint="default" w:eastAsia="黑体"/>
                <w:color w:val="000000"/>
                <w:kern w:val="0"/>
                <w:sz w:val="20"/>
                <w:szCs w:val="20"/>
                <w:lang w:val="en-US" w:eastAsia="zh-CN" w:bidi="ar"/>
              </w:rPr>
            </w:pPr>
          </w:p>
        </w:tc>
        <w:tc>
          <w:tcPr>
            <w:tcW w:w="1455" w:type="dxa"/>
            <w:noWrap w:val="0"/>
            <w:vAlign w:val="center"/>
          </w:tcPr>
          <w:p w14:paraId="5CCDEC82">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750F9D6F">
            <w:pPr>
              <w:widowControl/>
              <w:jc w:val="center"/>
              <w:rPr>
                <w:rFonts w:hint="eastAsia" w:eastAsia="黑体"/>
                <w:color w:val="000000"/>
                <w:kern w:val="0"/>
                <w:sz w:val="20"/>
                <w:szCs w:val="20"/>
                <w:lang w:val="en-US" w:eastAsia="zh-CN" w:bidi="ar"/>
              </w:rPr>
            </w:pPr>
          </w:p>
        </w:tc>
        <w:tc>
          <w:tcPr>
            <w:tcW w:w="1841" w:type="dxa"/>
            <w:noWrap w:val="0"/>
            <w:vAlign w:val="center"/>
          </w:tcPr>
          <w:p w14:paraId="22ACE16B">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66D5571C">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243B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2C19A552">
            <w:pPr>
              <w:adjustRightInd w:val="0"/>
              <w:snapToGrid w:val="0"/>
              <w:jc w:val="center"/>
              <w:rPr>
                <w:rFonts w:hint="eastAsia" w:eastAsia="黑体"/>
                <w:color w:val="000000"/>
                <w:kern w:val="0"/>
                <w:sz w:val="20"/>
                <w:szCs w:val="20"/>
                <w:lang w:val="en-US" w:eastAsia="zh-CN" w:bidi="ar"/>
              </w:rPr>
            </w:pPr>
          </w:p>
        </w:tc>
        <w:tc>
          <w:tcPr>
            <w:tcW w:w="1455" w:type="dxa"/>
            <w:noWrap w:val="0"/>
            <w:vAlign w:val="center"/>
          </w:tcPr>
          <w:p w14:paraId="03D66F20">
            <w:pPr>
              <w:pStyle w:val="36"/>
              <w:tabs>
                <w:tab w:val="left" w:pos="1260"/>
              </w:tabs>
              <w:adjustRightInd w:val="0"/>
              <w:snapToGrid w:val="0"/>
              <w:jc w:val="center"/>
              <w:rPr>
                <w:rFonts w:hint="eastAsia" w:eastAsia="黑体"/>
                <w:color w:val="000000"/>
                <w:kern w:val="0"/>
                <w:sz w:val="20"/>
                <w:szCs w:val="20"/>
                <w:lang w:eastAsia="zh-CN" w:bidi="ar"/>
              </w:rPr>
            </w:pPr>
          </w:p>
        </w:tc>
        <w:tc>
          <w:tcPr>
            <w:tcW w:w="1860" w:type="dxa"/>
            <w:noWrap w:val="0"/>
            <w:vAlign w:val="center"/>
          </w:tcPr>
          <w:p w14:paraId="23DC9103">
            <w:pPr>
              <w:widowControl/>
              <w:jc w:val="center"/>
              <w:rPr>
                <w:rFonts w:hint="eastAsia" w:eastAsia="黑体"/>
                <w:color w:val="000000"/>
                <w:kern w:val="0"/>
                <w:sz w:val="20"/>
                <w:szCs w:val="20"/>
                <w:lang w:val="en-US" w:eastAsia="zh-CN" w:bidi="ar"/>
              </w:rPr>
            </w:pPr>
          </w:p>
        </w:tc>
        <w:tc>
          <w:tcPr>
            <w:tcW w:w="1841" w:type="dxa"/>
            <w:noWrap w:val="0"/>
            <w:vAlign w:val="center"/>
          </w:tcPr>
          <w:p w14:paraId="7E9ED494">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4725E52B">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3D34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5"/>
            <w:noWrap w:val="0"/>
            <w:vAlign w:val="center"/>
          </w:tcPr>
          <w:p w14:paraId="5F90FF12">
            <w:pPr>
              <w:pStyle w:val="3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bl>
    <w:p w14:paraId="6E1AE59F">
      <w:pPr>
        <w:spacing w:line="460" w:lineRule="exact"/>
        <w:rPr>
          <w:rFonts w:ascii="宋体" w:hAnsi="宋体" w:cs="宋体"/>
          <w:szCs w:val="21"/>
        </w:rPr>
      </w:pPr>
    </w:p>
    <w:p w14:paraId="7EA4B4BB">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14:paraId="76525FCA">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14:paraId="7CD2192D">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14:paraId="324E2853"/>
    <w:p w14:paraId="2AA506B8">
      <w:pPr>
        <w:pStyle w:val="2"/>
        <w:rPr>
          <w:rFonts w:hint="eastAsia" w:eastAsia="宋体"/>
          <w:lang w:eastAsia="zh-CN"/>
        </w:rPr>
      </w:pPr>
      <w:r>
        <w:rPr>
          <w:rFonts w:hint="eastAsia"/>
          <w:lang w:eastAsia="zh-CN"/>
        </w:rPr>
        <w:t>注：强制节能产品认证机构应属于满足条件的强制性产品认证指定认证机构。</w:t>
      </w:r>
    </w:p>
    <w:p w14:paraId="5BD6CCE9">
      <w:pPr>
        <w:pStyle w:val="2"/>
      </w:pPr>
    </w:p>
    <w:p w14:paraId="26180CB0">
      <w:pPr>
        <w:pStyle w:val="2"/>
      </w:pPr>
    </w:p>
    <w:p w14:paraId="7481039B">
      <w:pPr>
        <w:pStyle w:val="2"/>
      </w:pPr>
    </w:p>
    <w:p w14:paraId="53558341">
      <w:pPr>
        <w:pStyle w:val="2"/>
      </w:pPr>
    </w:p>
    <w:p w14:paraId="1F56D21B">
      <w:pPr>
        <w:pStyle w:val="2"/>
      </w:pPr>
    </w:p>
    <w:p w14:paraId="29DCB6A6">
      <w:pPr>
        <w:pStyle w:val="2"/>
      </w:pPr>
    </w:p>
    <w:p w14:paraId="46BC1013">
      <w:pPr>
        <w:pStyle w:val="2"/>
      </w:pPr>
    </w:p>
    <w:p w14:paraId="5E9F3040">
      <w:pPr>
        <w:pStyle w:val="2"/>
      </w:pPr>
    </w:p>
    <w:p w14:paraId="55987006">
      <w:pPr>
        <w:pStyle w:val="2"/>
      </w:pPr>
    </w:p>
    <w:p w14:paraId="46E1D090">
      <w:pPr>
        <w:pStyle w:val="2"/>
      </w:pPr>
    </w:p>
    <w:p w14:paraId="1542EF68">
      <w:pPr>
        <w:pStyle w:val="2"/>
      </w:pPr>
    </w:p>
    <w:p w14:paraId="48849B52">
      <w:pPr>
        <w:pStyle w:val="2"/>
      </w:pPr>
    </w:p>
    <w:p w14:paraId="583AF453">
      <w:pPr>
        <w:pStyle w:val="2"/>
      </w:pPr>
    </w:p>
    <w:p w14:paraId="31838729">
      <w:pPr>
        <w:pStyle w:val="2"/>
      </w:pPr>
    </w:p>
    <w:p w14:paraId="46E06AD0">
      <w:pPr>
        <w:pStyle w:val="2"/>
      </w:pPr>
    </w:p>
    <w:p w14:paraId="326CAF86">
      <w:pPr>
        <w:pStyle w:val="2"/>
      </w:pPr>
    </w:p>
    <w:p w14:paraId="369C791E">
      <w:pPr>
        <w:pStyle w:val="2"/>
      </w:pPr>
    </w:p>
    <w:p w14:paraId="046B29C7">
      <w:pPr>
        <w:pStyle w:val="2"/>
      </w:pPr>
    </w:p>
    <w:p w14:paraId="3AB08E5D">
      <w:pPr>
        <w:pStyle w:val="2"/>
      </w:pPr>
    </w:p>
    <w:p w14:paraId="7587E5EA">
      <w:pPr>
        <w:pStyle w:val="2"/>
      </w:pPr>
    </w:p>
    <w:p w14:paraId="3E62928C">
      <w:pPr>
        <w:pStyle w:val="2"/>
      </w:pPr>
    </w:p>
    <w:p w14:paraId="289F096D">
      <w:pPr>
        <w:pStyle w:val="2"/>
      </w:pPr>
    </w:p>
    <w:p w14:paraId="2FA66C96">
      <w:pPr>
        <w:pStyle w:val="2"/>
      </w:pPr>
    </w:p>
    <w:p w14:paraId="2C4881E3">
      <w:pPr>
        <w:pStyle w:val="2"/>
      </w:pPr>
    </w:p>
    <w:p w14:paraId="249C0DCB">
      <w:pPr>
        <w:pStyle w:val="2"/>
      </w:pPr>
    </w:p>
    <w:p w14:paraId="674C5FC0">
      <w:pPr>
        <w:pStyle w:val="2"/>
      </w:pPr>
    </w:p>
    <w:p w14:paraId="487222D4">
      <w:pPr>
        <w:pStyle w:val="2"/>
      </w:pPr>
    </w:p>
    <w:p w14:paraId="3E42B992">
      <w:pPr>
        <w:pStyle w:val="2"/>
      </w:pPr>
    </w:p>
    <w:p w14:paraId="6C95BCE1">
      <w:pPr>
        <w:pStyle w:val="2"/>
      </w:pPr>
    </w:p>
    <w:p w14:paraId="01BF6D4D">
      <w:pPr>
        <w:pStyle w:val="2"/>
      </w:pPr>
    </w:p>
    <w:p w14:paraId="1943F15E">
      <w:pPr>
        <w:pStyle w:val="2"/>
      </w:pPr>
    </w:p>
    <w:p w14:paraId="01B22B72">
      <w:pPr>
        <w:pStyle w:val="2"/>
      </w:pPr>
    </w:p>
    <w:p w14:paraId="38C99111">
      <w:pPr>
        <w:pStyle w:val="2"/>
      </w:pPr>
    </w:p>
    <w:p w14:paraId="5C4E0343">
      <w:pPr>
        <w:pStyle w:val="6"/>
        <w:rPr>
          <w:rFonts w:hint="eastAsia"/>
          <w:lang w:val="en-US" w:eastAsia="zh-CN"/>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13</w:t>
      </w:r>
      <w:r>
        <w:rPr>
          <w:rFonts w:hint="eastAsia" w:ascii="宋体" w:hAnsi="宋体" w:eastAsia="宋体" w:cs="宋体"/>
          <w:color w:val="auto"/>
          <w:sz w:val="32"/>
          <w:szCs w:val="32"/>
        </w:rPr>
        <w:t xml:space="preserve">  </w:t>
      </w:r>
    </w:p>
    <w:p w14:paraId="3E6D7750">
      <w:pPr>
        <w:autoSpaceDN w:val="0"/>
        <w:spacing w:line="360" w:lineRule="auto"/>
        <w:jc w:val="center"/>
        <w:rPr>
          <w:b/>
          <w:bCs/>
          <w:sz w:val="24"/>
        </w:rPr>
      </w:pPr>
      <w:r>
        <w:rPr>
          <w:rFonts w:hint="eastAsia"/>
          <w:b/>
          <w:bCs/>
          <w:sz w:val="24"/>
          <w:highlight w:val="yellow"/>
          <w:lang w:eastAsia="zh-CN"/>
        </w:rPr>
        <w:t>强制节能产品</w:t>
      </w:r>
      <w:r>
        <w:rPr>
          <w:rFonts w:hint="eastAsia"/>
          <w:b/>
          <w:bCs/>
          <w:sz w:val="24"/>
          <w:highlight w:val="yellow"/>
        </w:rPr>
        <w:t>情况表</w:t>
      </w:r>
      <w:r>
        <w:rPr>
          <w:rFonts w:hint="eastAsia" w:ascii="-webkit-standard" w:hAnsi="-webkit-standard" w:eastAsia="宋体" w:cs="-webkit-standard"/>
          <w:color w:val="000000"/>
          <w:sz w:val="22"/>
          <w:szCs w:val="22"/>
          <w:lang w:eastAsia="zh-CN"/>
        </w:rPr>
        <w:t>（本项目不涉及该表格）</w:t>
      </w:r>
    </w:p>
    <w:p w14:paraId="46AE3792">
      <w:pPr>
        <w:spacing w:line="460" w:lineRule="exact"/>
        <w:rPr>
          <w:rFonts w:ascii="宋体" w:hAnsi="宋体" w:cs="宋体"/>
          <w:szCs w:val="21"/>
        </w:rPr>
      </w:pPr>
      <w:r>
        <w:rPr>
          <w:rFonts w:hint="eastAsia" w:ascii="宋体" w:hAnsi="宋体" w:cs="宋体"/>
          <w:szCs w:val="21"/>
        </w:rPr>
        <w:t>项目名称：</w:t>
      </w:r>
    </w:p>
    <w:p w14:paraId="4F2C226F">
      <w:pPr>
        <w:spacing w:line="460" w:lineRule="exact"/>
        <w:rPr>
          <w:rFonts w:ascii="宋体" w:hAnsi="宋体" w:cs="宋体"/>
          <w:szCs w:val="21"/>
        </w:rPr>
      </w:pPr>
      <w:r>
        <w:rPr>
          <w:rFonts w:hint="eastAsia" w:ascii="宋体" w:hAnsi="宋体" w:cs="宋体"/>
          <w:szCs w:val="21"/>
        </w:rPr>
        <w:t>项目编号：</w:t>
      </w:r>
    </w:p>
    <w:tbl>
      <w:tblPr>
        <w:tblStyle w:val="23"/>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384"/>
        <w:gridCol w:w="1482"/>
        <w:gridCol w:w="2065"/>
        <w:gridCol w:w="1620"/>
      </w:tblGrid>
      <w:tr w14:paraId="64C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5"/>
            <w:noWrap w:val="0"/>
            <w:vAlign w:val="center"/>
          </w:tcPr>
          <w:p w14:paraId="0E41C760">
            <w:pPr>
              <w:pStyle w:val="36"/>
              <w:tabs>
                <w:tab w:val="left" w:pos="1260"/>
              </w:tabs>
              <w:adjustRightInd w:val="0"/>
              <w:snapToGrid w:val="0"/>
              <w:jc w:val="center"/>
              <w:rPr>
                <w:rFonts w:ascii="宋体" w:hAnsi="宋体" w:cs="宋体"/>
                <w:sz w:val="24"/>
              </w:rPr>
            </w:pPr>
            <w:r>
              <w:rPr>
                <w:rFonts w:hint="eastAsia" w:ascii="Helvetica" w:hAnsi="Helvetica" w:eastAsia="Helvetica" w:cs="Helvetica"/>
                <w:color w:val="000000"/>
                <w:szCs w:val="21"/>
                <w:shd w:val="clear" w:color="auto" w:fill="FFFFFF"/>
              </w:rPr>
              <w:t>强制节能产品</w:t>
            </w:r>
          </w:p>
        </w:tc>
      </w:tr>
      <w:tr w14:paraId="11AF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5"/>
            <w:noWrap w:val="0"/>
            <w:vAlign w:val="center"/>
          </w:tcPr>
          <w:p w14:paraId="11623374">
            <w:pPr>
              <w:pStyle w:val="3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w:t>
            </w:r>
            <w:r>
              <w:rPr>
                <w:rFonts w:ascii="Helvetica" w:hAnsi="Helvetica" w:eastAsia="Helvetica" w:cs="Helvetica"/>
                <w:color w:val="000000"/>
                <w:szCs w:val="21"/>
                <w:shd w:val="clear" w:color="auto" w:fill="FFFFFF"/>
              </w:rPr>
              <w:t>《关于调整优化节能产品、环境标志产品政府采购执行机制的通知》（财库〔2019〕9号）</w:t>
            </w:r>
            <w:r>
              <w:rPr>
                <w:rFonts w:hint="eastAsia" w:ascii="Helvetica" w:hAnsi="Helvetica" w:cs="Helvetica"/>
                <w:color w:val="000000"/>
                <w:szCs w:val="21"/>
                <w:shd w:val="clear" w:color="auto" w:fill="FFFFFF"/>
              </w:rPr>
              <w:t>及</w:t>
            </w:r>
            <w:r>
              <w:rPr>
                <w:rFonts w:ascii="Helvetica" w:hAnsi="Helvetica" w:eastAsia="Helvetica" w:cs="Helvetica"/>
                <w:color w:val="000000"/>
                <w:szCs w:val="21"/>
                <w:shd w:val="clear" w:color="auto" w:fill="FFFFFF"/>
              </w:rPr>
              <w:t>《</w:t>
            </w:r>
            <w:r>
              <w:rPr>
                <w:rFonts w:hint="eastAsia" w:ascii="Helvetica" w:hAnsi="Helvetica" w:cs="Helvetica"/>
                <w:color w:val="000000"/>
                <w:szCs w:val="21"/>
                <w:shd w:val="clear" w:color="auto" w:fill="FFFFFF"/>
              </w:rPr>
              <w:t>关于印发</w:t>
            </w:r>
            <w:r>
              <w:rPr>
                <w:rFonts w:ascii="Helvetica" w:hAnsi="Helvetica" w:eastAsia="Helvetica" w:cs="Helvetica"/>
                <w:color w:val="000000"/>
                <w:szCs w:val="21"/>
                <w:shd w:val="clear" w:color="auto" w:fill="FFFFFF"/>
              </w:rPr>
              <w:t>节能产品政府采购品目清单</w:t>
            </w:r>
            <w:r>
              <w:rPr>
                <w:rFonts w:hint="eastAsia" w:ascii="Helvetica" w:hAnsi="Helvetica" w:cs="Helvetica"/>
                <w:color w:val="000000"/>
                <w:szCs w:val="21"/>
                <w:shd w:val="clear" w:color="auto" w:fill="FFFFFF"/>
              </w:rPr>
              <w:t>的通知</w:t>
            </w:r>
            <w:r>
              <w:rPr>
                <w:rFonts w:ascii="Helvetica" w:hAnsi="Helvetica" w:eastAsia="Helvetica" w:cs="Helvetica"/>
                <w:color w:val="000000"/>
                <w:szCs w:val="21"/>
                <w:shd w:val="clear" w:color="auto" w:fill="FFFFFF"/>
              </w:rPr>
              <w:t>》（财库〔2019〕</w:t>
            </w:r>
            <w:r>
              <w:rPr>
                <w:rFonts w:hint="eastAsia" w:ascii="Helvetica" w:hAnsi="Helvetica" w:cs="Helvetica"/>
                <w:color w:val="000000"/>
                <w:szCs w:val="21"/>
                <w:shd w:val="clear" w:color="auto" w:fill="FFFFFF"/>
              </w:rPr>
              <w:t>1</w:t>
            </w:r>
            <w:r>
              <w:rPr>
                <w:rFonts w:ascii="Helvetica" w:hAnsi="Helvetica" w:eastAsia="Helvetica" w:cs="Helvetica"/>
                <w:color w:val="000000"/>
                <w:szCs w:val="21"/>
                <w:shd w:val="clear" w:color="auto" w:fill="FFFFFF"/>
              </w:rPr>
              <w:t>9号）规定</w:t>
            </w:r>
            <w:r>
              <w:rPr>
                <w:rFonts w:hint="eastAsia" w:ascii="Helvetica" w:hAnsi="Helvetica" w:cs="Helvetica"/>
                <w:color w:val="000000"/>
                <w:szCs w:val="21"/>
                <w:shd w:val="clear" w:color="auto" w:fill="FFFFFF"/>
              </w:rPr>
              <w:t>，</w:t>
            </w:r>
            <w:r>
              <w:rPr>
                <w:rFonts w:ascii="Helvetica" w:hAnsi="Helvetica" w:eastAsia="Helvetica" w:cs="Helvetica"/>
                <w:color w:val="000000"/>
                <w:szCs w:val="21"/>
                <w:shd w:val="clear" w:color="auto" w:fill="FFFFFF"/>
              </w:rPr>
              <w:t>品目清单中标记</w:t>
            </w:r>
            <w:r>
              <w:rPr>
                <w:rFonts w:hint="eastAsia" w:ascii="Helvetica" w:hAnsi="Helvetica" w:eastAsia="宋体" w:cs="Helvetica"/>
                <w:color w:val="000000"/>
                <w:szCs w:val="21"/>
                <w:shd w:val="clear" w:color="auto" w:fill="FFFFFF"/>
                <w:lang w:eastAsia="zh-CN"/>
              </w:rPr>
              <w:t>“</w:t>
            </w:r>
            <w:r>
              <w:rPr>
                <w:rFonts w:hint="eastAsia" w:ascii="Helvetica" w:hAnsi="Helvetica" w:cs="Helvetica"/>
                <w:color w:val="000000"/>
                <w:szCs w:val="21"/>
                <w:shd w:val="clear" w:color="auto" w:fill="FFFFFF"/>
                <w:lang w:eastAsia="zh-CN"/>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号的为强制采购产品，强制采购产品的投标产品必须有认证证书，否则投标无效。</w:t>
            </w:r>
          </w:p>
        </w:tc>
      </w:tr>
      <w:tr w14:paraId="2DF0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5EED6E4A">
            <w:pPr>
              <w:pStyle w:val="3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384" w:type="dxa"/>
            <w:noWrap w:val="0"/>
            <w:vAlign w:val="center"/>
          </w:tcPr>
          <w:p w14:paraId="608737EB">
            <w:pPr>
              <w:pStyle w:val="3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482" w:type="dxa"/>
            <w:noWrap w:val="0"/>
            <w:vAlign w:val="center"/>
          </w:tcPr>
          <w:p w14:paraId="600D05FA">
            <w:pPr>
              <w:pStyle w:val="3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2065" w:type="dxa"/>
            <w:noWrap w:val="0"/>
            <w:vAlign w:val="center"/>
          </w:tcPr>
          <w:p w14:paraId="18D7E637">
            <w:pPr>
              <w:pStyle w:val="36"/>
              <w:tabs>
                <w:tab w:val="left" w:pos="1260"/>
              </w:tabs>
              <w:adjustRightInd w:val="0"/>
              <w:snapToGrid w:val="0"/>
              <w:jc w:val="center"/>
              <w:rPr>
                <w:rFonts w:ascii="宋体" w:hAnsi="宋体" w:cs="宋体"/>
                <w:szCs w:val="21"/>
              </w:rPr>
            </w:pPr>
            <w:r>
              <w:rPr>
                <w:rFonts w:hint="eastAsia" w:ascii="宋体" w:hAnsi="宋体" w:cs="宋体"/>
                <w:szCs w:val="21"/>
                <w:lang w:val="en-GB"/>
              </w:rPr>
              <w:t>节能认证证书编号</w:t>
            </w:r>
          </w:p>
        </w:tc>
        <w:tc>
          <w:tcPr>
            <w:tcW w:w="1620" w:type="dxa"/>
            <w:noWrap w:val="0"/>
            <w:vAlign w:val="center"/>
          </w:tcPr>
          <w:p w14:paraId="760CB227">
            <w:pPr>
              <w:pStyle w:val="3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14:paraId="00F4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2B888DD7">
            <w:pPr>
              <w:pStyle w:val="36"/>
              <w:tabs>
                <w:tab w:val="left" w:pos="1260"/>
              </w:tabs>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218645BB">
            <w:pPr>
              <w:pStyle w:val="36"/>
              <w:tabs>
                <w:tab w:val="left" w:pos="1260"/>
              </w:tabs>
              <w:adjustRightInd w:val="0"/>
              <w:snapToGrid w:val="0"/>
              <w:jc w:val="center"/>
              <w:rPr>
                <w:rFonts w:eastAsia="黑体"/>
                <w:color w:val="000000"/>
                <w:kern w:val="0"/>
                <w:sz w:val="20"/>
                <w:szCs w:val="20"/>
                <w:lang w:bidi="ar"/>
              </w:rPr>
            </w:pPr>
          </w:p>
        </w:tc>
        <w:tc>
          <w:tcPr>
            <w:tcW w:w="1482" w:type="dxa"/>
            <w:noWrap w:val="0"/>
            <w:vAlign w:val="center"/>
          </w:tcPr>
          <w:p w14:paraId="00C91687">
            <w:pPr>
              <w:widowControl/>
              <w:jc w:val="center"/>
              <w:rPr>
                <w:rFonts w:hint="eastAsia" w:eastAsia="黑体"/>
                <w:color w:val="000000"/>
                <w:kern w:val="0"/>
                <w:sz w:val="20"/>
                <w:szCs w:val="20"/>
                <w:lang w:eastAsia="zh-CN" w:bidi="ar"/>
              </w:rPr>
            </w:pPr>
          </w:p>
        </w:tc>
        <w:tc>
          <w:tcPr>
            <w:tcW w:w="2065" w:type="dxa"/>
            <w:noWrap w:val="0"/>
            <w:vAlign w:val="center"/>
          </w:tcPr>
          <w:p w14:paraId="0FA6A206">
            <w:pPr>
              <w:pStyle w:val="3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14:paraId="6CFCF195">
            <w:pPr>
              <w:pStyle w:val="36"/>
              <w:tabs>
                <w:tab w:val="left" w:pos="1260"/>
              </w:tabs>
              <w:adjustRightInd w:val="0"/>
              <w:snapToGrid w:val="0"/>
              <w:jc w:val="center"/>
              <w:rPr>
                <w:rFonts w:eastAsia="黑体"/>
                <w:color w:val="000000"/>
                <w:kern w:val="0"/>
                <w:sz w:val="20"/>
                <w:szCs w:val="20"/>
                <w:lang w:bidi="ar"/>
              </w:rPr>
            </w:pPr>
          </w:p>
        </w:tc>
      </w:tr>
      <w:tr w14:paraId="1A3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5E0908AD">
            <w:pPr>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034B69CB">
            <w:pPr>
              <w:pStyle w:val="36"/>
              <w:tabs>
                <w:tab w:val="left" w:pos="1260"/>
              </w:tabs>
              <w:adjustRightInd w:val="0"/>
              <w:snapToGrid w:val="0"/>
              <w:jc w:val="center"/>
              <w:rPr>
                <w:rFonts w:hint="eastAsia" w:eastAsia="黑体"/>
                <w:color w:val="000000"/>
                <w:kern w:val="0"/>
                <w:sz w:val="20"/>
                <w:szCs w:val="20"/>
                <w:lang w:eastAsia="zh-CN" w:bidi="ar"/>
              </w:rPr>
            </w:pPr>
          </w:p>
        </w:tc>
        <w:tc>
          <w:tcPr>
            <w:tcW w:w="1482" w:type="dxa"/>
            <w:noWrap w:val="0"/>
            <w:vAlign w:val="center"/>
          </w:tcPr>
          <w:p w14:paraId="199835CD">
            <w:pPr>
              <w:widowControl/>
              <w:jc w:val="center"/>
              <w:rPr>
                <w:rFonts w:hint="eastAsia" w:eastAsia="黑体"/>
                <w:color w:val="000000"/>
                <w:kern w:val="0"/>
                <w:sz w:val="20"/>
                <w:szCs w:val="20"/>
                <w:lang w:bidi="ar"/>
              </w:rPr>
            </w:pPr>
          </w:p>
        </w:tc>
        <w:tc>
          <w:tcPr>
            <w:tcW w:w="2065" w:type="dxa"/>
            <w:noWrap w:val="0"/>
            <w:vAlign w:val="center"/>
          </w:tcPr>
          <w:p w14:paraId="442A4AAA">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01BAE1D9">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564E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15B3326A">
            <w:pPr>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4A0AFA56">
            <w:pPr>
              <w:pStyle w:val="36"/>
              <w:tabs>
                <w:tab w:val="left" w:pos="1260"/>
              </w:tabs>
              <w:adjustRightInd w:val="0"/>
              <w:snapToGrid w:val="0"/>
              <w:jc w:val="center"/>
              <w:rPr>
                <w:rFonts w:hint="eastAsia" w:eastAsia="黑体"/>
                <w:color w:val="000000"/>
                <w:kern w:val="0"/>
                <w:sz w:val="20"/>
                <w:szCs w:val="20"/>
                <w:lang w:eastAsia="zh-CN" w:bidi="ar"/>
              </w:rPr>
            </w:pPr>
          </w:p>
        </w:tc>
        <w:tc>
          <w:tcPr>
            <w:tcW w:w="1482" w:type="dxa"/>
            <w:noWrap w:val="0"/>
            <w:vAlign w:val="center"/>
          </w:tcPr>
          <w:p w14:paraId="65FCBFF0">
            <w:pPr>
              <w:widowControl/>
              <w:jc w:val="center"/>
              <w:rPr>
                <w:rFonts w:hint="eastAsia" w:eastAsia="黑体"/>
                <w:color w:val="000000"/>
                <w:kern w:val="0"/>
                <w:sz w:val="20"/>
                <w:szCs w:val="20"/>
                <w:lang w:bidi="ar"/>
              </w:rPr>
            </w:pPr>
          </w:p>
        </w:tc>
        <w:tc>
          <w:tcPr>
            <w:tcW w:w="2065" w:type="dxa"/>
            <w:noWrap w:val="0"/>
            <w:vAlign w:val="center"/>
          </w:tcPr>
          <w:p w14:paraId="1D5D1DC2">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72EF290A">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3B76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795E2355">
            <w:pPr>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07AEF7E4">
            <w:pPr>
              <w:pStyle w:val="36"/>
              <w:tabs>
                <w:tab w:val="left" w:pos="1260"/>
              </w:tabs>
              <w:adjustRightInd w:val="0"/>
              <w:snapToGrid w:val="0"/>
              <w:jc w:val="center"/>
              <w:rPr>
                <w:rFonts w:hint="eastAsia" w:eastAsia="黑体"/>
                <w:color w:val="000000"/>
                <w:kern w:val="0"/>
                <w:sz w:val="20"/>
                <w:szCs w:val="20"/>
                <w:lang w:eastAsia="zh-CN" w:bidi="ar"/>
              </w:rPr>
            </w:pPr>
          </w:p>
        </w:tc>
        <w:tc>
          <w:tcPr>
            <w:tcW w:w="1482" w:type="dxa"/>
            <w:noWrap w:val="0"/>
            <w:vAlign w:val="center"/>
          </w:tcPr>
          <w:p w14:paraId="31CD4E45">
            <w:pPr>
              <w:widowControl/>
              <w:jc w:val="center"/>
              <w:rPr>
                <w:rFonts w:hint="default" w:eastAsia="黑体"/>
                <w:color w:val="000000"/>
                <w:kern w:val="0"/>
                <w:sz w:val="20"/>
                <w:szCs w:val="20"/>
                <w:lang w:val="en-US" w:eastAsia="zh-CN" w:bidi="ar"/>
              </w:rPr>
            </w:pPr>
          </w:p>
        </w:tc>
        <w:tc>
          <w:tcPr>
            <w:tcW w:w="2065" w:type="dxa"/>
            <w:noWrap w:val="0"/>
            <w:vAlign w:val="center"/>
          </w:tcPr>
          <w:p w14:paraId="25215163">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5369D34D">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253E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2115A2D1">
            <w:pPr>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65380685">
            <w:pPr>
              <w:pStyle w:val="36"/>
              <w:tabs>
                <w:tab w:val="left" w:pos="1260"/>
              </w:tabs>
              <w:adjustRightInd w:val="0"/>
              <w:snapToGrid w:val="0"/>
              <w:jc w:val="center"/>
              <w:rPr>
                <w:rFonts w:hint="eastAsia" w:eastAsia="黑体"/>
                <w:color w:val="000000"/>
                <w:kern w:val="0"/>
                <w:sz w:val="20"/>
                <w:szCs w:val="20"/>
                <w:lang w:eastAsia="zh-CN" w:bidi="ar"/>
              </w:rPr>
            </w:pPr>
          </w:p>
        </w:tc>
        <w:tc>
          <w:tcPr>
            <w:tcW w:w="1482" w:type="dxa"/>
            <w:noWrap w:val="0"/>
            <w:vAlign w:val="center"/>
          </w:tcPr>
          <w:p w14:paraId="629C3029">
            <w:pPr>
              <w:widowControl/>
              <w:jc w:val="center"/>
              <w:rPr>
                <w:rFonts w:hint="eastAsia" w:eastAsia="黑体"/>
                <w:color w:val="000000"/>
                <w:kern w:val="0"/>
                <w:sz w:val="20"/>
                <w:szCs w:val="20"/>
                <w:lang w:bidi="ar"/>
              </w:rPr>
            </w:pPr>
          </w:p>
        </w:tc>
        <w:tc>
          <w:tcPr>
            <w:tcW w:w="2065" w:type="dxa"/>
            <w:noWrap w:val="0"/>
            <w:vAlign w:val="center"/>
          </w:tcPr>
          <w:p w14:paraId="5D516D5B">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0F7ED4DD">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64E8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393024BA">
            <w:pPr>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4A998594">
            <w:pPr>
              <w:pStyle w:val="36"/>
              <w:tabs>
                <w:tab w:val="left" w:pos="1260"/>
              </w:tabs>
              <w:adjustRightInd w:val="0"/>
              <w:snapToGrid w:val="0"/>
              <w:jc w:val="center"/>
              <w:rPr>
                <w:rFonts w:hint="eastAsia" w:eastAsia="黑体"/>
                <w:color w:val="000000"/>
                <w:kern w:val="0"/>
                <w:sz w:val="20"/>
                <w:szCs w:val="20"/>
                <w:lang w:eastAsia="zh-CN" w:bidi="ar"/>
              </w:rPr>
            </w:pPr>
          </w:p>
        </w:tc>
        <w:tc>
          <w:tcPr>
            <w:tcW w:w="1482" w:type="dxa"/>
            <w:noWrap w:val="0"/>
            <w:vAlign w:val="center"/>
          </w:tcPr>
          <w:p w14:paraId="585E31BF">
            <w:pPr>
              <w:widowControl/>
              <w:jc w:val="center"/>
              <w:rPr>
                <w:rFonts w:hint="eastAsia" w:eastAsia="黑体"/>
                <w:color w:val="000000"/>
                <w:kern w:val="0"/>
                <w:sz w:val="20"/>
                <w:szCs w:val="20"/>
                <w:lang w:bidi="ar"/>
              </w:rPr>
            </w:pPr>
          </w:p>
        </w:tc>
        <w:tc>
          <w:tcPr>
            <w:tcW w:w="2065" w:type="dxa"/>
            <w:noWrap w:val="0"/>
            <w:vAlign w:val="center"/>
          </w:tcPr>
          <w:p w14:paraId="50FA1E75">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5FCE8A6D">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1E63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5F9C7C6C">
            <w:pPr>
              <w:adjustRightInd w:val="0"/>
              <w:snapToGrid w:val="0"/>
              <w:jc w:val="center"/>
              <w:rPr>
                <w:rFonts w:hint="default" w:eastAsia="黑体"/>
                <w:color w:val="000000"/>
                <w:kern w:val="0"/>
                <w:sz w:val="20"/>
                <w:szCs w:val="20"/>
                <w:lang w:val="en-US" w:eastAsia="zh-CN" w:bidi="ar"/>
              </w:rPr>
            </w:pPr>
          </w:p>
        </w:tc>
        <w:tc>
          <w:tcPr>
            <w:tcW w:w="1384" w:type="dxa"/>
            <w:noWrap w:val="0"/>
            <w:vAlign w:val="center"/>
          </w:tcPr>
          <w:p w14:paraId="27FE8B21">
            <w:pPr>
              <w:pStyle w:val="36"/>
              <w:tabs>
                <w:tab w:val="left" w:pos="1260"/>
              </w:tabs>
              <w:adjustRightInd w:val="0"/>
              <w:snapToGrid w:val="0"/>
              <w:jc w:val="center"/>
              <w:rPr>
                <w:rFonts w:hint="eastAsia" w:eastAsia="黑体"/>
                <w:color w:val="000000"/>
                <w:kern w:val="0"/>
                <w:sz w:val="20"/>
                <w:szCs w:val="20"/>
                <w:lang w:eastAsia="zh-CN" w:bidi="ar"/>
              </w:rPr>
            </w:pPr>
          </w:p>
        </w:tc>
        <w:tc>
          <w:tcPr>
            <w:tcW w:w="1482" w:type="dxa"/>
            <w:noWrap w:val="0"/>
            <w:vAlign w:val="center"/>
          </w:tcPr>
          <w:p w14:paraId="18FEC0EB">
            <w:pPr>
              <w:widowControl/>
              <w:jc w:val="center"/>
              <w:rPr>
                <w:rFonts w:hint="default" w:eastAsia="黑体"/>
                <w:color w:val="000000"/>
                <w:kern w:val="0"/>
                <w:sz w:val="20"/>
                <w:szCs w:val="20"/>
                <w:lang w:val="en-US" w:eastAsia="zh-CN" w:bidi="ar"/>
              </w:rPr>
            </w:pPr>
          </w:p>
        </w:tc>
        <w:tc>
          <w:tcPr>
            <w:tcW w:w="2065" w:type="dxa"/>
            <w:noWrap w:val="0"/>
            <w:vAlign w:val="center"/>
          </w:tcPr>
          <w:p w14:paraId="6917C12B">
            <w:pPr>
              <w:pStyle w:val="3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14:paraId="11519024">
            <w:pPr>
              <w:pStyle w:val="36"/>
              <w:tabs>
                <w:tab w:val="left" w:pos="1260"/>
              </w:tabs>
              <w:adjustRightInd w:val="0"/>
              <w:snapToGrid w:val="0"/>
              <w:ind w:firstLine="400" w:firstLineChars="200"/>
              <w:jc w:val="center"/>
              <w:rPr>
                <w:rFonts w:eastAsia="黑体"/>
                <w:color w:val="000000"/>
                <w:kern w:val="0"/>
                <w:sz w:val="20"/>
                <w:szCs w:val="20"/>
                <w:lang w:bidi="ar"/>
              </w:rPr>
            </w:pPr>
          </w:p>
        </w:tc>
      </w:tr>
      <w:tr w14:paraId="1063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5"/>
            <w:noWrap w:val="0"/>
            <w:vAlign w:val="center"/>
          </w:tcPr>
          <w:p w14:paraId="7BA707DB">
            <w:pPr>
              <w:pStyle w:val="3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节能产品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bl>
    <w:p w14:paraId="05D4E160">
      <w:pPr>
        <w:spacing w:line="460" w:lineRule="exact"/>
        <w:rPr>
          <w:rFonts w:ascii="宋体" w:hAnsi="宋体" w:cs="宋体"/>
          <w:szCs w:val="21"/>
        </w:rPr>
      </w:pPr>
    </w:p>
    <w:p w14:paraId="74779E20">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14:paraId="52D5DEA1">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14:paraId="5C217AFB">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14:paraId="7F3E1765"/>
    <w:p w14:paraId="50F6EABB">
      <w:pPr>
        <w:pStyle w:val="2"/>
        <w:rPr>
          <w:rFonts w:hint="eastAsia" w:eastAsia="宋体"/>
          <w:lang w:eastAsia="zh-CN"/>
        </w:rPr>
      </w:pPr>
      <w:r>
        <w:rPr>
          <w:rFonts w:hint="eastAsia"/>
          <w:lang w:eastAsia="zh-CN"/>
        </w:rPr>
        <w:t>注：强制节能产品认证机构应符合《市场监管总局关于发布参与实施政府采购节能产品、环境标志产品认证机构名录的公告》（2019年第16号）中认证机构名录。</w:t>
      </w:r>
    </w:p>
    <w:p w14:paraId="05860C08">
      <w:pPr>
        <w:pStyle w:val="2"/>
      </w:pPr>
    </w:p>
    <w:p w14:paraId="0B6ED583">
      <w:pPr>
        <w:pStyle w:val="2"/>
      </w:pPr>
    </w:p>
    <w:p w14:paraId="209F24AC">
      <w:pPr>
        <w:pStyle w:val="2"/>
      </w:pPr>
    </w:p>
    <w:p w14:paraId="749CD303">
      <w:pPr>
        <w:pStyle w:val="6"/>
        <w:rPr>
          <w:rFonts w:hint="default"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附件：14</w:t>
      </w:r>
    </w:p>
    <w:p w14:paraId="349FF019">
      <w:pPr>
        <w:pStyle w:val="20"/>
        <w:spacing w:beforeAutospacing="0" w:after="0" w:afterAutospacing="0" w:line="27" w:lineRule="atLeast"/>
        <w:ind w:firstLine="3082" w:firstLineChars="1400"/>
        <w:jc w:val="both"/>
        <w:rPr>
          <w:rFonts w:hint="eastAsia" w:ascii="-webkit-standard" w:hAnsi="-webkit-standard" w:eastAsia="宋体" w:cs="-webkit-standard"/>
          <w:color w:val="000000"/>
          <w:sz w:val="22"/>
          <w:szCs w:val="22"/>
          <w:lang w:eastAsia="zh-CN"/>
        </w:rPr>
      </w:pPr>
      <w:r>
        <w:rPr>
          <w:rFonts w:ascii="Times New Roman" w:hAnsi="Times New Roman" w:eastAsia="-webkit-standard" w:cs="Times New Roman"/>
          <w:b/>
          <w:color w:val="000000"/>
          <w:sz w:val="22"/>
          <w:szCs w:val="22"/>
        </w:rPr>
        <w:t>政府采购政策情况表</w:t>
      </w:r>
      <w:r>
        <w:rPr>
          <w:rFonts w:ascii="-webkit-standard" w:hAnsi="-webkit-standard" w:eastAsia="-webkit-standard" w:cs="-webkit-standard"/>
          <w:color w:val="000000"/>
          <w:sz w:val="22"/>
          <w:szCs w:val="22"/>
        </w:rPr>
        <w:t> </w:t>
      </w:r>
      <w:r>
        <w:rPr>
          <w:rFonts w:hint="eastAsia" w:ascii="-webkit-standard" w:hAnsi="-webkit-standard" w:eastAsia="宋体" w:cs="-webkit-standard"/>
          <w:color w:val="000000"/>
          <w:sz w:val="22"/>
          <w:szCs w:val="22"/>
          <w:lang w:eastAsia="zh-CN"/>
        </w:rPr>
        <w:t>（本项目不涉及该表格）</w:t>
      </w:r>
    </w:p>
    <w:p w14:paraId="1716041D">
      <w:pPr>
        <w:pStyle w:val="20"/>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项目名称：</w:t>
      </w:r>
    </w:p>
    <w:p w14:paraId="3F429F07">
      <w:pPr>
        <w:pStyle w:val="20"/>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项目编号：</w:t>
      </w:r>
    </w:p>
    <w:p w14:paraId="04623C02">
      <w:pPr>
        <w:pStyle w:val="20"/>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填报要求：</w:t>
      </w:r>
    </w:p>
    <w:p w14:paraId="7AB35E07">
      <w:pPr>
        <w:pStyle w:val="20"/>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1.本表的产品名称、品牌型号、金额应与《投标报价明细表》一致。</w:t>
      </w:r>
    </w:p>
    <w:p w14:paraId="477CABA7">
      <w:pPr>
        <w:pStyle w:val="20"/>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lang w:val="en-US" w:eastAsia="zh-CN"/>
        </w:rPr>
        <w:t>2</w:t>
      </w:r>
      <w:r>
        <w:rPr>
          <w:rFonts w:hint="eastAsia"/>
          <w:color w:val="000000"/>
          <w:sz w:val="22"/>
          <w:szCs w:val="22"/>
        </w:rPr>
        <w:t>.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2349A0C5">
      <w:pPr>
        <w:pStyle w:val="20"/>
        <w:spacing w:beforeAutospacing="0" w:after="0" w:afterAutospacing="0" w:line="324" w:lineRule="atLeast"/>
        <w:jc w:val="both"/>
        <w:rPr>
          <w:rFonts w:hint="eastAsia" w:ascii="-webkit-standard" w:hAnsi="-webkit-standard" w:cs="-webkit-standard"/>
          <w:color w:val="000000"/>
          <w:sz w:val="22"/>
          <w:szCs w:val="22"/>
        </w:rPr>
      </w:pPr>
      <w:r>
        <w:rPr>
          <w:rFonts w:hint="eastAsia"/>
          <w:color w:val="000000"/>
          <w:sz w:val="22"/>
          <w:szCs w:val="22"/>
          <w:lang w:val="en-US" w:eastAsia="zh-CN"/>
        </w:rPr>
        <w:t>3</w:t>
      </w:r>
      <w:r>
        <w:rPr>
          <w:rFonts w:hint="eastAsia"/>
          <w:color w:val="000000"/>
          <w:sz w:val="22"/>
          <w:szCs w:val="22"/>
        </w:rPr>
        <w:t>. 请投标人正确填写本表，所填内容将作为评审及符合性审查的依据。其内容或数据应与对应的证明资料相符，如果第一、第二部分填写不完整或填写有误，不再享受上述政策优惠。</w:t>
      </w:r>
    </w:p>
    <w:p w14:paraId="27261467">
      <w:pPr>
        <w:pStyle w:val="20"/>
        <w:spacing w:beforeAutospacing="0" w:after="0" w:afterAutospacing="0" w:line="324" w:lineRule="atLeast"/>
        <w:ind w:firstLine="4725"/>
        <w:jc w:val="both"/>
        <w:rPr>
          <w:rFonts w:ascii="-webkit-standard" w:hAnsi="-webkit-standard" w:eastAsia="-webkit-standard" w:cs="-webkit-standard"/>
          <w:color w:val="000000"/>
          <w:sz w:val="22"/>
          <w:szCs w:val="22"/>
        </w:rPr>
      </w:pPr>
      <w:r>
        <w:rPr>
          <w:rFonts w:hint="eastAsia"/>
          <w:color w:val="000000"/>
          <w:sz w:val="22"/>
          <w:szCs w:val="22"/>
        </w:rPr>
        <w:t>单位：元</w:t>
      </w:r>
    </w:p>
    <w:tbl>
      <w:tblPr>
        <w:tblStyle w:val="23"/>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1440"/>
        <w:gridCol w:w="1440"/>
        <w:gridCol w:w="1440"/>
        <w:gridCol w:w="1440"/>
        <w:gridCol w:w="1440"/>
      </w:tblGrid>
      <w:tr w14:paraId="2C69AD6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14:paraId="6D43B13C">
            <w:pPr>
              <w:pStyle w:val="20"/>
              <w:spacing w:before="0" w:beforeAutospacing="0" w:after="0" w:afterAutospacing="0" w:line="216" w:lineRule="atLeast"/>
              <w:jc w:val="center"/>
              <w:rPr>
                <w:rFonts w:hint="eastAsia"/>
                <w:sz w:val="22"/>
                <w:szCs w:val="22"/>
              </w:rPr>
            </w:pPr>
            <w:r>
              <w:rPr>
                <w:rFonts w:hint="eastAsia"/>
                <w:sz w:val="22"/>
                <w:szCs w:val="22"/>
              </w:rPr>
              <w:t>第一部分：环境标志产品</w:t>
            </w:r>
          </w:p>
          <w:p w14:paraId="3F025FFD">
            <w:pPr>
              <w:pStyle w:val="20"/>
              <w:spacing w:before="0" w:beforeAutospacing="0" w:after="0" w:afterAutospacing="0" w:line="216" w:lineRule="atLeast"/>
              <w:jc w:val="center"/>
              <w:rPr>
                <w:rFonts w:hint="eastAsia" w:eastAsia="宋体"/>
                <w:sz w:val="22"/>
                <w:szCs w:val="22"/>
                <w:lang w:eastAsia="zh-CN"/>
              </w:rPr>
            </w:pPr>
            <w:r>
              <w:rPr>
                <w:rFonts w:hint="eastAsia"/>
                <w:sz w:val="22"/>
                <w:szCs w:val="22"/>
                <w:lang w:eastAsia="zh-CN"/>
              </w:rPr>
              <w:t>（需提供相应的证书）</w:t>
            </w:r>
          </w:p>
          <w:p w14:paraId="116B2C1F">
            <w:pPr>
              <w:pStyle w:val="20"/>
              <w:spacing w:before="0" w:beforeAutospacing="0" w:after="0" w:afterAutospacing="0" w:line="216" w:lineRule="atLeast"/>
              <w:jc w:val="center"/>
              <w:rPr>
                <w:sz w:val="22"/>
                <w:szCs w:val="22"/>
              </w:rPr>
            </w:pPr>
          </w:p>
          <w:p w14:paraId="044D0BA7">
            <w:pPr>
              <w:pStyle w:val="20"/>
              <w:spacing w:before="0" w:beforeAutospacing="0" w:after="0" w:afterAutospacing="0" w:line="216" w:lineRule="atLeast"/>
              <w:jc w:val="center"/>
              <w:rPr>
                <w:sz w:val="22"/>
                <w:szCs w:val="22"/>
              </w:rPr>
            </w:pPr>
          </w:p>
          <w:p w14:paraId="582D1E02">
            <w:pPr>
              <w:pStyle w:val="20"/>
              <w:spacing w:before="0" w:beforeAutospacing="0" w:after="0" w:afterAutospacing="0" w:line="216" w:lineRule="atLeast"/>
              <w:jc w:val="center"/>
              <w:rPr>
                <w:sz w:val="22"/>
                <w:szCs w:val="22"/>
              </w:rPr>
            </w:pPr>
          </w:p>
          <w:p w14:paraId="2870773A">
            <w:pPr>
              <w:pStyle w:val="20"/>
              <w:spacing w:before="0" w:beforeAutospacing="0" w:after="0" w:afterAutospacing="0" w:line="216" w:lineRule="atLeast"/>
              <w:jc w:val="center"/>
              <w:rPr>
                <w:sz w:val="22"/>
                <w:szCs w:val="22"/>
              </w:rPr>
            </w:pPr>
          </w:p>
          <w:p w14:paraId="0A22680B">
            <w:pPr>
              <w:pStyle w:val="20"/>
              <w:spacing w:before="0"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A989B4">
            <w:pPr>
              <w:pStyle w:val="20"/>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C3EC83">
            <w:pPr>
              <w:pStyle w:val="20"/>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7D2CDE">
            <w:pPr>
              <w:pStyle w:val="20"/>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E0878D">
            <w:pPr>
              <w:pStyle w:val="20"/>
              <w:spacing w:beforeAutospacing="0" w:after="0" w:afterAutospacing="0" w:line="216" w:lineRule="atLeast"/>
              <w:jc w:val="center"/>
              <w:rPr>
                <w:sz w:val="22"/>
                <w:szCs w:val="22"/>
              </w:rPr>
            </w:pPr>
            <w:r>
              <w:rPr>
                <w:rFonts w:hint="eastAsia"/>
                <w:sz w:val="22"/>
                <w:szCs w:val="22"/>
              </w:rPr>
              <w:t>环境标志认证证书编号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C47DD1">
            <w:pPr>
              <w:pStyle w:val="20"/>
              <w:spacing w:beforeAutospacing="0" w:after="0" w:afterAutospacing="0" w:line="216" w:lineRule="atLeast"/>
              <w:jc w:val="center"/>
              <w:rPr>
                <w:sz w:val="22"/>
                <w:szCs w:val="22"/>
              </w:rPr>
            </w:pPr>
            <w:r>
              <w:rPr>
                <w:rFonts w:hint="eastAsia"/>
                <w:sz w:val="22"/>
                <w:szCs w:val="22"/>
              </w:rPr>
              <w:t>金额</w:t>
            </w:r>
          </w:p>
        </w:tc>
      </w:tr>
      <w:tr w14:paraId="6AAB20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14:paraId="63B795BF">
            <w:pPr>
              <w:pStyle w:val="20"/>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82D85C">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D74A25">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7D97AE">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2D3A11">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E0C722">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14:paraId="54F87E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14:paraId="46C9160D">
            <w:pPr>
              <w:pStyle w:val="20"/>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05FACC">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4D20B5">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488536">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2E2CDA">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C7D22A">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14:paraId="2A2DD2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14:paraId="55F13E3D">
            <w:pPr>
              <w:pStyle w:val="20"/>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557C7F46">
            <w:pPr>
              <w:pStyle w:val="20"/>
              <w:spacing w:beforeAutospacing="0" w:after="0" w:afterAutospacing="0" w:line="216" w:lineRule="atLeast"/>
              <w:jc w:val="center"/>
              <w:rPr>
                <w:sz w:val="22"/>
                <w:szCs w:val="22"/>
              </w:rPr>
            </w:pPr>
            <w:r>
              <w:rPr>
                <w:rFonts w:hint="eastAsia"/>
                <w:sz w:val="22"/>
                <w:szCs w:val="22"/>
              </w:rPr>
              <w:t>环境标志产品金额合计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0D1DCD">
            <w:pPr>
              <w:pStyle w:val="20"/>
              <w:spacing w:beforeAutospacing="0" w:after="0" w:afterAutospacing="0" w:line="216" w:lineRule="atLeast"/>
              <w:jc w:val="center"/>
              <w:rPr>
                <w:sz w:val="22"/>
                <w:szCs w:val="22"/>
              </w:rPr>
            </w:pPr>
            <w:r>
              <w:rPr>
                <w:rFonts w:hint="eastAsia"/>
                <w:sz w:val="22"/>
                <w:szCs w:val="22"/>
              </w:rPr>
              <w:t>元</w:t>
            </w:r>
          </w:p>
        </w:tc>
      </w:tr>
      <w:tr w14:paraId="3D785A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14:paraId="43BF561C">
            <w:pPr>
              <w:pStyle w:val="20"/>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05271250">
            <w:pPr>
              <w:pStyle w:val="20"/>
              <w:spacing w:beforeAutospacing="0" w:after="0" w:afterAutospacing="0" w:line="216" w:lineRule="atLeast"/>
              <w:jc w:val="center"/>
              <w:rPr>
                <w:rFonts w:hint="eastAsia" w:eastAsia="宋体"/>
                <w:sz w:val="22"/>
                <w:szCs w:val="22"/>
                <w:lang w:val="en-US" w:eastAsia="zh-CN"/>
              </w:rPr>
            </w:pPr>
            <w:r>
              <w:rPr>
                <w:rFonts w:hint="eastAsia"/>
                <w:sz w:val="22"/>
                <w:szCs w:val="22"/>
                <w:lang w:eastAsia="zh-CN"/>
              </w:rPr>
              <w:t>产品价值权重</w:t>
            </w:r>
            <w:r>
              <w:rPr>
                <w:rFonts w:hint="eastAsia"/>
                <w:sz w:val="22"/>
                <w:szCs w:val="22"/>
              </w:rPr>
              <w:t>（环境标志产品金额/所投包投标总价）*100%</w:t>
            </w:r>
            <w:r>
              <w:rPr>
                <w:rFonts w:hint="eastAsia"/>
                <w:sz w:val="22"/>
                <w:szCs w:val="22"/>
                <w:lang w:val="en-US" w:eastAsia="zh-CN"/>
              </w:rPr>
              <w:t>*该项的分值</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0846AF">
            <w:pPr>
              <w:pStyle w:val="20"/>
              <w:spacing w:beforeAutospacing="0" w:after="0" w:afterAutospacing="0" w:line="216" w:lineRule="atLeast"/>
              <w:jc w:val="center"/>
              <w:rPr>
                <w:sz w:val="22"/>
                <w:szCs w:val="22"/>
              </w:rPr>
            </w:pPr>
            <w:r>
              <w:rPr>
                <w:rFonts w:hint="eastAsia"/>
                <w:sz w:val="22"/>
                <w:szCs w:val="22"/>
              </w:rPr>
              <w:t>%</w:t>
            </w:r>
          </w:p>
        </w:tc>
      </w:tr>
      <w:tr w14:paraId="2554B74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14:paraId="5C95B3F2">
            <w:pPr>
              <w:pStyle w:val="20"/>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14:paraId="77E45717">
            <w:pPr>
              <w:pStyle w:val="20"/>
              <w:spacing w:beforeAutospacing="0" w:after="0" w:afterAutospacing="0" w:line="216" w:lineRule="atLeast"/>
              <w:jc w:val="center"/>
              <w:rPr>
                <w:sz w:val="22"/>
                <w:szCs w:val="22"/>
              </w:rPr>
            </w:pPr>
            <w:r>
              <w:rPr>
                <w:rFonts w:hint="eastAsia"/>
                <w:sz w:val="22"/>
                <w:szCs w:val="22"/>
              </w:rPr>
              <w:t>环境标志产品证明材料见投标文件第至页。</w:t>
            </w:r>
          </w:p>
        </w:tc>
      </w:tr>
      <w:tr w14:paraId="0DAE11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14:paraId="45C1F705">
            <w:pPr>
              <w:pStyle w:val="20"/>
              <w:spacing w:beforeAutospacing="0" w:after="0" w:afterAutospacing="0" w:line="216" w:lineRule="atLeast"/>
              <w:jc w:val="center"/>
              <w:rPr>
                <w:sz w:val="22"/>
                <w:szCs w:val="22"/>
              </w:rPr>
            </w:pPr>
            <w:r>
              <w:rPr>
                <w:rFonts w:hint="eastAsia"/>
                <w:sz w:val="22"/>
                <w:szCs w:val="22"/>
              </w:rPr>
              <w:t>第二部分：节能产品（</w:t>
            </w:r>
            <w:r>
              <w:rPr>
                <w:rFonts w:hint="eastAsia"/>
                <w:b/>
                <w:bCs/>
                <w:sz w:val="22"/>
                <w:szCs w:val="22"/>
              </w:rPr>
              <w:t>非强制节能产品</w:t>
            </w:r>
            <w:r>
              <w:rPr>
                <w:rFonts w:hint="eastAsia"/>
                <w:sz w:val="22"/>
                <w:szCs w:val="22"/>
                <w:lang w:eastAsia="zh-CN"/>
              </w:rPr>
              <w:t>，需提供相应的证书</w:t>
            </w:r>
            <w:r>
              <w:rPr>
                <w:rFonts w:hint="eastAsia"/>
                <w:sz w:val="22"/>
                <w:szCs w:val="22"/>
              </w:rPr>
              <w:t>）</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A086C5">
            <w:pPr>
              <w:pStyle w:val="20"/>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199D39">
            <w:pPr>
              <w:pStyle w:val="20"/>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39E38F">
            <w:pPr>
              <w:pStyle w:val="20"/>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3235F0">
            <w:pPr>
              <w:pStyle w:val="20"/>
              <w:spacing w:beforeAutospacing="0" w:after="0" w:afterAutospacing="0" w:line="216" w:lineRule="atLeast"/>
              <w:jc w:val="center"/>
              <w:rPr>
                <w:sz w:val="22"/>
                <w:szCs w:val="22"/>
              </w:rPr>
            </w:pPr>
            <w:r>
              <w:rPr>
                <w:rFonts w:hint="eastAsia"/>
                <w:sz w:val="22"/>
                <w:szCs w:val="22"/>
              </w:rPr>
              <w:t>节能认证证书编号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EC0BD2">
            <w:pPr>
              <w:pStyle w:val="20"/>
              <w:spacing w:beforeAutospacing="0" w:after="0" w:afterAutospacing="0" w:line="216" w:lineRule="atLeast"/>
              <w:jc w:val="center"/>
              <w:rPr>
                <w:sz w:val="22"/>
                <w:szCs w:val="22"/>
              </w:rPr>
            </w:pPr>
            <w:r>
              <w:rPr>
                <w:rFonts w:hint="eastAsia"/>
                <w:sz w:val="22"/>
                <w:szCs w:val="22"/>
              </w:rPr>
              <w:t>金额</w:t>
            </w:r>
          </w:p>
        </w:tc>
      </w:tr>
      <w:tr w14:paraId="1CDD36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14:paraId="0F1AA2F2">
            <w:pPr>
              <w:pStyle w:val="20"/>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782F34">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8D50BF">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94709B">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AA79EC">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78FA19">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14:paraId="0A544A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440" w:type="dxa"/>
            <w:vMerge w:val="continue"/>
            <w:tcBorders>
              <w:left w:val="single" w:color="000000" w:sz="2" w:space="0"/>
              <w:right w:val="single" w:color="000000" w:sz="2" w:space="0"/>
            </w:tcBorders>
            <w:shd w:val="clear" w:color="auto" w:fill="auto"/>
            <w:vAlign w:val="center"/>
          </w:tcPr>
          <w:p w14:paraId="2F3B2BE6">
            <w:pPr>
              <w:pStyle w:val="20"/>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2CA8FD">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D223D4">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2840AA">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037E9C">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B87BE0">
            <w:pPr>
              <w:pStyle w:val="20"/>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14:paraId="261A5F6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14:paraId="0557A912">
            <w:pPr>
              <w:pStyle w:val="20"/>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071B0E09">
            <w:pPr>
              <w:pStyle w:val="20"/>
              <w:spacing w:beforeAutospacing="0" w:after="0" w:afterAutospacing="0" w:line="216" w:lineRule="atLeast"/>
              <w:jc w:val="center"/>
              <w:rPr>
                <w:sz w:val="22"/>
                <w:szCs w:val="22"/>
              </w:rPr>
            </w:pPr>
            <w:r>
              <w:rPr>
                <w:rFonts w:hint="eastAsia"/>
                <w:sz w:val="22"/>
                <w:szCs w:val="22"/>
              </w:rPr>
              <w:t>节能产品（不包括强制节能产品）金额合计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612DB9">
            <w:pPr>
              <w:pStyle w:val="20"/>
              <w:spacing w:beforeAutospacing="0" w:after="0" w:afterAutospacing="0" w:line="216" w:lineRule="atLeast"/>
              <w:jc w:val="center"/>
              <w:rPr>
                <w:sz w:val="22"/>
                <w:szCs w:val="22"/>
              </w:rPr>
            </w:pPr>
            <w:r>
              <w:rPr>
                <w:rFonts w:hint="eastAsia"/>
                <w:sz w:val="22"/>
                <w:szCs w:val="22"/>
              </w:rPr>
              <w:t>元</w:t>
            </w:r>
          </w:p>
        </w:tc>
      </w:tr>
      <w:tr w14:paraId="33278E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40" w:type="dxa"/>
            <w:vMerge w:val="continue"/>
            <w:tcBorders>
              <w:left w:val="single" w:color="000000" w:sz="2" w:space="0"/>
              <w:right w:val="single" w:color="000000" w:sz="2" w:space="0"/>
            </w:tcBorders>
            <w:shd w:val="clear" w:color="auto" w:fill="auto"/>
            <w:vAlign w:val="center"/>
          </w:tcPr>
          <w:p w14:paraId="1EC36070">
            <w:pPr>
              <w:pStyle w:val="20"/>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5203FE3C">
            <w:pPr>
              <w:pStyle w:val="20"/>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（节能产品金额/投标所投包总价）*100%</w:t>
            </w:r>
            <w:r>
              <w:rPr>
                <w:rFonts w:hint="eastAsia"/>
                <w:sz w:val="22"/>
                <w:szCs w:val="22"/>
                <w:lang w:val="en-US" w:eastAsia="zh-CN"/>
              </w:rPr>
              <w:t>*该项的分值</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42B207">
            <w:pPr>
              <w:pStyle w:val="20"/>
              <w:spacing w:beforeAutospacing="0" w:after="0" w:afterAutospacing="0" w:line="216" w:lineRule="atLeast"/>
              <w:jc w:val="center"/>
              <w:rPr>
                <w:sz w:val="22"/>
                <w:szCs w:val="22"/>
              </w:rPr>
            </w:pPr>
            <w:r>
              <w:rPr>
                <w:rFonts w:hint="eastAsia"/>
                <w:sz w:val="22"/>
                <w:szCs w:val="22"/>
              </w:rPr>
              <w:t>%</w:t>
            </w:r>
          </w:p>
        </w:tc>
      </w:tr>
      <w:tr w14:paraId="2B66600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14:paraId="64A80689">
            <w:pPr>
              <w:pStyle w:val="20"/>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14:paraId="1BA53835">
            <w:pPr>
              <w:pStyle w:val="20"/>
              <w:spacing w:beforeAutospacing="0" w:after="0" w:afterAutospacing="0" w:line="216" w:lineRule="atLeast"/>
              <w:jc w:val="center"/>
              <w:rPr>
                <w:sz w:val="22"/>
                <w:szCs w:val="22"/>
              </w:rPr>
            </w:pPr>
            <w:r>
              <w:rPr>
                <w:rFonts w:hint="eastAsia"/>
                <w:sz w:val="22"/>
                <w:szCs w:val="22"/>
              </w:rPr>
              <w:t>节能产品证明材料见投标文件第</w:t>
            </w:r>
            <w:r>
              <w:rPr>
                <w:rFonts w:hint="eastAsia"/>
                <w:sz w:val="22"/>
                <w:szCs w:val="22"/>
                <w:lang w:val="en-US" w:eastAsia="zh-CN"/>
              </w:rPr>
              <w:t xml:space="preserve">   </w:t>
            </w:r>
            <w:r>
              <w:rPr>
                <w:rFonts w:hint="eastAsia"/>
                <w:sz w:val="22"/>
                <w:szCs w:val="22"/>
              </w:rPr>
              <w:t>至</w:t>
            </w:r>
            <w:r>
              <w:rPr>
                <w:rFonts w:hint="eastAsia"/>
                <w:sz w:val="22"/>
                <w:szCs w:val="22"/>
                <w:lang w:val="en-US" w:eastAsia="zh-CN"/>
              </w:rPr>
              <w:t xml:space="preserve">    </w:t>
            </w:r>
            <w:r>
              <w:rPr>
                <w:rFonts w:hint="eastAsia"/>
                <w:sz w:val="22"/>
                <w:szCs w:val="22"/>
              </w:rPr>
              <w:t>页。</w:t>
            </w:r>
          </w:p>
        </w:tc>
      </w:tr>
    </w:tbl>
    <w:p w14:paraId="21D751BE">
      <w:pPr>
        <w:pStyle w:val="20"/>
        <w:spacing w:beforeAutospacing="0" w:after="0" w:afterAutospacing="0" w:line="27" w:lineRule="atLeast"/>
        <w:jc w:val="both"/>
        <w:rPr>
          <w:kern w:val="2"/>
          <w:sz w:val="21"/>
          <w:szCs w:val="21"/>
        </w:rPr>
      </w:pPr>
    </w:p>
    <w:p w14:paraId="66CC0676">
      <w:pPr>
        <w:pStyle w:val="20"/>
        <w:spacing w:beforeAutospacing="0" w:after="0" w:afterAutospacing="0" w:line="27" w:lineRule="atLeast"/>
        <w:jc w:val="both"/>
        <w:rPr>
          <w:kern w:val="2"/>
          <w:sz w:val="21"/>
          <w:szCs w:val="21"/>
        </w:rPr>
      </w:pPr>
      <w:r>
        <w:rPr>
          <w:rFonts w:hint="eastAsia"/>
          <w:kern w:val="2"/>
          <w:sz w:val="21"/>
          <w:szCs w:val="21"/>
        </w:rPr>
        <w:t>投标人（盖单位章）：</w:t>
      </w:r>
    </w:p>
    <w:p w14:paraId="303D7704">
      <w:pPr>
        <w:adjustRightInd w:val="0"/>
        <w:snapToGrid w:val="0"/>
        <w:spacing w:line="360" w:lineRule="auto"/>
        <w:rPr>
          <w:rFonts w:ascii="宋体" w:hAnsi="宋体" w:cs="宋体"/>
          <w:szCs w:val="21"/>
        </w:rPr>
      </w:pPr>
    </w:p>
    <w:p w14:paraId="066EA6EB">
      <w:pPr>
        <w:adjustRightInd w:val="0"/>
        <w:snapToGrid w:val="0"/>
        <w:spacing w:line="360" w:lineRule="auto"/>
        <w:rPr>
          <w:rFonts w:ascii="宋体" w:hAnsi="宋体" w:cs="宋体"/>
          <w:szCs w:val="21"/>
          <w:u w:val="single"/>
        </w:rPr>
      </w:pPr>
      <w:r>
        <w:rPr>
          <w:rFonts w:hint="eastAsia" w:ascii="宋体" w:hAnsi="宋体" w:cs="宋体"/>
          <w:szCs w:val="21"/>
        </w:rPr>
        <w:t>法定代表人或其委托代理人签字：</w:t>
      </w:r>
      <w:r>
        <w:rPr>
          <w:rFonts w:hint="eastAsia" w:ascii="宋体" w:hAnsi="宋体" w:cs="宋体"/>
          <w:szCs w:val="21"/>
          <w:u w:val="single"/>
        </w:rPr>
        <w:t xml:space="preserve">       </w:t>
      </w:r>
    </w:p>
    <w:p w14:paraId="44BEB952">
      <w:pPr>
        <w:adjustRightInd w:val="0"/>
        <w:snapToGrid w:val="0"/>
        <w:spacing w:line="360" w:lineRule="auto"/>
        <w:rPr>
          <w:rFonts w:ascii="宋体" w:hAnsi="宋体" w:cs="宋体"/>
          <w:szCs w:val="21"/>
        </w:rPr>
      </w:pPr>
    </w:p>
    <w:p w14:paraId="3D2ED58F">
      <w:pPr>
        <w:adjustRightInd w:val="0"/>
        <w:snapToGrid w:val="0"/>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2917AD0">
      <w:pPr>
        <w:pStyle w:val="2"/>
      </w:pPr>
    </w:p>
    <w:p w14:paraId="16B591DF">
      <w:pPr>
        <w:pStyle w:val="2"/>
      </w:pPr>
    </w:p>
    <w:p w14:paraId="1BF706A0">
      <w:pPr>
        <w:pStyle w:val="2"/>
      </w:pPr>
    </w:p>
    <w:p w14:paraId="4E43E262">
      <w:pPr>
        <w:pStyle w:val="2"/>
      </w:pPr>
    </w:p>
    <w:p w14:paraId="7283723B">
      <w:pPr>
        <w:pStyle w:val="2"/>
      </w:pPr>
    </w:p>
    <w:p w14:paraId="212DC9C7">
      <w:pPr>
        <w:pStyle w:val="2"/>
      </w:pPr>
    </w:p>
    <w:p w14:paraId="328853F5">
      <w:pPr>
        <w:pStyle w:val="2"/>
      </w:pPr>
    </w:p>
    <w:p w14:paraId="69D9338E">
      <w:pPr>
        <w:pStyle w:val="2"/>
      </w:pPr>
    </w:p>
    <w:p w14:paraId="2C10C57E">
      <w:pPr>
        <w:pStyle w:val="2"/>
      </w:pPr>
    </w:p>
    <w:p w14:paraId="2422A045">
      <w:pPr>
        <w:pStyle w:val="2"/>
      </w:pPr>
    </w:p>
    <w:p w14:paraId="2E14B11E">
      <w:pPr>
        <w:pStyle w:val="2"/>
      </w:pPr>
    </w:p>
    <w:p w14:paraId="5DD78625">
      <w:pPr>
        <w:pStyle w:val="2"/>
      </w:pPr>
    </w:p>
    <w:p w14:paraId="2CC70FE5">
      <w:pPr>
        <w:pStyle w:val="2"/>
      </w:pPr>
    </w:p>
    <w:p w14:paraId="05A67EC1">
      <w:pPr>
        <w:pStyle w:val="2"/>
      </w:pPr>
    </w:p>
    <w:p w14:paraId="4BEC3808">
      <w:pPr>
        <w:pStyle w:val="2"/>
      </w:pPr>
    </w:p>
    <w:p w14:paraId="525AE92D">
      <w:pPr>
        <w:pStyle w:val="2"/>
      </w:pPr>
    </w:p>
    <w:p w14:paraId="239878D4">
      <w:pPr>
        <w:pStyle w:val="2"/>
      </w:pPr>
    </w:p>
    <w:p w14:paraId="470798D2">
      <w:pPr>
        <w:pStyle w:val="2"/>
      </w:pPr>
    </w:p>
    <w:p w14:paraId="1EF442DE">
      <w:pPr>
        <w:pStyle w:val="2"/>
      </w:pPr>
    </w:p>
    <w:p w14:paraId="4ED0877A">
      <w:pPr>
        <w:pStyle w:val="2"/>
      </w:pPr>
    </w:p>
    <w:p w14:paraId="5D416776">
      <w:pPr>
        <w:pStyle w:val="2"/>
      </w:pPr>
    </w:p>
    <w:p w14:paraId="1637C4F4">
      <w:pPr>
        <w:pStyle w:val="2"/>
      </w:pPr>
    </w:p>
    <w:p w14:paraId="67077F5E">
      <w:pPr>
        <w:pStyle w:val="2"/>
      </w:pPr>
    </w:p>
    <w:p w14:paraId="39182A7C">
      <w:pPr>
        <w:pStyle w:val="2"/>
      </w:pPr>
    </w:p>
    <w:p w14:paraId="0159F34B">
      <w:pPr>
        <w:pStyle w:val="2"/>
      </w:pPr>
    </w:p>
    <w:p w14:paraId="1E3FEE9C">
      <w:pPr>
        <w:pStyle w:val="2"/>
      </w:pPr>
    </w:p>
    <w:p w14:paraId="09D90D1E">
      <w:pPr>
        <w:pStyle w:val="2"/>
      </w:pPr>
    </w:p>
    <w:p w14:paraId="3968AD51">
      <w:pPr>
        <w:pStyle w:val="2"/>
      </w:pPr>
    </w:p>
    <w:p w14:paraId="6093A855">
      <w:pPr>
        <w:pStyle w:val="2"/>
        <w:rPr>
          <w:rFonts w:hint="default"/>
          <w:b/>
          <w:bCs/>
          <w:sz w:val="40"/>
          <w:szCs w:val="48"/>
          <w:lang w:val="en-US" w:eastAsia="zh-CN"/>
        </w:rPr>
      </w:pPr>
    </w:p>
    <w:sectPr>
      <w:headerReference r:id="rId11" w:type="default"/>
      <w:footerReference r:id="rId12"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algun Gothic">
    <w:panose1 w:val="020B0503020000020004"/>
    <w:charset w:val="81"/>
    <w:family w:val="auto"/>
    <w:pitch w:val="default"/>
    <w:sig w:usb0="900002AF" w:usb1="01D77CFB" w:usb2="00000012" w:usb3="00000000" w:csb0="00080001" w:csb1="00000000"/>
  </w:font>
  <w:font w:name="宋体-简">
    <w:altName w:val="宋体"/>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C02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7C20">
    <w:pPr>
      <w:pStyle w:val="16"/>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72C5E2">
                          <w:pPr>
                            <w:pStyle w:val="16"/>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ikZrNAQAAm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3FsVtmcOCXH98vP39f&#10;fn0j6+XNTVKo91Bj4r3H1Di8cwPuzXwPeJmIDzKY9EVKBOOo7/mqrxgi4elRtaqqEkMcY7OD+MXj&#10;cx8gvhfOkGQ0NOAAs67s9BHimDqnpGrW3Smt8xC1JT2irqs36/ziGkJ0bbFIYjF2m6w47IeJ2t61&#10;Z2TW4xY01OLSU6I/WBQ5LcxshNnYT0YqD/7tMWILubOEOkJNxXBkmdu0Xmkn/vZz1uMvtf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COikZrNAQAAmgMAAA4AAAAAAAAAAQAgAAAAIgEAAGRy&#10;cy9lMm9Eb2MueG1sUEsFBgAAAAAGAAYAWQEAAGEFAAAAAA==&#10;">
              <v:fill on="f" focussize="0,0"/>
              <v:stroke on="f" weight="1.25pt"/>
              <v:imagedata o:title=""/>
              <o:lock v:ext="edit" aspectratio="f"/>
              <v:textbox inset="0mm,0mm,0mm,0mm" style="mso-fit-shape-to-text:t;">
                <w:txbxContent>
                  <w:p w14:paraId="5372C5E2">
                    <w:pPr>
                      <w:pStyle w:val="16"/>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300C">
    <w:pPr>
      <w:pStyle w:val="16"/>
      <w:tabs>
        <w:tab w:val="center" w:pos="4677"/>
        <w:tab w:val="clear" w:pos="4153"/>
      </w:tabs>
      <w:ind w:right="-6"/>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3B0AE1">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ClVz23NAQAAmgMAAA4AAAAAAAAAAQAgAAAAIgEAAGRy&#10;cy9lMm9Eb2MueG1sUEsFBgAAAAAGAAYAWQEAAGEFAAAAAA==&#10;">
              <v:fill on="f" focussize="0,0"/>
              <v:stroke on="f" weight="1.25pt"/>
              <v:imagedata o:title=""/>
              <o:lock v:ext="edit" aspectratio="f"/>
              <v:textbox inset="0mm,0mm,0mm,0mm" style="mso-fit-shape-to-text:t;">
                <w:txbxContent>
                  <w:p w14:paraId="3A3B0AE1">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2CB3">
    <w:pPr>
      <w:pStyle w:val="16"/>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9458E7">
                          <w:pPr>
                            <w:pStyle w:val="16"/>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RmWKaswBAACbAwAADgAAAAAAAAABACAAAAAiAQAAZHJz&#10;L2Uyb0RvYy54bWxQSwUGAAAAAAYABgBZAQAAYAUAAAAA&#10;">
              <v:fill on="f" focussize="0,0"/>
              <v:stroke on="f" weight="1.25pt"/>
              <v:imagedata o:title=""/>
              <o:lock v:ext="edit" aspectratio="f"/>
              <v:textbox inset="0mm,0mm,0mm,0mm" style="mso-fit-shape-to-text:t;">
                <w:txbxContent>
                  <w:p w14:paraId="359458E7">
                    <w:pPr>
                      <w:pStyle w:val="16"/>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BCDA">
    <w:pPr>
      <w:pStyle w:val="16"/>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690AE">
    <w:pPr>
      <w:pStyle w:val="16"/>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568E">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39BF">
    <w:pPr>
      <w:pStyle w:val="17"/>
      <w:pBdr>
        <w:bottom w:val="single" w:color="auto" w:sz="6"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7677">
    <w:pPr>
      <w:pStyle w:val="17"/>
      <w:pBdr>
        <w:bottom w:val="single" w:color="auto" w:sz="6"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57D0">
    <w:pPr>
      <w:pStyle w:val="17"/>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57018"/>
    <w:multiLevelType w:val="singleLevel"/>
    <w:tmpl w:val="82957018"/>
    <w:lvl w:ilvl="0" w:tentative="0">
      <w:start w:val="1"/>
      <w:numFmt w:val="decimal"/>
      <w:suff w:val="space"/>
      <w:lvlText w:val="%1."/>
      <w:lvlJc w:val="left"/>
    </w:lvl>
  </w:abstractNum>
  <w:abstractNum w:abstractNumId="1">
    <w:nsid w:val="883C52C7"/>
    <w:multiLevelType w:val="singleLevel"/>
    <w:tmpl w:val="883C52C7"/>
    <w:lvl w:ilvl="0" w:tentative="0">
      <w:start w:val="5"/>
      <w:numFmt w:val="chineseCounting"/>
      <w:suff w:val="space"/>
      <w:lvlText w:val="第%1章"/>
      <w:lvlJc w:val="left"/>
      <w:rPr>
        <w:rFonts w:hint="eastAsia"/>
      </w:rPr>
    </w:lvl>
  </w:abstractNum>
  <w:abstractNum w:abstractNumId="2">
    <w:nsid w:val="8DF7F88D"/>
    <w:multiLevelType w:val="singleLevel"/>
    <w:tmpl w:val="8DF7F88D"/>
    <w:lvl w:ilvl="0" w:tentative="0">
      <w:start w:val="1"/>
      <w:numFmt w:val="bullet"/>
      <w:lvlText w:val=""/>
      <w:lvlJc w:val="left"/>
      <w:pPr>
        <w:ind w:left="420" w:hanging="420"/>
      </w:pPr>
      <w:rPr>
        <w:rFonts w:hint="default" w:ascii="Wingdings" w:hAnsi="Wingdings"/>
      </w:rPr>
    </w:lvl>
  </w:abstractNum>
  <w:abstractNum w:abstractNumId="3">
    <w:nsid w:val="98C22718"/>
    <w:multiLevelType w:val="singleLevel"/>
    <w:tmpl w:val="98C22718"/>
    <w:lvl w:ilvl="0" w:tentative="0">
      <w:start w:val="1"/>
      <w:numFmt w:val="bullet"/>
      <w:lvlText w:val=""/>
      <w:lvlJc w:val="left"/>
      <w:pPr>
        <w:ind w:left="420" w:hanging="420"/>
      </w:pPr>
      <w:rPr>
        <w:rFonts w:hint="default" w:ascii="Wingdings" w:hAnsi="Wingdings"/>
      </w:r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8177DC0"/>
    <w:multiLevelType w:val="singleLevel"/>
    <w:tmpl w:val="C8177DC0"/>
    <w:lvl w:ilvl="0" w:tentative="0">
      <w:start w:val="1"/>
      <w:numFmt w:val="decimal"/>
      <w:suff w:val="nothing"/>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3683986"/>
    <w:multiLevelType w:val="singleLevel"/>
    <w:tmpl w:val="F3683986"/>
    <w:lvl w:ilvl="0" w:tentative="0">
      <w:start w:val="1"/>
      <w:numFmt w:val="chineseCounting"/>
      <w:suff w:val="space"/>
      <w:lvlText w:val="第%1章"/>
      <w:lvlJc w:val="left"/>
      <w:rPr>
        <w:rFonts w:hint="eastAsia"/>
      </w:rPr>
    </w:lvl>
  </w:abstractNum>
  <w:abstractNum w:abstractNumId="11">
    <w:nsid w:val="F4B8C18C"/>
    <w:multiLevelType w:val="singleLevel"/>
    <w:tmpl w:val="F4B8C18C"/>
    <w:lvl w:ilvl="0" w:tentative="0">
      <w:start w:val="1"/>
      <w:numFmt w:val="decimal"/>
      <w:suff w:val="nothing"/>
      <w:lvlText w:val="%1、"/>
      <w:lvlJc w:val="left"/>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18F7E23"/>
    <w:multiLevelType w:val="singleLevel"/>
    <w:tmpl w:val="018F7E23"/>
    <w:lvl w:ilvl="0" w:tentative="0">
      <w:start w:val="4"/>
      <w:numFmt w:val="chineseCounting"/>
      <w:suff w:val="nothing"/>
      <w:lvlText w:val="%1、"/>
      <w:lvlJc w:val="left"/>
      <w:rPr>
        <w:rFonts w:hint="eastAsia"/>
      </w:rPr>
    </w:lvl>
  </w:abstractNum>
  <w:abstractNum w:abstractNumId="14">
    <w:nsid w:val="03CE0965"/>
    <w:multiLevelType w:val="singleLevel"/>
    <w:tmpl w:val="03CE0965"/>
    <w:lvl w:ilvl="0" w:tentative="0">
      <w:start w:val="1"/>
      <w:numFmt w:val="decimal"/>
      <w:suff w:val="nothing"/>
      <w:lvlText w:val="%1、"/>
      <w:lvlJc w:val="left"/>
    </w:lvl>
  </w:abstractNum>
  <w:abstractNum w:abstractNumId="15">
    <w:nsid w:val="0643D928"/>
    <w:multiLevelType w:val="singleLevel"/>
    <w:tmpl w:val="0643D928"/>
    <w:lvl w:ilvl="0" w:tentative="0">
      <w:start w:val="2"/>
      <w:numFmt w:val="decimal"/>
      <w:suff w:val="nothing"/>
      <w:lvlText w:val="%1、"/>
      <w:lvlJc w:val="left"/>
    </w:lvl>
  </w:abstractNum>
  <w:abstractNum w:abstractNumId="16">
    <w:nsid w:val="07DF95FC"/>
    <w:multiLevelType w:val="singleLevel"/>
    <w:tmpl w:val="07DF95FC"/>
    <w:lvl w:ilvl="0" w:tentative="0">
      <w:start w:val="1"/>
      <w:numFmt w:val="bullet"/>
      <w:lvlText w:val=""/>
      <w:lvlJc w:val="left"/>
      <w:pPr>
        <w:ind w:left="420" w:hanging="420"/>
      </w:pPr>
      <w:rPr>
        <w:rFonts w:hint="default" w:ascii="Wingdings" w:hAnsi="Wingdings"/>
      </w:rPr>
    </w:lvl>
  </w:abstractNum>
  <w:abstractNum w:abstractNumId="17">
    <w:nsid w:val="0DF191AA"/>
    <w:multiLevelType w:val="singleLevel"/>
    <w:tmpl w:val="0DF191AA"/>
    <w:lvl w:ilvl="0" w:tentative="0">
      <w:start w:val="1"/>
      <w:numFmt w:val="decimal"/>
      <w:suff w:val="nothing"/>
      <w:lvlText w:val="（%1）"/>
      <w:lvlJc w:val="left"/>
    </w:lvl>
  </w:abstractNum>
  <w:abstractNum w:abstractNumId="18">
    <w:nsid w:val="10CF5085"/>
    <w:multiLevelType w:val="singleLevel"/>
    <w:tmpl w:val="10CF5085"/>
    <w:lvl w:ilvl="0" w:tentative="0">
      <w:start w:val="1"/>
      <w:numFmt w:val="decimal"/>
      <w:suff w:val="nothing"/>
      <w:lvlText w:val="（%1）"/>
      <w:lvlJc w:val="left"/>
    </w:lvl>
  </w:abstractNum>
  <w:abstractNum w:abstractNumId="19">
    <w:nsid w:val="15E2F77A"/>
    <w:multiLevelType w:val="singleLevel"/>
    <w:tmpl w:val="15E2F77A"/>
    <w:lvl w:ilvl="0" w:tentative="0">
      <w:start w:val="1"/>
      <w:numFmt w:val="chineseCounting"/>
      <w:suff w:val="nothing"/>
      <w:lvlText w:val="%1、"/>
      <w:lvlJc w:val="left"/>
      <w:rPr>
        <w:rFonts w:hint="eastAsia"/>
      </w:rPr>
    </w:lvl>
  </w:abstractNum>
  <w:abstractNum w:abstractNumId="20">
    <w:nsid w:val="20B0312B"/>
    <w:multiLevelType w:val="singleLevel"/>
    <w:tmpl w:val="20B0312B"/>
    <w:lvl w:ilvl="0" w:tentative="0">
      <w:start w:val="1"/>
      <w:numFmt w:val="decimal"/>
      <w:suff w:val="space"/>
      <w:lvlText w:val="%1."/>
      <w:lvlJc w:val="left"/>
    </w:lvl>
  </w:abstractNum>
  <w:abstractNum w:abstractNumId="21">
    <w:nsid w:val="24E409BB"/>
    <w:multiLevelType w:val="multilevel"/>
    <w:tmpl w:val="24E409BB"/>
    <w:lvl w:ilvl="0" w:tentative="0">
      <w:start w:val="1"/>
      <w:numFmt w:val="decimal"/>
      <w:pStyle w:val="3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7A99767"/>
    <w:multiLevelType w:val="singleLevel"/>
    <w:tmpl w:val="27A99767"/>
    <w:lvl w:ilvl="0" w:tentative="0">
      <w:start w:val="1"/>
      <w:numFmt w:val="decimal"/>
      <w:suff w:val="nothing"/>
      <w:lvlText w:val="%1、"/>
      <w:lvlJc w:val="left"/>
    </w:lvl>
  </w:abstractNum>
  <w:abstractNum w:abstractNumId="23">
    <w:nsid w:val="2D4D2C93"/>
    <w:multiLevelType w:val="multilevel"/>
    <w:tmpl w:val="2D4D2C93"/>
    <w:lvl w:ilvl="0" w:tentative="0">
      <w:start w:val="1"/>
      <w:numFmt w:val="decimal"/>
      <w:lvlText w:val="%1)"/>
      <w:lvlJc w:val="left"/>
      <w:pPr>
        <w:ind w:left="840" w:hanging="420"/>
      </w:pPr>
      <w:rPr>
        <w:rFonts w:hint="default"/>
      </w:r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37BD7D2"/>
    <w:multiLevelType w:val="singleLevel"/>
    <w:tmpl w:val="337BD7D2"/>
    <w:lvl w:ilvl="0" w:tentative="0">
      <w:start w:val="1"/>
      <w:numFmt w:val="chineseCounting"/>
      <w:suff w:val="nothing"/>
      <w:lvlText w:val="%1、"/>
      <w:lvlJc w:val="left"/>
      <w:rPr>
        <w:rFonts w:hint="eastAsia"/>
      </w:rPr>
    </w:lvl>
  </w:abstractNum>
  <w:abstractNum w:abstractNumId="25">
    <w:nsid w:val="46885518"/>
    <w:multiLevelType w:val="multilevel"/>
    <w:tmpl w:val="46885518"/>
    <w:lvl w:ilvl="0" w:tentative="0">
      <w:start w:val="1"/>
      <w:numFmt w:val="decimal"/>
      <w:lvlText w:val="%1."/>
      <w:lvlJc w:val="left"/>
      <w:pPr>
        <w:ind w:left="0" w:firstLine="25"/>
      </w:pPr>
      <w:rPr>
        <w:rFonts w:ascii="Times New Roman" w:hAnsi="Times New Roman" w:eastAsia="宋体" w:cs="Times New Roman"/>
      </w:rPr>
    </w:lvl>
    <w:lvl w:ilvl="1" w:tentative="0">
      <w:start w:val="1"/>
      <w:numFmt w:val="decimal"/>
      <w:lvlText w:val="%1.%2"/>
      <w:lvlJc w:val="left"/>
      <w:pPr>
        <w:ind w:left="0" w:firstLine="25"/>
      </w:pPr>
      <w:rPr>
        <w:rFonts w:hint="default"/>
      </w:rPr>
    </w:lvl>
    <w:lvl w:ilvl="2" w:tentative="0">
      <w:start w:val="1"/>
      <w:numFmt w:val="decimal"/>
      <w:lvlText w:val="%1.%2.%3"/>
      <w:lvlJc w:val="left"/>
      <w:pPr>
        <w:ind w:left="360" w:hanging="720"/>
      </w:pPr>
      <w:rPr>
        <w:rFonts w:hint="default"/>
      </w:rPr>
    </w:lvl>
    <w:lvl w:ilvl="3" w:tentative="0">
      <w:start w:val="1"/>
      <w:numFmt w:val="decimal"/>
      <w:lvlText w:val="%1.%2.%3.%4"/>
      <w:lvlJc w:val="left"/>
      <w:pPr>
        <w:ind w:left="360" w:hanging="720"/>
      </w:pPr>
      <w:rPr>
        <w:rFonts w:hint="default"/>
      </w:rPr>
    </w:lvl>
    <w:lvl w:ilvl="4" w:tentative="0">
      <w:start w:val="1"/>
      <w:numFmt w:val="decimal"/>
      <w:lvlText w:val="%1.%2.%3.%4.%5"/>
      <w:lvlJc w:val="left"/>
      <w:pPr>
        <w:ind w:left="720" w:hanging="1080"/>
      </w:pPr>
      <w:rPr>
        <w:rFonts w:hint="default"/>
      </w:rPr>
    </w:lvl>
    <w:lvl w:ilvl="5" w:tentative="0">
      <w:start w:val="1"/>
      <w:numFmt w:val="decimal"/>
      <w:lvlText w:val="%1.%2.%3.%4.%5.%6"/>
      <w:lvlJc w:val="left"/>
      <w:pPr>
        <w:ind w:left="720" w:hanging="1080"/>
      </w:pPr>
      <w:rPr>
        <w:rFonts w:hint="default"/>
      </w:rPr>
    </w:lvl>
    <w:lvl w:ilvl="6" w:tentative="0">
      <w:start w:val="1"/>
      <w:numFmt w:val="decimal"/>
      <w:lvlText w:val="%1.%2.%3.%4.%5.%6.%7"/>
      <w:lvlJc w:val="left"/>
      <w:pPr>
        <w:ind w:left="720" w:hanging="1080"/>
      </w:pPr>
      <w:rPr>
        <w:rFonts w:hint="default"/>
      </w:rPr>
    </w:lvl>
    <w:lvl w:ilvl="7" w:tentative="0">
      <w:start w:val="1"/>
      <w:numFmt w:val="decimal"/>
      <w:lvlText w:val="%1.%2.%3.%4.%5.%6.%7.%8"/>
      <w:lvlJc w:val="left"/>
      <w:pPr>
        <w:ind w:left="1080" w:hanging="1440"/>
      </w:pPr>
      <w:rPr>
        <w:rFonts w:hint="default"/>
      </w:rPr>
    </w:lvl>
    <w:lvl w:ilvl="8" w:tentative="0">
      <w:start w:val="1"/>
      <w:numFmt w:val="decimal"/>
      <w:lvlText w:val="%1.%2.%3.%4.%5.%6.%7.%8.%9"/>
      <w:lvlJc w:val="left"/>
      <w:pPr>
        <w:ind w:left="1080" w:hanging="1440"/>
      </w:pPr>
      <w:rPr>
        <w:rFonts w:hint="default"/>
      </w:rPr>
    </w:lvl>
  </w:abstractNum>
  <w:abstractNum w:abstractNumId="26">
    <w:nsid w:val="66F326CD"/>
    <w:multiLevelType w:val="singleLevel"/>
    <w:tmpl w:val="66F326CD"/>
    <w:lvl w:ilvl="0" w:tentative="0">
      <w:start w:val="6"/>
      <w:numFmt w:val="decimal"/>
      <w:suff w:val="nothing"/>
      <w:lvlText w:val="（%1）"/>
      <w:lvlJc w:val="left"/>
    </w:lvl>
  </w:abstractNum>
  <w:abstractNum w:abstractNumId="27">
    <w:nsid w:val="76532E97"/>
    <w:multiLevelType w:val="singleLevel"/>
    <w:tmpl w:val="76532E97"/>
    <w:lvl w:ilvl="0" w:tentative="0">
      <w:start w:val="5"/>
      <w:numFmt w:val="chineseCounting"/>
      <w:suff w:val="nothing"/>
      <w:lvlText w:val="%1、"/>
      <w:lvlJc w:val="left"/>
      <w:rPr>
        <w:rFonts w:hint="eastAsia"/>
        <w:b/>
        <w:bCs/>
      </w:rPr>
    </w:lvl>
  </w:abstractNum>
  <w:abstractNum w:abstractNumId="28">
    <w:nsid w:val="7A0F6431"/>
    <w:multiLevelType w:val="singleLevel"/>
    <w:tmpl w:val="7A0F6431"/>
    <w:lvl w:ilvl="0" w:tentative="0">
      <w:start w:val="1"/>
      <w:numFmt w:val="decimal"/>
      <w:suff w:val="space"/>
      <w:lvlText w:val="%1."/>
      <w:lvlJc w:val="left"/>
    </w:lvl>
  </w:abstractNum>
  <w:abstractNum w:abstractNumId="29">
    <w:nsid w:val="7FEE5BFC"/>
    <w:multiLevelType w:val="singleLevel"/>
    <w:tmpl w:val="7FEE5BFC"/>
    <w:lvl w:ilvl="0" w:tentative="0">
      <w:start w:val="1"/>
      <w:numFmt w:val="decimal"/>
      <w:suff w:val="space"/>
      <w:lvlText w:val="%1."/>
      <w:lvlJc w:val="left"/>
    </w:lvl>
  </w:abstractNum>
  <w:num w:numId="1">
    <w:abstractNumId w:val="21"/>
  </w:num>
  <w:num w:numId="2">
    <w:abstractNumId w:val="10"/>
  </w:num>
  <w:num w:numId="3">
    <w:abstractNumId w:val="13"/>
  </w:num>
  <w:num w:numId="4">
    <w:abstractNumId w:val="27"/>
  </w:num>
  <w:num w:numId="5">
    <w:abstractNumId w:val="15"/>
  </w:num>
  <w:num w:numId="6">
    <w:abstractNumId w:val="2"/>
  </w:num>
  <w:num w:numId="7">
    <w:abstractNumId w:val="17"/>
  </w:num>
  <w:num w:numId="8">
    <w:abstractNumId w:val="5"/>
  </w:num>
  <w:num w:numId="9">
    <w:abstractNumId w:val="22"/>
  </w:num>
  <w:num w:numId="10">
    <w:abstractNumId w:val="16"/>
  </w:num>
  <w:num w:numId="11">
    <w:abstractNumId w:val="18"/>
  </w:num>
  <w:num w:numId="12">
    <w:abstractNumId w:val="3"/>
  </w:num>
  <w:num w:numId="13">
    <w:abstractNumId w:val="28"/>
  </w:num>
  <w:num w:numId="14">
    <w:abstractNumId w:val="6"/>
  </w:num>
  <w:num w:numId="15">
    <w:abstractNumId w:val="12"/>
  </w:num>
  <w:num w:numId="16">
    <w:abstractNumId w:val="8"/>
  </w:num>
  <w:num w:numId="17">
    <w:abstractNumId w:val="7"/>
  </w:num>
  <w:num w:numId="18">
    <w:abstractNumId w:val="4"/>
  </w:num>
  <w:num w:numId="19">
    <w:abstractNumId w:val="9"/>
  </w:num>
  <w:num w:numId="20">
    <w:abstractNumId w:val="1"/>
  </w:num>
  <w:num w:numId="21">
    <w:abstractNumId w:val="19"/>
  </w:num>
  <w:num w:numId="22">
    <w:abstractNumId w:val="25"/>
  </w:num>
  <w:num w:numId="23">
    <w:abstractNumId w:val="23"/>
  </w:num>
  <w:num w:numId="24">
    <w:abstractNumId w:val="29"/>
  </w:num>
  <w:num w:numId="25">
    <w:abstractNumId w:val="20"/>
  </w:num>
  <w:num w:numId="26">
    <w:abstractNumId w:val="0"/>
  </w:num>
  <w:num w:numId="27">
    <w:abstractNumId w:val="11"/>
  </w:num>
  <w:num w:numId="28">
    <w:abstractNumId w:val="24"/>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ZTVjZTQyZThkMjA0M2U1NmJlZWJjN2IxNDEwNWUifQ=="/>
  </w:docVars>
  <w:rsids>
    <w:rsidRoot w:val="00000000"/>
    <w:rsid w:val="01640343"/>
    <w:rsid w:val="01A32653"/>
    <w:rsid w:val="086F47FA"/>
    <w:rsid w:val="0B4F510C"/>
    <w:rsid w:val="0C0019EA"/>
    <w:rsid w:val="0D2D0AF2"/>
    <w:rsid w:val="0D663780"/>
    <w:rsid w:val="0DB77B4B"/>
    <w:rsid w:val="10AC1703"/>
    <w:rsid w:val="10F71406"/>
    <w:rsid w:val="11851937"/>
    <w:rsid w:val="13B741FC"/>
    <w:rsid w:val="15F153BF"/>
    <w:rsid w:val="17C254FE"/>
    <w:rsid w:val="17DF1CDC"/>
    <w:rsid w:val="1A250831"/>
    <w:rsid w:val="1DE039E8"/>
    <w:rsid w:val="1E804B6D"/>
    <w:rsid w:val="1E9A2198"/>
    <w:rsid w:val="1F52430E"/>
    <w:rsid w:val="1FCB203B"/>
    <w:rsid w:val="202C79B3"/>
    <w:rsid w:val="220A2D7F"/>
    <w:rsid w:val="22322098"/>
    <w:rsid w:val="226C11D3"/>
    <w:rsid w:val="231E4E23"/>
    <w:rsid w:val="24B967F2"/>
    <w:rsid w:val="250E4BC6"/>
    <w:rsid w:val="26642CBB"/>
    <w:rsid w:val="2C9A23C9"/>
    <w:rsid w:val="2D73279F"/>
    <w:rsid w:val="2E87650F"/>
    <w:rsid w:val="2EA92BEA"/>
    <w:rsid w:val="2F656992"/>
    <w:rsid w:val="300E3C2B"/>
    <w:rsid w:val="30B17644"/>
    <w:rsid w:val="348D72C3"/>
    <w:rsid w:val="34992E07"/>
    <w:rsid w:val="369C237F"/>
    <w:rsid w:val="36F106CF"/>
    <w:rsid w:val="38B91DEC"/>
    <w:rsid w:val="39684483"/>
    <w:rsid w:val="3D337248"/>
    <w:rsid w:val="3E67211A"/>
    <w:rsid w:val="3F1E4E9E"/>
    <w:rsid w:val="433E7FC3"/>
    <w:rsid w:val="43B91CC4"/>
    <w:rsid w:val="45156AF0"/>
    <w:rsid w:val="45825E28"/>
    <w:rsid w:val="466D1098"/>
    <w:rsid w:val="47F32772"/>
    <w:rsid w:val="48DD0972"/>
    <w:rsid w:val="4A7C2443"/>
    <w:rsid w:val="4C1153E6"/>
    <w:rsid w:val="4C3E4D64"/>
    <w:rsid w:val="4D0F1709"/>
    <w:rsid w:val="4D825686"/>
    <w:rsid w:val="4FDB6E8B"/>
    <w:rsid w:val="50243381"/>
    <w:rsid w:val="51D334EA"/>
    <w:rsid w:val="54520D9C"/>
    <w:rsid w:val="5567382B"/>
    <w:rsid w:val="560901AE"/>
    <w:rsid w:val="560F0AD2"/>
    <w:rsid w:val="56807FFE"/>
    <w:rsid w:val="58901334"/>
    <w:rsid w:val="59D4137A"/>
    <w:rsid w:val="5BD37340"/>
    <w:rsid w:val="5C1C2D44"/>
    <w:rsid w:val="5CCE7A6B"/>
    <w:rsid w:val="5CEA0058"/>
    <w:rsid w:val="655F2F3F"/>
    <w:rsid w:val="66D26EFF"/>
    <w:rsid w:val="679E793A"/>
    <w:rsid w:val="67AF2370"/>
    <w:rsid w:val="68EE6082"/>
    <w:rsid w:val="6AA731A6"/>
    <w:rsid w:val="70A421D2"/>
    <w:rsid w:val="70DA08BC"/>
    <w:rsid w:val="70FE459E"/>
    <w:rsid w:val="739C2ADA"/>
    <w:rsid w:val="73E82CEB"/>
    <w:rsid w:val="76711E02"/>
    <w:rsid w:val="769531EF"/>
    <w:rsid w:val="7BC54361"/>
    <w:rsid w:val="7C6D6D8F"/>
    <w:rsid w:val="7E554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Calibri" w:hAnsi="Calibri"/>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style>
  <w:style w:type="paragraph" w:styleId="7">
    <w:name w:val="Normal Indent"/>
    <w:basedOn w:val="1"/>
    <w:next w:val="8"/>
    <w:qFormat/>
    <w:uiPriority w:val="0"/>
    <w:pPr>
      <w:widowControl/>
      <w:ind w:firstLine="420"/>
      <w:jc w:val="left"/>
    </w:pPr>
    <w:rPr>
      <w:kern w:val="0"/>
      <w:sz w:val="20"/>
      <w:szCs w:val="20"/>
    </w:rPr>
  </w:style>
  <w:style w:type="paragraph" w:styleId="8">
    <w:name w:val="toc 4"/>
    <w:basedOn w:val="1"/>
    <w:next w:val="1"/>
    <w:qFormat/>
    <w:uiPriority w:val="0"/>
    <w:pPr>
      <w:ind w:left="630"/>
      <w:jc w:val="left"/>
    </w:pPr>
    <w:rPr>
      <w:sz w:val="18"/>
      <w:szCs w:val="18"/>
    </w:rPr>
  </w:style>
  <w:style w:type="paragraph" w:styleId="9">
    <w:name w:val="annotation text"/>
    <w:basedOn w:val="1"/>
    <w:semiHidden/>
    <w:qFormat/>
    <w:uiPriority w:val="0"/>
    <w:pPr>
      <w:jc w:val="left"/>
    </w:pPr>
    <w:rPr>
      <w:rFonts w:ascii="Calibri" w:hAnsi="Calibri"/>
    </w:rPr>
  </w:style>
  <w:style w:type="paragraph" w:styleId="10">
    <w:name w:val="index 6"/>
    <w:basedOn w:val="1"/>
    <w:next w:val="1"/>
    <w:qFormat/>
    <w:uiPriority w:val="99"/>
    <w:pPr>
      <w:ind w:left="21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rPr>
      <w:rFonts w:ascii="Calibri" w:hAnsi="Calibri"/>
    </w:rPr>
  </w:style>
  <w:style w:type="paragraph" w:styleId="13">
    <w:name w:val="toc 3"/>
    <w:basedOn w:val="1"/>
    <w:next w:val="1"/>
    <w:qFormat/>
    <w:uiPriority w:val="0"/>
    <w:pPr>
      <w:ind w:left="420"/>
      <w:jc w:val="left"/>
    </w:pPr>
    <w:rPr>
      <w:i/>
      <w:iCs/>
      <w:sz w:val="20"/>
      <w:szCs w:val="20"/>
    </w:rPr>
  </w:style>
  <w:style w:type="paragraph" w:styleId="14">
    <w:name w:val="Plain Text"/>
    <w:basedOn w:val="1"/>
    <w:qFormat/>
    <w:uiPriority w:val="0"/>
    <w:rPr>
      <w:rFonts w:ascii="Calibri" w:hAnsi="Calibri"/>
      <w:sz w:val="24"/>
      <w:szCs w:val="20"/>
    </w:rPr>
  </w:style>
  <w:style w:type="paragraph" w:styleId="15">
    <w:name w:val="Date"/>
    <w:basedOn w:val="1"/>
    <w:next w:val="1"/>
    <w:qFormat/>
    <w:uiPriority w:val="0"/>
    <w:rPr>
      <w:sz w:val="24"/>
      <w:szCs w:val="20"/>
    </w:rPr>
  </w:style>
  <w:style w:type="paragraph" w:styleId="16">
    <w:name w:val="footer"/>
    <w:basedOn w:val="1"/>
    <w:qFormat/>
    <w:uiPriority w:val="0"/>
    <w:pPr>
      <w:tabs>
        <w:tab w:val="center" w:pos="4153"/>
        <w:tab w:val="right" w:pos="8306"/>
      </w:tabs>
      <w:snapToGrid w:val="0"/>
      <w:jc w:val="left"/>
    </w:pPr>
    <w:rPr>
      <w:rFonts w:ascii="Calibri" w:hAnsi="Calibri"/>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toc 1"/>
    <w:basedOn w:val="1"/>
    <w:next w:val="1"/>
    <w:semiHidden/>
    <w:qFormat/>
    <w:uiPriority w:val="0"/>
    <w:pPr>
      <w:spacing w:before="120" w:after="120"/>
      <w:jc w:val="left"/>
    </w:pPr>
    <w:rPr>
      <w:b/>
      <w:bCs/>
      <w:caps/>
      <w:sz w:val="20"/>
      <w:szCs w:val="20"/>
    </w:rPr>
  </w:style>
  <w:style w:type="paragraph" w:styleId="19">
    <w:name w:val="toc 2"/>
    <w:basedOn w:val="1"/>
    <w:next w:val="1"/>
    <w:qFormat/>
    <w:uiPriority w:val="0"/>
    <w:pPr>
      <w:ind w:left="210"/>
      <w:jc w:val="left"/>
    </w:pPr>
    <w:rPr>
      <w:smallCaps/>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1"/>
    <w:next w:val="1"/>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styleId="22">
    <w:name w:val="Body Text First Indent 2"/>
    <w:basedOn w:val="12"/>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ascii="Times New Roman" w:hAnsi="Times New Roman" w:eastAsia="宋体" w:cs="Times New Roman"/>
      <w:b/>
      <w:bCs/>
    </w:rPr>
  </w:style>
  <w:style w:type="character" w:styleId="27">
    <w:name w:val="Hyperlink"/>
    <w:basedOn w:val="25"/>
    <w:qFormat/>
    <w:uiPriority w:val="99"/>
    <w:rPr>
      <w:rFonts w:ascii="Times New Roman" w:hAnsi="Times New Roman" w:eastAsia="宋体" w:cs="Times New Roman"/>
      <w:color w:val="136EC2"/>
      <w:u w:val="single"/>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p0"/>
    <w:basedOn w:val="1"/>
    <w:qFormat/>
    <w:uiPriority w:val="0"/>
    <w:pPr>
      <w:widowControl/>
    </w:pPr>
    <w:rPr>
      <w:rFonts w:ascii="Calibri" w:hAnsi="Calibri"/>
      <w:kern w:val="0"/>
      <w:szCs w:val="21"/>
    </w:rPr>
  </w:style>
  <w:style w:type="paragraph" w:customStyle="1" w:styleId="30">
    <w:name w:val="正文缩进1"/>
    <w:basedOn w:val="1"/>
    <w:qFormat/>
    <w:uiPriority w:val="0"/>
    <w:pPr>
      <w:autoSpaceDE w:val="0"/>
      <w:autoSpaceDN w:val="0"/>
      <w:adjustRightInd w:val="0"/>
      <w:ind w:firstLine="420"/>
      <w:jc w:val="left"/>
    </w:pPr>
    <w:rPr>
      <w:rFonts w:ascii="宋体" w:hAnsi="Calibri" w:eastAsia="微软雅黑"/>
      <w:kern w:val="0"/>
      <w:sz w:val="24"/>
      <w:szCs w:val="20"/>
    </w:rPr>
  </w:style>
  <w:style w:type="paragraph" w:customStyle="1" w:styleId="31">
    <w:name w:val="索引 11"/>
    <w:basedOn w:val="1"/>
    <w:next w:val="1"/>
    <w:qFormat/>
    <w:uiPriority w:val="0"/>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eastAsia="微软雅黑"/>
      <w:kern w:val="0"/>
      <w:sz w:val="20"/>
      <w:szCs w:val="20"/>
    </w:rPr>
  </w:style>
  <w:style w:type="paragraph" w:customStyle="1" w:styleId="33">
    <w:name w:val="表名称"/>
    <w:basedOn w:val="7"/>
    <w:qFormat/>
    <w:uiPriority w:val="0"/>
    <w:pPr>
      <w:numPr>
        <w:ilvl w:val="0"/>
        <w:numId w:val="1"/>
      </w:numPr>
      <w:ind w:firstLine="0"/>
      <w:jc w:val="center"/>
    </w:pPr>
  </w:style>
  <w:style w:type="paragraph" w:customStyle="1" w:styleId="3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41"/>
    <w:basedOn w:val="25"/>
    <w:qFormat/>
    <w:uiPriority w:val="0"/>
    <w:rPr>
      <w:rFonts w:ascii="黑体" w:hAnsi="宋体" w:eastAsia="黑体" w:cs="黑体"/>
      <w:color w:val="000000"/>
      <w:sz w:val="18"/>
      <w:szCs w:val="18"/>
      <w:u w:val="none"/>
    </w:rPr>
  </w:style>
  <w:style w:type="character" w:customStyle="1" w:styleId="38">
    <w:name w:val="font11"/>
    <w:basedOn w:val="25"/>
    <w:qFormat/>
    <w:uiPriority w:val="0"/>
    <w:rPr>
      <w:rFonts w:hint="eastAsia" w:ascii="新宋体" w:hAnsi="新宋体" w:eastAsia="新宋体" w:cs="新宋体"/>
      <w:color w:val="000000"/>
      <w:sz w:val="22"/>
      <w:szCs w:val="22"/>
      <w:u w:val="none"/>
    </w:rPr>
  </w:style>
  <w:style w:type="character" w:customStyle="1" w:styleId="39">
    <w:name w:val="font21"/>
    <w:basedOn w:val="25"/>
    <w:qFormat/>
    <w:uiPriority w:val="0"/>
    <w:rPr>
      <w:rFonts w:ascii="Malgun Gothic" w:hAnsi="Malgun Gothic" w:eastAsia="Malgun Gothic" w:cs="Malgun Gothic"/>
      <w:color w:val="000000"/>
      <w:sz w:val="18"/>
      <w:szCs w:val="18"/>
      <w:u w:val="none"/>
    </w:rPr>
  </w:style>
  <w:style w:type="paragraph" w:customStyle="1" w:styleId="40">
    <w:name w:val="Table Paragraph"/>
    <w:basedOn w:val="1"/>
    <w:qFormat/>
    <w:uiPriority w:val="1"/>
  </w:style>
  <w:style w:type="paragraph" w:customStyle="1" w:styleId="41">
    <w:name w:val="列出段落1"/>
    <w:basedOn w:val="1"/>
    <w:qFormat/>
    <w:uiPriority w:val="0"/>
    <w:pPr>
      <w:ind w:firstLine="420" w:firstLineChars="200"/>
    </w:pPr>
    <w:rPr>
      <w:szCs w:val="21"/>
    </w:rPr>
  </w:style>
  <w:style w:type="character" w:customStyle="1" w:styleId="42">
    <w:name w:val="font81"/>
    <w:basedOn w:val="25"/>
    <w:qFormat/>
    <w:uiPriority w:val="0"/>
    <w:rPr>
      <w:rFonts w:hint="eastAsia" w:ascii="宋体" w:hAnsi="宋体" w:eastAsia="宋体" w:cs="宋体"/>
      <w:color w:val="000000"/>
      <w:sz w:val="18"/>
      <w:szCs w:val="18"/>
      <w:u w:val="none"/>
    </w:rPr>
  </w:style>
  <w:style w:type="character" w:customStyle="1" w:styleId="43">
    <w:name w:val="font71"/>
    <w:basedOn w:val="25"/>
    <w:qFormat/>
    <w:uiPriority w:val="0"/>
    <w:rPr>
      <w:rFonts w:hint="default" w:ascii="宋体-简" w:hAnsi="宋体-简" w:eastAsia="宋体-简" w:cs="宋体-简"/>
      <w:color w:val="000000"/>
      <w:sz w:val="18"/>
      <w:szCs w:val="18"/>
      <w:u w:val="none"/>
    </w:rPr>
  </w:style>
  <w:style w:type="character" w:customStyle="1" w:styleId="44">
    <w:name w:val="font51"/>
    <w:basedOn w:val="25"/>
    <w:qFormat/>
    <w:uiPriority w:val="0"/>
    <w:rPr>
      <w:rFonts w:hint="eastAsia" w:ascii="方正仿宋简体" w:hAnsi="方正仿宋简体" w:eastAsia="方正仿宋简体" w:cs="方正仿宋简体"/>
      <w:color w:val="000000"/>
      <w:sz w:val="20"/>
      <w:szCs w:val="20"/>
      <w:u w:val="none"/>
    </w:rPr>
  </w:style>
  <w:style w:type="character" w:customStyle="1" w:styleId="45">
    <w:name w:val="font91"/>
    <w:basedOn w:val="25"/>
    <w:qFormat/>
    <w:uiPriority w:val="0"/>
    <w:rPr>
      <w:rFonts w:hint="default" w:ascii="Times New Roman" w:hAnsi="Times New Roman" w:cs="Times New Roman"/>
      <w:color w:val="000000"/>
      <w:sz w:val="20"/>
      <w:szCs w:val="20"/>
      <w:u w:val="none"/>
    </w:rPr>
  </w:style>
  <w:style w:type="character" w:customStyle="1" w:styleId="46">
    <w:name w:val="font141"/>
    <w:basedOn w:val="25"/>
    <w:qFormat/>
    <w:uiPriority w:val="0"/>
    <w:rPr>
      <w:rFonts w:ascii="Microsoft YaHei UI" w:hAnsi="Microsoft YaHei UI" w:eastAsia="Microsoft YaHei UI" w:cs="Microsoft YaHei UI"/>
      <w:color w:val="000000"/>
      <w:sz w:val="18"/>
      <w:szCs w:val="18"/>
      <w:u w:val="none"/>
    </w:rPr>
  </w:style>
  <w:style w:type="character" w:customStyle="1" w:styleId="47">
    <w:name w:val="样式 仿宋"/>
    <w:qFormat/>
    <w:uiPriority w:val="0"/>
    <w:rPr>
      <w:rFonts w:ascii="仿宋" w:hAnsi="仿宋" w:eastAsia="仿宋"/>
      <w:kern w:val="1"/>
    </w:rPr>
  </w:style>
  <w:style w:type="paragraph" w:styleId="48">
    <w:name w:val="List Paragraph"/>
    <w:basedOn w:val="1"/>
    <w:qFormat/>
    <w:uiPriority w:val="34"/>
    <w:pPr>
      <w:ind w:firstLine="420" w:firstLineChars="200"/>
    </w:pPr>
  </w:style>
  <w:style w:type="paragraph" w:customStyle="1" w:styleId="49">
    <w:name w:val="列表段落1"/>
    <w:basedOn w:val="1"/>
    <w:qFormat/>
    <w:uiPriority w:val="0"/>
    <w:pPr>
      <w:spacing w:after="120"/>
      <w:ind w:firstLine="420" w:firstLineChars="200"/>
    </w:pPr>
    <w:rPr>
      <w:rFonts w:ascii="Times New Roman" w:hAnsi="Times New Roman" w:eastAsia="宋体" w:cs="Times New Roman"/>
      <w:kern w:val="0"/>
      <w:sz w:val="24"/>
      <w:szCs w:val="24"/>
    </w:rPr>
  </w:style>
  <w:style w:type="paragraph" w:customStyle="1" w:styleId="50">
    <w:name w:val="Table Text"/>
    <w:basedOn w:val="1"/>
    <w:semiHidden/>
    <w:qFormat/>
    <w:uiPriority w:val="0"/>
    <w:rPr>
      <w:rFonts w:ascii="宋体" w:hAnsi="宋体" w:eastAsia="宋体" w:cs="宋体"/>
    </w:rPr>
  </w:style>
  <w:style w:type="paragraph" w:customStyle="1" w:styleId="51">
    <w:name w:val="列出段落4"/>
    <w:basedOn w:val="1"/>
    <w:qFormat/>
    <w:uiPriority w:val="34"/>
    <w:pPr>
      <w:spacing w:line="240" w:lineRule="auto"/>
      <w:ind w:firstLine="420"/>
    </w:pPr>
    <w:rPr>
      <w:rFonts w:ascii="Calibri" w:hAnsi="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46101</Words>
  <Characters>49153</Characters>
  <Lines>0</Lines>
  <Paragraphs>0</Paragraphs>
  <TotalTime>14</TotalTime>
  <ScaleCrop>false</ScaleCrop>
  <LinksUpToDate>false</LinksUpToDate>
  <CharactersWithSpaces>53462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什么情况</cp:lastModifiedBy>
  <dcterms:modified xsi:type="dcterms:W3CDTF">2025-03-11T06:51:20Z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F46F72995D1447C683DC4FBFB269C20A_13</vt:lpwstr>
  </property>
  <property fmtid="{D5CDD505-2E9C-101B-9397-08002B2CF9AE}" pid="4" name="KSOTemplateDocerSaveRecord">
    <vt:lpwstr>eyJoZGlkIjoiZjJiZTVjZTQyZThkMjA0M2U1NmJlZWJjN2IxNDEwNWUiLCJ1c2VySWQiOiIxMTAxMTgwNzk3In0=</vt:lpwstr>
  </property>
</Properties>
</file>