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F7557">
      <w:pPr>
        <w:tabs>
          <w:tab w:val="left" w:pos="315"/>
          <w:tab w:val="left" w:pos="8820"/>
        </w:tabs>
        <w:spacing w:before="240" w:beforeLines="100" w:after="120" w:afterLines="50" w:line="500" w:lineRule="exact"/>
        <w:ind w:right="254" w:rightChars="127"/>
        <w:jc w:val="center"/>
        <w:rPr>
          <w:b/>
          <w:bCs/>
          <w:color w:val="auto"/>
          <w:sz w:val="52"/>
          <w:szCs w:val="52"/>
          <w:highlight w:val="none"/>
          <w:vertAlign w:val="superscript"/>
        </w:rPr>
      </w:pPr>
    </w:p>
    <w:p w14:paraId="50E6F24D">
      <w:pPr>
        <w:tabs>
          <w:tab w:val="left" w:pos="315"/>
          <w:tab w:val="left" w:pos="8820"/>
        </w:tabs>
        <w:spacing w:before="240" w:beforeLines="100" w:after="120" w:afterLines="50" w:line="500" w:lineRule="exact"/>
        <w:ind w:right="254" w:rightChars="127"/>
        <w:jc w:val="center"/>
        <w:rPr>
          <w:b/>
          <w:bCs/>
          <w:color w:val="auto"/>
          <w:sz w:val="52"/>
          <w:szCs w:val="52"/>
          <w:highlight w:val="none"/>
        </w:rPr>
      </w:pPr>
    </w:p>
    <w:p w14:paraId="7AFF744D">
      <w:pPr>
        <w:tabs>
          <w:tab w:val="left" w:pos="315"/>
          <w:tab w:val="left" w:pos="8820"/>
        </w:tabs>
        <w:spacing w:before="240" w:beforeLines="100" w:after="120" w:afterLines="50" w:line="500" w:lineRule="exact"/>
        <w:ind w:right="254" w:rightChars="127"/>
        <w:jc w:val="center"/>
        <w:rPr>
          <w:rFonts w:hint="eastAsia" w:eastAsia="宋体"/>
          <w:b/>
          <w:bCs/>
          <w:color w:val="auto"/>
          <w:sz w:val="52"/>
          <w:szCs w:val="52"/>
          <w:highlight w:val="none"/>
          <w:lang w:eastAsia="zh-CN"/>
        </w:rPr>
      </w:pPr>
      <w:bookmarkStart w:id="0" w:name="_Hlk9544796"/>
      <w:r>
        <w:rPr>
          <w:rFonts w:hint="eastAsia"/>
          <w:b/>
          <w:bCs/>
          <w:color w:val="auto"/>
          <w:sz w:val="52"/>
          <w:szCs w:val="52"/>
          <w:highlight w:val="none"/>
          <w:lang w:val="en-US" w:eastAsia="zh-CN"/>
        </w:rPr>
        <w:t>安徽省</w:t>
      </w:r>
      <w:r>
        <w:rPr>
          <w:rFonts w:hint="eastAsia"/>
          <w:b/>
          <w:bCs/>
          <w:color w:val="auto"/>
          <w:sz w:val="52"/>
          <w:szCs w:val="52"/>
          <w:highlight w:val="none"/>
        </w:rPr>
        <w:t>政府采购</w:t>
      </w:r>
      <w:r>
        <w:rPr>
          <w:rFonts w:hint="eastAsia"/>
          <w:b/>
          <w:bCs/>
          <w:color w:val="auto"/>
          <w:sz w:val="52"/>
          <w:szCs w:val="52"/>
          <w:highlight w:val="none"/>
          <w:lang w:eastAsia="zh-CN"/>
        </w:rPr>
        <w:t>项目</w:t>
      </w:r>
    </w:p>
    <w:p w14:paraId="6AC28F9A">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竞争性谈判文件示范文本（工程类）</w:t>
      </w:r>
    </w:p>
    <w:bookmarkEnd w:id="0"/>
    <w:p w14:paraId="59431F40">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w:t>
      </w:r>
      <w:r>
        <w:rPr>
          <w:rFonts w:hint="eastAsia"/>
          <w:b/>
          <w:bCs/>
          <w:color w:val="auto"/>
          <w:sz w:val="52"/>
          <w:szCs w:val="52"/>
          <w:highlight w:val="none"/>
          <w:lang w:val="en-US" w:eastAsia="zh-CN"/>
        </w:rPr>
        <w:t>2024版本</w:t>
      </w:r>
      <w:r>
        <w:rPr>
          <w:rFonts w:hint="eastAsia"/>
          <w:b/>
          <w:bCs/>
          <w:color w:val="auto"/>
          <w:sz w:val="52"/>
          <w:szCs w:val="52"/>
          <w:highlight w:val="none"/>
        </w:rPr>
        <w:t>）</w:t>
      </w:r>
    </w:p>
    <w:p w14:paraId="5F44558E">
      <w:pPr>
        <w:tabs>
          <w:tab w:val="left" w:pos="315"/>
          <w:tab w:val="left" w:pos="8820"/>
        </w:tabs>
        <w:spacing w:before="240" w:beforeLines="100" w:after="120" w:afterLines="50" w:line="500" w:lineRule="exact"/>
        <w:ind w:right="254" w:rightChars="127"/>
        <w:jc w:val="center"/>
        <w:rPr>
          <w:bCs/>
          <w:color w:val="auto"/>
          <w:sz w:val="44"/>
          <w:szCs w:val="44"/>
          <w:highlight w:val="none"/>
        </w:rPr>
      </w:pPr>
    </w:p>
    <w:p w14:paraId="4F24B8C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1EC4C8CB">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3623E2D9">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4591BCF1">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2243F89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1EB2F1F1">
      <w:pPr>
        <w:tabs>
          <w:tab w:val="left" w:pos="2410"/>
        </w:tabs>
        <w:autoSpaceDE w:val="0"/>
        <w:autoSpaceDN w:val="0"/>
        <w:adjustRightInd w:val="0"/>
        <w:snapToGrid w:val="0"/>
        <w:spacing w:line="360" w:lineRule="auto"/>
        <w:rPr>
          <w:rFonts w:hint="eastAsia"/>
          <w:b/>
          <w:color w:val="auto"/>
          <w:spacing w:val="20"/>
          <w:sz w:val="32"/>
          <w:szCs w:val="32"/>
          <w:highlight w:val="none"/>
          <w:u w:val="single"/>
          <w:lang w:eastAsia="zh-CN"/>
        </w:rPr>
      </w:pPr>
      <w:r>
        <w:rPr>
          <w:rFonts w:hint="eastAsia"/>
          <w:b/>
          <w:color w:val="auto"/>
          <w:spacing w:val="20"/>
          <w:sz w:val="32"/>
          <w:szCs w:val="32"/>
          <w:highlight w:val="none"/>
        </w:rPr>
        <w:t>项目名称：</w:t>
      </w:r>
      <w:r>
        <w:rPr>
          <w:rFonts w:hint="eastAsia"/>
          <w:b/>
          <w:color w:val="auto"/>
          <w:spacing w:val="20"/>
          <w:sz w:val="32"/>
          <w:szCs w:val="32"/>
          <w:highlight w:val="none"/>
          <w:u w:val="single"/>
          <w:lang w:eastAsia="zh-CN"/>
        </w:rPr>
        <w:t>2025年明光市农村公路日常养护工程（小修及日常养护）项目</w:t>
      </w:r>
    </w:p>
    <w:p w14:paraId="06F80648">
      <w:pPr>
        <w:tabs>
          <w:tab w:val="left" w:pos="2410"/>
        </w:tabs>
        <w:autoSpaceDE w:val="0"/>
        <w:autoSpaceDN w:val="0"/>
        <w:adjustRightInd w:val="0"/>
        <w:snapToGrid w:val="0"/>
        <w:spacing w:line="360" w:lineRule="auto"/>
        <w:rPr>
          <w:rFonts w:hint="default" w:eastAsia="宋体"/>
          <w:b/>
          <w:color w:val="FF0000"/>
          <w:spacing w:val="20"/>
          <w:sz w:val="32"/>
          <w:szCs w:val="32"/>
          <w:highlight w:val="none"/>
          <w:lang w:val="en-US" w:eastAsia="zh-CN"/>
        </w:rPr>
      </w:pPr>
      <w:r>
        <w:rPr>
          <w:rFonts w:hint="eastAsia"/>
          <w:b/>
          <w:color w:val="auto"/>
          <w:spacing w:val="20"/>
          <w:sz w:val="32"/>
          <w:szCs w:val="32"/>
          <w:highlight w:val="none"/>
          <w:u w:val="none"/>
        </w:rPr>
        <w:t>项目编号：</w:t>
      </w:r>
      <w:r>
        <w:rPr>
          <w:rFonts w:hint="eastAsia"/>
          <w:b/>
          <w:color w:val="000000" w:themeColor="text1"/>
          <w:spacing w:val="20"/>
          <w:sz w:val="32"/>
          <w:szCs w:val="32"/>
          <w:highlight w:val="none"/>
          <w:u w:val="single"/>
          <w:lang w:val="en-US" w:eastAsia="zh-CN"/>
          <w14:textFill>
            <w14:solidFill>
              <w14:schemeClr w14:val="tx1"/>
            </w14:solidFill>
          </w14:textFill>
        </w:rPr>
        <w:t>czmgcg202503-033</w:t>
      </w:r>
    </w:p>
    <w:p w14:paraId="4B23DB1B">
      <w:pPr>
        <w:tabs>
          <w:tab w:val="left" w:pos="2410"/>
        </w:tabs>
        <w:autoSpaceDE w:val="0"/>
        <w:autoSpaceDN w:val="0"/>
        <w:adjustRightInd w:val="0"/>
        <w:snapToGrid w:val="0"/>
        <w:spacing w:line="360" w:lineRule="auto"/>
        <w:rPr>
          <w:rFonts w:hint="eastAsia"/>
          <w:b/>
          <w:color w:val="auto"/>
          <w:spacing w:val="20"/>
          <w:sz w:val="32"/>
          <w:szCs w:val="32"/>
          <w:highlight w:val="none"/>
          <w:u w:val="single"/>
          <w:lang w:eastAsia="zh-CN"/>
        </w:rPr>
      </w:pPr>
      <w:r>
        <w:rPr>
          <w:rFonts w:hint="eastAsia"/>
          <w:b/>
          <w:color w:val="auto"/>
          <w:spacing w:val="20"/>
          <w:sz w:val="32"/>
          <w:szCs w:val="32"/>
          <w:highlight w:val="none"/>
        </w:rPr>
        <w:t>采 购 人：</w:t>
      </w:r>
      <w:r>
        <w:rPr>
          <w:rFonts w:hint="eastAsia"/>
          <w:b/>
          <w:color w:val="auto"/>
          <w:spacing w:val="20"/>
          <w:sz w:val="32"/>
          <w:szCs w:val="32"/>
          <w:highlight w:val="none"/>
          <w:u w:val="single"/>
          <w:lang w:eastAsia="zh-CN"/>
        </w:rPr>
        <w:t>明光市公路运输管理服务中心</w:t>
      </w:r>
    </w:p>
    <w:p w14:paraId="429F265A">
      <w:pPr>
        <w:tabs>
          <w:tab w:val="left" w:pos="2410"/>
        </w:tabs>
        <w:autoSpaceDE w:val="0"/>
        <w:autoSpaceDN w:val="0"/>
        <w:adjustRightInd w:val="0"/>
        <w:snapToGrid w:val="0"/>
        <w:spacing w:line="360" w:lineRule="auto"/>
        <w:rPr>
          <w:rFonts w:hint="eastAsia" w:ascii="宋体" w:hAnsi="宋体" w:eastAsia="宋体"/>
          <w:b/>
          <w:color w:val="auto"/>
          <w:spacing w:val="20"/>
          <w:sz w:val="32"/>
          <w:szCs w:val="32"/>
          <w:highlight w:val="none"/>
        </w:rPr>
      </w:pPr>
      <w:r>
        <w:rPr>
          <w:rFonts w:hint="eastAsia" w:ascii="宋体" w:hAnsi="宋体" w:eastAsia="宋体"/>
          <w:b/>
          <w:color w:val="auto"/>
          <w:spacing w:val="20"/>
          <w:sz w:val="32"/>
          <w:szCs w:val="32"/>
          <w:highlight w:val="none"/>
        </w:rPr>
        <w:t>采购代理机构：</w:t>
      </w:r>
      <w:r>
        <w:rPr>
          <w:rFonts w:hint="eastAsia" w:ascii="宋体" w:hAnsi="宋体" w:eastAsia="宋体"/>
          <w:b/>
          <w:color w:val="auto"/>
          <w:spacing w:val="20"/>
          <w:sz w:val="32"/>
          <w:szCs w:val="32"/>
          <w:highlight w:val="none"/>
          <w:u w:val="single"/>
          <w:lang w:eastAsia="zh-CN"/>
        </w:rPr>
        <w:t>中技建设咨询有限公司</w:t>
      </w:r>
    </w:p>
    <w:p w14:paraId="381FF676">
      <w:pPr>
        <w:tabs>
          <w:tab w:val="left" w:pos="2410"/>
        </w:tabs>
        <w:autoSpaceDE w:val="0"/>
        <w:autoSpaceDN w:val="0"/>
        <w:adjustRightInd w:val="0"/>
        <w:snapToGrid w:val="0"/>
        <w:spacing w:line="360" w:lineRule="auto"/>
        <w:jc w:val="center"/>
        <w:rPr>
          <w:b/>
          <w:color w:val="auto"/>
          <w:sz w:val="36"/>
          <w:highlight w:val="none"/>
        </w:rPr>
      </w:pPr>
    </w:p>
    <w:p w14:paraId="6CBAE243">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lang w:val="en-US" w:eastAsia="zh-CN"/>
        </w:rPr>
        <w:t>2025</w:t>
      </w:r>
      <w:r>
        <w:rPr>
          <w:rFonts w:hint="eastAsia"/>
          <w:b/>
          <w:color w:val="auto"/>
          <w:sz w:val="36"/>
          <w:highlight w:val="none"/>
        </w:rPr>
        <w:t>年</w:t>
      </w:r>
      <w:r>
        <w:rPr>
          <w:rFonts w:hint="eastAsia"/>
          <w:b/>
          <w:color w:val="auto"/>
          <w:sz w:val="36"/>
          <w:highlight w:val="none"/>
          <w:u w:val="single"/>
          <w:lang w:val="en-US" w:eastAsia="zh-CN"/>
        </w:rPr>
        <w:t>3月</w:t>
      </w:r>
      <w:r>
        <w:rPr>
          <w:b/>
          <w:color w:val="auto"/>
          <w:sz w:val="36"/>
          <w:highlight w:val="none"/>
        </w:rPr>
        <w:br w:type="page"/>
      </w:r>
    </w:p>
    <w:p w14:paraId="25E072F5">
      <w:pPr>
        <w:tabs>
          <w:tab w:val="left" w:pos="2410"/>
        </w:tabs>
        <w:autoSpaceDE w:val="0"/>
        <w:autoSpaceDN w:val="0"/>
        <w:adjustRightInd w:val="0"/>
        <w:snapToGrid w:val="0"/>
        <w:spacing w:line="360" w:lineRule="auto"/>
        <w:jc w:val="center"/>
      </w:pPr>
      <w:r>
        <w:rPr>
          <w:rFonts w:hint="eastAsia"/>
          <w:b/>
          <w:color w:val="auto"/>
          <w:sz w:val="28"/>
          <w:highlight w:val="none"/>
        </w:rPr>
        <w:t>目  录</w:t>
      </w:r>
    </w:p>
    <w:p w14:paraId="7C9CD7D7">
      <w:pPr>
        <w:tabs>
          <w:tab w:val="left" w:pos="2410"/>
        </w:tabs>
        <w:autoSpaceDE w:val="0"/>
        <w:autoSpaceDN w:val="0"/>
        <w:adjustRightInd w:val="0"/>
        <w:snapToGrid w:val="0"/>
        <w:spacing w:line="360" w:lineRule="auto"/>
        <w:jc w:val="center"/>
        <w:rPr>
          <w:b/>
          <w:color w:val="auto"/>
          <w:sz w:val="28"/>
          <w:highlight w:val="none"/>
        </w:rPr>
      </w:pPr>
    </w:p>
    <w:p w14:paraId="584AFC53">
      <w:pPr>
        <w:pStyle w:val="36"/>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_Toc12523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 xml:space="preserve">第一章 </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谈判邀请</w:t>
      </w:r>
      <w:r>
        <w:rPr>
          <w:color w:val="auto"/>
          <w:highlight w:val="none"/>
        </w:rPr>
        <w:tab/>
      </w:r>
      <w:r>
        <w:rPr>
          <w:color w:val="auto"/>
          <w:highlight w:val="none"/>
        </w:rPr>
        <w:fldChar w:fldCharType="begin"/>
      </w:r>
      <w:r>
        <w:rPr>
          <w:color w:val="auto"/>
          <w:highlight w:val="none"/>
        </w:rPr>
        <w:instrText xml:space="preserve"> PAGEREF _Toc12523 \h </w:instrText>
      </w:r>
      <w:r>
        <w:rPr>
          <w:color w:val="auto"/>
          <w:highlight w:val="none"/>
        </w:rPr>
        <w:fldChar w:fldCharType="separate"/>
      </w:r>
      <w:r>
        <w:rPr>
          <w:color w:val="auto"/>
          <w:highlight w:val="none"/>
        </w:rPr>
        <w:t>1</w:t>
      </w:r>
      <w:r>
        <w:rPr>
          <w:color w:val="auto"/>
          <w:highlight w:val="none"/>
        </w:rPr>
        <w:fldChar w:fldCharType="end"/>
      </w:r>
      <w:r>
        <w:rPr>
          <w:rFonts w:asciiTheme="minorEastAsia" w:hAnsiTheme="minorEastAsia"/>
          <w:bCs/>
          <w:color w:val="auto"/>
          <w:szCs w:val="24"/>
          <w:highlight w:val="none"/>
        </w:rPr>
        <w:fldChar w:fldCharType="end"/>
      </w:r>
    </w:p>
    <w:p w14:paraId="35E4AD0F">
      <w:pPr>
        <w:pStyle w:val="36"/>
        <w:tabs>
          <w:tab w:val="right" w:leader="dot" w:pos="8279"/>
        </w:tabs>
        <w:rPr>
          <w:color w:val="auto"/>
          <w:highlight w:val="none"/>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_Toc32399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第二章</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 xml:space="preserve"> 供应商</w:t>
      </w:r>
      <w:r>
        <w:rPr>
          <w:rFonts w:asciiTheme="minorEastAsia" w:hAnsiTheme="minorEastAsia" w:eastAsiaTheme="minorEastAsia"/>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_Toc32399 \h </w:instrText>
      </w:r>
      <w:r>
        <w:rPr>
          <w:color w:val="auto"/>
          <w:highlight w:val="none"/>
        </w:rPr>
        <w:fldChar w:fldCharType="separate"/>
      </w:r>
      <w:r>
        <w:rPr>
          <w:color w:val="auto"/>
          <w:highlight w:val="none"/>
        </w:rPr>
        <w:t>7</w:t>
      </w:r>
      <w:r>
        <w:rPr>
          <w:color w:val="auto"/>
          <w:highlight w:val="none"/>
        </w:rPr>
        <w:fldChar w:fldCharType="end"/>
      </w:r>
      <w:r>
        <w:rPr>
          <w:rFonts w:asciiTheme="minorEastAsia" w:hAnsiTheme="minorEastAsia"/>
          <w:bCs/>
          <w:color w:val="auto"/>
          <w:szCs w:val="24"/>
          <w:highlight w:val="none"/>
        </w:rPr>
        <w:fldChar w:fldCharType="end"/>
      </w:r>
    </w:p>
    <w:p w14:paraId="361E0EAA">
      <w:pPr>
        <w:pStyle w:val="36"/>
        <w:tabs>
          <w:tab w:val="right" w:leader="dot" w:pos="8279"/>
        </w:tabs>
        <w:rPr>
          <w:color w:val="auto"/>
          <w:highlight w:val="none"/>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_Toc6146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_Toc6146 \h </w:instrText>
      </w:r>
      <w:r>
        <w:rPr>
          <w:color w:val="auto"/>
          <w:highlight w:val="none"/>
        </w:rPr>
        <w:fldChar w:fldCharType="separate"/>
      </w:r>
      <w:r>
        <w:rPr>
          <w:color w:val="auto"/>
          <w:highlight w:val="none"/>
        </w:rPr>
        <w:t>26</w:t>
      </w:r>
      <w:r>
        <w:rPr>
          <w:color w:val="auto"/>
          <w:highlight w:val="none"/>
        </w:rPr>
        <w:fldChar w:fldCharType="end"/>
      </w:r>
      <w:r>
        <w:rPr>
          <w:rFonts w:asciiTheme="minorEastAsia" w:hAnsiTheme="minorEastAsia"/>
          <w:bCs/>
          <w:color w:val="auto"/>
          <w:szCs w:val="24"/>
          <w:highlight w:val="none"/>
        </w:rPr>
        <w:fldChar w:fldCharType="end"/>
      </w:r>
    </w:p>
    <w:p w14:paraId="424C632F">
      <w:pPr>
        <w:pStyle w:val="36"/>
        <w:tabs>
          <w:tab w:val="right" w:leader="dot" w:pos="8279"/>
        </w:tabs>
        <w:rPr>
          <w:color w:val="auto"/>
          <w:highlight w:val="none"/>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_Toc28266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第四章  评审方法和标准</w:t>
      </w:r>
      <w:r>
        <w:rPr>
          <w:color w:val="auto"/>
          <w:highlight w:val="none"/>
        </w:rPr>
        <w:tab/>
      </w:r>
      <w:r>
        <w:rPr>
          <w:color w:val="auto"/>
          <w:highlight w:val="none"/>
        </w:rPr>
        <w:fldChar w:fldCharType="begin"/>
      </w:r>
      <w:r>
        <w:rPr>
          <w:color w:val="auto"/>
          <w:highlight w:val="none"/>
        </w:rPr>
        <w:instrText xml:space="preserve"> PAGEREF _Toc28266 \h </w:instrText>
      </w:r>
      <w:r>
        <w:rPr>
          <w:color w:val="auto"/>
          <w:highlight w:val="none"/>
        </w:rPr>
        <w:fldChar w:fldCharType="separate"/>
      </w:r>
      <w:r>
        <w:rPr>
          <w:color w:val="auto"/>
          <w:highlight w:val="none"/>
        </w:rPr>
        <w:t>27</w:t>
      </w:r>
      <w:r>
        <w:rPr>
          <w:color w:val="auto"/>
          <w:highlight w:val="none"/>
        </w:rPr>
        <w:fldChar w:fldCharType="end"/>
      </w:r>
      <w:r>
        <w:rPr>
          <w:rFonts w:asciiTheme="minorEastAsia" w:hAnsiTheme="minorEastAsia"/>
          <w:bCs/>
          <w:color w:val="auto"/>
          <w:szCs w:val="24"/>
          <w:highlight w:val="none"/>
        </w:rPr>
        <w:fldChar w:fldCharType="end"/>
      </w:r>
    </w:p>
    <w:p w14:paraId="21FF6317">
      <w:pPr>
        <w:pStyle w:val="36"/>
        <w:tabs>
          <w:tab w:val="right" w:leader="dot" w:pos="8279"/>
        </w:tabs>
        <w:rPr>
          <w:color w:val="auto"/>
          <w:highlight w:val="none"/>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_Toc32646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 xml:space="preserve">第五章  </w:t>
      </w:r>
      <w:r>
        <w:rPr>
          <w:rFonts w:asciiTheme="minorEastAsia" w:hAnsiTheme="minorEastAsia" w:eastAsiaTheme="minorEastAsia"/>
          <w:color w:val="auto"/>
          <w:highlight w:val="none"/>
        </w:rPr>
        <w:t>政府采购合同</w:t>
      </w:r>
      <w:r>
        <w:rPr>
          <w:color w:val="auto"/>
          <w:highlight w:val="none"/>
        </w:rPr>
        <w:tab/>
      </w:r>
      <w:r>
        <w:rPr>
          <w:color w:val="auto"/>
          <w:highlight w:val="none"/>
        </w:rPr>
        <w:fldChar w:fldCharType="begin"/>
      </w:r>
      <w:r>
        <w:rPr>
          <w:color w:val="auto"/>
          <w:highlight w:val="none"/>
        </w:rPr>
        <w:instrText xml:space="preserve"> PAGEREF _Toc32646 \h </w:instrText>
      </w:r>
      <w:r>
        <w:rPr>
          <w:color w:val="auto"/>
          <w:highlight w:val="none"/>
        </w:rPr>
        <w:fldChar w:fldCharType="separate"/>
      </w:r>
      <w:r>
        <w:rPr>
          <w:color w:val="auto"/>
          <w:highlight w:val="none"/>
        </w:rPr>
        <w:t>30</w:t>
      </w:r>
      <w:r>
        <w:rPr>
          <w:color w:val="auto"/>
          <w:highlight w:val="none"/>
        </w:rPr>
        <w:fldChar w:fldCharType="end"/>
      </w:r>
      <w:r>
        <w:rPr>
          <w:rFonts w:asciiTheme="minorEastAsia" w:hAnsiTheme="minorEastAsia"/>
          <w:bCs/>
          <w:color w:val="auto"/>
          <w:szCs w:val="24"/>
          <w:highlight w:val="none"/>
        </w:rPr>
        <w:fldChar w:fldCharType="end"/>
      </w:r>
    </w:p>
    <w:p w14:paraId="751D617B">
      <w:pPr>
        <w:pStyle w:val="36"/>
        <w:tabs>
          <w:tab w:val="right" w:leader="dot" w:pos="8279"/>
        </w:tabs>
        <w:rPr>
          <w:color w:val="auto"/>
          <w:highlight w:val="none"/>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_Toc16770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_Toc16770 \h </w:instrText>
      </w:r>
      <w:r>
        <w:rPr>
          <w:color w:val="auto"/>
          <w:highlight w:val="none"/>
        </w:rPr>
        <w:fldChar w:fldCharType="separate"/>
      </w:r>
      <w:r>
        <w:rPr>
          <w:color w:val="auto"/>
          <w:highlight w:val="none"/>
        </w:rPr>
        <w:t>87</w:t>
      </w:r>
      <w:r>
        <w:rPr>
          <w:color w:val="auto"/>
          <w:highlight w:val="none"/>
        </w:rPr>
        <w:fldChar w:fldCharType="end"/>
      </w:r>
      <w:r>
        <w:rPr>
          <w:rFonts w:asciiTheme="minorEastAsia" w:hAnsiTheme="minorEastAsia"/>
          <w:bCs/>
          <w:color w:val="auto"/>
          <w:szCs w:val="24"/>
          <w:highlight w:val="none"/>
        </w:rPr>
        <w:fldChar w:fldCharType="end"/>
      </w:r>
    </w:p>
    <w:p w14:paraId="17E78872">
      <w:pPr>
        <w:pStyle w:val="36"/>
        <w:tabs>
          <w:tab w:val="right" w:leader="dot" w:pos="8279"/>
        </w:tabs>
        <w:rPr>
          <w:color w:val="auto"/>
          <w:highlight w:val="none"/>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_Toc25478 </w:instrText>
      </w:r>
      <w:r>
        <w:rPr>
          <w:rFonts w:asciiTheme="minorEastAsia" w:hAnsiTheme="minorEastAsia"/>
          <w:bCs/>
          <w:color w:val="auto"/>
          <w:szCs w:val="24"/>
          <w:highlight w:val="none"/>
        </w:rPr>
        <w:fldChar w:fldCharType="separate"/>
      </w:r>
      <w:r>
        <w:rPr>
          <w:rFonts w:hint="eastAsia"/>
          <w:bCs/>
          <w:color w:val="auto"/>
          <w:highlight w:val="none"/>
        </w:rPr>
        <w:t>第</w:t>
      </w:r>
      <w:r>
        <w:rPr>
          <w:rFonts w:hint="eastAsia"/>
          <w:bCs/>
          <w:color w:val="auto"/>
          <w:highlight w:val="none"/>
          <w:lang w:val="en-US" w:eastAsia="zh-CN"/>
        </w:rPr>
        <w:t>七</w:t>
      </w:r>
      <w:r>
        <w:rPr>
          <w:rFonts w:hint="eastAsia"/>
          <w:bCs/>
          <w:color w:val="auto"/>
          <w:highlight w:val="none"/>
        </w:rPr>
        <w:t>章  政府采购</w:t>
      </w:r>
      <w:r>
        <w:rPr>
          <w:rFonts w:hint="eastAsia" w:asciiTheme="minorEastAsia" w:hAnsiTheme="minorEastAsia" w:eastAsiaTheme="minorEastAsia"/>
          <w:color w:val="auto"/>
          <w:highlight w:val="none"/>
        </w:rPr>
        <w:t>供应</w:t>
      </w:r>
      <w:r>
        <w:rPr>
          <w:rFonts w:hint="eastAsia"/>
          <w:bCs/>
          <w:color w:val="auto"/>
          <w:highlight w:val="none"/>
        </w:rPr>
        <w:t>商询问函和质疑函范本</w:t>
      </w:r>
      <w:r>
        <w:rPr>
          <w:color w:val="auto"/>
          <w:highlight w:val="none"/>
        </w:rPr>
        <w:tab/>
      </w:r>
      <w:r>
        <w:rPr>
          <w:color w:val="auto"/>
          <w:highlight w:val="none"/>
        </w:rPr>
        <w:fldChar w:fldCharType="begin"/>
      </w:r>
      <w:r>
        <w:rPr>
          <w:color w:val="auto"/>
          <w:highlight w:val="none"/>
        </w:rPr>
        <w:instrText xml:space="preserve"> PAGEREF _Toc25478 \h </w:instrText>
      </w:r>
      <w:r>
        <w:rPr>
          <w:color w:val="auto"/>
          <w:highlight w:val="none"/>
        </w:rPr>
        <w:fldChar w:fldCharType="separate"/>
      </w:r>
      <w:r>
        <w:rPr>
          <w:color w:val="auto"/>
          <w:highlight w:val="none"/>
        </w:rPr>
        <w:t>103</w:t>
      </w:r>
      <w:r>
        <w:rPr>
          <w:color w:val="auto"/>
          <w:highlight w:val="none"/>
        </w:rPr>
        <w:fldChar w:fldCharType="end"/>
      </w:r>
      <w:r>
        <w:rPr>
          <w:rFonts w:asciiTheme="minorEastAsia" w:hAnsiTheme="minorEastAsia"/>
          <w:bCs/>
          <w:color w:val="auto"/>
          <w:szCs w:val="24"/>
          <w:highlight w:val="none"/>
        </w:rPr>
        <w:fldChar w:fldCharType="end"/>
      </w:r>
    </w:p>
    <w:p w14:paraId="203EEFC1">
      <w:pPr>
        <w:pStyle w:val="46"/>
        <w:tabs>
          <w:tab w:val="right" w:leader="dot" w:pos="8296"/>
        </w:tabs>
        <w:rPr>
          <w:rFonts w:asciiTheme="minorEastAsia" w:hAnsiTheme="minorEastAsia"/>
          <w:b/>
          <w:color w:val="auto"/>
          <w:sz w:val="32"/>
          <w:highlight w:val="none"/>
        </w:rPr>
      </w:pPr>
      <w:r>
        <w:rPr>
          <w:rFonts w:asciiTheme="minorEastAsia" w:hAnsiTheme="minorEastAsia"/>
          <w:bCs/>
          <w:color w:val="auto"/>
          <w:szCs w:val="24"/>
          <w:highlight w:val="none"/>
        </w:rPr>
        <w:fldChar w:fldCharType="end"/>
      </w:r>
    </w:p>
    <w:p w14:paraId="5A169B1E">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27EE3067">
      <w:pPr>
        <w:spacing w:line="360" w:lineRule="auto"/>
        <w:jc w:val="center"/>
        <w:outlineLvl w:val="0"/>
        <w:rPr>
          <w:rFonts w:asciiTheme="minorEastAsia" w:hAnsiTheme="minorEastAsia" w:eastAsiaTheme="minorEastAsia"/>
          <w:b/>
          <w:color w:val="auto"/>
          <w:sz w:val="28"/>
          <w:highlight w:val="none"/>
        </w:rPr>
      </w:pPr>
      <w:bookmarkStart w:id="1" w:name="_Toc1252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谈判邀请</w:t>
      </w:r>
      <w:bookmarkEnd w:id="1"/>
    </w:p>
    <w:p w14:paraId="2B3E54BC">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rPr>
      </w:pPr>
      <w:bookmarkStart w:id="2" w:name="_Toc35393629"/>
      <w:bookmarkStart w:id="3" w:name="_Toc28359012"/>
      <w:bookmarkStart w:id="4" w:name="_Toc35393798"/>
      <w:bookmarkStart w:id="5" w:name="_Toc28359089"/>
      <w:bookmarkStart w:id="6" w:name="_Toc7722"/>
      <w:bookmarkStart w:id="7" w:name="_Toc32298"/>
      <w:r>
        <w:rPr>
          <w:rFonts w:hint="eastAsia" w:ascii="仿宋" w:hAnsi="仿宋" w:eastAsia="仿宋"/>
          <w:color w:val="auto"/>
          <w:sz w:val="28"/>
          <w:szCs w:val="28"/>
          <w:highlight w:val="none"/>
        </w:rPr>
        <w:t>项目概况</w:t>
      </w:r>
    </w:p>
    <w:p w14:paraId="4E0F929E">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2025年明光市农村公路日常养护工程（小修及日常养护）项目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u w:val="single"/>
        </w:rPr>
        <w:t>滁州市公共资源交易中心网（http：//ggzy.chuzhou.gov.cn/）</w:t>
      </w:r>
      <w:r>
        <w:rPr>
          <w:rFonts w:hint="eastAsia" w:ascii="仿宋" w:hAnsi="仿宋" w:eastAsia="仿宋"/>
          <w:color w:val="auto"/>
          <w:sz w:val="28"/>
          <w:szCs w:val="28"/>
          <w:highlight w:val="none"/>
        </w:rPr>
        <w:t>获取采购文件，并于</w:t>
      </w:r>
      <w:r>
        <w:rPr>
          <w:rFonts w:hint="eastAsia" w:ascii="仿宋" w:hAnsi="仿宋" w:eastAsia="仿宋"/>
          <w:color w:val="000000" w:themeColor="text1"/>
          <w:sz w:val="28"/>
          <w:szCs w:val="28"/>
          <w:highlight w:val="none"/>
          <w:u w:val="single"/>
          <w:lang w:eastAsia="zh-CN"/>
          <w14:textFill>
            <w14:solidFill>
              <w14:schemeClr w14:val="tx1"/>
            </w14:solidFill>
          </w14:textFill>
        </w:rPr>
        <w:t>2025年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0</w:t>
      </w:r>
      <w:r>
        <w:rPr>
          <w:rFonts w:hint="eastAsia" w:ascii="仿宋" w:hAnsi="仿宋" w:eastAsia="仿宋"/>
          <w:color w:val="000000" w:themeColor="text1"/>
          <w:sz w:val="28"/>
          <w:szCs w:val="28"/>
          <w:highlight w:val="none"/>
          <w:u w:val="single"/>
          <w:lang w:eastAsia="zh-CN"/>
          <w14:textFill>
            <w14:solidFill>
              <w14:schemeClr w14:val="tx1"/>
            </w14:solidFill>
          </w14:textFill>
        </w:rPr>
        <w:t>4月</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0</w:t>
      </w:r>
      <w:r>
        <w:rPr>
          <w:rFonts w:hint="eastAsia" w:ascii="仿宋" w:hAnsi="仿宋" w:eastAsia="仿宋"/>
          <w:color w:val="000000" w:themeColor="text1"/>
          <w:sz w:val="28"/>
          <w:szCs w:val="28"/>
          <w:highlight w:val="none"/>
          <w:u w:val="single"/>
          <w:lang w:eastAsia="zh-CN"/>
          <w14:textFill>
            <w14:solidFill>
              <w14:schemeClr w14:val="tx1"/>
            </w14:solidFill>
          </w14:textFill>
        </w:rPr>
        <w:t>3日</w:t>
      </w:r>
      <w:r>
        <w:rPr>
          <w:rFonts w:hint="eastAsia" w:ascii="仿宋" w:hAnsi="仿宋" w:eastAsia="仿宋"/>
          <w:color w:val="000000" w:themeColor="text1"/>
          <w:sz w:val="28"/>
          <w:szCs w:val="28"/>
          <w:highlight w:val="none"/>
          <w:u w:val="single"/>
          <w14:textFill>
            <w14:solidFill>
              <w14:schemeClr w14:val="tx1"/>
            </w14:solidFill>
          </w14:textFill>
        </w:rPr>
        <w:t>08点00分</w:t>
      </w:r>
      <w:r>
        <w:rPr>
          <w:rFonts w:hint="eastAsia" w:ascii="仿宋" w:hAnsi="仿宋" w:eastAsia="仿宋"/>
          <w:color w:val="000000" w:themeColor="text1"/>
          <w:sz w:val="28"/>
          <w:szCs w:val="28"/>
          <w:highlight w:val="none"/>
          <w14:textFill>
            <w14:solidFill>
              <w14:schemeClr w14:val="tx1"/>
            </w14:solidFill>
          </w14:textFill>
        </w:rPr>
        <w:t>（北</w:t>
      </w:r>
      <w:r>
        <w:rPr>
          <w:rFonts w:hint="eastAsia" w:ascii="仿宋" w:hAnsi="仿宋" w:eastAsia="仿宋"/>
          <w:color w:val="auto"/>
          <w:sz w:val="28"/>
          <w:szCs w:val="28"/>
          <w:highlight w:val="none"/>
        </w:rPr>
        <w:t>京时间）前递交响应文件。</w:t>
      </w:r>
    </w:p>
    <w:p w14:paraId="2099B6BD">
      <w:pPr>
        <w:keepNext w:val="0"/>
        <w:keepLines w:val="0"/>
        <w:pageBreakBefore w:val="0"/>
        <w:kinsoku/>
        <w:wordWrap/>
        <w:overflowPunct/>
        <w:topLinePunct w:val="0"/>
        <w:autoSpaceDE/>
        <w:autoSpaceDN/>
        <w:bidi w:val="0"/>
        <w:adjustRightInd/>
        <w:snapToGrid/>
        <w:spacing w:before="260" w:after="260"/>
        <w:textAlignment w:val="auto"/>
        <w:outlineLvl w:val="9"/>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一、项目基本情况</w:t>
      </w:r>
      <w:bookmarkEnd w:id="2"/>
      <w:bookmarkEnd w:id="3"/>
      <w:bookmarkEnd w:id="4"/>
      <w:bookmarkEnd w:id="5"/>
    </w:p>
    <w:p w14:paraId="55F3FB10">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auto"/>
          <w:sz w:val="28"/>
          <w:szCs w:val="28"/>
          <w:highlight w:val="none"/>
        </w:rPr>
        <w:t>项目编号：</w:t>
      </w:r>
      <w:r>
        <w:rPr>
          <w:rFonts w:hint="eastAsia" w:ascii="仿宋" w:hAnsi="仿宋" w:eastAsia="仿宋"/>
          <w:color w:val="000000" w:themeColor="text1"/>
          <w:sz w:val="28"/>
          <w:szCs w:val="28"/>
          <w:highlight w:val="none"/>
          <w:lang w:eastAsia="zh-CN"/>
          <w14:textFill>
            <w14:solidFill>
              <w14:schemeClr w14:val="tx1"/>
            </w14:solidFill>
          </w14:textFill>
        </w:rPr>
        <w:t>czmgcg202503-033</w:t>
      </w:r>
      <w:r>
        <w:rPr>
          <w:rFonts w:hint="eastAsia"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C00000"/>
          <w:sz w:val="28"/>
          <w:szCs w:val="28"/>
          <w:highlight w:val="none"/>
        </w:rPr>
        <w:t xml:space="preserve"> </w:t>
      </w:r>
    </w:p>
    <w:p w14:paraId="0C9F7D38">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2025年明光市农村公路日常养护工程（小修及日常养护）项目</w:t>
      </w:r>
    </w:p>
    <w:p w14:paraId="53217240">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采购方式：竞争性谈判</w:t>
      </w:r>
    </w:p>
    <w:p w14:paraId="5AE4AF9C">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3815000.00元</w:t>
      </w:r>
    </w:p>
    <w:p w14:paraId="5679A06E">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auto"/>
          <w:sz w:val="28"/>
          <w:szCs w:val="28"/>
          <w:highlight w:val="none"/>
          <w:lang w:eastAsia="zh-CN"/>
        </w:rPr>
        <w:t>最高限价：</w:t>
      </w:r>
      <w:r>
        <w:rPr>
          <w:rFonts w:hint="eastAsia" w:ascii="仿宋" w:hAnsi="仿宋" w:eastAsia="仿宋"/>
          <w:color w:val="000000" w:themeColor="text1"/>
          <w:sz w:val="28"/>
          <w:szCs w:val="28"/>
          <w:highlight w:val="none"/>
          <w:lang w:val="en-US" w:eastAsia="zh-CN"/>
          <w14:textFill>
            <w14:solidFill>
              <w14:schemeClr w14:val="tx1"/>
            </w14:solidFill>
          </w14:textFill>
        </w:rPr>
        <w:t>3814461.93</w:t>
      </w:r>
      <w:r>
        <w:rPr>
          <w:rFonts w:hint="eastAsia" w:ascii="仿宋" w:hAnsi="仿宋" w:eastAsia="仿宋"/>
          <w:color w:val="000000" w:themeColor="text1"/>
          <w:sz w:val="28"/>
          <w:szCs w:val="28"/>
          <w:highlight w:val="none"/>
          <w14:textFill>
            <w14:solidFill>
              <w14:schemeClr w14:val="tx1"/>
            </w14:solidFill>
          </w14:textFill>
        </w:rPr>
        <w:t>元</w:t>
      </w:r>
    </w:p>
    <w:p w14:paraId="6E648DF1">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采购需求：2025年明光市农村公路日常养护工程（小修及日常养护）项目</w:t>
      </w:r>
      <w:r>
        <w:rPr>
          <w:rFonts w:hint="eastAsia" w:ascii="仿宋" w:hAnsi="仿宋" w:eastAsia="仿宋"/>
          <w:color w:val="auto"/>
          <w:sz w:val="28"/>
          <w:szCs w:val="28"/>
          <w:highlight w:val="none"/>
          <w:lang w:val="en-US" w:eastAsia="zh-CN"/>
        </w:rPr>
        <w:t>主要内容包括但不限于</w:t>
      </w:r>
      <w:r>
        <w:rPr>
          <w:rFonts w:hint="eastAsia" w:ascii="仿宋" w:hAnsi="仿宋" w:eastAsia="仿宋"/>
          <w:color w:val="auto"/>
          <w:sz w:val="28"/>
          <w:szCs w:val="28"/>
          <w:highlight w:val="none"/>
          <w:lang w:eastAsia="zh-CN"/>
        </w:rPr>
        <w:t xml:space="preserve">修复路面坑槽、完善和修复公路附属设施、修复路肩和修复损毁桥涵等。 </w:t>
      </w:r>
    </w:p>
    <w:p w14:paraId="642437A5">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s="Times New Roman"/>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s="Times New Roman"/>
          <w:color w:val="auto"/>
          <w:sz w:val="28"/>
          <w:szCs w:val="28"/>
          <w:highlight w:val="none"/>
          <w:lang w:val="en-US" w:eastAsia="zh-CN"/>
        </w:rPr>
        <w:t>90日历天</w:t>
      </w:r>
    </w:p>
    <w:p w14:paraId="71D5384D">
      <w:pPr>
        <w:keepNext w:val="0"/>
        <w:keepLines w:val="0"/>
        <w:pageBreakBefore w:val="0"/>
        <w:kinsoku/>
        <w:wordWrap/>
        <w:overflowPunct/>
        <w:topLinePunct w:val="0"/>
        <w:autoSpaceDE/>
        <w:autoSpaceDN/>
        <w:bidi w:val="0"/>
        <w:adjustRightInd/>
        <w:snapToGrid/>
        <w:ind w:firstLine="560" w:firstLineChars="200"/>
        <w:textAlignment w:val="auto"/>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2C779E4E">
      <w:pPr>
        <w:keepNext w:val="0"/>
        <w:keepLines w:val="0"/>
        <w:pageBreakBefore w:val="0"/>
        <w:kinsoku/>
        <w:wordWrap/>
        <w:overflowPunct/>
        <w:topLinePunct w:val="0"/>
        <w:autoSpaceDE/>
        <w:autoSpaceDN/>
        <w:bidi w:val="0"/>
        <w:adjustRightInd/>
        <w:snapToGrid/>
        <w:spacing w:before="260" w:after="260"/>
        <w:textAlignment w:val="auto"/>
        <w:outlineLvl w:val="9"/>
        <w:rPr>
          <w:rFonts w:hint="eastAsia" w:ascii="黑体" w:hAnsi="黑体" w:eastAsia="黑体"/>
          <w:color w:val="auto"/>
          <w:sz w:val="28"/>
          <w:szCs w:val="28"/>
          <w:highlight w:val="none"/>
        </w:rPr>
      </w:pPr>
      <w:bookmarkStart w:id="8" w:name="_Toc28359013"/>
      <w:bookmarkStart w:id="9" w:name="_Toc28359090"/>
      <w:bookmarkStart w:id="10" w:name="_Toc35393630"/>
      <w:bookmarkStart w:id="11" w:name="_Toc35393799"/>
      <w:r>
        <w:rPr>
          <w:rFonts w:hint="eastAsia" w:ascii="黑体" w:hAnsi="黑体" w:eastAsia="黑体"/>
          <w:color w:val="auto"/>
          <w:sz w:val="28"/>
          <w:szCs w:val="28"/>
          <w:highlight w:val="none"/>
        </w:rPr>
        <w:t>二、申请人的资格要求</w:t>
      </w:r>
      <w:bookmarkEnd w:id="8"/>
      <w:bookmarkEnd w:id="9"/>
      <w:bookmarkEnd w:id="10"/>
      <w:bookmarkEnd w:id="11"/>
    </w:p>
    <w:p w14:paraId="42C4CDCB">
      <w:pPr>
        <w:keepNext w:val="0"/>
        <w:keepLines w:val="0"/>
        <w:pageBreakBefore w:val="0"/>
        <w:kinsoku/>
        <w:wordWrap/>
        <w:overflowPunct/>
        <w:topLinePunct w:val="0"/>
        <w:autoSpaceDE/>
        <w:autoSpaceDN/>
        <w:bidi w:val="0"/>
        <w:adjustRightInd/>
        <w:snapToGrid/>
        <w:ind w:firstLine="560" w:firstLineChars="200"/>
        <w:textAlignment w:val="auto"/>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14:paraId="53C512F4">
      <w:pPr>
        <w:keepNext w:val="0"/>
        <w:keepLines w:val="0"/>
        <w:pageBreakBefore w:val="0"/>
        <w:kinsoku/>
        <w:wordWrap/>
        <w:overflowPunct/>
        <w:topLinePunct w:val="0"/>
        <w:autoSpaceDE/>
        <w:autoSpaceDN/>
        <w:bidi w:val="0"/>
        <w:adjustRightInd/>
        <w:snapToGrid/>
        <w:ind w:firstLine="560" w:firstLineChars="200"/>
        <w:textAlignment w:val="auto"/>
        <w:outlineLvl w:val="9"/>
        <w:rPr>
          <w:rFonts w:ascii="仿宋" w:hAnsi="仿宋" w:eastAsia="仿宋"/>
          <w:color w:val="auto"/>
          <w:sz w:val="28"/>
          <w:szCs w:val="28"/>
          <w:highlight w:val="none"/>
        </w:rPr>
      </w:pPr>
      <w:bookmarkStart w:id="12" w:name="_Toc28359091"/>
      <w:bookmarkStart w:id="13" w:name="_Toc28359014"/>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bookmarkStart w:id="14" w:name="OLE_LINK7"/>
      <w:bookmarkStart w:id="15" w:name="OLE_LINK6"/>
      <w:r>
        <w:rPr>
          <w:rFonts w:hint="eastAsia" w:ascii="仿宋" w:hAnsi="仿宋" w:eastAsia="仿宋"/>
          <w:color w:val="auto"/>
          <w:sz w:val="28"/>
          <w:szCs w:val="28"/>
          <w:highlight w:val="none"/>
        </w:rPr>
        <w:t>按照财政部、工业和信息化部制定的《政府采购促进中小企业发展管理办法》，本项目为专门面向中小企业采购项目。企业划型标准按照《关于印发中小企业划型标准规定的通知》（工信部联企业〔2011〕300号）规定执行</w:t>
      </w:r>
      <w:bookmarkEnd w:id="14"/>
      <w:bookmarkEnd w:id="15"/>
      <w:r>
        <w:rPr>
          <w:rFonts w:hint="eastAsia" w:ascii="仿宋" w:hAnsi="仿宋" w:eastAsia="仿宋"/>
          <w:color w:val="auto"/>
          <w:sz w:val="28"/>
          <w:szCs w:val="28"/>
          <w:highlight w:val="none"/>
        </w:rPr>
        <w:t>；</w:t>
      </w:r>
    </w:p>
    <w:p w14:paraId="68C5AB86">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3.本项目的特定资格要求：</w:t>
      </w:r>
      <w:bookmarkStart w:id="16" w:name="_Toc35393800"/>
      <w:bookmarkStart w:id="17" w:name="_Toc35393631"/>
    </w:p>
    <w:p w14:paraId="76459918">
      <w:pPr>
        <w:widowControl/>
        <w:ind w:firstLine="560" w:firstLineChars="200"/>
        <w:jc w:val="left"/>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①具有公路工程施工总承包叁级及以上资质，并具有有效期内的安全生产许可证；</w:t>
      </w:r>
    </w:p>
    <w:p w14:paraId="36EEC9D5">
      <w:pPr>
        <w:widowControl/>
        <w:ind w:firstLine="560" w:firstLineChars="200"/>
        <w:jc w:val="left"/>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②项目负责人</w:t>
      </w:r>
      <w:r>
        <w:rPr>
          <w:rFonts w:hint="eastAsia" w:ascii="仿宋" w:hAnsi="仿宋" w:eastAsia="仿宋"/>
          <w:color w:val="000000"/>
          <w:sz w:val="28"/>
          <w:szCs w:val="28"/>
          <w:lang w:val="en-US" w:eastAsia="zh-CN"/>
        </w:rPr>
        <w:t>须</w:t>
      </w:r>
      <w:r>
        <w:rPr>
          <w:rFonts w:hint="eastAsia" w:ascii="仿宋" w:hAnsi="仿宋" w:eastAsia="仿宋"/>
          <w:color w:val="000000"/>
          <w:sz w:val="28"/>
          <w:szCs w:val="28"/>
          <w:lang w:eastAsia="zh-CN"/>
        </w:rPr>
        <w:t>具有公路工程专业二级及以上资质的注册建造师资格以及安全生产考核合格证书（B证）；</w:t>
      </w:r>
    </w:p>
    <w:p w14:paraId="0393EACA">
      <w:pPr>
        <w:widowControl/>
        <w:ind w:firstLine="560" w:firstLineChars="200"/>
        <w:jc w:val="left"/>
        <w:rPr>
          <w:rFonts w:hint="eastAsia" w:ascii="仿宋" w:hAnsi="仿宋" w:eastAsia="仿宋"/>
          <w:color w:val="000000"/>
          <w:sz w:val="28"/>
          <w:szCs w:val="28"/>
          <w:lang w:eastAsia="zh-CN"/>
        </w:rPr>
      </w:pPr>
      <w:r>
        <w:rPr>
          <w:rFonts w:hint="eastAsia" w:ascii="仿宋" w:hAnsi="仿宋" w:eastAsia="仿宋" w:cs="仿宋"/>
          <w:color w:val="auto"/>
          <w:sz w:val="28"/>
          <w:szCs w:val="28"/>
          <w:highlight w:val="none"/>
          <w:shd w:val="clear" w:color="auto" w:fill="FFFFFF"/>
        </w:rPr>
        <w:t>③技术负责人</w:t>
      </w:r>
      <w:r>
        <w:rPr>
          <w:rFonts w:hint="eastAsia" w:ascii="仿宋" w:hAnsi="仿宋" w:eastAsia="仿宋"/>
          <w:color w:val="000000"/>
          <w:sz w:val="28"/>
          <w:szCs w:val="28"/>
          <w:lang w:val="en-US" w:eastAsia="zh-CN"/>
        </w:rPr>
        <w:t>须</w:t>
      </w:r>
      <w:r>
        <w:rPr>
          <w:rFonts w:hint="eastAsia" w:ascii="仿宋" w:hAnsi="仿宋" w:eastAsia="仿宋"/>
          <w:color w:val="000000"/>
          <w:sz w:val="28"/>
          <w:szCs w:val="28"/>
          <w:lang w:eastAsia="zh-CN"/>
        </w:rPr>
        <w:t>具有</w:t>
      </w:r>
      <w:r>
        <w:rPr>
          <w:rFonts w:hint="eastAsia" w:ascii="仿宋" w:hAnsi="仿宋" w:eastAsia="仿宋" w:cs="仿宋"/>
          <w:color w:val="auto"/>
          <w:sz w:val="28"/>
          <w:szCs w:val="28"/>
          <w:highlight w:val="none"/>
          <w:shd w:val="clear" w:color="auto" w:fill="FFFFFF"/>
        </w:rPr>
        <w:t>公路工程相关专业中级及以上职称。</w:t>
      </w:r>
    </w:p>
    <w:p w14:paraId="628C14F7">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4.信誉要求：供应商不得存在以下情形：</w:t>
      </w:r>
    </w:p>
    <w:p w14:paraId="6BAFEE55">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①</w:t>
      </w:r>
      <w:r>
        <w:rPr>
          <w:rFonts w:hint="eastAsia" w:ascii="仿宋" w:hAnsi="仿宋" w:eastAsia="仿宋" w:cs="仿宋"/>
          <w:color w:val="auto"/>
          <w:sz w:val="28"/>
          <w:szCs w:val="28"/>
          <w:highlight w:val="none"/>
        </w:rPr>
        <w:t>供应商被人民法院列入失信被执行人的；</w:t>
      </w:r>
    </w:p>
    <w:p w14:paraId="5D5063AE">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②</w:t>
      </w:r>
      <w:r>
        <w:rPr>
          <w:rFonts w:hint="eastAsia" w:ascii="仿宋" w:hAnsi="仿宋" w:eastAsia="仿宋" w:cs="仿宋"/>
          <w:color w:val="auto"/>
          <w:sz w:val="28"/>
          <w:szCs w:val="28"/>
          <w:highlight w:val="none"/>
        </w:rPr>
        <w:t>供应商或其法定代表人或拟派项目经理（项目负责人）</w:t>
      </w:r>
      <w:r>
        <w:rPr>
          <w:rFonts w:hint="eastAsia" w:ascii="仿宋" w:hAnsi="仿宋" w:eastAsia="仿宋" w:cs="仿宋"/>
          <w:color w:val="auto"/>
          <w:sz w:val="28"/>
          <w:szCs w:val="28"/>
          <w:highlight w:val="none"/>
          <w:lang w:val="en-US" w:eastAsia="zh-CN"/>
        </w:rPr>
        <w:t>前三年</w:t>
      </w:r>
      <w:r>
        <w:rPr>
          <w:rFonts w:hint="eastAsia" w:ascii="仿宋" w:hAnsi="仿宋" w:eastAsia="仿宋" w:cs="仿宋"/>
          <w:color w:val="auto"/>
          <w:sz w:val="28"/>
          <w:szCs w:val="28"/>
          <w:highlight w:val="none"/>
        </w:rPr>
        <w:t>有行贿犯罪行为的；</w:t>
      </w:r>
    </w:p>
    <w:p w14:paraId="1356A9FE">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③</w:t>
      </w:r>
      <w:r>
        <w:rPr>
          <w:rFonts w:hint="eastAsia" w:ascii="仿宋" w:hAnsi="仿宋" w:eastAsia="仿宋" w:cs="仿宋"/>
          <w:color w:val="auto"/>
          <w:sz w:val="28"/>
          <w:szCs w:val="28"/>
          <w:highlight w:val="none"/>
        </w:rPr>
        <w:t>供应商被市场监督管理部门列入经营异常名录或者严重违法企业名单，且未被移除的；</w:t>
      </w:r>
    </w:p>
    <w:p w14:paraId="644FA131">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④</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shd w:val="clear" w:color="auto" w:fill="FFFFFF"/>
        </w:rPr>
        <w:t>被税收部门列入重大税收违法案件当事人的</w:t>
      </w:r>
      <w:r>
        <w:rPr>
          <w:rFonts w:hint="eastAsia" w:ascii="仿宋" w:hAnsi="仿宋" w:eastAsia="仿宋" w:cs="仿宋"/>
          <w:color w:val="auto"/>
          <w:sz w:val="28"/>
          <w:szCs w:val="28"/>
          <w:highlight w:val="none"/>
        </w:rPr>
        <w:t>；</w:t>
      </w:r>
    </w:p>
    <w:p w14:paraId="2661B71C">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⑤</w:t>
      </w:r>
      <w:r>
        <w:rPr>
          <w:rFonts w:hint="eastAsia" w:ascii="仿宋" w:hAnsi="仿宋" w:eastAsia="仿宋" w:cs="仿宋"/>
          <w:color w:val="auto"/>
          <w:sz w:val="28"/>
          <w:szCs w:val="28"/>
          <w:highlight w:val="none"/>
        </w:rPr>
        <w:t>供应商被政府采购监管部门列入政府采购严重违法失信行为记录名单的；</w:t>
      </w:r>
    </w:p>
    <w:p w14:paraId="7351495A">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⑥在“信用中国”网站上披露仍在公示期的严重失信行为的。</w:t>
      </w:r>
    </w:p>
    <w:p w14:paraId="0ACA41B5">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5.供应商所属分公司、办事处等分支机构存在第4条信誉要求①-⑥项情形之一的，接受供应商参加本项目。</w:t>
      </w:r>
    </w:p>
    <w:p w14:paraId="286F6989">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备注：第4、5条按照“关于联合惩戒失信行为加强信用查询管理的通知”查询或承诺。</w:t>
      </w:r>
    </w:p>
    <w:p w14:paraId="2DBD138C">
      <w:pPr>
        <w:keepNext w:val="0"/>
        <w:keepLines w:val="0"/>
        <w:pageBreakBefore w:val="0"/>
        <w:kinsoku/>
        <w:wordWrap/>
        <w:overflowPunct/>
        <w:topLinePunct w:val="0"/>
        <w:autoSpaceDE/>
        <w:autoSpaceDN/>
        <w:bidi w:val="0"/>
        <w:adjustRightInd/>
        <w:snapToGrid/>
        <w:spacing w:before="260" w:after="260"/>
        <w:textAlignment w:val="auto"/>
        <w:outlineLvl w:val="9"/>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三、获取采购文件</w:t>
      </w:r>
      <w:bookmarkEnd w:id="12"/>
      <w:bookmarkEnd w:id="13"/>
      <w:bookmarkEnd w:id="16"/>
      <w:bookmarkEnd w:id="17"/>
    </w:p>
    <w:p w14:paraId="6A5B4DB0">
      <w:pPr>
        <w:keepNext w:val="0"/>
        <w:keepLines w:val="0"/>
        <w:pageBreakBefore w:val="0"/>
        <w:kinsoku/>
        <w:wordWrap/>
        <w:overflowPunct/>
        <w:topLinePunct w:val="0"/>
        <w:autoSpaceDE/>
        <w:autoSpaceDN/>
        <w:bidi w:val="0"/>
        <w:adjustRightInd/>
        <w:snapToGrid/>
        <w:ind w:firstLine="540"/>
        <w:textAlignment w:val="auto"/>
        <w:outlineLvl w:val="9"/>
        <w:rPr>
          <w:rFonts w:hint="eastAsia" w:ascii="仿宋" w:hAnsi="仿宋" w:eastAsia="仿宋" w:cs="宋体"/>
          <w:iCs/>
          <w:color w:val="auto"/>
          <w:sz w:val="28"/>
          <w:szCs w:val="28"/>
          <w:highlight w:val="none"/>
          <w:u w:val="single"/>
          <w:lang w:eastAsia="zh-CN"/>
        </w:rPr>
      </w:pPr>
      <w:r>
        <w:rPr>
          <w:rFonts w:hint="eastAsia" w:ascii="仿宋" w:hAnsi="仿宋" w:eastAsia="仿宋" w:cs="宋体"/>
          <w:color w:val="auto"/>
          <w:sz w:val="28"/>
          <w:szCs w:val="28"/>
          <w:highlight w:val="none"/>
        </w:rPr>
        <w:t>时间：</w:t>
      </w:r>
      <w:r>
        <w:rPr>
          <w:rFonts w:hint="eastAsia" w:ascii="仿宋" w:hAnsi="仿宋" w:eastAsia="仿宋" w:cs="宋体"/>
          <w:color w:val="000000" w:themeColor="text1"/>
          <w:sz w:val="28"/>
          <w:szCs w:val="28"/>
          <w:highlight w:val="none"/>
          <w:lang w:eastAsia="zh-CN"/>
          <w14:textFill>
            <w14:solidFill>
              <w14:schemeClr w14:val="tx1"/>
            </w14:solidFill>
          </w14:textFill>
        </w:rPr>
        <w:t>2025年</w:t>
      </w:r>
      <w:r>
        <w:rPr>
          <w:rFonts w:hint="eastAsia" w:ascii="仿宋" w:hAnsi="仿宋" w:eastAsia="仿宋" w:cs="宋体"/>
          <w:color w:val="000000" w:themeColor="text1"/>
          <w:sz w:val="28"/>
          <w:szCs w:val="28"/>
          <w:highlight w:val="none"/>
          <w:lang w:val="en-US" w:eastAsia="zh-CN"/>
          <w14:textFill>
            <w14:solidFill>
              <w14:schemeClr w14:val="tx1"/>
            </w14:solidFill>
          </w14:textFill>
        </w:rPr>
        <w:t>0</w:t>
      </w:r>
      <w:r>
        <w:rPr>
          <w:rFonts w:hint="eastAsia" w:ascii="仿宋" w:hAnsi="仿宋" w:eastAsia="仿宋" w:cs="宋体"/>
          <w:color w:val="000000" w:themeColor="text1"/>
          <w:sz w:val="28"/>
          <w:szCs w:val="28"/>
          <w:highlight w:val="none"/>
          <w:lang w:eastAsia="zh-CN"/>
          <w14:textFill>
            <w14:solidFill>
              <w14:schemeClr w14:val="tx1"/>
            </w14:solidFill>
          </w14:textFill>
        </w:rPr>
        <w:t>3月31日至2025年</w:t>
      </w:r>
      <w:r>
        <w:rPr>
          <w:rFonts w:hint="eastAsia" w:ascii="仿宋" w:hAnsi="仿宋" w:eastAsia="仿宋" w:cs="宋体"/>
          <w:color w:val="000000" w:themeColor="text1"/>
          <w:sz w:val="28"/>
          <w:szCs w:val="28"/>
          <w:highlight w:val="none"/>
          <w:lang w:val="en-US" w:eastAsia="zh-CN"/>
          <w14:textFill>
            <w14:solidFill>
              <w14:schemeClr w14:val="tx1"/>
            </w14:solidFill>
          </w14:textFill>
        </w:rPr>
        <w:t>0</w:t>
      </w:r>
      <w:r>
        <w:rPr>
          <w:rFonts w:hint="eastAsia" w:ascii="仿宋" w:hAnsi="仿宋" w:eastAsia="仿宋" w:cs="宋体"/>
          <w:color w:val="000000" w:themeColor="text1"/>
          <w:sz w:val="28"/>
          <w:szCs w:val="28"/>
          <w:highlight w:val="none"/>
          <w:lang w:eastAsia="zh-CN"/>
          <w14:textFill>
            <w14:solidFill>
              <w14:schemeClr w14:val="tx1"/>
            </w14:solidFill>
          </w14:textFill>
        </w:rPr>
        <w:t>4月</w:t>
      </w:r>
      <w:r>
        <w:rPr>
          <w:rFonts w:hint="eastAsia" w:ascii="仿宋" w:hAnsi="仿宋" w:eastAsia="仿宋" w:cs="宋体"/>
          <w:color w:val="000000" w:themeColor="text1"/>
          <w:sz w:val="28"/>
          <w:szCs w:val="28"/>
          <w:highlight w:val="none"/>
          <w:lang w:val="en-US" w:eastAsia="zh-CN"/>
          <w14:textFill>
            <w14:solidFill>
              <w14:schemeClr w14:val="tx1"/>
            </w14:solidFill>
          </w14:textFill>
        </w:rPr>
        <w:t>0</w:t>
      </w:r>
      <w:r>
        <w:rPr>
          <w:rFonts w:hint="eastAsia" w:ascii="仿宋" w:hAnsi="仿宋" w:eastAsia="仿宋" w:cs="宋体"/>
          <w:color w:val="000000" w:themeColor="text1"/>
          <w:sz w:val="28"/>
          <w:szCs w:val="28"/>
          <w:highlight w:val="none"/>
          <w:lang w:eastAsia="zh-CN"/>
          <w14:textFill>
            <w14:solidFill>
              <w14:schemeClr w14:val="tx1"/>
            </w14:solidFill>
          </w14:textFill>
        </w:rPr>
        <w:t>3日</w:t>
      </w:r>
    </w:p>
    <w:p w14:paraId="33E62C2F">
      <w:pPr>
        <w:keepNext w:val="0"/>
        <w:keepLines w:val="0"/>
        <w:pageBreakBefore w:val="0"/>
        <w:kinsoku/>
        <w:wordWrap/>
        <w:overflowPunct/>
        <w:topLinePunct w:val="0"/>
        <w:autoSpaceDE/>
        <w:autoSpaceDN/>
        <w:bidi w:val="0"/>
        <w:adjustRightInd/>
        <w:snapToGrid/>
        <w:ind w:firstLine="540"/>
        <w:textAlignment w:val="auto"/>
        <w:outlineLvl w:val="9"/>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地点：滁州市公共资源交易中心网</w:t>
      </w:r>
    </w:p>
    <w:p w14:paraId="149E2FA4">
      <w:pPr>
        <w:keepNext w:val="0"/>
        <w:keepLines w:val="0"/>
        <w:pageBreakBefore w:val="0"/>
        <w:kinsoku/>
        <w:wordWrap/>
        <w:overflowPunct/>
        <w:topLinePunct w:val="0"/>
        <w:autoSpaceDE/>
        <w:autoSpaceDN/>
        <w:bidi w:val="0"/>
        <w:adjustRightInd/>
        <w:snapToGrid/>
        <w:ind w:firstLine="540"/>
        <w:textAlignment w:val="auto"/>
        <w:outlineLvl w:val="9"/>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方式：网上下载</w:t>
      </w:r>
    </w:p>
    <w:p w14:paraId="68D4CD55">
      <w:pPr>
        <w:keepNext w:val="0"/>
        <w:keepLines w:val="0"/>
        <w:pageBreakBefore w:val="0"/>
        <w:kinsoku/>
        <w:wordWrap/>
        <w:overflowPunct/>
        <w:topLinePunct w:val="0"/>
        <w:autoSpaceDE/>
        <w:autoSpaceDN/>
        <w:bidi w:val="0"/>
        <w:adjustRightInd/>
        <w:snapToGrid/>
        <w:ind w:firstLine="540"/>
        <w:textAlignment w:val="auto"/>
        <w:outlineLvl w:val="9"/>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260E6E87">
      <w:pPr>
        <w:keepNext w:val="0"/>
        <w:keepLines w:val="0"/>
        <w:pageBreakBefore w:val="0"/>
        <w:kinsoku/>
        <w:wordWrap/>
        <w:overflowPunct/>
        <w:topLinePunct w:val="0"/>
        <w:autoSpaceDE/>
        <w:autoSpaceDN/>
        <w:bidi w:val="0"/>
        <w:adjustRightInd/>
        <w:snapToGrid/>
        <w:spacing w:before="260" w:after="260"/>
        <w:textAlignment w:val="auto"/>
        <w:outlineLvl w:val="9"/>
        <w:rPr>
          <w:rFonts w:hint="eastAsia" w:ascii="黑体" w:hAnsi="黑体" w:eastAsia="黑体"/>
          <w:color w:val="auto"/>
          <w:sz w:val="28"/>
          <w:szCs w:val="28"/>
          <w:highlight w:val="none"/>
        </w:rPr>
      </w:pPr>
      <w:bookmarkStart w:id="18" w:name="_Toc35393632"/>
      <w:bookmarkStart w:id="19" w:name="_Toc35393801"/>
      <w:bookmarkStart w:id="20" w:name="_Toc28359092"/>
      <w:bookmarkStart w:id="21" w:name="_Toc28359015"/>
      <w:r>
        <w:rPr>
          <w:rFonts w:hint="eastAsia" w:ascii="黑体" w:hAnsi="黑体" w:eastAsia="黑体"/>
          <w:color w:val="auto"/>
          <w:sz w:val="28"/>
          <w:szCs w:val="28"/>
          <w:highlight w:val="none"/>
        </w:rPr>
        <w:t>四、响应文件提交</w:t>
      </w:r>
      <w:bookmarkEnd w:id="18"/>
      <w:bookmarkEnd w:id="19"/>
      <w:bookmarkEnd w:id="20"/>
      <w:bookmarkEnd w:id="21"/>
    </w:p>
    <w:p w14:paraId="09ED9E64">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s="宋体"/>
          <w:i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s="宋体"/>
          <w:color w:val="000000" w:themeColor="text1"/>
          <w:sz w:val="28"/>
          <w:szCs w:val="28"/>
          <w:highlight w:val="none"/>
          <w:lang w:eastAsia="zh-CN"/>
          <w14:textFill>
            <w14:solidFill>
              <w14:schemeClr w14:val="tx1"/>
            </w14:solidFill>
          </w14:textFill>
        </w:rPr>
        <w:t>2025年</w:t>
      </w:r>
      <w:r>
        <w:rPr>
          <w:rFonts w:hint="eastAsia" w:ascii="仿宋" w:hAnsi="仿宋" w:eastAsia="仿宋" w:cs="宋体"/>
          <w:color w:val="000000" w:themeColor="text1"/>
          <w:sz w:val="28"/>
          <w:szCs w:val="28"/>
          <w:highlight w:val="none"/>
          <w:lang w:val="en-US" w:eastAsia="zh-CN"/>
          <w14:textFill>
            <w14:solidFill>
              <w14:schemeClr w14:val="tx1"/>
            </w14:solidFill>
          </w14:textFill>
        </w:rPr>
        <w:t>0</w:t>
      </w:r>
      <w:r>
        <w:rPr>
          <w:rFonts w:hint="eastAsia" w:ascii="仿宋" w:hAnsi="仿宋" w:eastAsia="仿宋" w:cs="宋体"/>
          <w:color w:val="000000" w:themeColor="text1"/>
          <w:sz w:val="28"/>
          <w:szCs w:val="28"/>
          <w:highlight w:val="none"/>
          <w:lang w:eastAsia="zh-CN"/>
          <w14:textFill>
            <w14:solidFill>
              <w14:schemeClr w14:val="tx1"/>
            </w14:solidFill>
          </w14:textFill>
        </w:rPr>
        <w:t>4月</w:t>
      </w:r>
      <w:r>
        <w:rPr>
          <w:rFonts w:hint="eastAsia" w:ascii="仿宋" w:hAnsi="仿宋" w:eastAsia="仿宋" w:cs="宋体"/>
          <w:color w:val="000000" w:themeColor="text1"/>
          <w:sz w:val="28"/>
          <w:szCs w:val="28"/>
          <w:highlight w:val="none"/>
          <w:lang w:val="en-US" w:eastAsia="zh-CN"/>
          <w14:textFill>
            <w14:solidFill>
              <w14:schemeClr w14:val="tx1"/>
            </w14:solidFill>
          </w14:textFill>
        </w:rPr>
        <w:t>0</w:t>
      </w:r>
      <w:r>
        <w:rPr>
          <w:rFonts w:hint="eastAsia" w:ascii="仿宋" w:hAnsi="仿宋" w:eastAsia="仿宋" w:cs="宋体"/>
          <w:color w:val="000000" w:themeColor="text1"/>
          <w:sz w:val="28"/>
          <w:szCs w:val="28"/>
          <w:highlight w:val="none"/>
          <w:lang w:eastAsia="zh-CN"/>
          <w14:textFill>
            <w14:solidFill>
              <w14:schemeClr w14:val="tx1"/>
            </w14:solidFill>
          </w14:textFill>
        </w:rPr>
        <w:t>3日</w:t>
      </w:r>
      <w:r>
        <w:rPr>
          <w:rFonts w:hint="eastAsia" w:ascii="仿宋" w:hAnsi="仿宋" w:eastAsia="仿宋"/>
          <w:color w:val="000000" w:themeColor="text1"/>
          <w:sz w:val="28"/>
          <w:szCs w:val="28"/>
          <w:highlight w:val="none"/>
          <w14:textFill>
            <w14:solidFill>
              <w14:schemeClr w14:val="tx1"/>
            </w14:solidFill>
          </w14:textFill>
        </w:rPr>
        <w:t>08点00分</w:t>
      </w:r>
      <w:r>
        <w:rPr>
          <w:rFonts w:hint="eastAsia" w:ascii="仿宋" w:hAnsi="仿宋" w:eastAsia="仿宋"/>
          <w:bCs/>
          <w:color w:val="000000" w:themeColor="text1"/>
          <w:sz w:val="28"/>
          <w:szCs w:val="28"/>
          <w:highlight w:val="none"/>
          <w14:textFill>
            <w14:solidFill>
              <w14:schemeClr w14:val="tx1"/>
            </w14:solidFill>
          </w14:textFill>
        </w:rPr>
        <w:t>（北京时</w:t>
      </w:r>
      <w:r>
        <w:rPr>
          <w:rFonts w:hint="eastAsia" w:ascii="仿宋" w:hAnsi="仿宋" w:eastAsia="仿宋"/>
          <w:bCs/>
          <w:color w:val="auto"/>
          <w:sz w:val="28"/>
          <w:szCs w:val="28"/>
          <w:highlight w:val="none"/>
        </w:rPr>
        <w:t>间）</w:t>
      </w:r>
    </w:p>
    <w:p w14:paraId="631C5453">
      <w:pPr>
        <w:keepNext w:val="0"/>
        <w:keepLines w:val="0"/>
        <w:pageBreakBefore w:val="0"/>
        <w:kinsoku/>
        <w:wordWrap/>
        <w:overflowPunct/>
        <w:topLinePunct w:val="0"/>
        <w:autoSpaceDE/>
        <w:autoSpaceDN/>
        <w:bidi w:val="0"/>
        <w:adjustRightInd/>
        <w:snapToGrid/>
        <w:ind w:firstLine="560" w:firstLineChars="200"/>
        <w:textAlignment w:val="auto"/>
        <w:outlineLvl w:val="9"/>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地点：滁州市公共资源交易中心网</w:t>
      </w:r>
    </w:p>
    <w:p w14:paraId="392D13BB">
      <w:pPr>
        <w:keepNext w:val="0"/>
        <w:keepLines w:val="0"/>
        <w:pageBreakBefore w:val="0"/>
        <w:kinsoku/>
        <w:wordWrap/>
        <w:overflowPunct/>
        <w:topLinePunct w:val="0"/>
        <w:autoSpaceDE/>
        <w:autoSpaceDN/>
        <w:bidi w:val="0"/>
        <w:adjustRightInd/>
        <w:snapToGrid/>
        <w:spacing w:before="260" w:after="260"/>
        <w:textAlignment w:val="auto"/>
        <w:outlineLvl w:val="9"/>
        <w:rPr>
          <w:rFonts w:hint="eastAsia" w:ascii="黑体" w:hAnsi="黑体" w:eastAsia="黑体"/>
          <w:color w:val="auto"/>
          <w:sz w:val="28"/>
          <w:szCs w:val="28"/>
          <w:highlight w:val="none"/>
        </w:rPr>
      </w:pPr>
      <w:bookmarkStart w:id="22" w:name="_Toc28359016"/>
      <w:bookmarkStart w:id="23" w:name="_Toc35393633"/>
      <w:bookmarkStart w:id="24" w:name="_Toc28359093"/>
      <w:bookmarkStart w:id="25" w:name="_Toc35393802"/>
      <w:r>
        <w:rPr>
          <w:rFonts w:hint="eastAsia" w:ascii="黑体" w:hAnsi="黑体" w:eastAsia="黑体"/>
          <w:color w:val="auto"/>
          <w:sz w:val="28"/>
          <w:szCs w:val="28"/>
          <w:highlight w:val="none"/>
        </w:rPr>
        <w:t>五、开启</w:t>
      </w:r>
      <w:bookmarkEnd w:id="22"/>
      <w:bookmarkEnd w:id="23"/>
      <w:bookmarkEnd w:id="24"/>
      <w:bookmarkEnd w:id="25"/>
    </w:p>
    <w:p w14:paraId="352BC5D9">
      <w:pPr>
        <w:keepNext w:val="0"/>
        <w:keepLines w:val="0"/>
        <w:pageBreakBefore w:val="0"/>
        <w:kinsoku/>
        <w:wordWrap/>
        <w:overflowPunct/>
        <w:topLinePunct w:val="0"/>
        <w:autoSpaceDE/>
        <w:autoSpaceDN/>
        <w:bidi w:val="0"/>
        <w:adjustRightInd/>
        <w:snapToGrid/>
        <w:ind w:firstLine="560" w:firstLineChars="200"/>
        <w:textAlignment w:val="auto"/>
        <w:outlineLvl w:val="9"/>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s="宋体"/>
          <w:color w:val="000000" w:themeColor="text1"/>
          <w:sz w:val="28"/>
          <w:szCs w:val="28"/>
          <w:highlight w:val="none"/>
          <w:lang w:eastAsia="zh-CN"/>
          <w14:textFill>
            <w14:solidFill>
              <w14:schemeClr w14:val="tx1"/>
            </w14:solidFill>
          </w14:textFill>
        </w:rPr>
        <w:t>2025年</w:t>
      </w:r>
      <w:r>
        <w:rPr>
          <w:rFonts w:hint="eastAsia" w:ascii="仿宋" w:hAnsi="仿宋" w:eastAsia="仿宋" w:cs="宋体"/>
          <w:color w:val="000000" w:themeColor="text1"/>
          <w:sz w:val="28"/>
          <w:szCs w:val="28"/>
          <w:highlight w:val="none"/>
          <w:lang w:val="en-US" w:eastAsia="zh-CN"/>
          <w14:textFill>
            <w14:solidFill>
              <w14:schemeClr w14:val="tx1"/>
            </w14:solidFill>
          </w14:textFill>
        </w:rPr>
        <w:t>0</w:t>
      </w:r>
      <w:r>
        <w:rPr>
          <w:rFonts w:hint="eastAsia" w:ascii="仿宋" w:hAnsi="仿宋" w:eastAsia="仿宋" w:cs="宋体"/>
          <w:color w:val="000000" w:themeColor="text1"/>
          <w:sz w:val="28"/>
          <w:szCs w:val="28"/>
          <w:highlight w:val="none"/>
          <w:lang w:eastAsia="zh-CN"/>
          <w14:textFill>
            <w14:solidFill>
              <w14:schemeClr w14:val="tx1"/>
            </w14:solidFill>
          </w14:textFill>
        </w:rPr>
        <w:t>4月</w:t>
      </w:r>
      <w:r>
        <w:rPr>
          <w:rFonts w:hint="eastAsia" w:ascii="仿宋" w:hAnsi="仿宋" w:eastAsia="仿宋" w:cs="宋体"/>
          <w:color w:val="000000" w:themeColor="text1"/>
          <w:sz w:val="28"/>
          <w:szCs w:val="28"/>
          <w:highlight w:val="none"/>
          <w:lang w:val="en-US" w:eastAsia="zh-CN"/>
          <w14:textFill>
            <w14:solidFill>
              <w14:schemeClr w14:val="tx1"/>
            </w14:solidFill>
          </w14:textFill>
        </w:rPr>
        <w:t>0</w:t>
      </w:r>
      <w:r>
        <w:rPr>
          <w:rFonts w:hint="eastAsia" w:ascii="仿宋" w:hAnsi="仿宋" w:eastAsia="仿宋" w:cs="宋体"/>
          <w:color w:val="000000" w:themeColor="text1"/>
          <w:sz w:val="28"/>
          <w:szCs w:val="28"/>
          <w:highlight w:val="none"/>
          <w:lang w:eastAsia="zh-CN"/>
          <w14:textFill>
            <w14:solidFill>
              <w14:schemeClr w14:val="tx1"/>
            </w14:solidFill>
          </w14:textFill>
        </w:rPr>
        <w:t>3日</w:t>
      </w:r>
      <w:r>
        <w:rPr>
          <w:rFonts w:hint="eastAsia" w:ascii="仿宋" w:hAnsi="仿宋" w:eastAsia="仿宋"/>
          <w:color w:val="000000" w:themeColor="text1"/>
          <w:sz w:val="28"/>
          <w:szCs w:val="28"/>
          <w:highlight w:val="none"/>
          <w14:textFill>
            <w14:solidFill>
              <w14:schemeClr w14:val="tx1"/>
            </w14:solidFill>
          </w14:textFill>
        </w:rPr>
        <w:t>08点00分</w:t>
      </w:r>
      <w:r>
        <w:rPr>
          <w:rFonts w:hint="eastAsia" w:ascii="仿宋" w:hAnsi="仿宋" w:eastAsia="仿宋"/>
          <w:bCs/>
          <w:color w:val="auto"/>
          <w:sz w:val="28"/>
          <w:szCs w:val="28"/>
          <w:highlight w:val="none"/>
        </w:rPr>
        <w:t>（北京时间）</w:t>
      </w:r>
    </w:p>
    <w:p w14:paraId="0CB15299">
      <w:pPr>
        <w:keepNext w:val="0"/>
        <w:keepLines w:val="0"/>
        <w:pageBreakBefore w:val="0"/>
        <w:kinsoku/>
        <w:wordWrap/>
        <w:overflowPunct/>
        <w:topLinePunct w:val="0"/>
        <w:autoSpaceDE/>
        <w:autoSpaceDN/>
        <w:bidi w:val="0"/>
        <w:adjustRightInd/>
        <w:snapToGrid/>
        <w:ind w:firstLine="537" w:firstLineChars="192"/>
        <w:textAlignment w:val="auto"/>
        <w:outlineLvl w:val="9"/>
        <w:rPr>
          <w:rFonts w:hint="eastAsia" w:ascii="仿宋" w:hAnsi="仿宋" w:eastAsia="仿宋"/>
          <w:color w:val="C00000"/>
          <w:sz w:val="28"/>
          <w:szCs w:val="28"/>
          <w:highlight w:val="none"/>
          <w:lang w:eastAsia="zh-CN"/>
        </w:rPr>
      </w:pPr>
      <w:r>
        <w:rPr>
          <w:rFonts w:hint="eastAsia" w:ascii="仿宋" w:hAnsi="仿宋" w:eastAsia="仿宋"/>
          <w:color w:val="auto"/>
          <w:sz w:val="28"/>
          <w:szCs w:val="28"/>
          <w:highlight w:val="none"/>
        </w:rPr>
        <w:t>地点：</w:t>
      </w:r>
      <w:r>
        <w:rPr>
          <w:rFonts w:hint="eastAsia" w:ascii="仿宋" w:hAnsi="仿宋" w:eastAsia="仿宋"/>
          <w:color w:val="000000" w:themeColor="text1"/>
          <w:sz w:val="28"/>
          <w:szCs w:val="28"/>
          <w:highlight w:val="none"/>
          <w14:textFill>
            <w14:solidFill>
              <w14:schemeClr w14:val="tx1"/>
            </w14:solidFill>
          </w14:textFill>
        </w:rPr>
        <w:t>明光市公共资源交易中心（祁仓路98号明光市经济开发区管委会大楼)</w:t>
      </w:r>
      <w:r>
        <w:rPr>
          <w:rFonts w:hint="eastAsia" w:ascii="仿宋" w:hAnsi="仿宋" w:eastAsia="仿宋"/>
          <w:color w:val="000000" w:themeColor="text1"/>
          <w:sz w:val="28"/>
          <w:szCs w:val="28"/>
          <w:highlight w:val="none"/>
          <w:lang w:eastAsia="zh-CN"/>
          <w14:textFill>
            <w14:solidFill>
              <w14:schemeClr w14:val="tx1"/>
            </w14:solidFill>
          </w14:textFill>
        </w:rPr>
        <w:t>第</w:t>
      </w:r>
      <w:r>
        <w:rPr>
          <w:rFonts w:hint="eastAsia" w:ascii="仿宋" w:hAnsi="仿宋" w:eastAsia="仿宋"/>
          <w:color w:val="000000" w:themeColor="text1"/>
          <w:sz w:val="28"/>
          <w:szCs w:val="28"/>
          <w:highlight w:val="none"/>
          <w:lang w:val="en-US" w:eastAsia="zh-CN"/>
          <w14:textFill>
            <w14:solidFill>
              <w14:schemeClr w14:val="tx1"/>
            </w14:solidFill>
          </w14:textFill>
        </w:rPr>
        <w:t>三</w:t>
      </w:r>
      <w:r>
        <w:rPr>
          <w:rFonts w:hint="eastAsia" w:ascii="仿宋" w:hAnsi="仿宋" w:eastAsia="仿宋"/>
          <w:color w:val="000000" w:themeColor="text1"/>
          <w:sz w:val="28"/>
          <w:szCs w:val="28"/>
          <w:highlight w:val="none"/>
          <w:lang w:eastAsia="zh-CN"/>
          <w14:textFill>
            <w14:solidFill>
              <w14:schemeClr w14:val="tx1"/>
            </w14:solidFill>
          </w14:textFill>
        </w:rPr>
        <w:t>开标室</w:t>
      </w:r>
    </w:p>
    <w:p w14:paraId="47D1EE1F">
      <w:pPr>
        <w:keepNext w:val="0"/>
        <w:keepLines w:val="0"/>
        <w:pageBreakBefore w:val="0"/>
        <w:kinsoku/>
        <w:wordWrap/>
        <w:overflowPunct/>
        <w:topLinePunct w:val="0"/>
        <w:autoSpaceDE/>
        <w:autoSpaceDN/>
        <w:bidi w:val="0"/>
        <w:adjustRightInd/>
        <w:snapToGrid/>
        <w:spacing w:before="260" w:after="260"/>
        <w:textAlignment w:val="auto"/>
        <w:outlineLvl w:val="9"/>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六、公告期限</w:t>
      </w:r>
    </w:p>
    <w:p w14:paraId="4BCBCFE4">
      <w:pPr>
        <w:keepNext w:val="0"/>
        <w:keepLines w:val="0"/>
        <w:pageBreakBefore w:val="0"/>
        <w:kinsoku/>
        <w:wordWrap/>
        <w:overflowPunct/>
        <w:topLinePunct w:val="0"/>
        <w:autoSpaceDE/>
        <w:autoSpaceDN/>
        <w:bidi w:val="0"/>
        <w:adjustRightInd/>
        <w:snapToGrid/>
        <w:ind w:firstLine="560" w:firstLineChars="200"/>
        <w:textAlignment w:val="auto"/>
        <w:outlineLvl w:val="9"/>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自本公告发布之日起3个工作日。</w:t>
      </w:r>
    </w:p>
    <w:p w14:paraId="094C16B5">
      <w:pPr>
        <w:keepNext w:val="0"/>
        <w:keepLines w:val="0"/>
        <w:pageBreakBefore w:val="0"/>
        <w:kinsoku/>
        <w:wordWrap/>
        <w:overflowPunct/>
        <w:topLinePunct w:val="0"/>
        <w:autoSpaceDE/>
        <w:autoSpaceDN/>
        <w:bidi w:val="0"/>
        <w:adjustRightInd/>
        <w:snapToGrid/>
        <w:spacing w:before="260" w:after="260"/>
        <w:textAlignment w:val="auto"/>
        <w:outlineLvl w:val="9"/>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七、保证金金额及缴纳账户</w:t>
      </w:r>
    </w:p>
    <w:p w14:paraId="1640788C">
      <w:pPr>
        <w:keepNext w:val="0"/>
        <w:keepLines w:val="0"/>
        <w:pageBreakBefore w:val="0"/>
        <w:kinsoku/>
        <w:wordWrap/>
        <w:overflowPunct/>
        <w:topLinePunct w:val="0"/>
        <w:autoSpaceDE/>
        <w:autoSpaceDN/>
        <w:bidi w:val="0"/>
        <w:adjustRightInd/>
        <w:snapToGrid/>
        <w:ind w:firstLine="56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是否要求供应商提交保证金：不要求。</w:t>
      </w:r>
    </w:p>
    <w:p w14:paraId="78AF1910">
      <w:pPr>
        <w:keepNext w:val="0"/>
        <w:keepLines w:val="0"/>
        <w:pageBreakBefore w:val="0"/>
        <w:kinsoku/>
        <w:wordWrap/>
        <w:overflowPunct/>
        <w:topLinePunct w:val="0"/>
        <w:autoSpaceDE/>
        <w:autoSpaceDN/>
        <w:bidi w:val="0"/>
        <w:adjustRightInd/>
        <w:snapToGrid/>
        <w:spacing w:before="260" w:after="260"/>
        <w:textAlignment w:val="auto"/>
        <w:outlineLvl w:val="9"/>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八、其他补充事宜</w:t>
      </w:r>
    </w:p>
    <w:p w14:paraId="19B6BD0C">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rPr>
      </w:pPr>
      <w:r>
        <w:rPr>
          <w:rFonts w:ascii="仿宋" w:hAnsi="仿宋" w:eastAsia="仿宋"/>
          <w:color w:val="auto"/>
          <w:sz w:val="28"/>
          <w:szCs w:val="28"/>
          <w:highlight w:val="none"/>
        </w:rPr>
        <w:t>1.本项目只接受在安徽省公共资源交易市场主体库（</w:t>
      </w:r>
      <w:r>
        <w:rPr>
          <w:rFonts w:hint="eastAsia" w:ascii="仿宋" w:hAnsi="仿宋" w:eastAsia="仿宋"/>
          <w:color w:val="auto"/>
          <w:sz w:val="28"/>
          <w:szCs w:val="28"/>
          <w:highlight w:val="none"/>
          <w:lang w:eastAsia="zh-CN"/>
        </w:rPr>
        <w:t>http://ggzy.ah.gov.cn/ahggfwpt-zhutiku/dengludenglu</w:t>
      </w:r>
      <w:r>
        <w:rPr>
          <w:rFonts w:hint="eastAsia" w:ascii="仿宋" w:hAnsi="仿宋" w:eastAsia="仿宋"/>
          <w:color w:val="auto"/>
          <w:sz w:val="28"/>
          <w:szCs w:val="28"/>
          <w:highlight w:val="none"/>
        </w:rPr>
        <w:t>）登记并进行信息确认提交的供应商参加，未登记的供应商请及时办理CA数字证书并登录安徽省公共资源交易市场主体库进行信息填写及确认提交；已办理过CA数字证书视为已在省库登记，进行信息更新及确认提交即可。办理流程为</w:t>
      </w:r>
      <w:r>
        <w:rPr>
          <w:rFonts w:hint="eastAsia" w:ascii="仿宋" w:hAnsi="仿宋" w:eastAsia="仿宋"/>
          <w:color w:val="auto"/>
          <w:sz w:val="28"/>
          <w:szCs w:val="28"/>
          <w:highlight w:val="none"/>
          <w:lang w:eastAsia="zh-CN"/>
        </w:rPr>
        <w:t>登录</w:t>
      </w:r>
      <w:r>
        <w:rPr>
          <w:rFonts w:hint="eastAsia" w:ascii="仿宋" w:hAnsi="仿宋" w:eastAsia="仿宋"/>
          <w:color w:val="auto"/>
          <w:sz w:val="28"/>
          <w:szCs w:val="28"/>
          <w:highlight w:val="none"/>
        </w:rPr>
        <w:t>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参加本项目的，责任自负。为保证系统使用过程中产生的问题能够及时得到解决，请各主体在工作时间进行主体信息登记、更新、响应文件制作等相关操作。</w:t>
      </w:r>
    </w:p>
    <w:p w14:paraId="4C77C1FB">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2.请供应商登录滁州市公共资源交易中心网站查看参加本项目的程序。（具体操作步骤和程序请参见服务指南&gt;交易须知&gt;供应商填写信息、下载文件及网上提问操作手册）。</w:t>
      </w:r>
    </w:p>
    <w:p w14:paraId="50CD2894">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本项目采用不见面开标（远程解密)方式，开启时供应商无须至现场进行解密，采取远程解密方式解密响应文件，解密方式为：供应商在开标时间前使用CA数字证书登录滁州市“不见面开标系统”，网址为https：//ggzy.chuzhou.gov.cn/BidOpening等待开启并按系统提示进行相应的供应商解密等事项，无需到现场。采用本方式可以观看开启现场音视频直播并进行互动交流。具体操作方法见中心网站&gt;服务指南&gt;交易须知中的《滁州市不见面开标系统操作手册》。</w:t>
      </w:r>
    </w:p>
    <w:p w14:paraId="4919E80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仿宋" w:hAnsi="仿宋" w:eastAsia="仿宋"/>
          <w:color w:val="auto"/>
          <w:sz w:val="28"/>
          <w:szCs w:val="28"/>
          <w:highlight w:val="none"/>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51EE6071">
      <w:pPr>
        <w:keepNext w:val="0"/>
        <w:keepLines w:val="0"/>
        <w:pageBreakBefore w:val="0"/>
        <w:kinsoku/>
        <w:wordWrap/>
        <w:overflowPunct/>
        <w:topLinePunct w:val="0"/>
        <w:autoSpaceDE/>
        <w:autoSpaceDN/>
        <w:bidi w:val="0"/>
        <w:adjustRightInd/>
        <w:snapToGrid/>
        <w:spacing w:before="260" w:after="260"/>
        <w:textAlignment w:val="auto"/>
        <w:outlineLvl w:val="9"/>
        <w:rPr>
          <w:rFonts w:hint="eastAsia"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九</w:t>
      </w:r>
      <w:r>
        <w:rPr>
          <w:rFonts w:hint="eastAsia" w:ascii="黑体" w:hAnsi="黑体" w:eastAsia="黑体"/>
          <w:color w:val="auto"/>
          <w:sz w:val="28"/>
          <w:szCs w:val="28"/>
          <w:highlight w:val="none"/>
        </w:rPr>
        <w:t>、</w:t>
      </w:r>
      <w:bookmarkEnd w:id="6"/>
      <w:r>
        <w:rPr>
          <w:rFonts w:hint="eastAsia" w:ascii="黑体" w:hAnsi="黑体" w:eastAsia="黑体"/>
          <w:color w:val="auto"/>
          <w:sz w:val="28"/>
          <w:szCs w:val="28"/>
          <w:highlight w:val="none"/>
        </w:rPr>
        <w:t>对本次</w:t>
      </w:r>
      <w:r>
        <w:rPr>
          <w:rFonts w:hint="eastAsia" w:ascii="黑体" w:hAnsi="黑体" w:eastAsia="黑体"/>
          <w:color w:val="auto"/>
          <w:sz w:val="28"/>
          <w:szCs w:val="28"/>
          <w:highlight w:val="none"/>
          <w:lang w:val="en-US" w:eastAsia="zh-CN"/>
        </w:rPr>
        <w:t>采购</w:t>
      </w:r>
      <w:r>
        <w:rPr>
          <w:rFonts w:hint="eastAsia" w:ascii="黑体" w:hAnsi="黑体" w:eastAsia="黑体"/>
          <w:color w:val="auto"/>
          <w:sz w:val="28"/>
          <w:szCs w:val="28"/>
          <w:highlight w:val="none"/>
        </w:rPr>
        <w:t>提出询问，请按以下方式联系</w:t>
      </w:r>
      <w:bookmarkEnd w:id="7"/>
    </w:p>
    <w:p w14:paraId="0F831224">
      <w:pPr>
        <w:keepNext w:val="0"/>
        <w:keepLines w:val="0"/>
        <w:pageBreakBefore w:val="0"/>
        <w:widowControl w:val="0"/>
        <w:kinsoku/>
        <w:wordWrap/>
        <w:overflowPunct/>
        <w:topLinePunct w:val="0"/>
        <w:autoSpaceDE/>
        <w:autoSpaceDN/>
        <w:bidi w:val="0"/>
        <w:adjustRightInd/>
        <w:snapToGrid/>
        <w:spacing w:before="260" w:after="260" w:line="360" w:lineRule="auto"/>
        <w:ind w:firstLine="560" w:firstLineChars="200"/>
        <w:textAlignment w:val="auto"/>
        <w:outlineLvl w:val="9"/>
        <w:rPr>
          <w:rFonts w:hint="eastAsia" w:ascii="仿宋" w:hAnsi="仿宋" w:eastAsia="仿宋" w:cs="仿宋"/>
          <w:color w:val="auto"/>
          <w:sz w:val="28"/>
          <w:szCs w:val="28"/>
          <w:highlight w:val="none"/>
          <w:lang w:val="en-US" w:eastAsia="zh-CN"/>
        </w:rPr>
      </w:pPr>
      <w:bookmarkStart w:id="26" w:name="_Toc13220"/>
      <w:r>
        <w:rPr>
          <w:rFonts w:hint="eastAsia" w:ascii="仿宋" w:hAnsi="仿宋" w:eastAsia="仿宋" w:cs="仿宋"/>
          <w:color w:val="auto"/>
          <w:sz w:val="28"/>
          <w:szCs w:val="28"/>
          <w:highlight w:val="none"/>
        </w:rPr>
        <w:t>1.采购人</w:t>
      </w:r>
      <w:r>
        <w:rPr>
          <w:rFonts w:hint="eastAsia" w:ascii="仿宋" w:hAnsi="仿宋" w:eastAsia="仿宋" w:cs="仿宋"/>
          <w:color w:val="auto"/>
          <w:sz w:val="28"/>
          <w:szCs w:val="28"/>
          <w:highlight w:val="none"/>
          <w:lang w:val="en-US" w:eastAsia="zh-CN"/>
        </w:rPr>
        <w:t>信息</w:t>
      </w:r>
    </w:p>
    <w:p w14:paraId="32E689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val="en-US" w:eastAsia="zh-CN"/>
        </w:rPr>
        <w:t>名  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eastAsia="zh-CN"/>
        </w:rPr>
        <w:t>明光市公路运输管理服务中心</w:t>
      </w:r>
    </w:p>
    <w:p w14:paraId="0A6800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明光市交通运输综合服务中心大楼</w:t>
      </w:r>
    </w:p>
    <w:p w14:paraId="1DA1FF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联系人：</w:t>
      </w:r>
      <w:r>
        <w:rPr>
          <w:rFonts w:hint="eastAsia" w:ascii="仿宋" w:hAnsi="仿宋" w:eastAsia="仿宋" w:cs="仿宋"/>
          <w:color w:val="auto"/>
          <w:sz w:val="28"/>
          <w:szCs w:val="28"/>
          <w:highlight w:val="none"/>
          <w:u w:val="single"/>
          <w:lang w:val="en-US" w:eastAsia="zh-CN"/>
        </w:rPr>
        <w:t>张厚芝</w:t>
      </w:r>
    </w:p>
    <w:p w14:paraId="17BB6A1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val="0"/>
          <w:color w:val="auto"/>
          <w:sz w:val="28"/>
          <w:szCs w:val="28"/>
          <w:highlight w:val="none"/>
          <w:u w:val="none"/>
          <w:lang w:eastAsia="zh-CN"/>
        </w:rPr>
      </w:pPr>
      <w:r>
        <w:rPr>
          <w:rFonts w:hint="eastAsia" w:ascii="仿宋" w:hAnsi="仿宋" w:eastAsia="仿宋" w:cs="仿宋"/>
          <w:color w:val="auto"/>
          <w:sz w:val="28"/>
          <w:szCs w:val="28"/>
          <w:highlight w:val="none"/>
        </w:rPr>
        <w:t>联系</w:t>
      </w:r>
      <w:r>
        <w:rPr>
          <w:rFonts w:hint="eastAsia" w:ascii="仿宋" w:hAnsi="仿宋" w:eastAsia="仿宋" w:cs="仿宋"/>
          <w:color w:val="auto"/>
          <w:sz w:val="28"/>
          <w:szCs w:val="28"/>
          <w:highlight w:val="none"/>
          <w:lang w:val="en-US" w:eastAsia="zh-CN"/>
        </w:rPr>
        <w:t>方式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val="en-US" w:eastAsia="zh-CN"/>
        </w:rPr>
        <w:t>0550-8157333 </w:t>
      </w:r>
    </w:p>
    <w:p w14:paraId="4DA87338">
      <w:pPr>
        <w:keepNext w:val="0"/>
        <w:keepLines w:val="0"/>
        <w:pageBreakBefore w:val="0"/>
        <w:widowControl w:val="0"/>
        <w:kinsoku/>
        <w:wordWrap/>
        <w:overflowPunct/>
        <w:topLinePunct w:val="0"/>
        <w:autoSpaceDE/>
        <w:autoSpaceDN/>
        <w:bidi w:val="0"/>
        <w:adjustRightInd/>
        <w:snapToGrid/>
        <w:spacing w:before="260" w:after="260" w:line="360" w:lineRule="auto"/>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2.采购代理机构</w:t>
      </w:r>
      <w:r>
        <w:rPr>
          <w:rFonts w:hint="eastAsia" w:ascii="仿宋" w:hAnsi="仿宋" w:eastAsia="仿宋" w:cs="仿宋"/>
          <w:color w:val="auto"/>
          <w:sz w:val="28"/>
          <w:szCs w:val="28"/>
          <w:highlight w:val="none"/>
          <w:lang w:val="en-US" w:eastAsia="zh-CN"/>
        </w:rPr>
        <w:t>信息</w:t>
      </w:r>
    </w:p>
    <w:p w14:paraId="2FC862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val="en-US" w:eastAsia="zh-CN"/>
        </w:rPr>
        <w:t>名  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eastAsia="zh-CN"/>
        </w:rPr>
        <w:t>中技建设咨询有限公司</w:t>
      </w:r>
    </w:p>
    <w:p w14:paraId="4E7F3E9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安徽省滁州市明光市洪武路23号</w:t>
      </w:r>
    </w:p>
    <w:p w14:paraId="27BD63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联系人：</w:t>
      </w:r>
      <w:r>
        <w:rPr>
          <w:rFonts w:hint="eastAsia" w:ascii="仿宋" w:hAnsi="仿宋" w:eastAsia="仿宋" w:cs="仿宋"/>
          <w:color w:val="auto"/>
          <w:sz w:val="28"/>
          <w:szCs w:val="28"/>
          <w:highlight w:val="none"/>
          <w:u w:val="single"/>
          <w:lang w:val="en-US" w:eastAsia="zh-CN"/>
        </w:rPr>
        <w:t>芦树青</w:t>
      </w:r>
    </w:p>
    <w:p w14:paraId="2565F55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w:t>
      </w:r>
      <w:r>
        <w:rPr>
          <w:rFonts w:hint="eastAsia" w:ascii="仿宋" w:hAnsi="仿宋" w:eastAsia="仿宋" w:cs="仿宋"/>
          <w:color w:val="auto"/>
          <w:sz w:val="28"/>
          <w:szCs w:val="28"/>
          <w:highlight w:val="none"/>
          <w:lang w:val="en-US" w:eastAsia="zh-CN"/>
        </w:rPr>
        <w:t>方式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val="en-US" w:eastAsia="zh-CN"/>
        </w:rPr>
        <w:t>15255074355、18256917278</w:t>
      </w:r>
    </w:p>
    <w:p w14:paraId="5BCF4C63">
      <w:pPr>
        <w:keepNext w:val="0"/>
        <w:keepLines w:val="0"/>
        <w:pageBreakBefore w:val="0"/>
        <w:widowControl w:val="0"/>
        <w:kinsoku/>
        <w:wordWrap/>
        <w:overflowPunct/>
        <w:topLinePunct w:val="0"/>
        <w:autoSpaceDE/>
        <w:autoSpaceDN/>
        <w:bidi w:val="0"/>
        <w:adjustRightInd/>
        <w:snapToGrid/>
        <w:spacing w:before="260" w:after="260" w:line="360" w:lineRule="auto"/>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.政府采购监督管理部门</w:t>
      </w:r>
      <w:r>
        <w:rPr>
          <w:rFonts w:hint="eastAsia" w:ascii="仿宋" w:hAnsi="仿宋" w:eastAsia="仿宋" w:cs="仿宋"/>
          <w:color w:val="auto"/>
          <w:sz w:val="28"/>
          <w:szCs w:val="28"/>
          <w:highlight w:val="none"/>
          <w:lang w:val="en-US" w:eastAsia="zh-CN"/>
        </w:rPr>
        <w:t>信息</w:t>
      </w:r>
    </w:p>
    <w:p w14:paraId="5AA4D1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val="en-US" w:eastAsia="zh-CN"/>
        </w:rPr>
        <w:t>明光市财政局</w:t>
      </w:r>
    </w:p>
    <w:p w14:paraId="61707C3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明光市政务中心4楼405办公室</w:t>
      </w:r>
    </w:p>
    <w:p w14:paraId="2D7D249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8"/>
          <w:szCs w:val="28"/>
          <w:highlight w:val="none"/>
        </w:rPr>
        <w:t>联系</w:t>
      </w:r>
      <w:r>
        <w:rPr>
          <w:rFonts w:hint="eastAsia" w:ascii="仿宋" w:hAnsi="仿宋" w:eastAsia="仿宋" w:cs="仿宋"/>
          <w:color w:val="auto"/>
          <w:sz w:val="28"/>
          <w:szCs w:val="28"/>
          <w:highlight w:val="none"/>
          <w:lang w:val="en-US" w:eastAsia="zh-CN"/>
        </w:rPr>
        <w:t>方式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0550-8151286</w:t>
      </w:r>
    </w:p>
    <w:bookmarkEnd w:id="26"/>
    <w:p w14:paraId="251125D3">
      <w:pPr>
        <w:spacing w:line="360" w:lineRule="auto"/>
        <w:ind w:firstLine="435"/>
        <w:rPr>
          <w:color w:val="auto"/>
          <w:sz w:val="24"/>
          <w:szCs w:val="18"/>
          <w:highlight w:val="none"/>
        </w:rPr>
      </w:pPr>
      <w:r>
        <w:rPr>
          <w:color w:val="auto"/>
          <w:sz w:val="24"/>
          <w:szCs w:val="18"/>
          <w:highlight w:val="none"/>
        </w:rPr>
        <w:br w:type="page"/>
      </w:r>
    </w:p>
    <w:p w14:paraId="7D4C5E3E">
      <w:pPr>
        <w:spacing w:line="360" w:lineRule="auto"/>
        <w:jc w:val="center"/>
        <w:outlineLvl w:val="0"/>
        <w:rPr>
          <w:rFonts w:asciiTheme="minorEastAsia" w:hAnsiTheme="minorEastAsia" w:eastAsiaTheme="minorEastAsia"/>
          <w:b/>
          <w:color w:val="auto"/>
          <w:sz w:val="28"/>
          <w:highlight w:val="none"/>
        </w:rPr>
      </w:pPr>
      <w:bookmarkStart w:id="27" w:name="_Toc32399"/>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7"/>
    </w:p>
    <w:p w14:paraId="02FC4CC7">
      <w:pPr>
        <w:spacing w:line="360" w:lineRule="auto"/>
        <w:jc w:val="center"/>
        <w:outlineLvl w:val="1"/>
        <w:rPr>
          <w:rFonts w:asciiTheme="minorEastAsia" w:hAnsiTheme="minorEastAsia" w:eastAsiaTheme="minorEastAsia"/>
          <w:b/>
          <w:color w:val="auto"/>
          <w:sz w:val="24"/>
          <w:highlight w:val="none"/>
        </w:rPr>
      </w:pPr>
      <w:bookmarkStart w:id="28" w:name="_Toc14562"/>
      <w:bookmarkStart w:id="29" w:name="_Toc8634"/>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8"/>
      <w:bookmarkEnd w:id="29"/>
    </w:p>
    <w:p w14:paraId="05468378">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61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864"/>
        <w:gridCol w:w="7846"/>
      </w:tblGrid>
      <w:tr w14:paraId="76F7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00C1DDFE">
            <w:pPr>
              <w:pStyle w:val="75"/>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885" w:type="pct"/>
            <w:vAlign w:val="center"/>
          </w:tcPr>
          <w:p w14:paraId="64749E08">
            <w:pPr>
              <w:pStyle w:val="75"/>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3727" w:type="pct"/>
            <w:vAlign w:val="center"/>
          </w:tcPr>
          <w:p w14:paraId="676C1BFB">
            <w:pPr>
              <w:pStyle w:val="75"/>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72C5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6D8A1DA5">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eastAsia="zh-CN"/>
              </w:rPr>
            </w:pPr>
            <w:r>
              <w:rPr>
                <w:rFonts w:hint="eastAsia"/>
                <w:bCs/>
                <w:color w:val="auto"/>
                <w:kern w:val="2"/>
                <w:highlight w:val="none"/>
                <w:lang w:val="en-US" w:eastAsia="zh-CN"/>
              </w:rPr>
              <w:t>5</w:t>
            </w:r>
            <w:r>
              <w:rPr>
                <w:bCs/>
                <w:color w:val="auto"/>
                <w:kern w:val="2"/>
                <w:highlight w:val="none"/>
              </w:rPr>
              <w:t>.</w:t>
            </w:r>
            <w:r>
              <w:rPr>
                <w:rFonts w:hint="eastAsia"/>
                <w:bCs/>
                <w:color w:val="auto"/>
                <w:kern w:val="2"/>
                <w:highlight w:val="none"/>
                <w:lang w:val="en-US" w:eastAsia="zh-CN"/>
              </w:rPr>
              <w:t>2</w:t>
            </w:r>
          </w:p>
        </w:tc>
        <w:tc>
          <w:tcPr>
            <w:tcW w:w="885" w:type="pct"/>
            <w:vAlign w:val="center"/>
          </w:tcPr>
          <w:p w14:paraId="04EB3D52">
            <w:pPr>
              <w:pStyle w:val="75"/>
              <w:widowControl w:val="0"/>
              <w:spacing w:before="0" w:beforeAutospacing="0" w:after="0" w:afterAutospacing="0" w:line="360" w:lineRule="auto"/>
              <w:jc w:val="left"/>
              <w:rPr>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727" w:type="pct"/>
            <w:vAlign w:val="center"/>
          </w:tcPr>
          <w:p w14:paraId="7811119E">
            <w:pPr>
              <w:spacing w:line="360" w:lineRule="auto"/>
              <w:rPr>
                <w:rFonts w:ascii="宋体" w:hAnsi="宋体" w:eastAsia="宋体"/>
                <w:bCs/>
                <w:color w:val="auto"/>
                <w:sz w:val="24"/>
                <w:highlight w:val="none"/>
              </w:rPr>
            </w:pP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3794206F">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hint="eastAsia"/>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hint="eastAsia"/>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hint="eastAsia"/>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hint="eastAsia"/>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34E1D724">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hint="eastAsia"/>
                <w:bCs/>
                <w:color w:val="auto"/>
                <w:sz w:val="24"/>
                <w:highlight w:val="none"/>
                <w:u w:val="single"/>
                <w:lang w:val="en-US" w:eastAsia="zh-CN"/>
              </w:rPr>
              <w:t>/</w:t>
            </w:r>
            <w:r>
              <w:rPr>
                <w:rFonts w:ascii="宋体" w:hAnsi="宋体" w:eastAsia="宋体"/>
                <w:bCs/>
                <w:color w:val="auto"/>
                <w:sz w:val="24"/>
                <w:highlight w:val="none"/>
                <w:u w:val="single"/>
              </w:rPr>
              <w:t xml:space="preserve">  </w:t>
            </w:r>
          </w:p>
          <w:p w14:paraId="263EAEF1">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hint="eastAsia"/>
                <w:bCs/>
                <w:color w:val="auto"/>
                <w:sz w:val="24"/>
                <w:highlight w:val="none"/>
                <w:u w:val="single"/>
                <w:lang w:val="en-US" w:eastAsia="zh-CN"/>
              </w:rPr>
              <w:t>/</w:t>
            </w:r>
            <w:r>
              <w:rPr>
                <w:rFonts w:ascii="宋体" w:hAnsi="宋体" w:eastAsia="宋体"/>
                <w:bCs/>
                <w:color w:val="auto"/>
                <w:sz w:val="24"/>
                <w:highlight w:val="none"/>
                <w:u w:val="single"/>
              </w:rPr>
              <w:t xml:space="preserve"> </w:t>
            </w:r>
          </w:p>
          <w:p w14:paraId="1001B10A">
            <w:pPr>
              <w:pStyle w:val="75"/>
              <w:widowControl w:val="0"/>
              <w:spacing w:before="0" w:beforeAutospacing="0" w:after="0" w:afterAutospacing="0" w:line="360" w:lineRule="auto"/>
              <w:jc w:val="both"/>
              <w:rPr>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如供应商未参加采购人统一组织的现场考察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，由此引起的一切责任由供应商自行承担。</w:t>
            </w:r>
          </w:p>
        </w:tc>
      </w:tr>
      <w:tr w14:paraId="3B46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5E996153">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6</w:t>
            </w:r>
            <w:r>
              <w:rPr>
                <w:bCs/>
                <w:color w:val="auto"/>
                <w:kern w:val="2"/>
                <w:highlight w:val="none"/>
              </w:rPr>
              <w:t>.1</w:t>
            </w:r>
          </w:p>
        </w:tc>
        <w:tc>
          <w:tcPr>
            <w:tcW w:w="885" w:type="pct"/>
            <w:vAlign w:val="center"/>
          </w:tcPr>
          <w:p w14:paraId="77DE19A0">
            <w:pPr>
              <w:pStyle w:val="75"/>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3727" w:type="pct"/>
            <w:vAlign w:val="center"/>
          </w:tcPr>
          <w:p w14:paraId="260955FD">
            <w:pPr>
              <w:pStyle w:val="75"/>
              <w:widowControl w:val="0"/>
              <w:spacing w:before="0" w:beforeAutospacing="0" w:after="0" w:afterAutospacing="0" w:line="360" w:lineRule="auto"/>
              <w:jc w:val="both"/>
              <w:rPr>
                <w:b w:val="0"/>
                <w:color w:val="auto"/>
                <w:sz w:val="24"/>
                <w:highlight w:val="none"/>
              </w:rPr>
            </w:pPr>
            <w:r>
              <w:rPr>
                <w:rFonts w:hint="eastAsia"/>
                <w:b w:val="0"/>
                <w:color w:val="000000" w:themeColor="text1"/>
                <w:sz w:val="24"/>
                <w:highlight w:val="none"/>
                <w:u w:val="single"/>
                <w:lang w:val="en-US" w:eastAsia="zh-CN"/>
                <w14:textFill>
                  <w14:solidFill>
                    <w14:schemeClr w14:val="tx1"/>
                  </w14:solidFill>
                </w14:textFill>
              </w:rPr>
              <w:t>2025年04月03日08</w:t>
            </w:r>
            <w:r>
              <w:rPr>
                <w:b w:val="0"/>
                <w:color w:val="000000" w:themeColor="text1"/>
                <w:sz w:val="24"/>
                <w:highlight w:val="none"/>
                <w:u w:val="single"/>
                <w14:textFill>
                  <w14:solidFill>
                    <w14:schemeClr w14:val="tx1"/>
                  </w14:solidFill>
                </w14:textFill>
              </w:rPr>
              <w:t>时</w:t>
            </w:r>
            <w:r>
              <w:rPr>
                <w:rFonts w:hint="eastAsia"/>
                <w:b w:val="0"/>
                <w:color w:val="000000" w:themeColor="text1"/>
                <w:sz w:val="24"/>
                <w:highlight w:val="none"/>
                <w:u w:val="single"/>
                <w:lang w:val="en-US" w:eastAsia="zh-CN"/>
                <w14:textFill>
                  <w14:solidFill>
                    <w14:schemeClr w14:val="tx1"/>
                  </w14:solidFill>
                </w14:textFill>
              </w:rPr>
              <w:t>00</w:t>
            </w:r>
            <w:r>
              <w:rPr>
                <w:rFonts w:hint="eastAsia"/>
                <w:b w:val="0"/>
                <w:color w:val="000000" w:themeColor="text1"/>
                <w:sz w:val="24"/>
                <w:highlight w:val="none"/>
                <w:u w:val="single"/>
                <w14:textFill>
                  <w14:solidFill>
                    <w14:schemeClr w14:val="tx1"/>
                  </w14:solidFill>
                </w14:textFill>
              </w:rPr>
              <w:t>分</w:t>
            </w:r>
          </w:p>
        </w:tc>
      </w:tr>
      <w:tr w14:paraId="2F4C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387" w:type="pct"/>
            <w:vAlign w:val="center"/>
          </w:tcPr>
          <w:p w14:paraId="14B5804E">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7</w:t>
            </w:r>
            <w:r>
              <w:rPr>
                <w:bCs/>
                <w:color w:val="auto"/>
                <w:kern w:val="2"/>
                <w:highlight w:val="none"/>
              </w:rPr>
              <w:t>.1</w:t>
            </w:r>
          </w:p>
        </w:tc>
        <w:tc>
          <w:tcPr>
            <w:tcW w:w="885" w:type="pct"/>
            <w:vAlign w:val="center"/>
          </w:tcPr>
          <w:p w14:paraId="1C7F43A0">
            <w:pPr>
              <w:pStyle w:val="75"/>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3727" w:type="pct"/>
            <w:vAlign w:val="center"/>
          </w:tcPr>
          <w:p w14:paraId="2C9C162A">
            <w:pPr>
              <w:pStyle w:val="75"/>
              <w:widowControl w:val="0"/>
              <w:spacing w:before="0" w:beforeAutospacing="0" w:after="0" w:afterAutospacing="0" w:line="360" w:lineRule="auto"/>
              <w:jc w:val="both"/>
              <w:rPr>
                <w:b w:val="0"/>
                <w:color w:val="auto"/>
                <w:sz w:val="24"/>
                <w:highlight w:val="none"/>
              </w:rPr>
            </w:pPr>
            <w:r>
              <w:rPr>
                <w:b w:val="0"/>
                <w:color w:val="auto"/>
                <w:sz w:val="24"/>
                <w:highlight w:val="none"/>
              </w:rPr>
              <w:t>不分包</w:t>
            </w:r>
          </w:p>
          <w:p w14:paraId="48DA98D3">
            <w:pPr>
              <w:pStyle w:val="75"/>
              <w:widowControl w:val="0"/>
              <w:spacing w:before="0" w:beforeAutospacing="0" w:after="0" w:afterAutospacing="0" w:line="360" w:lineRule="auto"/>
              <w:jc w:val="both"/>
              <w:rPr>
                <w:b w:val="0"/>
                <w:color w:val="auto"/>
                <w:sz w:val="24"/>
                <w:highlight w:val="none"/>
              </w:rPr>
            </w:pPr>
            <w:r>
              <w:rPr>
                <w:rFonts w:hint="eastAsia"/>
                <w:b w:val="0"/>
                <w:bCs w:val="0"/>
                <w:color w:val="auto"/>
                <w:sz w:val="24"/>
                <w:szCs w:val="24"/>
                <w:highlight w:val="none"/>
              </w:rPr>
              <w:t>供应商参加多个包谈判的成交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rPr>
              <w:t xml:space="preserve"> </w:t>
            </w:r>
            <w:r>
              <w:rPr>
                <w:b w:val="0"/>
                <w:bCs w:val="0"/>
                <w:color w:val="auto"/>
                <w:sz w:val="24"/>
                <w:szCs w:val="18"/>
                <w:highlight w:val="none"/>
                <w:u w:val="single"/>
              </w:rPr>
              <w:t xml:space="preserve"> </w:t>
            </w:r>
            <w:r>
              <w:rPr>
                <w:rFonts w:hint="eastAsia"/>
                <w:b w:val="0"/>
                <w:bCs w:val="0"/>
                <w:color w:val="auto"/>
                <w:sz w:val="24"/>
                <w:szCs w:val="18"/>
                <w:highlight w:val="none"/>
                <w:u w:val="single"/>
                <w:lang w:val="en-US" w:eastAsia="zh-CN"/>
              </w:rPr>
              <w:t>/</w:t>
            </w:r>
            <w:r>
              <w:rPr>
                <w:b w:val="0"/>
                <w:bCs w:val="0"/>
                <w:color w:val="auto"/>
                <w:sz w:val="24"/>
                <w:szCs w:val="18"/>
                <w:highlight w:val="none"/>
                <w:u w:val="single"/>
              </w:rPr>
              <w:t xml:space="preserve">  </w:t>
            </w:r>
          </w:p>
        </w:tc>
      </w:tr>
      <w:tr w14:paraId="1BFE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87" w:type="pct"/>
            <w:vAlign w:val="center"/>
          </w:tcPr>
          <w:p w14:paraId="21496090">
            <w:pPr>
              <w:pStyle w:val="76"/>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0</w:t>
            </w:r>
            <w:r>
              <w:rPr>
                <w:bCs/>
                <w:color w:val="auto"/>
                <w:kern w:val="2"/>
                <w:highlight w:val="none"/>
              </w:rPr>
              <w:t>.1</w:t>
            </w:r>
          </w:p>
        </w:tc>
        <w:tc>
          <w:tcPr>
            <w:tcW w:w="885" w:type="pct"/>
            <w:vAlign w:val="center"/>
          </w:tcPr>
          <w:p w14:paraId="6D152EB8">
            <w:pPr>
              <w:pStyle w:val="75"/>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谈判保证金</w:t>
            </w:r>
          </w:p>
        </w:tc>
        <w:tc>
          <w:tcPr>
            <w:tcW w:w="3727" w:type="pct"/>
            <w:vAlign w:val="center"/>
          </w:tcPr>
          <w:p w14:paraId="2B0CE64B">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tc>
      </w:tr>
      <w:tr w14:paraId="6E7F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4C44112A">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1</w:t>
            </w:r>
            <w:r>
              <w:rPr>
                <w:bCs/>
                <w:color w:val="auto"/>
                <w:kern w:val="2"/>
                <w:highlight w:val="none"/>
              </w:rPr>
              <w:t>.1</w:t>
            </w:r>
          </w:p>
        </w:tc>
        <w:tc>
          <w:tcPr>
            <w:tcW w:w="885" w:type="pct"/>
            <w:vAlign w:val="center"/>
          </w:tcPr>
          <w:p w14:paraId="15DCAE00">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谈判有效期</w:t>
            </w:r>
          </w:p>
        </w:tc>
        <w:tc>
          <w:tcPr>
            <w:tcW w:w="3727" w:type="pct"/>
            <w:vAlign w:val="center"/>
          </w:tcPr>
          <w:p w14:paraId="56967B4B">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 xml:space="preserve"> </w:t>
            </w:r>
            <w:r>
              <w:rPr>
                <w:rFonts w:hint="eastAsia"/>
                <w:b w:val="0"/>
                <w:color w:val="auto"/>
                <w:sz w:val="24"/>
                <w:highlight w:val="none"/>
                <w:u w:val="single"/>
                <w:lang w:val="en-US" w:eastAsia="zh-CN"/>
              </w:rPr>
              <w:t>60</w:t>
            </w:r>
            <w:r>
              <w:rPr>
                <w:rFonts w:hint="eastAsia"/>
                <w:b w:val="0"/>
                <w:color w:val="auto"/>
                <w:sz w:val="24"/>
                <w:highlight w:val="none"/>
                <w:u w:val="single"/>
              </w:rPr>
              <w:t xml:space="preserve"> </w:t>
            </w:r>
            <w:r>
              <w:rPr>
                <w:rFonts w:hint="eastAsia"/>
                <w:b w:val="0"/>
                <w:color w:val="auto"/>
                <w:sz w:val="24"/>
                <w:highlight w:val="none"/>
              </w:rPr>
              <w:t>日历日</w:t>
            </w:r>
          </w:p>
        </w:tc>
      </w:tr>
      <w:tr w14:paraId="15E6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682B90F1">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2</w:t>
            </w:r>
            <w:r>
              <w:rPr>
                <w:bCs/>
                <w:color w:val="auto"/>
                <w:kern w:val="2"/>
                <w:highlight w:val="none"/>
              </w:rPr>
              <w:t>.3</w:t>
            </w:r>
          </w:p>
        </w:tc>
        <w:tc>
          <w:tcPr>
            <w:tcW w:w="885" w:type="pct"/>
            <w:vAlign w:val="center"/>
          </w:tcPr>
          <w:p w14:paraId="1F11BFFA">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3727" w:type="pct"/>
            <w:vAlign w:val="center"/>
          </w:tcPr>
          <w:p w14:paraId="6944A41F">
            <w:pPr>
              <w:pStyle w:val="75"/>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u w:val="none"/>
              </w:rPr>
              <w:t>响应文件提交截止时间后</w:t>
            </w:r>
            <w:r>
              <w:rPr>
                <w:rFonts w:hint="eastAsia"/>
                <w:b w:val="0"/>
                <w:color w:val="auto"/>
                <w:sz w:val="24"/>
                <w:highlight w:val="none"/>
                <w:u w:val="single"/>
                <w:lang w:val="en-US" w:eastAsia="zh-CN"/>
              </w:rPr>
              <w:t>60</w:t>
            </w:r>
            <w:r>
              <w:rPr>
                <w:rFonts w:hint="eastAsia"/>
                <w:b w:val="0"/>
                <w:color w:val="auto"/>
                <w:sz w:val="24"/>
                <w:highlight w:val="none"/>
                <w:u w:val="none"/>
              </w:rPr>
              <w:t>分钟内（以本项目网上招投标系统解密倒计时为准）。</w:t>
            </w:r>
          </w:p>
        </w:tc>
      </w:tr>
      <w:tr w14:paraId="228A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6D6F9619">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4</w:t>
            </w:r>
            <w:r>
              <w:rPr>
                <w:rFonts w:hint="eastAsia"/>
                <w:bCs/>
                <w:color w:val="auto"/>
                <w:kern w:val="2"/>
                <w:highlight w:val="none"/>
              </w:rPr>
              <w:t>.3</w:t>
            </w:r>
          </w:p>
        </w:tc>
        <w:tc>
          <w:tcPr>
            <w:tcW w:w="885" w:type="pct"/>
            <w:vAlign w:val="center"/>
          </w:tcPr>
          <w:p w14:paraId="2A2116BD">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3727" w:type="pct"/>
            <w:vAlign w:val="center"/>
          </w:tcPr>
          <w:p w14:paraId="2ACBA9E4">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none"/>
              </w:rPr>
              <w:t>最低评标价法</w:t>
            </w:r>
          </w:p>
        </w:tc>
      </w:tr>
      <w:tr w14:paraId="364C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0F0A9E00">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17</w:t>
            </w:r>
            <w:r>
              <w:rPr>
                <w:bCs/>
                <w:color w:val="auto"/>
                <w:kern w:val="2"/>
                <w:highlight w:val="none"/>
              </w:rPr>
              <w:t>.</w:t>
            </w:r>
            <w:r>
              <w:rPr>
                <w:rFonts w:hint="eastAsia"/>
                <w:bCs/>
                <w:color w:val="auto"/>
                <w:kern w:val="2"/>
                <w:highlight w:val="none"/>
              </w:rPr>
              <w:t>4</w:t>
            </w:r>
          </w:p>
        </w:tc>
        <w:tc>
          <w:tcPr>
            <w:tcW w:w="885" w:type="pct"/>
            <w:vAlign w:val="center"/>
          </w:tcPr>
          <w:p w14:paraId="0C3AB3DC">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最后报价扣除</w:t>
            </w:r>
          </w:p>
          <w:p w14:paraId="4CBA42BE">
            <w:pPr>
              <w:pStyle w:val="75"/>
              <w:widowControl w:val="0"/>
              <w:spacing w:before="0" w:beforeAutospacing="0" w:after="0" w:afterAutospacing="0" w:line="360" w:lineRule="auto"/>
              <w:jc w:val="both"/>
              <w:rPr>
                <w:b w:val="0"/>
                <w:color w:val="auto"/>
                <w:sz w:val="24"/>
                <w:highlight w:val="none"/>
              </w:rPr>
            </w:pPr>
            <w:r>
              <w:rPr>
                <w:rFonts w:hint="eastAsia"/>
                <w:b w:val="0"/>
                <w:i/>
                <w:color w:val="auto"/>
                <w:sz w:val="24"/>
                <w:highlight w:val="none"/>
              </w:rPr>
              <w:t>（非专门面向中小企业采购项目适用）</w:t>
            </w:r>
          </w:p>
        </w:tc>
        <w:tc>
          <w:tcPr>
            <w:tcW w:w="3727" w:type="pct"/>
            <w:vAlign w:val="center"/>
          </w:tcPr>
          <w:p w14:paraId="716A56F5">
            <w:pPr>
              <w:pStyle w:val="7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b w:val="0"/>
                <w:color w:val="auto"/>
                <w:sz w:val="24"/>
                <w:highlight w:val="none"/>
                <w:u w:val="single"/>
                <w:lang w:val="en-US" w:eastAsia="zh-CN"/>
              </w:rPr>
              <w:t>/</w:t>
            </w:r>
            <w:r>
              <w:rPr>
                <w:rFonts w:hint="eastAsia" w:ascii="宋体" w:hAnsi="宋体" w:eastAsia="宋体"/>
                <w:b w:val="0"/>
                <w:color w:val="auto"/>
                <w:sz w:val="24"/>
                <w:highlight w:val="none"/>
              </w:rPr>
              <w:t>。</w:t>
            </w:r>
          </w:p>
          <w:p w14:paraId="3D71339D">
            <w:pPr>
              <w:pStyle w:val="7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6E5FFBFC">
            <w:pPr>
              <w:pStyle w:val="7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5B6B9FF7">
            <w:pPr>
              <w:pStyle w:val="7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b w:val="0"/>
                <w:color w:val="auto"/>
                <w:sz w:val="24"/>
                <w:highlight w:val="none"/>
                <w:u w:val="single"/>
                <w:lang w:val="en-US" w:eastAsia="zh-CN"/>
              </w:rPr>
              <w:t>/</w:t>
            </w:r>
            <w:r>
              <w:rPr>
                <w:rFonts w:hint="eastAsia" w:ascii="宋体" w:hAnsi="宋体" w:eastAsia="宋体"/>
                <w:b w:val="0"/>
                <w:color w:val="auto"/>
                <w:sz w:val="24"/>
                <w:highlight w:val="none"/>
                <w:u w:val="single"/>
              </w:rPr>
              <w:t>。</w:t>
            </w:r>
          </w:p>
          <w:p w14:paraId="445231D4">
            <w:pPr>
              <w:pStyle w:val="75"/>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b w:val="0"/>
                <w:color w:val="auto"/>
                <w:sz w:val="24"/>
                <w:highlight w:val="none"/>
                <w:u w:val="single"/>
                <w:lang w:val="en-US" w:eastAsia="zh-CN"/>
              </w:rPr>
              <w:t>/</w:t>
            </w:r>
            <w:r>
              <w:rPr>
                <w:rFonts w:hint="eastAsia" w:ascii="宋体" w:hAnsi="宋体" w:eastAsia="宋体"/>
                <w:b w:val="0"/>
                <w:color w:val="auto"/>
                <w:sz w:val="24"/>
                <w:highlight w:val="none"/>
              </w:rPr>
              <w:t>。</w:t>
            </w:r>
            <w:r>
              <w:rPr>
                <w:rFonts w:hint="eastAsia" w:ascii="宋体" w:hAnsi="宋体" w:eastAsia="宋体"/>
                <w:b w:val="0"/>
                <w:i w:val="0"/>
                <w:iCs/>
                <w:color w:val="auto"/>
                <w:sz w:val="24"/>
                <w:highlight w:val="none"/>
              </w:rPr>
              <w:t>（允许大中型企业向小微企业分包的项目适用）</w:t>
            </w:r>
          </w:p>
        </w:tc>
      </w:tr>
      <w:tr w14:paraId="7B62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Merge w:val="restart"/>
            <w:vAlign w:val="center"/>
          </w:tcPr>
          <w:p w14:paraId="247E7316">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19</w:t>
            </w:r>
            <w:r>
              <w:rPr>
                <w:bCs/>
                <w:color w:val="auto"/>
                <w:kern w:val="2"/>
                <w:highlight w:val="none"/>
              </w:rPr>
              <w:t>.</w:t>
            </w:r>
            <w:r>
              <w:rPr>
                <w:rFonts w:hint="eastAsia"/>
                <w:bCs/>
                <w:color w:val="auto"/>
                <w:kern w:val="2"/>
                <w:highlight w:val="none"/>
              </w:rPr>
              <w:t>1</w:t>
            </w:r>
          </w:p>
        </w:tc>
        <w:tc>
          <w:tcPr>
            <w:tcW w:w="885" w:type="pct"/>
            <w:vMerge w:val="restart"/>
            <w:vAlign w:val="center"/>
          </w:tcPr>
          <w:p w14:paraId="4288BB81">
            <w:pPr>
              <w:pStyle w:val="75"/>
              <w:widowControl w:val="0"/>
              <w:spacing w:before="0" w:beforeAutospacing="0" w:after="0" w:afterAutospacing="0" w:line="360" w:lineRule="auto"/>
              <w:jc w:val="both"/>
              <w:rPr>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727" w:type="pct"/>
            <w:vAlign w:val="center"/>
          </w:tcPr>
          <w:p w14:paraId="3F05C633">
            <w:pPr>
              <w:pStyle w:val="75"/>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b w:val="0"/>
                <w:color w:val="auto"/>
                <w:sz w:val="24"/>
                <w:highlight w:val="none"/>
              </w:rPr>
              <w:t>谈判小组推荐成交</w:t>
            </w:r>
            <w:r>
              <w:rPr>
                <w:b w:val="0"/>
                <w:color w:val="auto"/>
                <w:sz w:val="24"/>
                <w:highlight w:val="none"/>
              </w:rPr>
              <w:t>候选</w:t>
            </w:r>
            <w:r>
              <w:rPr>
                <w:rFonts w:hint="eastAsia"/>
                <w:b w:val="0"/>
                <w:color w:val="auto"/>
                <w:sz w:val="24"/>
                <w:highlight w:val="none"/>
              </w:rPr>
              <w:t>供应商的</w:t>
            </w:r>
            <w:r>
              <w:rPr>
                <w:b w:val="0"/>
                <w:color w:val="auto"/>
                <w:sz w:val="24"/>
                <w:highlight w:val="none"/>
              </w:rPr>
              <w:t>数量</w:t>
            </w:r>
            <w:r>
              <w:rPr>
                <w:rFonts w:hint="eastAsia"/>
                <w:b w:val="0"/>
                <w:color w:val="auto"/>
                <w:sz w:val="24"/>
                <w:highlight w:val="none"/>
              </w:rPr>
              <w:t>：</w:t>
            </w:r>
            <w:r>
              <w:rPr>
                <w:rFonts w:hint="eastAsia" w:ascii="宋体" w:hAnsi="宋体" w:eastAsia="宋体"/>
                <w:b w:val="0"/>
                <w:color w:val="auto"/>
                <w:sz w:val="24"/>
                <w:highlight w:val="none"/>
              </w:rPr>
              <w:t>3家</w:t>
            </w:r>
            <w:r>
              <w:rPr>
                <w:rFonts w:hint="eastAsia" w:ascii="宋体" w:hAnsi="宋体" w:eastAsia="宋体"/>
                <w:b w:val="0"/>
                <w:color w:val="auto"/>
                <w:sz w:val="24"/>
                <w:highlight w:val="none"/>
                <w:lang w:val="en-US" w:eastAsia="zh-CN"/>
              </w:rPr>
              <w:t>以上</w:t>
            </w:r>
            <w:r>
              <w:rPr>
                <w:rFonts w:hint="eastAsia"/>
                <w:b w:val="0"/>
                <w:color w:val="auto"/>
                <w:sz w:val="24"/>
                <w:highlight w:val="none"/>
                <w:lang w:val="en-US" w:eastAsia="zh-CN"/>
              </w:rPr>
              <w:t>，并标明排序。</w:t>
            </w:r>
          </w:p>
          <w:p w14:paraId="0D6DC57D">
            <w:pPr>
              <w:pStyle w:val="75"/>
              <w:widowControl w:val="0"/>
              <w:spacing w:before="0" w:beforeAutospacing="0" w:after="0" w:afterAutospacing="0" w:line="360" w:lineRule="auto"/>
              <w:jc w:val="both"/>
              <w:rPr>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r>
              <w:rPr>
                <w:rFonts w:hint="eastAsia"/>
                <w:b w:val="0"/>
                <w:color w:val="auto"/>
                <w:sz w:val="24"/>
                <w:highlight w:val="none"/>
                <w:lang w:val="en-US" w:eastAsia="zh-CN"/>
              </w:rPr>
              <w:t>。</w:t>
            </w:r>
          </w:p>
        </w:tc>
      </w:tr>
      <w:tr w14:paraId="3E8A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Merge w:val="continue"/>
            <w:vAlign w:val="center"/>
          </w:tcPr>
          <w:p w14:paraId="5B797D34">
            <w:pPr>
              <w:pStyle w:val="76"/>
              <w:pBdr>
                <w:bottom w:val="none" w:color="auto" w:sz="0" w:space="0"/>
              </w:pBdr>
              <w:tabs>
                <w:tab w:val="clear" w:pos="4153"/>
                <w:tab w:val="clear" w:pos="8306"/>
              </w:tabs>
              <w:adjustRightInd/>
              <w:spacing w:line="360" w:lineRule="auto"/>
              <w:textAlignment w:val="auto"/>
              <w:rPr>
                <w:bCs/>
                <w:color w:val="auto"/>
                <w:kern w:val="2"/>
                <w:highlight w:val="none"/>
              </w:rPr>
            </w:pPr>
          </w:p>
        </w:tc>
        <w:tc>
          <w:tcPr>
            <w:tcW w:w="885" w:type="pct"/>
            <w:vMerge w:val="continue"/>
            <w:vAlign w:val="center"/>
          </w:tcPr>
          <w:p w14:paraId="24C5590E">
            <w:pPr>
              <w:pStyle w:val="75"/>
              <w:widowControl w:val="0"/>
              <w:spacing w:before="0" w:beforeAutospacing="0" w:after="0" w:afterAutospacing="0" w:line="360" w:lineRule="auto"/>
              <w:jc w:val="both"/>
              <w:rPr>
                <w:b w:val="0"/>
                <w:color w:val="auto"/>
                <w:sz w:val="24"/>
                <w:highlight w:val="none"/>
              </w:rPr>
            </w:pPr>
          </w:p>
        </w:tc>
        <w:tc>
          <w:tcPr>
            <w:tcW w:w="3727" w:type="pct"/>
            <w:vAlign w:val="center"/>
          </w:tcPr>
          <w:p w14:paraId="010D0786">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确定成交供应商：采购人委托谈判小组确定</w:t>
            </w:r>
          </w:p>
        </w:tc>
      </w:tr>
      <w:tr w14:paraId="1F89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49B2D3D0">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2</w:t>
            </w:r>
            <w:r>
              <w:rPr>
                <w:rFonts w:hint="eastAsia"/>
                <w:bCs/>
                <w:color w:val="auto"/>
                <w:kern w:val="2"/>
                <w:highlight w:val="none"/>
                <w:lang w:val="en-US" w:eastAsia="zh-CN"/>
              </w:rPr>
              <w:t>2</w:t>
            </w:r>
            <w:r>
              <w:rPr>
                <w:bCs/>
                <w:color w:val="auto"/>
                <w:kern w:val="2"/>
                <w:highlight w:val="none"/>
              </w:rPr>
              <w:t>.</w:t>
            </w:r>
            <w:r>
              <w:rPr>
                <w:rFonts w:hint="eastAsia"/>
                <w:bCs/>
                <w:color w:val="auto"/>
                <w:kern w:val="2"/>
                <w:highlight w:val="none"/>
              </w:rPr>
              <w:t>2</w:t>
            </w:r>
          </w:p>
        </w:tc>
        <w:tc>
          <w:tcPr>
            <w:tcW w:w="885" w:type="pct"/>
            <w:vAlign w:val="center"/>
          </w:tcPr>
          <w:p w14:paraId="5E989799">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随成交结果公告同时公告的内容</w:t>
            </w:r>
          </w:p>
        </w:tc>
        <w:tc>
          <w:tcPr>
            <w:tcW w:w="3727" w:type="pct"/>
            <w:vAlign w:val="center"/>
          </w:tcPr>
          <w:p w14:paraId="4708B9E3">
            <w:pPr>
              <w:pStyle w:val="75"/>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60EF1369">
            <w:pPr>
              <w:pStyle w:val="75"/>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0BACE647">
            <w:pPr>
              <w:pStyle w:val="75"/>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rPr>
              <w:t>）因落实政府采购政策等原因进行价格扣除后中标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供应商的评审报价</w:t>
            </w:r>
            <w:r>
              <w:rPr>
                <w:rFonts w:hint="eastAsia"/>
                <w:b w:val="0"/>
                <w:color w:val="auto"/>
                <w:sz w:val="24"/>
                <w:highlight w:val="none"/>
                <w:u w:val="none"/>
                <w:lang w:eastAsia="zh-CN"/>
              </w:rPr>
              <w:t>；</w:t>
            </w:r>
          </w:p>
        </w:tc>
      </w:tr>
      <w:tr w14:paraId="2870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72527FAE">
            <w:pPr>
              <w:pStyle w:val="76"/>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2</w:t>
            </w:r>
            <w:r>
              <w:rPr>
                <w:rFonts w:hint="eastAsia"/>
                <w:bCs/>
                <w:color w:val="auto"/>
                <w:kern w:val="2"/>
                <w:highlight w:val="none"/>
                <w:lang w:val="en-US" w:eastAsia="zh-CN"/>
              </w:rPr>
              <w:t>3</w:t>
            </w:r>
            <w:r>
              <w:rPr>
                <w:bCs/>
                <w:color w:val="auto"/>
                <w:kern w:val="2"/>
                <w:highlight w:val="none"/>
              </w:rPr>
              <w:t>.1</w:t>
            </w:r>
          </w:p>
        </w:tc>
        <w:tc>
          <w:tcPr>
            <w:tcW w:w="885" w:type="pct"/>
            <w:vAlign w:val="center"/>
          </w:tcPr>
          <w:p w14:paraId="7CF4EC32">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3727" w:type="pct"/>
            <w:vAlign w:val="center"/>
          </w:tcPr>
          <w:p w14:paraId="32487DEC">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数据电文</w:t>
            </w:r>
          </w:p>
        </w:tc>
      </w:tr>
      <w:tr w14:paraId="0B60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5F6DD945">
            <w:pPr>
              <w:pStyle w:val="76"/>
              <w:pBdr>
                <w:bottom w:val="none" w:color="auto" w:sz="0" w:space="0"/>
              </w:pBdr>
              <w:tabs>
                <w:tab w:val="clear" w:pos="4153"/>
                <w:tab w:val="clear" w:pos="8306"/>
              </w:tabs>
              <w:adjustRightInd/>
              <w:spacing w:line="240" w:lineRule="auto"/>
              <w:textAlignment w:val="auto"/>
              <w:rPr>
                <w:rFonts w:hint="eastAsia" w:ascii="宋体" w:hAnsi="宋体" w:eastAsia="宋体" w:cstheme="minorBidi"/>
                <w:bCs/>
                <w:color w:val="auto"/>
                <w:kern w:val="2"/>
                <w:sz w:val="24"/>
                <w:szCs w:val="20"/>
                <w:highlight w:val="none"/>
                <w:lang w:val="en-US" w:eastAsia="zh-CN" w:bidi="ar-SA"/>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885" w:type="pct"/>
            <w:vAlign w:val="center"/>
          </w:tcPr>
          <w:p w14:paraId="21096865">
            <w:pPr>
              <w:pStyle w:val="75"/>
              <w:widowControl w:val="0"/>
              <w:spacing w:before="0" w:beforeAutospacing="0" w:after="0" w:afterAutospacing="0" w:line="360" w:lineRule="auto"/>
              <w:jc w:val="both"/>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告知谈判结果的形式</w:t>
            </w:r>
          </w:p>
        </w:tc>
        <w:tc>
          <w:tcPr>
            <w:tcW w:w="3727" w:type="pct"/>
            <w:vAlign w:val="center"/>
          </w:tcPr>
          <w:p w14:paraId="468D4193">
            <w:pPr>
              <w:pStyle w:val="75"/>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cs="宋体"/>
                <w:b w:val="0"/>
                <w:bCs/>
                <w:color w:val="auto"/>
                <w:sz w:val="24"/>
                <w:szCs w:val="24"/>
                <w:highlight w:val="none"/>
                <w:lang w:val="en-US" w:eastAsia="zh-CN"/>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b w:val="0"/>
                <w:bCs/>
                <w:color w:val="auto"/>
                <w:sz w:val="24"/>
                <w:szCs w:val="24"/>
                <w:highlight w:val="none"/>
                <w:lang w:val="en-US" w:eastAsia="zh-CN"/>
              </w:rPr>
              <w:t>系统查看</w:t>
            </w:r>
          </w:p>
        </w:tc>
      </w:tr>
      <w:tr w14:paraId="6DBB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22AD8D80">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25</w:t>
            </w:r>
            <w:r>
              <w:rPr>
                <w:bCs/>
                <w:color w:val="auto"/>
                <w:kern w:val="2"/>
                <w:highlight w:val="none"/>
              </w:rPr>
              <w:t>.1</w:t>
            </w:r>
          </w:p>
        </w:tc>
        <w:tc>
          <w:tcPr>
            <w:tcW w:w="885" w:type="pct"/>
            <w:vAlign w:val="center"/>
          </w:tcPr>
          <w:p w14:paraId="064B88A8">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3727" w:type="pct"/>
          </w:tcPr>
          <w:p w14:paraId="36F48D62">
            <w:pPr>
              <w:spacing w:line="360" w:lineRule="auto"/>
              <w:rPr>
                <w:rFonts w:cs="@仿宋_GB2312"/>
                <w:bCs/>
                <w:color w:val="auto"/>
                <w:sz w:val="24"/>
                <w:szCs w:val="28"/>
                <w:highlight w:val="none"/>
              </w:rPr>
            </w:pPr>
            <w:r>
              <w:rPr>
                <w:rFonts w:hint="eastAsia" w:cs="@仿宋_GB2312"/>
                <w:bCs/>
                <w:color w:val="auto"/>
                <w:sz w:val="24"/>
                <w:szCs w:val="28"/>
                <w:highlight w:val="none"/>
              </w:rPr>
              <w:t>（1）金额：</w:t>
            </w:r>
          </w:p>
          <w:p w14:paraId="0A102C8E">
            <w:pPr>
              <w:spacing w:line="360" w:lineRule="auto"/>
              <w:rPr>
                <w:rFonts w:cs="@仿宋_GB2312"/>
                <w:bCs/>
                <w:color w:val="auto"/>
                <w:sz w:val="24"/>
                <w:szCs w:val="28"/>
                <w:highlight w:val="none"/>
              </w:rPr>
            </w:pPr>
            <w:r>
              <w:rPr>
                <w:rFonts w:hint="eastAsia" w:cs="@仿宋_GB2312"/>
                <w:bCs/>
                <w:color w:val="auto"/>
                <w:sz w:val="24"/>
                <w:szCs w:val="28"/>
                <w:highlight w:val="none"/>
              </w:rPr>
              <w:t>合同价的</w:t>
            </w:r>
            <w:r>
              <w:rPr>
                <w:rFonts w:hint="eastAsia" w:cs="@仿宋_GB2312"/>
                <w:bCs/>
                <w:color w:val="auto"/>
                <w:sz w:val="24"/>
                <w:szCs w:val="28"/>
                <w:highlight w:val="none"/>
                <w:u w:val="single"/>
                <w:lang w:val="en-US" w:eastAsia="zh-CN"/>
              </w:rPr>
              <w:t>2</w:t>
            </w:r>
            <w:r>
              <w:rPr>
                <w:rFonts w:cs="@仿宋_GB2312"/>
                <w:bCs/>
                <w:color w:val="auto"/>
                <w:sz w:val="24"/>
                <w:szCs w:val="28"/>
                <w:highlight w:val="none"/>
              </w:rPr>
              <w:t>%</w:t>
            </w:r>
          </w:p>
          <w:p w14:paraId="06A2E6D2">
            <w:pPr>
              <w:spacing w:line="360" w:lineRule="auto"/>
              <w:rPr>
                <w:rFonts w:cs="@仿宋_GB2312"/>
                <w:bCs/>
                <w:color w:val="auto"/>
                <w:sz w:val="24"/>
                <w:szCs w:val="28"/>
                <w:highlight w:val="none"/>
              </w:rPr>
            </w:pPr>
            <w:r>
              <w:rPr>
                <w:rFonts w:hint="eastAsia" w:cs="@仿宋_GB2312"/>
                <w:bCs/>
                <w:color w:val="auto"/>
                <w:sz w:val="24"/>
                <w:szCs w:val="28"/>
                <w:highlight w:val="none"/>
              </w:rPr>
              <w:t>（2）支付方式：</w:t>
            </w:r>
          </w:p>
          <w:p w14:paraId="4BAB5EF0">
            <w:pPr>
              <w:spacing w:line="360" w:lineRule="auto"/>
              <w:rPr>
                <w:rFonts w:cs="@仿宋_GB2312"/>
                <w:bCs/>
                <w:color w:val="auto"/>
                <w:sz w:val="24"/>
                <w:szCs w:val="28"/>
                <w:highlight w:val="none"/>
              </w:rPr>
            </w:pPr>
            <w:r>
              <w:rPr>
                <w:rFonts w:hint="eastAsia" w:cs="@仿宋_GB2312"/>
                <w:bCs/>
                <w:color w:val="auto"/>
                <w:sz w:val="24"/>
                <w:szCs w:val="28"/>
                <w:highlight w:val="none"/>
                <w:lang w:val="en-US" w:eastAsia="zh-CN"/>
              </w:rPr>
              <w:t>√</w:t>
            </w:r>
            <w:r>
              <w:rPr>
                <w:rFonts w:cs="@仿宋_GB2312"/>
                <w:bCs/>
                <w:color w:val="auto"/>
                <w:sz w:val="24"/>
                <w:szCs w:val="28"/>
                <w:highlight w:val="none"/>
              </w:rPr>
              <w:t>转账/电汇</w:t>
            </w:r>
            <w:r>
              <w:rPr>
                <w:rFonts w:hint="eastAsia" w:cs="@仿宋_GB2312"/>
                <w:bCs/>
                <w:color w:val="auto"/>
                <w:sz w:val="24"/>
                <w:szCs w:val="28"/>
                <w:highlight w:val="none"/>
              </w:rPr>
              <w:t xml:space="preserve"> </w:t>
            </w:r>
            <w:r>
              <w:rPr>
                <w:rFonts w:hint="eastAsia" w:cs="@仿宋_GB2312"/>
                <w:bCs/>
                <w:color w:val="auto"/>
                <w:sz w:val="24"/>
                <w:szCs w:val="28"/>
                <w:highlight w:val="none"/>
                <w:lang w:val="en-US" w:eastAsia="zh-CN"/>
              </w:rPr>
              <w:t>√</w:t>
            </w:r>
            <w:r>
              <w:rPr>
                <w:rFonts w:cs="@仿宋_GB2312"/>
                <w:bCs/>
                <w:color w:val="auto"/>
                <w:sz w:val="24"/>
                <w:szCs w:val="28"/>
                <w:highlight w:val="none"/>
              </w:rPr>
              <w:t xml:space="preserve">支票 </w:t>
            </w:r>
            <w:r>
              <w:rPr>
                <w:rFonts w:hint="eastAsia" w:cs="@仿宋_GB2312"/>
                <w:bCs/>
                <w:color w:val="auto"/>
                <w:sz w:val="24"/>
                <w:szCs w:val="28"/>
                <w:highlight w:val="none"/>
                <w:lang w:val="en-US" w:eastAsia="zh-CN"/>
              </w:rPr>
              <w:t>√</w:t>
            </w:r>
            <w:r>
              <w:rPr>
                <w:rFonts w:cs="@仿宋_GB2312"/>
                <w:bCs/>
                <w:color w:val="auto"/>
                <w:sz w:val="24"/>
                <w:szCs w:val="28"/>
                <w:highlight w:val="none"/>
              </w:rPr>
              <w:t>汇票</w:t>
            </w:r>
            <w:r>
              <w:rPr>
                <w:rFonts w:hint="eastAsia" w:cs="@仿宋_GB2312"/>
                <w:bCs/>
                <w:color w:val="auto"/>
                <w:sz w:val="24"/>
                <w:szCs w:val="28"/>
                <w:highlight w:val="none"/>
              </w:rPr>
              <w:t xml:space="preserve"> </w:t>
            </w:r>
            <w:r>
              <w:rPr>
                <w:rFonts w:hint="eastAsia" w:cs="@仿宋_GB2312"/>
                <w:bCs/>
                <w:color w:val="auto"/>
                <w:sz w:val="24"/>
                <w:szCs w:val="28"/>
                <w:highlight w:val="none"/>
                <w:lang w:val="en-US" w:eastAsia="zh-CN"/>
              </w:rPr>
              <w:t>√</w:t>
            </w:r>
            <w:r>
              <w:rPr>
                <w:rFonts w:hint="eastAsia" w:cs="@仿宋_GB2312"/>
                <w:bCs/>
                <w:color w:val="auto"/>
                <w:sz w:val="24"/>
                <w:szCs w:val="28"/>
                <w:highlight w:val="none"/>
              </w:rPr>
              <w:t xml:space="preserve">本票 </w:t>
            </w:r>
            <w:r>
              <w:rPr>
                <w:rFonts w:hint="eastAsia" w:cs="@仿宋_GB2312"/>
                <w:bCs/>
                <w:color w:val="auto"/>
                <w:sz w:val="24"/>
                <w:szCs w:val="28"/>
                <w:highlight w:val="none"/>
                <w:lang w:val="en-US" w:eastAsia="zh-CN"/>
              </w:rPr>
              <w:t>√</w:t>
            </w:r>
            <w:r>
              <w:rPr>
                <w:rFonts w:cs="@仿宋_GB2312"/>
                <w:bCs/>
                <w:color w:val="auto"/>
                <w:sz w:val="24"/>
                <w:szCs w:val="28"/>
                <w:highlight w:val="none"/>
              </w:rPr>
              <w:t>保</w:t>
            </w:r>
            <w:r>
              <w:rPr>
                <w:rFonts w:hint="eastAsia" w:cs="@仿宋_GB2312"/>
                <w:bCs/>
                <w:color w:val="auto"/>
                <w:sz w:val="24"/>
                <w:szCs w:val="28"/>
                <w:highlight w:val="none"/>
              </w:rPr>
              <w:t xml:space="preserve">险 </w:t>
            </w:r>
            <w:r>
              <w:rPr>
                <w:rFonts w:hint="eastAsia" w:cs="@仿宋_GB2312"/>
                <w:bCs/>
                <w:color w:val="auto"/>
                <w:sz w:val="24"/>
                <w:szCs w:val="28"/>
                <w:highlight w:val="none"/>
                <w:lang w:val="en-US" w:eastAsia="zh-CN"/>
              </w:rPr>
              <w:t>√</w:t>
            </w:r>
            <w:r>
              <w:rPr>
                <w:rFonts w:hint="eastAsia" w:cs="@仿宋_GB2312"/>
                <w:bCs/>
                <w:color w:val="auto"/>
                <w:sz w:val="24"/>
                <w:szCs w:val="28"/>
                <w:highlight w:val="none"/>
              </w:rPr>
              <w:t>保</w:t>
            </w:r>
            <w:r>
              <w:rPr>
                <w:rFonts w:cs="@仿宋_GB2312"/>
                <w:bCs/>
                <w:color w:val="auto"/>
                <w:sz w:val="24"/>
                <w:szCs w:val="28"/>
                <w:highlight w:val="none"/>
              </w:rPr>
              <w:t>函</w:t>
            </w:r>
            <w:r>
              <w:rPr>
                <w:rFonts w:hint="eastAsia" w:cs="@仿宋_GB2312"/>
                <w:bCs/>
                <w:color w:val="auto"/>
                <w:sz w:val="24"/>
                <w:szCs w:val="28"/>
                <w:highlight w:val="none"/>
              </w:rPr>
              <w:t>（</w:t>
            </w:r>
            <w:r>
              <w:rPr>
                <w:rFonts w:hint="eastAsia" w:cs="@仿宋_GB2312"/>
                <w:bCs/>
                <w:color w:val="auto"/>
                <w:sz w:val="24"/>
                <w:szCs w:val="28"/>
                <w:highlight w:val="none"/>
                <w:lang w:val="en-US" w:eastAsia="zh-CN"/>
              </w:rPr>
              <w:t>√</w:t>
            </w:r>
            <w:r>
              <w:rPr>
                <w:rFonts w:hint="eastAsia" w:cs="@仿宋_GB2312"/>
                <w:bCs/>
                <w:color w:val="auto"/>
                <w:sz w:val="24"/>
                <w:szCs w:val="28"/>
                <w:highlight w:val="none"/>
              </w:rPr>
              <w:t>电子保函</w:t>
            </w:r>
            <w:r>
              <w:rPr>
                <w:rFonts w:hint="eastAsia" w:cs="@仿宋_GB2312"/>
                <w:bCs/>
                <w:color w:val="auto"/>
                <w:sz w:val="24"/>
                <w:szCs w:val="28"/>
                <w:highlight w:val="none"/>
                <w:lang w:val="en-US" w:eastAsia="zh-CN"/>
              </w:rPr>
              <w:t>√</w:t>
            </w:r>
            <w:r>
              <w:rPr>
                <w:rFonts w:hint="eastAsia" w:cs="@仿宋_GB2312"/>
                <w:bCs/>
                <w:color w:val="auto"/>
                <w:sz w:val="24"/>
                <w:szCs w:val="28"/>
                <w:highlight w:val="none"/>
              </w:rPr>
              <w:t>银行直开或分离式纸质保函）</w:t>
            </w:r>
          </w:p>
          <w:p w14:paraId="21C79748">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另行通知 </w:t>
            </w:r>
            <w:r>
              <w:rPr>
                <w:rFonts w:hint="eastAsia" w:ascii="宋体" w:hAnsi="宋体" w:eastAsia="宋体"/>
                <w:bCs/>
                <w:color w:val="auto"/>
                <w:kern w:val="0"/>
                <w:sz w:val="24"/>
                <w:szCs w:val="28"/>
                <w:highlight w:val="none"/>
              </w:rPr>
              <w:t xml:space="preserve">             </w:t>
            </w:r>
          </w:p>
          <w:p w14:paraId="535BC056">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另行通知 </w:t>
            </w:r>
          </w:p>
          <w:p w14:paraId="366FB479">
            <w:pPr>
              <w:spacing w:line="360" w:lineRule="auto"/>
              <w:rPr>
                <w:rFonts w:hint="eastAsia" w:ascii="宋体" w:hAnsi="宋体" w:eastAsia="宋体"/>
                <w:color w:val="auto"/>
                <w:sz w:val="24"/>
                <w:highlight w:val="none"/>
                <w:u w:val="singl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color w:val="auto"/>
                <w:sz w:val="24"/>
                <w:highlight w:val="none"/>
                <w:u w:val="single"/>
              </w:rPr>
              <w:t>①采用银行转账方式：全部工程竣工验收合格后退还；</w:t>
            </w:r>
          </w:p>
          <w:p w14:paraId="18375B7B">
            <w:pPr>
              <w:spacing w:line="360" w:lineRule="auto"/>
              <w:rPr>
                <w:rFonts w:hint="eastAsia" w:ascii="宋体" w:hAnsi="宋体" w:eastAsia="宋体"/>
                <w:color w:val="auto"/>
                <w:sz w:val="24"/>
                <w:highlight w:val="none"/>
                <w:u w:val="single"/>
              </w:rPr>
            </w:pPr>
            <w:r>
              <w:rPr>
                <w:rFonts w:hint="eastAsia" w:ascii="宋体" w:hAnsi="宋体" w:eastAsia="宋体"/>
                <w:color w:val="auto"/>
                <w:sz w:val="24"/>
                <w:highlight w:val="none"/>
                <w:u w:val="single"/>
              </w:rPr>
              <w:t>②采用支票、汇票、本票、保函等方式：有效期为自合同签订之日起至服务期（供货期）满后止。</w:t>
            </w:r>
          </w:p>
          <w:p w14:paraId="2F55F250">
            <w:pPr>
              <w:spacing w:line="360" w:lineRule="auto"/>
              <w:rPr>
                <w:rFonts w:ascii="宋体" w:hAnsi="宋体" w:eastAsia="宋体"/>
                <w:color w:val="auto"/>
                <w:sz w:val="24"/>
                <w:highlight w:val="none"/>
                <w:u w:val="single"/>
              </w:rPr>
            </w:pPr>
            <w:r>
              <w:rPr>
                <w:rFonts w:hint="eastAsia" w:ascii="宋体" w:hAnsi="宋体" w:eastAsia="宋体"/>
                <w:color w:val="auto"/>
                <w:sz w:val="24"/>
                <w:highlight w:val="none"/>
                <w:u w:val="single"/>
              </w:rPr>
              <w:t>注：履约保函格式应按照《住房和城乡建设部关于印发工程保函示范文本的通知》（建市〔2022〕11号）执行。</w:t>
            </w:r>
          </w:p>
          <w:p w14:paraId="41991779">
            <w:pPr>
              <w:spacing w:line="360" w:lineRule="auto"/>
              <w:rPr>
                <w:rFonts w:cs="@仿宋_GB2312"/>
                <w:b/>
                <w:bCs/>
                <w:color w:val="auto"/>
                <w:sz w:val="24"/>
                <w:szCs w:val="24"/>
                <w:highlight w:val="none"/>
              </w:rPr>
            </w:pPr>
            <w:r>
              <w:rPr>
                <w:rFonts w:hint="eastAsia" w:cs="@仿宋_GB2312"/>
                <w:b/>
                <w:bCs/>
                <w:color w:val="auto"/>
                <w:sz w:val="24"/>
                <w:szCs w:val="24"/>
                <w:highlight w:val="none"/>
              </w:rPr>
              <w:t>注意事项：</w:t>
            </w:r>
          </w:p>
          <w:p w14:paraId="251D2DE7">
            <w:pPr>
              <w:spacing w:line="360" w:lineRule="auto"/>
              <w:rPr>
                <w:rFonts w:cs="@仿宋_GB2312"/>
                <w:b/>
                <w:bCs/>
                <w:color w:val="auto"/>
                <w:sz w:val="24"/>
                <w:szCs w:val="24"/>
                <w:highlight w:val="none"/>
              </w:rPr>
            </w:pPr>
            <w:r>
              <w:rPr>
                <w:rFonts w:hint="eastAsia" w:cs="@仿宋_GB2312"/>
                <w:b/>
                <w:bCs/>
                <w:color w:val="auto"/>
                <w:sz w:val="24"/>
                <w:szCs w:val="24"/>
                <w:highlight w:val="none"/>
              </w:rPr>
              <w:t>（1）以上各类机构出具的以担保函、保证保险承担责任的方式均须满足无条件见索即付条件。</w:t>
            </w:r>
          </w:p>
          <w:p w14:paraId="20D83CC4">
            <w:pPr>
              <w:pStyle w:val="75"/>
              <w:widowControl w:val="0"/>
              <w:spacing w:before="0" w:beforeAutospacing="0" w:after="0" w:afterAutospacing="0" w:line="360" w:lineRule="auto"/>
              <w:jc w:val="both"/>
              <w:rPr>
                <w:color w:val="auto"/>
                <w:sz w:val="24"/>
                <w:highlight w:val="none"/>
              </w:rPr>
            </w:pPr>
            <w:r>
              <w:rPr>
                <w:rFonts w:hint="eastAsia" w:cs="@仿宋_GB2312"/>
                <w:bCs w:val="0"/>
                <w:color w:val="auto"/>
                <w:sz w:val="24"/>
                <w:szCs w:val="24"/>
                <w:highlight w:val="none"/>
              </w:rPr>
              <w:t>（2）以担保函、保证保险形式缴纳履约保证金的，受益人和收取单位须为采购人。</w:t>
            </w:r>
          </w:p>
        </w:tc>
      </w:tr>
      <w:tr w14:paraId="0B8B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03C793C4">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26.1</w:t>
            </w:r>
          </w:p>
        </w:tc>
        <w:tc>
          <w:tcPr>
            <w:tcW w:w="885" w:type="pct"/>
            <w:vAlign w:val="center"/>
          </w:tcPr>
          <w:p w14:paraId="53ECDE19">
            <w:pPr>
              <w:pStyle w:val="75"/>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lang w:val="en-US" w:eastAsia="zh-CN"/>
              </w:rPr>
              <w:t>代理费用</w:t>
            </w:r>
          </w:p>
        </w:tc>
        <w:tc>
          <w:tcPr>
            <w:tcW w:w="3727" w:type="pct"/>
            <w:vAlign w:val="center"/>
          </w:tcPr>
          <w:p w14:paraId="69420A61">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bCs/>
                <w:color w:val="auto"/>
                <w:kern w:val="0"/>
                <w:sz w:val="24"/>
                <w:szCs w:val="28"/>
                <w:highlight w:val="none"/>
                <w:lang w:val="en-US" w:eastAsia="zh-CN"/>
              </w:rPr>
              <w:t>成交供应商</w:t>
            </w:r>
          </w:p>
          <w:p w14:paraId="27022BE2">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default" w:ascii="宋体" w:hAnsi="宋体" w:eastAsia="宋体"/>
                <w:bCs/>
                <w:color w:val="auto"/>
                <w:kern w:val="0"/>
                <w:sz w:val="24"/>
                <w:szCs w:val="28"/>
                <w:highlight w:val="none"/>
                <w:lang w:val="en-US" w:eastAsia="zh-CN"/>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cs="宋体"/>
                <w:color w:val="auto"/>
                <w:sz w:val="24"/>
                <w:szCs w:val="24"/>
                <w:highlight w:val="none"/>
                <w:u w:val="single"/>
                <w:lang w:val="en-US" w:eastAsia="zh-CN"/>
              </w:rPr>
              <w:t>转账</w:t>
            </w:r>
          </w:p>
          <w:p w14:paraId="2D92C173">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Cs/>
                <w:color w:val="auto"/>
                <w:sz w:val="24"/>
                <w:szCs w:val="28"/>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cs="@仿宋_GB2312"/>
                <w:b w:val="0"/>
                <w:bCs/>
                <w:color w:val="000000" w:themeColor="text1"/>
                <w:kern w:val="0"/>
                <w:sz w:val="24"/>
                <w:szCs w:val="28"/>
                <w:highlight w:val="none"/>
                <w:u w:val="single"/>
                <w:lang w:val="en-US" w:eastAsia="zh-CN" w:bidi="ar-SA"/>
                <w14:textFill>
                  <w14:solidFill>
                    <w14:schemeClr w14:val="tx1"/>
                  </w14:solidFill>
                </w14:textFill>
              </w:rPr>
              <w:t>15325.00元</w:t>
            </w:r>
            <w:r>
              <w:rPr>
                <w:rFonts w:hint="eastAsia" w:cs="@仿宋_GB2312"/>
                <w:b w:val="0"/>
                <w:bCs/>
                <w:color w:val="auto"/>
                <w:kern w:val="0"/>
                <w:sz w:val="24"/>
                <w:szCs w:val="28"/>
                <w:highlight w:val="none"/>
                <w:lang w:val="en-US" w:eastAsia="zh-CN" w:bidi="ar-SA"/>
              </w:rPr>
              <w:t>，</w:t>
            </w:r>
            <w:r>
              <w:rPr>
                <w:rFonts w:hint="default" w:ascii="宋体" w:hAnsi="宋体" w:eastAsia="宋体" w:cs="@仿宋_GB2312"/>
                <w:b w:val="0"/>
                <w:bCs/>
                <w:color w:val="auto"/>
                <w:kern w:val="0"/>
                <w:sz w:val="24"/>
                <w:szCs w:val="28"/>
                <w:highlight w:val="none"/>
                <w:lang w:val="en-US" w:eastAsia="zh-CN" w:bidi="ar-SA"/>
              </w:rPr>
              <w:t>按照滁公管【2023】19号《关于进一步明确代理费计取标准的通知》文件指导标准收费。</w:t>
            </w:r>
          </w:p>
        </w:tc>
      </w:tr>
      <w:tr w14:paraId="0F81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3C638054">
            <w:pPr>
              <w:pStyle w:val="76"/>
              <w:pBdr>
                <w:bottom w:val="none" w:color="auto" w:sz="0" w:space="0"/>
              </w:pBdr>
              <w:tabs>
                <w:tab w:val="clear" w:pos="4153"/>
                <w:tab w:val="clear" w:pos="8306"/>
              </w:tabs>
              <w:adjustRightInd/>
              <w:spacing w:line="360" w:lineRule="auto"/>
              <w:textAlignment w:val="auto"/>
              <w:rPr>
                <w:rFonts w:hint="default"/>
                <w:bCs/>
                <w:color w:val="auto"/>
                <w:kern w:val="2"/>
                <w:highlight w:val="none"/>
                <w:lang w:val="en-US" w:eastAsia="zh-CN"/>
              </w:rPr>
            </w:pPr>
            <w:r>
              <w:rPr>
                <w:rFonts w:hint="eastAsia"/>
                <w:bCs/>
                <w:color w:val="auto"/>
                <w:kern w:val="2"/>
                <w:highlight w:val="none"/>
                <w:lang w:val="en-US" w:eastAsia="zh-CN"/>
              </w:rPr>
              <w:t>26.2</w:t>
            </w:r>
          </w:p>
        </w:tc>
        <w:tc>
          <w:tcPr>
            <w:tcW w:w="1864" w:type="dxa"/>
            <w:vAlign w:val="center"/>
          </w:tcPr>
          <w:p w14:paraId="20881AA2">
            <w:pPr>
              <w:spacing w:line="400" w:lineRule="exact"/>
              <w:ind w:left="113" w:leftChars="0" w:right="113" w:rightChars="0"/>
              <w:jc w:val="center"/>
              <w:rPr>
                <w:rFonts w:hint="eastAsia" w:ascii="宋体" w:hAnsi="宋体" w:eastAsia="宋体"/>
                <w:b w:val="0"/>
                <w:color w:val="auto"/>
                <w:sz w:val="24"/>
                <w:highlight w:val="none"/>
                <w:lang w:val="en-US" w:eastAsia="zh-CN"/>
              </w:rPr>
            </w:pPr>
            <w:r>
              <w:rPr>
                <w:rFonts w:hint="eastAsia" w:ascii="宋体" w:hAnsi="宋体" w:cs="宋体"/>
                <w:color w:val="000000"/>
                <w:sz w:val="24"/>
              </w:rPr>
              <w:t>专家评审劳务费</w:t>
            </w:r>
          </w:p>
        </w:tc>
        <w:tc>
          <w:tcPr>
            <w:tcW w:w="7846" w:type="dxa"/>
            <w:vAlign w:val="center"/>
          </w:tcPr>
          <w:p w14:paraId="66F06D98">
            <w:pPr>
              <w:adjustRightInd w:val="0"/>
              <w:snapToGrid w:val="0"/>
              <w:spacing w:line="560" w:lineRule="exact"/>
              <w:rPr>
                <w:rFonts w:hint="eastAsia" w:ascii="宋体" w:hAnsi="宋体" w:cs="宋体"/>
                <w:color w:val="000000"/>
                <w:sz w:val="24"/>
              </w:rPr>
            </w:pPr>
            <w:r>
              <w:rPr>
                <w:rFonts w:hint="eastAsia" w:ascii="宋体" w:hAnsi="宋体" w:cs="宋体"/>
                <w:color w:val="000000"/>
                <w:sz w:val="24"/>
              </w:rPr>
              <w:t>费用或支付标准：</w:t>
            </w:r>
            <w:r>
              <w:rPr>
                <w:rFonts w:hint="eastAsia" w:ascii="宋体" w:hAnsi="宋体" w:cs="宋体"/>
                <w:color w:val="000000"/>
                <w:sz w:val="24"/>
                <w:u w:val="single"/>
                <w:lang w:val="en-US" w:eastAsia="zh-CN"/>
              </w:rPr>
              <w:t>据实结算</w:t>
            </w:r>
            <w:r>
              <w:rPr>
                <w:rFonts w:hint="eastAsia" w:ascii="宋体" w:hAnsi="宋体" w:cs="宋体"/>
                <w:color w:val="000000"/>
                <w:sz w:val="24"/>
                <w:u w:val="single"/>
              </w:rPr>
              <w:t xml:space="preserve">  </w:t>
            </w:r>
          </w:p>
          <w:p w14:paraId="2C51BD93">
            <w:pPr>
              <w:spacing w:line="400" w:lineRule="exact"/>
              <w:ind w:right="113" w:rightChars="0"/>
              <w:rPr>
                <w:rFonts w:hint="eastAsia" w:ascii="宋体" w:hAnsi="宋体" w:eastAsia="宋体"/>
                <w:b w:val="0"/>
                <w:bCs w:val="0"/>
                <w:color w:val="auto"/>
                <w:kern w:val="0"/>
                <w:sz w:val="24"/>
                <w:szCs w:val="28"/>
                <w:highlight w:val="none"/>
              </w:rPr>
            </w:pPr>
            <w:r>
              <w:rPr>
                <w:rFonts w:hint="eastAsia" w:ascii="宋体" w:hAnsi="宋体" w:cs="宋体"/>
                <w:color w:val="000000"/>
                <w:sz w:val="24"/>
              </w:rPr>
              <w:t>支付主体：</w:t>
            </w:r>
            <w:r>
              <w:rPr>
                <w:rFonts w:hint="eastAsia" w:ascii="宋体" w:hAnsi="宋体" w:cs="宋体"/>
                <w:color w:val="000000"/>
                <w:sz w:val="24"/>
                <w:u w:val="single"/>
                <w:lang w:val="en-US" w:eastAsia="zh-CN"/>
              </w:rPr>
              <w:t>招标人</w:t>
            </w:r>
            <w:r>
              <w:rPr>
                <w:rFonts w:hint="eastAsia" w:ascii="宋体" w:hAnsi="宋体" w:cs="宋体"/>
                <w:color w:val="000000"/>
                <w:sz w:val="24"/>
                <w:u w:val="single"/>
              </w:rPr>
              <w:t xml:space="preserve"> </w:t>
            </w:r>
          </w:p>
        </w:tc>
      </w:tr>
      <w:tr w14:paraId="6922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2D1AF6D9">
            <w:pPr>
              <w:pStyle w:val="76"/>
              <w:pBdr>
                <w:bottom w:val="none" w:color="auto" w:sz="0" w:space="0"/>
              </w:pBdr>
              <w:tabs>
                <w:tab w:val="clear" w:pos="4153"/>
                <w:tab w:val="clear" w:pos="8306"/>
              </w:tabs>
              <w:adjustRightInd/>
              <w:spacing w:line="36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27.1</w:t>
            </w:r>
          </w:p>
        </w:tc>
        <w:tc>
          <w:tcPr>
            <w:tcW w:w="885" w:type="pct"/>
            <w:vAlign w:val="center"/>
          </w:tcPr>
          <w:p w14:paraId="20BC207D">
            <w:pPr>
              <w:pStyle w:val="75"/>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727" w:type="pct"/>
            <w:vAlign w:val="center"/>
          </w:tcPr>
          <w:p w14:paraId="63673718">
            <w:pPr>
              <w:pStyle w:val="75"/>
              <w:widowControl w:val="0"/>
              <w:spacing w:before="0" w:beforeAutospacing="0" w:after="0" w:afterAutospacing="0" w:line="360" w:lineRule="auto"/>
              <w:jc w:val="both"/>
              <w:rPr>
                <w:rFonts w:hint="eastAsia" w:ascii="宋体" w:hAnsi="宋体" w:eastAsia="宋体"/>
                <w:b w:val="0"/>
                <w:bCs/>
                <w:color w:val="auto"/>
                <w:sz w:val="24"/>
                <w:highlight w:val="none"/>
                <w:lang w:val="en-US" w:eastAsia="zh-CN"/>
              </w:rPr>
            </w:pPr>
            <w:r>
              <w:rPr>
                <w:rFonts w:hint="eastAsia"/>
                <w:b w:val="0"/>
                <w:bCs/>
                <w:color w:val="auto"/>
                <w:sz w:val="24"/>
                <w:highlight w:val="none"/>
                <w:lang w:val="en-US" w:eastAsia="zh-CN"/>
              </w:rPr>
              <w:t>（1）</w:t>
            </w:r>
            <w:r>
              <w:rPr>
                <w:rFonts w:hint="eastAsia" w:ascii="宋体" w:hAnsi="宋体" w:eastAsia="宋体"/>
                <w:b w:val="0"/>
                <w:bCs/>
                <w:color w:val="auto"/>
                <w:sz w:val="24"/>
                <w:highlight w:val="none"/>
                <w:lang w:val="en-US" w:eastAsia="zh-CN"/>
              </w:rPr>
              <w:t>采购人与成交供应商应当自发出成交通知书之日起7个工作日内签订合同，采购合同签订之日起2个工作日内完成政府采购合同公开。</w:t>
            </w:r>
          </w:p>
          <w:p w14:paraId="77DB34CC">
            <w:pPr>
              <w:pStyle w:val="75"/>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ascii="宋体" w:hAnsi="宋体" w:eastAsia="宋体" w:cs="宋体"/>
                <w:b w:val="0"/>
                <w:bCs/>
                <w:color w:val="auto"/>
                <w:sz w:val="24"/>
                <w:szCs w:val="24"/>
                <w:highlight w:val="none"/>
              </w:rPr>
              <w:t>（2）采购人与</w:t>
            </w:r>
            <w:r>
              <w:rPr>
                <w:rFonts w:hint="eastAsia" w:ascii="宋体" w:hAnsi="宋体" w:eastAsia="宋体"/>
                <w:b w:val="0"/>
                <w:bCs/>
                <w:color w:val="auto"/>
                <w:sz w:val="24"/>
                <w:highlight w:val="none"/>
                <w:lang w:val="en-US" w:eastAsia="zh-CN"/>
              </w:rPr>
              <w:t>成交供应商</w:t>
            </w:r>
            <w:r>
              <w:rPr>
                <w:rFonts w:ascii="宋体" w:hAnsi="宋体" w:eastAsia="宋体" w:cs="宋体"/>
                <w:b w:val="0"/>
                <w:bCs/>
                <w:color w:val="auto"/>
                <w:sz w:val="24"/>
                <w:szCs w:val="24"/>
                <w:highlight w:val="none"/>
              </w:rPr>
              <w:t>不得擅自变更合同，依照政府采购法确需变更政府采购合同内容的，采购人应当自合同变更之日起2个工作日内在安徽省政府采购网</w:t>
            </w:r>
            <w:r>
              <w:rPr>
                <w:rFonts w:hint="eastAsia" w:cs="宋体"/>
                <w:b w:val="0"/>
                <w:bCs/>
                <w:color w:val="auto"/>
                <w:sz w:val="24"/>
                <w:szCs w:val="24"/>
                <w:highlight w:val="none"/>
                <w:lang w:val="en-US" w:eastAsia="zh-CN"/>
              </w:rPr>
              <w:t>和滁州市公共资源交易中心网站</w:t>
            </w:r>
            <w:r>
              <w:rPr>
                <w:rFonts w:ascii="宋体" w:hAnsi="宋体" w:eastAsia="宋体" w:cs="宋体"/>
                <w:b w:val="0"/>
                <w:bCs/>
                <w:color w:val="auto"/>
                <w:sz w:val="24"/>
                <w:szCs w:val="24"/>
                <w:highlight w:val="none"/>
              </w:rPr>
              <w:t>发布政府采购合同变更公告，但涉及国家秘密、商业秘密的信息和其他依法不得公开的信息除外。</w:t>
            </w:r>
          </w:p>
        </w:tc>
      </w:tr>
      <w:tr w14:paraId="3CF4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2EC83C06">
            <w:pPr>
              <w:pStyle w:val="76"/>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29.3</w:t>
            </w:r>
          </w:p>
        </w:tc>
        <w:tc>
          <w:tcPr>
            <w:tcW w:w="885" w:type="pct"/>
            <w:vAlign w:val="center"/>
          </w:tcPr>
          <w:p w14:paraId="571908BE">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质疑函递交方式、接收部门、联系电话和通讯地址</w:t>
            </w:r>
          </w:p>
        </w:tc>
        <w:tc>
          <w:tcPr>
            <w:tcW w:w="3727" w:type="pct"/>
            <w:vAlign w:val="center"/>
          </w:tcPr>
          <w:p w14:paraId="7574E009">
            <w:pPr>
              <w:pStyle w:val="75"/>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递交方式：</w:t>
            </w:r>
            <w:r>
              <w:rPr>
                <w:rFonts w:hint="eastAsia" w:ascii="宋体" w:hAnsi="宋体" w:eastAsia="宋体"/>
                <w:b w:val="0"/>
                <w:color w:val="auto"/>
                <w:sz w:val="24"/>
                <w:highlight w:val="none"/>
                <w:u w:val="single"/>
              </w:rPr>
              <w:t>如供应商对竞争性谈判文件有质疑，依据中华人民共和国财政部令第 94 号《政府采购质疑和投诉办法》规定提出质疑。</w:t>
            </w:r>
          </w:p>
          <w:p w14:paraId="7F9813C6">
            <w:pPr>
              <w:pStyle w:val="7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质疑方式：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4A37B906">
            <w:pPr>
              <w:pStyle w:val="75"/>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rPr>
              <w:t>采购人或采购代理机构</w:t>
            </w:r>
          </w:p>
          <w:p w14:paraId="352036E1">
            <w:pPr>
              <w:pStyle w:val="75"/>
              <w:widowControl w:val="0"/>
              <w:spacing w:before="0" w:beforeAutospacing="0" w:after="0" w:afterAutospacing="0" w:line="360" w:lineRule="auto"/>
              <w:jc w:val="both"/>
              <w:rPr>
                <w:rFonts w:hint="eastAsia"/>
                <w:b w:val="0"/>
                <w:color w:val="auto"/>
                <w:sz w:val="24"/>
                <w:highlight w:val="none"/>
                <w:u w:val="single"/>
                <w:lang w:val="en-US" w:eastAsia="zh-CN"/>
              </w:rPr>
            </w:pPr>
            <w:r>
              <w:rPr>
                <w:rFonts w:ascii="宋体" w:hAnsi="宋体" w:eastAsia="宋体"/>
                <w:b w:val="0"/>
                <w:color w:val="auto"/>
                <w:sz w:val="24"/>
                <w:highlight w:val="none"/>
              </w:rPr>
              <w:t>联系电话：</w:t>
            </w:r>
            <w:r>
              <w:rPr>
                <w:rFonts w:hint="eastAsia"/>
                <w:b w:val="0"/>
                <w:color w:val="auto"/>
                <w:sz w:val="24"/>
                <w:highlight w:val="none"/>
                <w:u w:val="single"/>
                <w:lang w:eastAsia="zh-CN"/>
              </w:rPr>
              <w:t>0550-8157333</w:t>
            </w:r>
            <w:r>
              <w:rPr>
                <w:rFonts w:hint="eastAsia"/>
                <w:b w:val="0"/>
                <w:color w:val="auto"/>
                <w:sz w:val="24"/>
                <w:highlight w:val="none"/>
                <w:u w:val="single"/>
                <w:lang w:val="en-US" w:eastAsia="zh-CN"/>
              </w:rPr>
              <w:t>或15255074355、18256917278</w:t>
            </w:r>
          </w:p>
          <w:p w14:paraId="7FFB6498">
            <w:pPr>
              <w:pStyle w:val="75"/>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通讯地址：</w:t>
            </w:r>
            <w:r>
              <w:rPr>
                <w:rFonts w:hint="eastAsia"/>
                <w:b w:val="0"/>
                <w:color w:val="auto"/>
                <w:sz w:val="24"/>
                <w:highlight w:val="none"/>
                <w:u w:val="single"/>
                <w:lang w:eastAsia="zh-CN"/>
              </w:rPr>
              <w:t>明光市交通运输综合服务中心大楼</w:t>
            </w:r>
            <w:r>
              <w:rPr>
                <w:rFonts w:hint="eastAsia"/>
                <w:b w:val="0"/>
                <w:color w:val="auto"/>
                <w:sz w:val="24"/>
                <w:highlight w:val="none"/>
                <w:u w:val="single"/>
                <w:lang w:val="en-US" w:eastAsia="zh-CN"/>
              </w:rPr>
              <w:t>或安徽省滁州市明光市洪武路23号</w:t>
            </w:r>
          </w:p>
        </w:tc>
      </w:tr>
      <w:tr w14:paraId="6822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6BD42F87">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rFonts w:hint="eastAsia"/>
                <w:bCs/>
                <w:color w:val="auto"/>
                <w:kern w:val="2"/>
                <w:highlight w:val="none"/>
                <w:lang w:val="en-US" w:eastAsia="zh-CN"/>
              </w:rPr>
              <w:t>0</w:t>
            </w:r>
          </w:p>
        </w:tc>
        <w:tc>
          <w:tcPr>
            <w:tcW w:w="885" w:type="pct"/>
            <w:vAlign w:val="center"/>
          </w:tcPr>
          <w:p w14:paraId="23E9DFF5">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3727" w:type="pct"/>
            <w:vAlign w:val="center"/>
          </w:tcPr>
          <w:p w14:paraId="43C3D736">
            <w:pPr>
              <w:pStyle w:val="75"/>
              <w:widowControl w:val="0"/>
              <w:spacing w:before="0" w:beforeAutospacing="0" w:after="0" w:afterAutospacing="0" w:line="360" w:lineRule="auto"/>
              <w:jc w:val="both"/>
              <w:rPr>
                <w:rFonts w:hint="eastAsia" w:eastAsia="宋体"/>
                <w:b w:val="0"/>
                <w:color w:val="auto"/>
                <w:sz w:val="24"/>
                <w:highlight w:val="none"/>
                <w:lang w:val="en-US" w:eastAsia="zh-CN"/>
              </w:rPr>
            </w:pPr>
            <w:r>
              <w:rPr>
                <w:rFonts w:hint="eastAsia"/>
                <w:b w:val="0"/>
                <w:color w:val="auto"/>
                <w:sz w:val="24"/>
                <w:highlight w:val="none"/>
                <w:lang w:val="en-US" w:eastAsia="zh-CN"/>
              </w:rPr>
              <w:t>/</w:t>
            </w:r>
          </w:p>
        </w:tc>
      </w:tr>
      <w:tr w14:paraId="749E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0E2D2A97">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1</w:t>
            </w:r>
          </w:p>
        </w:tc>
        <w:tc>
          <w:tcPr>
            <w:tcW w:w="885" w:type="pct"/>
            <w:vAlign w:val="center"/>
          </w:tcPr>
          <w:p w14:paraId="65DB397D">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3727" w:type="pct"/>
            <w:vAlign w:val="center"/>
          </w:tcPr>
          <w:p w14:paraId="27A1EACF">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施工总承包</w:t>
            </w:r>
          </w:p>
        </w:tc>
      </w:tr>
      <w:tr w14:paraId="1950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5D3BF519">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2</w:t>
            </w:r>
          </w:p>
        </w:tc>
        <w:tc>
          <w:tcPr>
            <w:tcW w:w="885" w:type="pct"/>
            <w:vAlign w:val="center"/>
          </w:tcPr>
          <w:p w14:paraId="0B98E63D">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3727" w:type="pct"/>
            <w:vAlign w:val="center"/>
          </w:tcPr>
          <w:p w14:paraId="4BFF81A9">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工程量清单综合单价报价法</w:t>
            </w:r>
          </w:p>
        </w:tc>
      </w:tr>
      <w:tr w14:paraId="239A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0A1CEA1A">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3</w:t>
            </w:r>
          </w:p>
        </w:tc>
        <w:tc>
          <w:tcPr>
            <w:tcW w:w="885" w:type="pct"/>
            <w:vAlign w:val="center"/>
          </w:tcPr>
          <w:p w14:paraId="51B2860C">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3727" w:type="pct"/>
            <w:vAlign w:val="center"/>
          </w:tcPr>
          <w:p w14:paraId="14FFC296">
            <w:pPr>
              <w:pStyle w:val="75"/>
              <w:widowControl w:val="0"/>
              <w:spacing w:before="0" w:beforeAutospacing="0" w:after="0" w:afterAutospacing="0" w:line="360" w:lineRule="auto"/>
              <w:jc w:val="both"/>
              <w:rPr>
                <w:rFonts w:hint="eastAsia"/>
                <w:b w:val="0"/>
                <w:color w:val="auto"/>
                <w:sz w:val="24"/>
                <w:highlight w:val="none"/>
                <w:u w:val="single"/>
                <w:lang w:val="en-US" w:eastAsia="zh-CN"/>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single"/>
                <w:lang w:val="en-US" w:eastAsia="zh-CN"/>
              </w:rPr>
              <w:t>90日历天</w:t>
            </w:r>
          </w:p>
          <w:p w14:paraId="3A46C221">
            <w:pPr>
              <w:pStyle w:val="75"/>
              <w:widowControl w:val="0"/>
              <w:spacing w:before="0" w:beforeAutospacing="0" w:after="0" w:afterAutospacing="0" w:line="360" w:lineRule="auto"/>
              <w:jc w:val="both"/>
              <w:rPr>
                <w:b w:val="0"/>
                <w:color w:val="auto"/>
                <w:sz w:val="24"/>
                <w:highlight w:val="none"/>
              </w:rPr>
            </w:pPr>
            <w:r>
              <w:rPr>
                <w:b w:val="0"/>
                <w:color w:val="auto"/>
                <w:sz w:val="24"/>
                <w:highlight w:val="none"/>
              </w:rPr>
              <w:t>计划开工日期：</w:t>
            </w:r>
            <w:r>
              <w:rPr>
                <w:rFonts w:hint="eastAsia"/>
                <w:b w:val="0"/>
                <w:color w:val="auto"/>
                <w:sz w:val="24"/>
                <w:highlight w:val="none"/>
                <w:lang w:val="en-US" w:eastAsia="zh-CN"/>
              </w:rPr>
              <w:t xml:space="preserve"> </w:t>
            </w:r>
            <w:r>
              <w:rPr>
                <w:b w:val="0"/>
                <w:color w:val="auto"/>
                <w:sz w:val="24"/>
                <w:highlight w:val="none"/>
              </w:rPr>
              <w:t>年</w:t>
            </w:r>
            <w:r>
              <w:rPr>
                <w:rFonts w:hint="eastAsia"/>
                <w:b w:val="0"/>
                <w:color w:val="auto"/>
                <w:sz w:val="24"/>
                <w:highlight w:val="none"/>
                <w:lang w:val="en-US" w:eastAsia="zh-CN"/>
              </w:rPr>
              <w:t xml:space="preserve"> </w:t>
            </w:r>
            <w:r>
              <w:rPr>
                <w:rFonts w:hint="eastAsia"/>
                <w:b w:val="0"/>
                <w:color w:val="auto"/>
                <w:sz w:val="24"/>
                <w:highlight w:val="none"/>
                <w:u w:val="none"/>
                <w:lang w:val="en-US" w:eastAsia="zh-CN"/>
              </w:rPr>
              <w:t xml:space="preserve">月 </w:t>
            </w:r>
            <w:r>
              <w:rPr>
                <w:b w:val="0"/>
                <w:color w:val="auto"/>
                <w:sz w:val="24"/>
                <w:highlight w:val="none"/>
              </w:rPr>
              <w:t>日</w:t>
            </w:r>
            <w:r>
              <w:rPr>
                <w:rFonts w:hint="eastAsia"/>
                <w:b w:val="0"/>
                <w:color w:val="auto"/>
                <w:sz w:val="24"/>
                <w:highlight w:val="none"/>
              </w:rPr>
              <w:t>，</w:t>
            </w:r>
            <w:bookmarkStart w:id="30" w:name="EB2a2e1a22d449405a860670c095486ab8"/>
            <w:r>
              <w:rPr>
                <w:rFonts w:hint="eastAsia"/>
                <w:b w:val="0"/>
                <w:color w:val="auto"/>
                <w:sz w:val="24"/>
                <w:highlight w:val="none"/>
              </w:rPr>
              <w:t>具体开工时间以开工令为准。</w:t>
            </w:r>
            <w:bookmarkEnd w:id="30"/>
          </w:p>
        </w:tc>
      </w:tr>
      <w:tr w14:paraId="51DC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2062B9B8">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4</w:t>
            </w:r>
          </w:p>
        </w:tc>
        <w:tc>
          <w:tcPr>
            <w:tcW w:w="885" w:type="pct"/>
            <w:vAlign w:val="center"/>
          </w:tcPr>
          <w:p w14:paraId="24B129BC">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3727" w:type="pct"/>
            <w:vAlign w:val="center"/>
          </w:tcPr>
          <w:p w14:paraId="76817907">
            <w:pPr>
              <w:pStyle w:val="102"/>
              <w:tabs>
                <w:tab w:val="left" w:pos="1152"/>
              </w:tabs>
              <w:spacing w:before="0" w:beforeAutospacing="0" w:after="0" w:afterAutospacing="0" w:line="360" w:lineRule="auto"/>
              <w:rPr>
                <w:b/>
                <w:color w:val="auto"/>
                <w:highlight w:val="none"/>
              </w:rPr>
            </w:pPr>
            <w:r>
              <w:rPr>
                <w:rFonts w:hint="eastAsia" w:cs="@仿宋_GB2312"/>
                <w:bCs/>
                <w:color w:val="auto"/>
                <w:szCs w:val="28"/>
                <w:highlight w:val="none"/>
              </w:rPr>
              <w:t>质量标准：合格</w:t>
            </w:r>
          </w:p>
        </w:tc>
      </w:tr>
      <w:tr w14:paraId="0DC6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04D04C7C">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5</w:t>
            </w:r>
          </w:p>
        </w:tc>
        <w:tc>
          <w:tcPr>
            <w:tcW w:w="885" w:type="pct"/>
            <w:vAlign w:val="center"/>
          </w:tcPr>
          <w:p w14:paraId="243E19C4">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3727" w:type="pct"/>
            <w:vAlign w:val="center"/>
          </w:tcPr>
          <w:p w14:paraId="3845D411">
            <w:pPr>
              <w:pStyle w:val="75"/>
              <w:widowControl w:val="0"/>
              <w:spacing w:before="0" w:beforeAutospacing="0" w:after="0" w:afterAutospacing="0" w:line="360" w:lineRule="auto"/>
              <w:jc w:val="both"/>
              <w:rPr>
                <w:b w:val="0"/>
                <w:color w:val="auto"/>
                <w:sz w:val="24"/>
                <w:highlight w:val="none"/>
              </w:rPr>
            </w:pPr>
            <w:r>
              <w:rPr>
                <w:rFonts w:hint="eastAsia"/>
                <w:color w:val="auto"/>
                <w:sz w:val="24"/>
                <w:highlight w:val="none"/>
              </w:rPr>
              <w:t>必须确保安全文明施工，符合国家和项目所在地现行相关规定</w:t>
            </w:r>
          </w:p>
        </w:tc>
      </w:tr>
      <w:tr w14:paraId="7D77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2E89E0DA">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6</w:t>
            </w:r>
          </w:p>
        </w:tc>
        <w:tc>
          <w:tcPr>
            <w:tcW w:w="885" w:type="pct"/>
            <w:vAlign w:val="center"/>
          </w:tcPr>
          <w:p w14:paraId="51896E43">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3727" w:type="pct"/>
            <w:vAlign w:val="center"/>
          </w:tcPr>
          <w:p w14:paraId="674209B4">
            <w:pPr>
              <w:spacing w:line="360" w:lineRule="auto"/>
              <w:rPr>
                <w:rFonts w:ascii="Calibri" w:hAnsi="Calibri" w:cs="Times New Roman"/>
                <w:b/>
                <w:bCs/>
                <w:color w:val="auto"/>
                <w:kern w:val="2"/>
                <w:sz w:val="24"/>
                <w:szCs w:val="28"/>
                <w:highlight w:val="none"/>
              </w:rPr>
            </w:pPr>
            <w:r>
              <w:rPr>
                <w:rFonts w:hint="eastAsia" w:ascii="Calibri" w:hAnsi="Calibri" w:cs="Times New Roman"/>
                <w:b/>
                <w:bCs/>
                <w:color w:val="auto"/>
                <w:kern w:val="2"/>
                <w:sz w:val="24"/>
                <w:szCs w:val="28"/>
                <w:highlight w:val="none"/>
              </w:rPr>
              <w:t>供应商不得在成交后将工程转包给其它施工单位。</w:t>
            </w:r>
          </w:p>
          <w:p w14:paraId="76302F13">
            <w:pPr>
              <w:spacing w:line="360" w:lineRule="auto"/>
              <w:jc w:val="left"/>
              <w:rPr>
                <w:rFonts w:cs="Times New Roman"/>
                <w:b/>
                <w:color w:val="auto"/>
                <w:kern w:val="2"/>
                <w:sz w:val="24"/>
                <w:szCs w:val="22"/>
                <w:highlight w:val="none"/>
              </w:rPr>
            </w:pPr>
            <w:r>
              <w:rPr>
                <w:rFonts w:hint="eastAsia" w:cs="Times New Roman"/>
                <w:b/>
                <w:color w:val="auto"/>
                <w:kern w:val="2"/>
                <w:sz w:val="24"/>
                <w:szCs w:val="22"/>
                <w:highlight w:val="none"/>
              </w:rPr>
              <w:t>分包情况</w:t>
            </w:r>
          </w:p>
          <w:p w14:paraId="13B4F224">
            <w:pPr>
              <w:pStyle w:val="75"/>
              <w:widowControl w:val="0"/>
              <w:spacing w:before="0" w:beforeAutospacing="0" w:after="0" w:afterAutospacing="0" w:line="360" w:lineRule="auto"/>
              <w:jc w:val="both"/>
              <w:rPr>
                <w:b w:val="0"/>
                <w:color w:val="auto"/>
                <w:sz w:val="24"/>
                <w:highlight w:val="none"/>
              </w:rPr>
            </w:pPr>
            <w:r>
              <w:rPr>
                <w:rFonts w:hint="eastAsia" w:cs="Times New Roman"/>
                <w:b w:val="0"/>
                <w:bCs w:val="0"/>
                <w:color w:val="auto"/>
                <w:kern w:val="2"/>
                <w:sz w:val="24"/>
                <w:szCs w:val="22"/>
                <w:highlight w:val="none"/>
              </w:rPr>
              <w:t>不允许</w:t>
            </w:r>
          </w:p>
        </w:tc>
      </w:tr>
      <w:tr w14:paraId="5CC0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1BC29777">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7</w:t>
            </w:r>
          </w:p>
        </w:tc>
        <w:tc>
          <w:tcPr>
            <w:tcW w:w="885" w:type="pct"/>
            <w:vAlign w:val="center"/>
          </w:tcPr>
          <w:p w14:paraId="20C56166">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3727" w:type="pct"/>
            <w:vAlign w:val="center"/>
          </w:tcPr>
          <w:p w14:paraId="4BB8569E">
            <w:pPr>
              <w:pStyle w:val="75"/>
              <w:widowControl w:val="0"/>
              <w:spacing w:before="0" w:beforeAutospacing="0" w:after="0" w:afterAutospacing="0" w:line="360" w:lineRule="auto"/>
              <w:jc w:val="both"/>
              <w:rPr>
                <w:b w:val="0"/>
                <w:color w:val="auto"/>
                <w:sz w:val="24"/>
                <w:highlight w:val="none"/>
              </w:rPr>
            </w:pPr>
            <w:r>
              <w:rPr>
                <w:rFonts w:hint="eastAsia"/>
                <w:color w:val="auto"/>
                <w:sz w:val="24"/>
                <w:highlight w:val="none"/>
              </w:rPr>
              <w:t>具备开工条件</w:t>
            </w:r>
          </w:p>
        </w:tc>
      </w:tr>
      <w:tr w14:paraId="2E9B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6227E88B">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8</w:t>
            </w:r>
          </w:p>
        </w:tc>
        <w:tc>
          <w:tcPr>
            <w:tcW w:w="885" w:type="pct"/>
            <w:vAlign w:val="center"/>
          </w:tcPr>
          <w:p w14:paraId="1E41D6F7">
            <w:pPr>
              <w:pStyle w:val="75"/>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采购人提供的资料</w:t>
            </w:r>
          </w:p>
        </w:tc>
        <w:tc>
          <w:tcPr>
            <w:tcW w:w="3727" w:type="pct"/>
            <w:vAlign w:val="center"/>
          </w:tcPr>
          <w:p w14:paraId="524EE941">
            <w:pPr>
              <w:adjustRightInd w:val="0"/>
              <w:snapToGrid w:val="0"/>
              <w:spacing w:line="360" w:lineRule="auto"/>
              <w:jc w:val="left"/>
              <w:rPr>
                <w:bCs/>
                <w:color w:val="auto"/>
                <w:sz w:val="24"/>
                <w:szCs w:val="28"/>
                <w:highlight w:val="none"/>
              </w:rPr>
            </w:pPr>
            <w:r>
              <w:rPr>
                <w:rFonts w:hint="eastAsia"/>
                <w:bCs/>
                <w:color w:val="auto"/>
                <w:sz w:val="24"/>
                <w:szCs w:val="28"/>
                <w:highlight w:val="none"/>
              </w:rPr>
              <w:t>谈判文件</w:t>
            </w:r>
          </w:p>
          <w:p w14:paraId="72DC32E2">
            <w:pPr>
              <w:adjustRightInd w:val="0"/>
              <w:snapToGrid w:val="0"/>
              <w:spacing w:line="360" w:lineRule="auto"/>
              <w:jc w:val="left"/>
              <w:rPr>
                <w:bCs/>
                <w:color w:val="auto"/>
                <w:sz w:val="24"/>
                <w:szCs w:val="28"/>
                <w:highlight w:val="none"/>
              </w:rPr>
            </w:pPr>
            <w:r>
              <w:rPr>
                <w:rFonts w:hint="eastAsia"/>
                <w:bCs/>
                <w:color w:val="auto"/>
                <w:sz w:val="24"/>
                <w:szCs w:val="28"/>
                <w:highlight w:val="none"/>
              </w:rPr>
              <w:t>工程量清单</w:t>
            </w:r>
          </w:p>
          <w:p w14:paraId="34836230">
            <w:pPr>
              <w:adjustRightInd w:val="0"/>
              <w:snapToGrid w:val="0"/>
              <w:spacing w:line="360" w:lineRule="auto"/>
              <w:jc w:val="left"/>
              <w:rPr>
                <w:bCs/>
                <w:color w:val="auto"/>
                <w:sz w:val="24"/>
                <w:szCs w:val="28"/>
                <w:highlight w:val="none"/>
              </w:rPr>
            </w:pPr>
            <w:r>
              <w:rPr>
                <w:rFonts w:hint="eastAsia"/>
                <w:bCs/>
                <w:color w:val="auto"/>
                <w:sz w:val="24"/>
                <w:szCs w:val="28"/>
                <w:highlight w:val="none"/>
              </w:rPr>
              <w:t>最高投标限价</w:t>
            </w:r>
          </w:p>
          <w:p w14:paraId="09C57E05">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r>
              <w:rPr>
                <w:rFonts w:hint="eastAsia"/>
                <w:bCs/>
                <w:color w:val="000000" w:themeColor="text1"/>
                <w:sz w:val="24"/>
                <w:szCs w:val="28"/>
                <w14:textFill>
                  <w14:solidFill>
                    <w14:schemeClr w14:val="tx1"/>
                  </w14:solidFill>
                </w14:textFill>
              </w:rPr>
              <w:t>图纸情况说明</w:t>
            </w:r>
          </w:p>
          <w:p w14:paraId="28CC456E">
            <w:pPr>
              <w:adjustRightInd w:val="0"/>
              <w:snapToGrid w:val="0"/>
              <w:spacing w:line="360" w:lineRule="auto"/>
              <w:jc w:val="left"/>
              <w:rPr>
                <w:rFonts w:hint="default" w:eastAsia="宋体"/>
                <w:bCs/>
                <w:color w:val="auto"/>
                <w:sz w:val="24"/>
                <w:szCs w:val="28"/>
                <w:highlight w:val="none"/>
                <w:lang w:val="en-US" w:eastAsia="zh-CN"/>
              </w:rPr>
            </w:pPr>
            <w:r>
              <w:rPr>
                <w:rFonts w:hint="eastAsia"/>
                <w:bCs/>
                <w:color w:val="auto"/>
                <w:sz w:val="24"/>
                <w:szCs w:val="28"/>
                <w:highlight w:val="none"/>
              </w:rPr>
              <w:t>获得方式：</w:t>
            </w:r>
            <w:r>
              <w:rPr>
                <w:rFonts w:hint="eastAsia"/>
                <w:bCs/>
                <w:color w:val="auto"/>
                <w:sz w:val="24"/>
                <w:szCs w:val="28"/>
                <w:highlight w:val="none"/>
                <w:lang w:val="en-US" w:eastAsia="zh-CN"/>
              </w:rPr>
              <w:t>网上下载</w:t>
            </w:r>
          </w:p>
          <w:p w14:paraId="37B489C5">
            <w:pPr>
              <w:pStyle w:val="75"/>
              <w:widowControl w:val="0"/>
              <w:spacing w:before="0" w:beforeAutospacing="0" w:after="0" w:afterAutospacing="0" w:line="360" w:lineRule="auto"/>
              <w:jc w:val="both"/>
              <w:rPr>
                <w:b w:val="0"/>
                <w:color w:val="auto"/>
                <w:sz w:val="24"/>
                <w:highlight w:val="none"/>
              </w:rPr>
            </w:pPr>
            <w:r>
              <w:rPr>
                <w:rFonts w:hint="eastAsia"/>
                <w:color w:val="auto"/>
                <w:sz w:val="24"/>
                <w:highlight w:val="none"/>
              </w:rPr>
              <w:t>上述资料请供应商在获取谈判文件后，自行登录电子交易系统下载本项目附件。</w:t>
            </w:r>
          </w:p>
        </w:tc>
      </w:tr>
      <w:tr w14:paraId="2DB0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7DA3192C">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rFonts w:hint="eastAsia"/>
                <w:bCs/>
                <w:color w:val="auto"/>
                <w:kern w:val="2"/>
                <w:highlight w:val="none"/>
                <w:lang w:val="en-US" w:eastAsia="zh-CN"/>
              </w:rPr>
              <w:t>30</w:t>
            </w:r>
            <w:r>
              <w:rPr>
                <w:bCs/>
                <w:color w:val="auto"/>
                <w:kern w:val="2"/>
                <w:highlight w:val="none"/>
              </w:rPr>
              <w:t>.</w:t>
            </w:r>
            <w:r>
              <w:rPr>
                <w:rFonts w:hint="eastAsia"/>
                <w:bCs/>
                <w:color w:val="auto"/>
                <w:kern w:val="2"/>
                <w:highlight w:val="none"/>
                <w:lang w:val="en-US" w:eastAsia="zh-CN"/>
              </w:rPr>
              <w:t>9</w:t>
            </w:r>
          </w:p>
        </w:tc>
        <w:tc>
          <w:tcPr>
            <w:tcW w:w="885" w:type="pct"/>
            <w:vAlign w:val="center"/>
          </w:tcPr>
          <w:p w14:paraId="054F469A">
            <w:pPr>
              <w:pStyle w:val="75"/>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工程量清单和最高投标限价编制费</w:t>
            </w:r>
          </w:p>
        </w:tc>
        <w:tc>
          <w:tcPr>
            <w:tcW w:w="3727" w:type="pct"/>
            <w:vAlign w:val="center"/>
          </w:tcPr>
          <w:p w14:paraId="37D6EC5A">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cs="宋体"/>
                <w:color w:val="auto"/>
                <w:sz w:val="24"/>
                <w:szCs w:val="24"/>
                <w:highlight w:val="none"/>
                <w:u w:val="single" w:color="auto"/>
                <w:lang w:val="en-US" w:eastAsia="zh-CN"/>
              </w:rPr>
              <w:t>采购人</w:t>
            </w:r>
          </w:p>
          <w:p w14:paraId="6AF49204">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lang w:eastAsia="zh-CN"/>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cs="宋体"/>
                <w:color w:val="auto"/>
                <w:sz w:val="24"/>
                <w:szCs w:val="24"/>
                <w:highlight w:val="none"/>
                <w:u w:val="single" w:color="auto"/>
                <w:lang w:val="en-US" w:eastAsia="zh-CN"/>
              </w:rPr>
              <w:t>转账</w:t>
            </w:r>
          </w:p>
          <w:p w14:paraId="14F38E3B">
            <w:pPr>
              <w:pStyle w:val="75"/>
              <w:widowControl w:val="0"/>
              <w:spacing w:before="0" w:beforeAutospacing="0" w:after="0" w:afterAutospacing="0" w:line="360" w:lineRule="auto"/>
              <w:jc w:val="both"/>
              <w:rPr>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cs="宋体"/>
                <w:b w:val="0"/>
                <w:bCs w:val="0"/>
                <w:color w:val="auto"/>
                <w:sz w:val="24"/>
                <w:szCs w:val="24"/>
                <w:highlight w:val="none"/>
                <w:u w:val="single" w:color="auto"/>
                <w:lang w:val="en-US" w:eastAsia="zh-CN"/>
              </w:rPr>
              <w:t>参照工程造价皖价服【2007】86号文收取；不足1000元的按1000元收取。</w:t>
            </w:r>
          </w:p>
        </w:tc>
      </w:tr>
      <w:tr w14:paraId="5876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7" w:type="pct"/>
            <w:vAlign w:val="center"/>
          </w:tcPr>
          <w:p w14:paraId="0A0CEB34">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.1</w:t>
            </w:r>
            <w:r>
              <w:rPr>
                <w:rFonts w:hint="eastAsia"/>
                <w:bCs/>
                <w:color w:val="auto"/>
                <w:kern w:val="2"/>
                <w:highlight w:val="none"/>
                <w:lang w:val="en-US" w:eastAsia="zh-CN"/>
              </w:rPr>
              <w:t>0</w:t>
            </w:r>
          </w:p>
        </w:tc>
        <w:tc>
          <w:tcPr>
            <w:tcW w:w="885" w:type="pct"/>
            <w:vAlign w:val="center"/>
          </w:tcPr>
          <w:p w14:paraId="2222A967">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其他补充说明</w:t>
            </w:r>
          </w:p>
        </w:tc>
        <w:tc>
          <w:tcPr>
            <w:tcW w:w="3727" w:type="pct"/>
            <w:vAlign w:val="center"/>
          </w:tcPr>
          <w:p w14:paraId="026A8458">
            <w:pPr>
              <w:numPr>
                <w:ilvl w:val="0"/>
                <w:numId w:val="0"/>
              </w:num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1、解释权：</w:t>
            </w:r>
          </w:p>
          <w:p w14:paraId="6CE99F83">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谈判</w:t>
            </w:r>
            <w:r>
              <w:rPr>
                <w:rFonts w:asciiTheme="minorEastAsia" w:hAnsiTheme="minorEastAsia" w:eastAsiaTheme="minorEastAsia"/>
                <w:bCs/>
                <w:color w:val="auto"/>
                <w:sz w:val="24"/>
                <w:szCs w:val="24"/>
                <w:highlight w:val="none"/>
              </w:rPr>
              <w:t>文件的各个组成文件应互为解释，互为说明；</w:t>
            </w:r>
          </w:p>
          <w:p w14:paraId="0D58003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1EE55EC5">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25D03B61">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谈判</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谈判及响应文件提交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竞争性谈判</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谈判邀请、供应商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2707BBD2">
            <w:pPr>
              <w:pStyle w:val="75"/>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w:t>
            </w:r>
            <w:r>
              <w:rPr>
                <w:rFonts w:asciiTheme="minorEastAsia" w:hAnsiTheme="minorEastAsia" w:eastAsiaTheme="minorEastAsia"/>
                <w:b w:val="0"/>
                <w:color w:val="auto"/>
                <w:sz w:val="24"/>
                <w:szCs w:val="24"/>
                <w:highlight w:val="none"/>
              </w:rPr>
              <w:t>按本款前述规定仍不能形成结论的，由</w:t>
            </w:r>
            <w:r>
              <w:rPr>
                <w:rFonts w:hint="eastAsia" w:asciiTheme="minorEastAsia" w:hAnsiTheme="minorEastAsia" w:eastAsiaTheme="minorEastAsia"/>
                <w:b w:val="0"/>
                <w:color w:val="auto"/>
                <w:sz w:val="24"/>
                <w:szCs w:val="24"/>
                <w:highlight w:val="none"/>
              </w:rPr>
              <w:t>采购</w:t>
            </w:r>
            <w:r>
              <w:rPr>
                <w:rFonts w:asciiTheme="minorEastAsia" w:hAnsiTheme="minorEastAsia" w:eastAsiaTheme="minorEastAsia"/>
                <w:b w:val="0"/>
                <w:color w:val="auto"/>
                <w:sz w:val="24"/>
                <w:szCs w:val="24"/>
                <w:highlight w:val="none"/>
              </w:rPr>
              <w:t>人负责解释。</w:t>
            </w:r>
          </w:p>
          <w:p w14:paraId="41E25BA1">
            <w:pPr>
              <w:pStyle w:val="75"/>
              <w:widowControl w:val="0"/>
              <w:spacing w:before="0" w:beforeAutospacing="0" w:after="0" w:afterAutospacing="0" w:line="360" w:lineRule="auto"/>
              <w:jc w:val="both"/>
              <w:rPr>
                <w:rFonts w:hint="eastAsia"/>
                <w:b w:val="0"/>
                <w:color w:val="auto"/>
                <w:sz w:val="24"/>
                <w:highlight w:val="none"/>
              </w:rPr>
            </w:pPr>
            <w:r>
              <w:rPr>
                <w:rFonts w:hint="eastAsia"/>
                <w:b w:val="0"/>
                <w:color w:val="auto"/>
                <w:sz w:val="24"/>
                <w:highlight w:val="none"/>
                <w:lang w:val="en-US" w:eastAsia="zh-CN"/>
              </w:rPr>
              <w:t>2、</w:t>
            </w:r>
            <w:r>
              <w:rPr>
                <w:rFonts w:hint="eastAsia"/>
                <w:b w:val="0"/>
                <w:color w:val="auto"/>
                <w:sz w:val="24"/>
                <w:highlight w:val="none"/>
              </w:rPr>
              <w:t>“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供应商融资申请信息推送第三方平台、意向金融机构。</w:t>
            </w:r>
          </w:p>
          <w:p w14:paraId="26DC0BB6">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3、电子保函指引：成交供应商可访问安徽省政府采购网“融资/保函”栏目，申请办理电子保函（包括：履约保函、预付款保函）。</w:t>
            </w:r>
          </w:p>
          <w:p w14:paraId="6F83DE07">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4、部分可提供线下政采贷的金融机构（包括但不限于</w:t>
            </w:r>
            <w:bookmarkStart w:id="737" w:name="_GoBack"/>
            <w:bookmarkEnd w:id="737"/>
            <w:r>
              <w:rPr>
                <w:rFonts w:hint="eastAsia" w:cs="@仿宋_GB2312" w:asciiTheme="minorEastAsia" w:hAnsiTheme="minorEastAsia" w:eastAsiaTheme="minorEastAsia"/>
                <w:b w:val="0"/>
                <w:bCs/>
                <w:color w:val="auto"/>
                <w:kern w:val="2"/>
                <w:sz w:val="24"/>
                <w:szCs w:val="24"/>
                <w:highlight w:val="none"/>
                <w:lang w:val="en-US" w:eastAsia="zh-CN" w:bidi="ar-SA"/>
              </w:rPr>
              <w:t>）：</w:t>
            </w:r>
          </w:p>
          <w:p w14:paraId="56173D4B">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1.金融机构名称：安徽明光民丰村镇银行有限责任公司 </w:t>
            </w:r>
          </w:p>
          <w:p w14:paraId="4FA704B9">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地址：安徽省明光市池河大道 618 号 </w:t>
            </w:r>
          </w:p>
          <w:p w14:paraId="78AC3570">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联系人及电话：唐玉超 17755082100 </w:t>
            </w:r>
          </w:p>
          <w:p w14:paraId="01EE1C1B">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2.金融机构名称：徽商银行明光支行 </w:t>
            </w:r>
          </w:p>
          <w:p w14:paraId="52D574D4">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地址：安徽省明光市韩山路 195 号 </w:t>
            </w:r>
          </w:p>
          <w:p w14:paraId="73443004">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联系人及电话：李文龙 18019803518 </w:t>
            </w:r>
          </w:p>
          <w:p w14:paraId="4C86A115">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3.金融机构名称：安徽明光农村商业银行股份有限公司 </w:t>
            </w:r>
          </w:p>
          <w:p w14:paraId="58C117AF">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地址：安徽省明光市龙山东路 30 号 </w:t>
            </w:r>
          </w:p>
          <w:p w14:paraId="68B92893">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联系人及电话：姚敏 13905506298</w:t>
            </w:r>
          </w:p>
          <w:p w14:paraId="3701380B">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4.金融机构名称：中国工商银行明光支行</w:t>
            </w:r>
          </w:p>
          <w:p w14:paraId="4F444CF2">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地址：明光市车站路301号  </w:t>
            </w:r>
          </w:p>
          <w:p w14:paraId="408ED37E">
            <w:pPr>
              <w:pStyle w:val="75"/>
              <w:widowControl w:val="0"/>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联系人及电话：许春晖 18712040304</w:t>
            </w:r>
          </w:p>
          <w:p w14:paraId="61B17084">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5.特别提示：</w:t>
            </w:r>
          </w:p>
          <w:p w14:paraId="5CA7ECFC">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（1）投标人应填写投标信息并下载招标文件，否则无法上传投标文件。</w:t>
            </w:r>
          </w:p>
          <w:p w14:paraId="2523C164">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注：投标人如为联合体的，牵头人必须完善投标人信息，并在上传投标文件环节添加联合体投标信息。</w:t>
            </w:r>
          </w:p>
          <w:p w14:paraId="54A8265E">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6FA3B4B2">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（3）如果过程中出现招标文件更改，应以最后发布的招标答疑澄清文件中的模板制作本项目最新投标文件。</w:t>
            </w:r>
          </w:p>
          <w:p w14:paraId="77674462">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 xml:space="preserve">（4）投标人应当用本单位CA数字证书制作投标文件，制作成功后进行投标文件上传。 </w:t>
            </w:r>
          </w:p>
          <w:p w14:paraId="6DDB1D87">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19331821">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（6）请投标人注意加密投标文件CA数字证书的有效期，不在有效期的CA数字证书无法解密投标文件。</w:t>
            </w:r>
          </w:p>
          <w:p w14:paraId="6CD42144">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（7）投标人投标MAC地址或投标人联系人或联系电话相同的，由评标委员会否决其投标，并报告监管部门作不良行为处理和进一步调查。</w:t>
            </w:r>
          </w:p>
          <w:p w14:paraId="63F5333D">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（8）投标人单方面出现其他投标人材料的，由评标委员会否决其投标。</w:t>
            </w:r>
          </w:p>
          <w:p w14:paraId="629C5F14">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09DDD452">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50853C55">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6.评标过程中的澄清、说明或补正：</w:t>
            </w:r>
          </w:p>
          <w:p w14:paraId="5379EF00">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（1）评标委员会通过网上招投标系统将需要澄清、说明或补正的内容以询标函的形式发送给投标人，投标人应安排专人登录网上招投标系统并保持在线状态，以便及时接收评标委员会可能发出的询标函。</w:t>
            </w:r>
          </w:p>
          <w:p w14:paraId="2A82D6B6">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40052CBA">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7.同义词语：</w:t>
            </w:r>
          </w:p>
          <w:p w14:paraId="5E3E3ABD">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招标文件第六章  投标文件格式、附件1“关于联合惩戒失信行为 加强信用查询管理的通知”等章节中 “招标人”、“供应商”，等同于“采购人”、“投标人”。</w:t>
            </w:r>
          </w:p>
          <w:p w14:paraId="3CED8D94">
            <w:pPr>
              <w:pStyle w:val="75"/>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default" w:cs="@仿宋_GB2312" w:asciiTheme="minorEastAsia" w:hAnsiTheme="minorEastAsia" w:eastAsiaTheme="minorEastAsia"/>
                <w:b w:val="0"/>
                <w:bCs/>
                <w:color w:val="auto"/>
                <w:kern w:val="2"/>
                <w:sz w:val="24"/>
                <w:szCs w:val="24"/>
                <w:highlight w:val="none"/>
                <w:lang w:val="en-US" w:eastAsia="zh-CN" w:bidi="ar-SA"/>
              </w:rPr>
              <w:t>8.落实政府采购支持节能产品、环境标志产品政策。</w:t>
            </w:r>
          </w:p>
        </w:tc>
      </w:tr>
    </w:tbl>
    <w:p w14:paraId="6D644861">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31" w:name="_Toc32464"/>
      <w:bookmarkStart w:id="32" w:name="_Toc19323"/>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31"/>
      <w:bookmarkEnd w:id="32"/>
    </w:p>
    <w:p w14:paraId="4325899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075DAABE">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.1采购人：是指依法开展政府采购活动的国家机关、事业单位、团体组织。</w:t>
      </w:r>
    </w:p>
    <w:p w14:paraId="487D0E98">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.2采购代理机构：是指集中采购机构或从事采购代理业务的社会中介机构。</w:t>
      </w:r>
    </w:p>
    <w:p w14:paraId="7D906629">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.3政府采购监督管理部门：</w:t>
      </w:r>
      <w:r>
        <w:rPr>
          <w:rFonts w:hint="eastAsia"/>
          <w:color w:val="auto"/>
          <w:sz w:val="24"/>
          <w:highlight w:val="none"/>
        </w:rPr>
        <w:t>各级人民政府指定的有关部门依法履行与政府采购活动有关的监督管理职责。</w:t>
      </w:r>
    </w:p>
    <w:p w14:paraId="00CF76C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rPr>
        <w:t>供应商</w:t>
      </w:r>
      <w:r>
        <w:rPr>
          <w:color w:val="auto"/>
          <w:sz w:val="24"/>
          <w:highlight w:val="none"/>
        </w:rPr>
        <w:t>：是指向采购人提供货物、工程或者服务的法人、</w:t>
      </w:r>
      <w:r>
        <w:rPr>
          <w:rFonts w:hint="eastAsia"/>
          <w:color w:val="auto"/>
          <w:sz w:val="24"/>
          <w:highlight w:val="none"/>
          <w:lang w:val="en-US" w:eastAsia="zh-CN"/>
        </w:rPr>
        <w:t>其他</w:t>
      </w:r>
      <w:r>
        <w:rPr>
          <w:color w:val="auto"/>
          <w:sz w:val="24"/>
          <w:highlight w:val="none"/>
        </w:rPr>
        <w:t>组织或者自然人。</w:t>
      </w:r>
      <w:r>
        <w:rPr>
          <w:rFonts w:hint="eastAsia"/>
          <w:color w:val="auto"/>
          <w:sz w:val="24"/>
          <w:highlight w:val="none"/>
        </w:rPr>
        <w:t>分支机构不得参加政府采购活动，但银行、保险、石油石化、电力、电信等特殊行业除外。</w:t>
      </w:r>
      <w:r>
        <w:rPr>
          <w:color w:val="auto"/>
          <w:sz w:val="24"/>
          <w:highlight w:val="none"/>
        </w:rPr>
        <w:t>本项目的</w:t>
      </w:r>
      <w:r>
        <w:rPr>
          <w:rFonts w:hint="eastAsia"/>
          <w:color w:val="auto"/>
          <w:sz w:val="24"/>
          <w:highlight w:val="none"/>
        </w:rPr>
        <w:t>供应商</w:t>
      </w:r>
      <w:r>
        <w:rPr>
          <w:color w:val="auto"/>
          <w:sz w:val="24"/>
          <w:highlight w:val="none"/>
        </w:rPr>
        <w:t>须满足以下条件：</w:t>
      </w:r>
    </w:p>
    <w:p w14:paraId="40F1A9C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1</w:t>
      </w:r>
      <w:r>
        <w:rPr>
          <w:color w:val="auto"/>
          <w:sz w:val="24"/>
          <w:highlight w:val="none"/>
        </w:rPr>
        <w:t>具备《中华人民共和国政府采购法》第二十二条关于供应商条件的规定，遵守本项目采购人本级和上级财政部门政府采购的有关规定。</w:t>
      </w:r>
    </w:p>
    <w:p w14:paraId="2E50BEE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2</w:t>
      </w:r>
      <w:r>
        <w:rPr>
          <w:color w:val="auto"/>
          <w:sz w:val="24"/>
          <w:highlight w:val="none"/>
        </w:rPr>
        <w:t>以采购代理机构认可的方式获得了本项目的</w:t>
      </w:r>
      <w:r>
        <w:rPr>
          <w:rFonts w:hint="eastAsia"/>
          <w:color w:val="auto"/>
          <w:sz w:val="24"/>
          <w:highlight w:val="none"/>
        </w:rPr>
        <w:t>谈判</w:t>
      </w:r>
      <w:r>
        <w:rPr>
          <w:color w:val="auto"/>
          <w:sz w:val="24"/>
          <w:highlight w:val="none"/>
        </w:rPr>
        <w:t>文件。</w:t>
      </w:r>
    </w:p>
    <w:p w14:paraId="3F8899EA">
      <w:pPr>
        <w:spacing w:line="360" w:lineRule="auto"/>
        <w:ind w:firstLine="435"/>
        <w:rPr>
          <w:color w:val="auto"/>
          <w:sz w:val="24"/>
          <w:highlight w:val="none"/>
        </w:rPr>
      </w:pPr>
      <w:r>
        <w:rPr>
          <w:rFonts w:hint="eastAsia"/>
          <w:bCs/>
          <w:color w:val="auto"/>
          <w:sz w:val="24"/>
          <w:szCs w:val="28"/>
          <w:highlight w:val="none"/>
          <w:lang w:val="en-US" w:eastAsia="zh-CN"/>
        </w:rPr>
        <w:t>1</w:t>
      </w:r>
      <w:r>
        <w:rPr>
          <w:bCs/>
          <w:color w:val="auto"/>
          <w:sz w:val="24"/>
          <w:szCs w:val="28"/>
          <w:highlight w:val="none"/>
        </w:rPr>
        <w:t>.5</w:t>
      </w:r>
      <w:r>
        <w:rPr>
          <w:rFonts w:hint="eastAsia"/>
          <w:bCs/>
          <w:color w:val="auto"/>
          <w:sz w:val="24"/>
          <w:szCs w:val="28"/>
          <w:highlight w:val="none"/>
        </w:rPr>
        <w:t>若竞争性谈判公告</w:t>
      </w:r>
      <w:r>
        <w:rPr>
          <w:bCs/>
          <w:color w:val="auto"/>
          <w:sz w:val="24"/>
          <w:szCs w:val="28"/>
          <w:highlight w:val="none"/>
        </w:rPr>
        <w:t>中允许联合体</w:t>
      </w:r>
      <w:r>
        <w:rPr>
          <w:rFonts w:hint="eastAsia"/>
          <w:bCs/>
          <w:color w:val="auto"/>
          <w:sz w:val="24"/>
          <w:szCs w:val="28"/>
          <w:highlight w:val="none"/>
        </w:rPr>
        <w:t>参加谈判</w:t>
      </w:r>
      <w:r>
        <w:rPr>
          <w:bCs/>
          <w:color w:val="auto"/>
          <w:sz w:val="24"/>
          <w:szCs w:val="28"/>
          <w:highlight w:val="none"/>
        </w:rPr>
        <w:t>，对联合体规定如下：</w:t>
      </w:r>
    </w:p>
    <w:p w14:paraId="266A649E">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.1</w:t>
      </w:r>
      <w:r>
        <w:rPr>
          <w:rFonts w:hint="eastAsia"/>
          <w:color w:val="auto"/>
          <w:sz w:val="24"/>
          <w:highlight w:val="none"/>
        </w:rPr>
        <w:t>两个以上供应商可以组成一个谈判联合体，以一个供应商的身份谈判</w:t>
      </w:r>
      <w:r>
        <w:rPr>
          <w:color w:val="auto"/>
          <w:sz w:val="24"/>
          <w:highlight w:val="none"/>
        </w:rPr>
        <w:t>。</w:t>
      </w:r>
      <w:r>
        <w:rPr>
          <w:b w:val="0"/>
          <w:color w:val="auto"/>
          <w:sz w:val="24"/>
          <w:highlight w:val="none"/>
        </w:rPr>
        <w:t>联合体参加谈判的，</w:t>
      </w:r>
      <w:r>
        <w:rPr>
          <w:rFonts w:hint="eastAsia"/>
          <w:b w:val="0"/>
          <w:color w:val="auto"/>
          <w:sz w:val="24"/>
          <w:highlight w:val="none"/>
        </w:rPr>
        <w:t>谈判文件获取</w:t>
      </w:r>
      <w:r>
        <w:rPr>
          <w:b w:val="0"/>
          <w:color w:val="auto"/>
          <w:sz w:val="24"/>
          <w:highlight w:val="none"/>
        </w:rPr>
        <w:t>手续由联合体</w:t>
      </w:r>
      <w:r>
        <w:rPr>
          <w:rFonts w:hint="eastAsia"/>
          <w:b w:val="0"/>
          <w:color w:val="auto"/>
          <w:sz w:val="24"/>
          <w:highlight w:val="none"/>
        </w:rPr>
        <w:t>中</w:t>
      </w:r>
      <w:r>
        <w:rPr>
          <w:b w:val="0"/>
          <w:color w:val="auto"/>
          <w:sz w:val="24"/>
          <w:highlight w:val="none"/>
        </w:rPr>
        <w:t>任一</w:t>
      </w:r>
      <w:r>
        <w:rPr>
          <w:rFonts w:hint="eastAsia"/>
          <w:b w:val="0"/>
          <w:color w:val="auto"/>
          <w:sz w:val="24"/>
          <w:highlight w:val="none"/>
        </w:rPr>
        <w:t>成员单位</w:t>
      </w:r>
      <w:r>
        <w:rPr>
          <w:b w:val="0"/>
          <w:color w:val="auto"/>
          <w:sz w:val="24"/>
          <w:highlight w:val="none"/>
        </w:rPr>
        <w:t>办理均可。</w:t>
      </w:r>
    </w:p>
    <w:p w14:paraId="5EF91B8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.2联合体各方均应符合《中华人民共和国政府采购法》第二十二条规定的条件。</w:t>
      </w:r>
    </w:p>
    <w:p w14:paraId="57AA72DE">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.3采购人根据采购项目对</w:t>
      </w:r>
      <w:r>
        <w:rPr>
          <w:rFonts w:hint="eastAsia"/>
          <w:color w:val="auto"/>
          <w:sz w:val="24"/>
          <w:highlight w:val="none"/>
        </w:rPr>
        <w:t>供应商</w:t>
      </w:r>
      <w:r>
        <w:rPr>
          <w:color w:val="auto"/>
          <w:sz w:val="24"/>
          <w:highlight w:val="none"/>
        </w:rPr>
        <w:t>的特殊要求，联合体中至少应当有一方符合相关规定。</w:t>
      </w:r>
    </w:p>
    <w:p w14:paraId="3F46A3C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.4联合体各方应签订</w:t>
      </w:r>
      <w:r>
        <w:rPr>
          <w:rFonts w:hint="eastAsia"/>
          <w:color w:val="auto"/>
          <w:sz w:val="24"/>
          <w:highlight w:val="none"/>
        </w:rPr>
        <w:t>联合协议</w:t>
      </w:r>
      <w:r>
        <w:rPr>
          <w:color w:val="auto"/>
          <w:sz w:val="24"/>
          <w:highlight w:val="none"/>
        </w:rPr>
        <w:t>，明确约定联合体各方承担的工作和相应的责任，并将</w:t>
      </w:r>
      <w:r>
        <w:rPr>
          <w:rFonts w:hint="eastAsia"/>
          <w:color w:val="auto"/>
          <w:sz w:val="24"/>
          <w:highlight w:val="none"/>
        </w:rPr>
        <w:t>联合协议</w:t>
      </w:r>
      <w:r>
        <w:rPr>
          <w:color w:val="auto"/>
          <w:sz w:val="24"/>
          <w:highlight w:val="none"/>
        </w:rPr>
        <w:t>作为</w:t>
      </w:r>
      <w:r>
        <w:rPr>
          <w:rFonts w:hint="eastAsia"/>
          <w:color w:val="auto"/>
          <w:sz w:val="24"/>
          <w:highlight w:val="none"/>
        </w:rPr>
        <w:t>响应</w:t>
      </w:r>
      <w:r>
        <w:rPr>
          <w:color w:val="auto"/>
          <w:sz w:val="24"/>
          <w:highlight w:val="none"/>
        </w:rPr>
        <w:t>文件</w:t>
      </w:r>
      <w:r>
        <w:rPr>
          <w:rFonts w:hint="eastAsia"/>
          <w:color w:val="auto"/>
          <w:sz w:val="24"/>
          <w:highlight w:val="none"/>
        </w:rPr>
        <w:t>的</w:t>
      </w:r>
      <w:r>
        <w:rPr>
          <w:color w:val="auto"/>
          <w:sz w:val="24"/>
          <w:highlight w:val="none"/>
        </w:rPr>
        <w:t>一部分提交。</w:t>
      </w:r>
    </w:p>
    <w:p w14:paraId="2CF40FE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.5大中型企业、其他自然人、法人或者非法人组织与小型、微型企业组成联合体共同参加</w:t>
      </w:r>
      <w:r>
        <w:rPr>
          <w:rFonts w:hint="eastAsia"/>
          <w:color w:val="auto"/>
          <w:sz w:val="24"/>
          <w:highlight w:val="none"/>
        </w:rPr>
        <w:t>谈判</w:t>
      </w:r>
      <w:r>
        <w:rPr>
          <w:color w:val="auto"/>
          <w:sz w:val="24"/>
          <w:highlight w:val="none"/>
        </w:rPr>
        <w:t>，</w:t>
      </w:r>
      <w:r>
        <w:rPr>
          <w:rFonts w:hint="eastAsia"/>
          <w:color w:val="auto"/>
          <w:sz w:val="24"/>
          <w:highlight w:val="none"/>
        </w:rPr>
        <w:t>联合协议中</w:t>
      </w:r>
      <w:r>
        <w:rPr>
          <w:color w:val="auto"/>
          <w:sz w:val="24"/>
          <w:highlight w:val="none"/>
        </w:rPr>
        <w:t>应写明小型、微型企业的协议合同金额占到</w:t>
      </w:r>
      <w:r>
        <w:rPr>
          <w:rFonts w:hint="eastAsia"/>
          <w:color w:val="auto"/>
          <w:sz w:val="24"/>
          <w:highlight w:val="none"/>
        </w:rPr>
        <w:t>联合协议合同</w:t>
      </w:r>
      <w:r>
        <w:rPr>
          <w:color w:val="auto"/>
          <w:sz w:val="24"/>
          <w:highlight w:val="none"/>
        </w:rPr>
        <w:t>总金额的比例。</w:t>
      </w:r>
    </w:p>
    <w:p w14:paraId="2D44C2F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.5.6</w:t>
      </w:r>
      <w:r>
        <w:rPr>
          <w:rFonts w:hint="eastAsia"/>
          <w:color w:val="auto"/>
          <w:sz w:val="24"/>
          <w:highlight w:val="none"/>
        </w:rPr>
        <w:t>联合体中有同类资质的供应商按照联合体分工承担相同工作的，</w:t>
      </w:r>
      <w:r>
        <w:rPr>
          <w:color w:val="auto"/>
          <w:sz w:val="24"/>
          <w:highlight w:val="none"/>
        </w:rPr>
        <w:t>应当按照</w:t>
      </w:r>
      <w:r>
        <w:rPr>
          <w:rFonts w:hint="eastAsia"/>
          <w:color w:val="auto"/>
          <w:sz w:val="24"/>
          <w:highlight w:val="none"/>
        </w:rPr>
        <w:t>资质等级较低的供应商确定资质等级。</w:t>
      </w:r>
    </w:p>
    <w:p w14:paraId="4F8112C0">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.7以联合体形式参加政府采购活动的，联合体各方不得再单独参加或者与其他供应商另外组成联合体参加本项目</w:t>
      </w:r>
      <w:r>
        <w:rPr>
          <w:rFonts w:hint="eastAsia"/>
          <w:color w:val="auto"/>
          <w:sz w:val="24"/>
          <w:highlight w:val="none"/>
        </w:rPr>
        <w:t>谈判</w:t>
      </w:r>
      <w:r>
        <w:rPr>
          <w:color w:val="auto"/>
          <w:sz w:val="24"/>
          <w:highlight w:val="none"/>
        </w:rPr>
        <w:t>，否则相关</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23F934C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.8对联合体参加谈判的其他资格要求见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color w:val="auto"/>
          <w:sz w:val="24"/>
          <w:highlight w:val="none"/>
        </w:rPr>
        <w:t>。</w:t>
      </w:r>
    </w:p>
    <w:p w14:paraId="1492DB6E">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5EA33E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.1本项目的采购人已获得足以支付本次谈判后所签订的合同项下的资金。</w:t>
      </w:r>
    </w:p>
    <w:p w14:paraId="6568017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谈判费用</w:t>
      </w:r>
    </w:p>
    <w:p w14:paraId="422C4BB0">
      <w:pPr>
        <w:spacing w:line="360" w:lineRule="auto"/>
        <w:ind w:firstLine="437"/>
        <w:rPr>
          <w:color w:val="auto"/>
          <w:sz w:val="24"/>
          <w:highlight w:val="none"/>
        </w:rPr>
      </w:pPr>
      <w:r>
        <w:rPr>
          <w:rFonts w:hint="eastAsia"/>
          <w:color w:val="auto"/>
          <w:sz w:val="24"/>
          <w:highlight w:val="none"/>
        </w:rPr>
        <w:t>不论谈判的结果如何，供应商应承担其所有与准备和参加谈判有关的费用。</w:t>
      </w:r>
    </w:p>
    <w:p w14:paraId="3FAA3FF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06ADCC93">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73DB904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谈判文件构成</w:t>
      </w:r>
    </w:p>
    <w:p w14:paraId="3E4EC284">
      <w:pPr>
        <w:spacing w:line="360" w:lineRule="auto"/>
        <w:ind w:firstLine="435"/>
        <w:rPr>
          <w:color w:val="auto"/>
          <w:sz w:val="24"/>
          <w:highlight w:val="none"/>
        </w:rPr>
      </w:pPr>
      <w:r>
        <w:rPr>
          <w:rFonts w:hint="eastAsia"/>
          <w:color w:val="auto"/>
          <w:sz w:val="24"/>
          <w:highlight w:val="none"/>
          <w:lang w:val="en-US" w:eastAsia="zh-CN"/>
        </w:rPr>
        <w:t>5</w:t>
      </w:r>
      <w:r>
        <w:rPr>
          <w:rFonts w:hint="eastAsia"/>
          <w:color w:val="auto"/>
          <w:sz w:val="24"/>
          <w:highlight w:val="none"/>
        </w:rPr>
        <w:t>.1谈判文件包括下列内容：</w:t>
      </w:r>
    </w:p>
    <w:p w14:paraId="680E9F0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谈判邀请</w:t>
      </w:r>
    </w:p>
    <w:p w14:paraId="1D3CEFB7">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0AB11091">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25F0C648">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3E014C9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2039024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03F2E55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2B74B9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踏勘</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20DD17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文件所有的事项、格式、条款和技术规范等。</w:t>
      </w:r>
    </w:p>
    <w:p w14:paraId="47577D7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谈判文件的澄清与修改</w:t>
      </w:r>
    </w:p>
    <w:p w14:paraId="0AE5BE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文件内容有疑问，</w:t>
      </w:r>
      <w:r>
        <w:rPr>
          <w:rFonts w:hint="eastAsia" w:asciiTheme="minorEastAsia" w:hAnsiTheme="minorEastAsia" w:eastAsiaTheme="minorEastAsia"/>
          <w:color w:val="auto"/>
          <w:sz w:val="24"/>
          <w:highlight w:val="none"/>
          <w:lang w:val="en-US" w:eastAsia="zh-CN"/>
        </w:rPr>
        <w:t>可</w:t>
      </w:r>
      <w:r>
        <w:rPr>
          <w:rFonts w:asciiTheme="minorEastAsia" w:hAnsiTheme="minorEastAsia" w:eastAsiaTheme="minorEastAsia"/>
          <w:color w:val="auto"/>
          <w:sz w:val="24"/>
          <w:highlight w:val="none"/>
        </w:rPr>
        <w:t>在</w:t>
      </w:r>
      <w:r>
        <w:rPr>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截止时间前提交给采购代理机构。</w:t>
      </w:r>
    </w:p>
    <w:p w14:paraId="3460D1B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33" w:name="_Hlk16458572"/>
      <w:r>
        <w:rPr>
          <w:rFonts w:hint="eastAsia"/>
          <w:color w:val="auto"/>
          <w:sz w:val="24"/>
          <w:szCs w:val="18"/>
          <w:highlight w:val="none"/>
        </w:rPr>
        <w:t>安徽省政府采购网</w:t>
      </w:r>
      <w:bookmarkEnd w:id="33"/>
      <w:r>
        <w:rPr>
          <w:rFonts w:hint="eastAsia"/>
          <w:color w:val="auto"/>
          <w:sz w:val="24"/>
          <w:szCs w:val="18"/>
          <w:highlight w:val="none"/>
          <w:lang w:val="en-US" w:eastAsia="zh-CN"/>
        </w:rPr>
        <w:t>和滁州市公共资源交易中心网站</w:t>
      </w:r>
      <w:r>
        <w:rPr>
          <w:rFonts w:hint="eastAsia" w:asciiTheme="minorEastAsia" w:hAnsiTheme="minorEastAsia" w:eastAsiaTheme="minorEastAsia"/>
          <w:color w:val="auto"/>
          <w:sz w:val="24"/>
          <w:highlight w:val="none"/>
        </w:rPr>
        <w:t>发布更正公告的方式澄清或者修改谈判文件，更正公告的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66823D51">
      <w:pPr>
        <w:spacing w:line="360" w:lineRule="auto"/>
        <w:ind w:firstLine="435"/>
        <w:rPr>
          <w:color w:val="auto"/>
          <w:sz w:val="24"/>
          <w:highlight w:val="none"/>
        </w:rPr>
      </w:pPr>
      <w:r>
        <w:rPr>
          <w:rFonts w:hint="eastAsia"/>
          <w:color w:val="auto"/>
          <w:sz w:val="24"/>
          <w:highlight w:val="none"/>
          <w:lang w:val="en-US" w:eastAsia="zh-CN"/>
        </w:rPr>
        <w:t>6</w:t>
      </w:r>
      <w:r>
        <w:rPr>
          <w:rFonts w:hint="eastAsia"/>
          <w:color w:val="auto"/>
          <w:sz w:val="24"/>
          <w:highlight w:val="none"/>
        </w:rPr>
        <w:t>.3任何人或任何组织向供应商提供的任何书面或口头资料，未经采购代理机构在网上发布或书面通知，均作无效处理，不得作为谈判文件的组成部分。采购代理机构对供应商由此而做出的推论、理解和结论概不负责。</w:t>
      </w:r>
    </w:p>
    <w:p w14:paraId="611143FD">
      <w:pPr>
        <w:spacing w:line="360" w:lineRule="auto"/>
        <w:ind w:firstLine="435"/>
        <w:rPr>
          <w:rFonts w:hint="eastAsia" w:asciiTheme="minorEastAsia" w:hAnsiTheme="minorEastAsia" w:eastAsiaTheme="minorEastAsia"/>
          <w:iCs/>
          <w:color w:val="auto"/>
          <w:sz w:val="24"/>
          <w:highlight w:val="none"/>
          <w:lang w:eastAsia="zh-CN"/>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本谈判</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lang w:eastAsia="zh-CN"/>
        </w:rPr>
        <w:t>。</w:t>
      </w:r>
    </w:p>
    <w:p w14:paraId="733B02F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谈判范围及响应文件中标准和计量单位的使用</w:t>
      </w:r>
    </w:p>
    <w:p w14:paraId="0A92AB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的谈判</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654E96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无论谈判文件中是否要求，供应商所</w:t>
      </w:r>
      <w:r>
        <w:rPr>
          <w:rFonts w:hint="eastAsia" w:asciiTheme="minorEastAsia" w:hAnsiTheme="minorEastAsia" w:eastAsiaTheme="minorEastAsia"/>
          <w:color w:val="auto"/>
          <w:sz w:val="24"/>
          <w:highlight w:val="none"/>
        </w:rPr>
        <w:t>承担</w:t>
      </w:r>
      <w:r>
        <w:rPr>
          <w:rFonts w:asciiTheme="minorEastAsia" w:hAnsiTheme="minorEastAsia" w:eastAsiaTheme="minorEastAsia"/>
          <w:color w:val="auto"/>
          <w:sz w:val="24"/>
          <w:highlight w:val="none"/>
        </w:rPr>
        <w:t>工程及伴随的货物和</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均应符合国家强制性标准。</w:t>
      </w:r>
    </w:p>
    <w:p w14:paraId="68467DC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谈判有关的所有往来通知、函件和响应文件均用中文表述。供应商随响应文件提供的证明文件和资料可以为其他语言，但必须附中文译文。翻译的中文资料与外文资料如果出现差异时，以中文为准。</w:t>
      </w:r>
    </w:p>
    <w:p w14:paraId="3BDF35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除谈判文件中有特殊要求外，响应文件中所使用的计量单位，应采用中华人民共和国法定计量单位。</w:t>
      </w:r>
    </w:p>
    <w:p w14:paraId="525CADA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4EF71EE4">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.1供应商应完整地按谈判文件提供的响应文件格式及要求编写响应文件，具体内容详见第六章响应文件格式的相关内容。</w:t>
      </w:r>
    </w:p>
    <w:p w14:paraId="1A9E5CBF">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.2</w:t>
      </w:r>
      <w:r>
        <w:rPr>
          <w:rFonts w:hint="eastAsia"/>
          <w:color w:val="auto"/>
          <w:sz w:val="24"/>
          <w:highlight w:val="none"/>
        </w:rPr>
        <w:t>供应商应提交谈判文件要求的证明文件，证明其响应内容符合谈判文件规定。该证明文件是响应文件的一部分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4" w:name="_Hlk11703583"/>
      <w:r>
        <w:rPr>
          <w:rFonts w:hint="eastAsia" w:asciiTheme="minorEastAsia" w:hAnsiTheme="minorEastAsia" w:eastAsiaTheme="minorEastAsia"/>
          <w:color w:val="auto"/>
          <w:sz w:val="24"/>
          <w:highlight w:val="none"/>
        </w:rPr>
        <w:t>。</w:t>
      </w:r>
    </w:p>
    <w:bookmarkEnd w:id="34"/>
    <w:p w14:paraId="548747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color w:val="auto"/>
          <w:sz w:val="24"/>
          <w:highlight w:val="none"/>
        </w:rPr>
        <w:t>公平</w:t>
      </w:r>
      <w:r>
        <w:rPr>
          <w:rFonts w:asciiTheme="minorEastAsia" w:hAnsiTheme="minorEastAsia" w:eastAsiaTheme="minorEastAsia"/>
          <w:color w:val="auto"/>
          <w:sz w:val="24"/>
          <w:highlight w:val="none"/>
        </w:rPr>
        <w:t>公正，除非谈判文件另有规定或说明，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备选谈判</w:t>
      </w:r>
      <w:r>
        <w:rPr>
          <w:rFonts w:asciiTheme="minorEastAsia" w:hAnsiTheme="minorEastAsia" w:eastAsiaTheme="minorEastAsia"/>
          <w:color w:val="auto"/>
          <w:sz w:val="24"/>
          <w:highlight w:val="none"/>
        </w:rPr>
        <w:t>方案。</w:t>
      </w:r>
    </w:p>
    <w:p w14:paraId="2579383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512F62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全部</w:t>
      </w:r>
      <w:r>
        <w:rPr>
          <w:rFonts w:hint="eastAsia" w:asciiTheme="minorEastAsia" w:hAnsiTheme="minorEastAsia" w:eastAsiaTheme="minorEastAsia"/>
          <w:color w:val="auto"/>
          <w:sz w:val="24"/>
          <w:highlight w:val="none"/>
        </w:rPr>
        <w:t>内容。所有报价均应以人民币报价，供应商的谈判报价应遵守《中华人民共和国价格法》。</w:t>
      </w:r>
    </w:p>
    <w:p w14:paraId="0D0C1D2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最后报价均不得高于谈判文件（公告）列明的项目预算</w:t>
      </w:r>
      <w:r>
        <w:rPr>
          <w:rFonts w:hint="eastAsia" w:asciiTheme="minorEastAsia" w:hAnsiTheme="minorEastAsia" w:eastAsiaTheme="minorEastAsia"/>
          <w:color w:val="auto"/>
          <w:sz w:val="24"/>
          <w:highlight w:val="none"/>
        </w:rPr>
        <w:t>、最高投标限价</w:t>
      </w:r>
      <w:r>
        <w:rPr>
          <w:rFonts w:asciiTheme="minorEastAsia" w:hAnsiTheme="minorEastAsia" w:eastAsiaTheme="minorEastAsia"/>
          <w:color w:val="auto"/>
          <w:sz w:val="24"/>
          <w:highlight w:val="none"/>
        </w:rPr>
        <w:t>，否则其响应文件将被认定为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53717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5B4C7B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6F31387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谈判保证金</w:t>
      </w:r>
    </w:p>
    <w:p w14:paraId="38B19C17">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rPr>
        <w:t>1</w:t>
      </w:r>
      <w:r>
        <w:rPr>
          <w:rFonts w:hint="eastAsia" w:cs="@仿宋_GB2312" w:asciiTheme="minorEastAsia" w:hAnsiTheme="minorEastAsia" w:eastAsiaTheme="minorEastAsia"/>
          <w:color w:val="auto"/>
          <w:kern w:val="2"/>
          <w:sz w:val="24"/>
          <w:highlight w:val="none"/>
          <w:lang w:val="en-US" w:eastAsia="zh-CN"/>
        </w:rPr>
        <w:t>0</w:t>
      </w:r>
      <w:r>
        <w:rPr>
          <w:rFonts w:hint="eastAsia" w:cs="@仿宋_GB2312" w:asciiTheme="minorEastAsia" w:hAnsiTheme="minorEastAsia" w:eastAsiaTheme="minorEastAsia"/>
          <w:color w:val="auto"/>
          <w:kern w:val="2"/>
          <w:sz w:val="24"/>
          <w:highlight w:val="none"/>
        </w:rPr>
        <w:t>.1本项目不收取谈判保证金。</w:t>
      </w:r>
    </w:p>
    <w:p w14:paraId="1CD341C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谈判有效期</w:t>
      </w:r>
    </w:p>
    <w:p w14:paraId="27BB048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.1谈判有效期为从响应文件提交截止之日算起的日历天数，谈判有效期详见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608AD0C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.2在谈判有效期内，供应商的谈判保持有效，供应商不得要求撤销或修改其响应文件。谈判有效期不满足要求的响应，其响应文件将被认定为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7FB648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1B46690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127437A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竞争性谈判公告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3EA9A59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76AD65CC">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b/>
          <w:color w:val="auto"/>
          <w:sz w:val="24"/>
          <w:highlight w:val="none"/>
          <w:lang w:eastAsia="zh-CN"/>
        </w:rPr>
        <w:t>。</w:t>
      </w:r>
    </w:p>
    <w:p w14:paraId="0556822E">
      <w:pPr>
        <w:spacing w:line="360" w:lineRule="auto"/>
        <w:ind w:firstLine="435"/>
        <w:rPr>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color w:val="auto"/>
          <w:sz w:val="24"/>
          <w:highlight w:val="none"/>
        </w:rPr>
        <w:t>但属于谈判小组在评审中发现的计算错误并进行核实的修改、按照谈判文件的变动情况和谈判小组的要求重新提交响应文件的，不在此列。</w:t>
      </w:r>
    </w:p>
    <w:p w14:paraId="3033B34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谈判小组</w:t>
      </w:r>
    </w:p>
    <w:p w14:paraId="250608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.1本项目将依法组建谈判小组，谈判小组成员由3人以上单数组成，谈判小组及其成员应当依照政府采购的有关规定履行相关职责和义务。</w:t>
      </w:r>
    </w:p>
    <w:p w14:paraId="647D84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.2谈判小组依法对响应文件进行评审，并根据谈判文件规定的程序、评定成交的标准等事项与实质性响应谈判文件要求的供应商进行谈判。</w:t>
      </w:r>
    </w:p>
    <w:p w14:paraId="005729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.3谈判小组应当从质量和服务均能满足谈判文件实质性响应要求的供应商中，按照评审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11C02D7C">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.响应文件的评审与谈判</w:t>
      </w:r>
    </w:p>
    <w:p w14:paraId="5052AFD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rPr>
        <w:t>1</w:t>
      </w:r>
      <w:r>
        <w:rPr>
          <w:rFonts w:hint="eastAsia" w:cs="@仿宋_GB2312" w:asciiTheme="minorEastAsia" w:hAnsiTheme="minorEastAsia" w:eastAsiaTheme="minorEastAsia"/>
          <w:color w:val="auto"/>
          <w:kern w:val="2"/>
          <w:sz w:val="24"/>
          <w:highlight w:val="none"/>
          <w:lang w:val="en-US" w:eastAsia="zh-CN"/>
        </w:rPr>
        <w:t>4</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rPr>
        <w:t>1采购人和采购代理机构将在</w:t>
      </w:r>
      <w:r>
        <w:rPr>
          <w:rFonts w:hint="eastAsia" w:cs="@仿宋_GB2312" w:asciiTheme="minorEastAsia" w:hAnsiTheme="minorEastAsia" w:eastAsiaTheme="minorEastAsia"/>
          <w:color w:val="auto"/>
          <w:kern w:val="2"/>
          <w:sz w:val="24"/>
          <w:highlight w:val="none"/>
          <w:u w:val="none"/>
          <w:lang w:val="en-US" w:eastAsia="zh-CN"/>
        </w:rPr>
        <w:t>竞争性谈判公告</w:t>
      </w:r>
      <w:r>
        <w:rPr>
          <w:rFonts w:hint="eastAsia" w:cs="@仿宋_GB2312" w:asciiTheme="minorEastAsia" w:hAnsiTheme="minorEastAsia" w:eastAsiaTheme="minorEastAsia"/>
          <w:color w:val="auto"/>
          <w:kern w:val="2"/>
          <w:sz w:val="24"/>
          <w:highlight w:val="none"/>
        </w:rPr>
        <w:t>规定的时间和地点组织谈判。</w:t>
      </w:r>
    </w:p>
    <w:p w14:paraId="13474FAF">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rPr>
        <w:t>1</w:t>
      </w:r>
      <w:r>
        <w:rPr>
          <w:rFonts w:hint="eastAsia" w:cs="@仿宋_GB2312" w:asciiTheme="minorEastAsia" w:hAnsiTheme="minorEastAsia" w:eastAsiaTheme="minorEastAsia"/>
          <w:color w:val="auto"/>
          <w:kern w:val="2"/>
          <w:sz w:val="24"/>
          <w:highlight w:val="none"/>
          <w:lang w:val="en-US" w:eastAsia="zh-CN"/>
        </w:rPr>
        <w:t>4</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rPr>
        <w:t>2竞争性谈判采用最低评标价法评审。</w:t>
      </w:r>
    </w:p>
    <w:p w14:paraId="0F13D063">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rPr>
        <w:t>最低评标价法，是指响应文件满足谈判文件全部实质性要求且最后报价最低的供应商为成交候选人的评审办法。</w:t>
      </w:r>
    </w:p>
    <w:p w14:paraId="58C8C67B">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rPr>
        <w:t>1</w:t>
      </w:r>
      <w:r>
        <w:rPr>
          <w:rFonts w:hint="eastAsia" w:cs="@仿宋_GB2312" w:asciiTheme="minorEastAsia" w:hAnsiTheme="minorEastAsia" w:eastAsiaTheme="minorEastAsia"/>
          <w:color w:val="auto"/>
          <w:kern w:val="2"/>
          <w:sz w:val="24"/>
          <w:highlight w:val="none"/>
          <w:lang w:val="en-US" w:eastAsia="zh-CN"/>
        </w:rPr>
        <w:t>4</w:t>
      </w:r>
      <w:r>
        <w:rPr>
          <w:rFonts w:hint="eastAsia" w:cs="@仿宋_GB2312" w:asciiTheme="minorEastAsia" w:hAnsiTheme="minorEastAsia" w:eastAsiaTheme="minorEastAsia"/>
          <w:color w:val="auto"/>
          <w:kern w:val="2"/>
          <w:sz w:val="24"/>
          <w:highlight w:val="none"/>
        </w:rPr>
        <w:t>.3谈判小组将按照谈判文件规定的评审办法和</w:t>
      </w:r>
      <w:r>
        <w:rPr>
          <w:rFonts w:cs="@仿宋_GB2312" w:asciiTheme="minorEastAsia" w:hAnsiTheme="minorEastAsia" w:eastAsiaTheme="minorEastAsia"/>
          <w:color w:val="auto"/>
          <w:kern w:val="2"/>
          <w:sz w:val="24"/>
          <w:highlight w:val="none"/>
        </w:rPr>
        <w:t>标准</w:t>
      </w:r>
      <w:r>
        <w:rPr>
          <w:rFonts w:hint="eastAsia" w:cs="@仿宋_GB2312" w:asciiTheme="minorEastAsia" w:hAnsiTheme="minorEastAsia" w:eastAsiaTheme="minorEastAsia"/>
          <w:color w:val="auto"/>
          <w:kern w:val="2"/>
          <w:sz w:val="24"/>
          <w:highlight w:val="none"/>
        </w:rPr>
        <w:t>对供应商独立进行评审。评审程序如下：</w:t>
      </w:r>
    </w:p>
    <w:p w14:paraId="4E96A6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。谈判小组对供应商必须满足和实质性响应的内容进行评审，供应商未实质性响应谈判文件要求导致响应无效的，谈判小组将以书面询标的方式告知有关供应商。</w:t>
      </w:r>
    </w:p>
    <w:p w14:paraId="27A3B15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6895E89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cs="宋体"/>
          <w:color w:val="auto"/>
          <w:sz w:val="24"/>
          <w:szCs w:val="24"/>
          <w:highlight w:val="none"/>
          <w:lang w:val="en-US" w:eastAsia="zh-CN"/>
        </w:rPr>
        <w:t>谈判</w:t>
      </w:r>
      <w:r>
        <w:rPr>
          <w:rFonts w:hint="eastAsia" w:ascii="宋体" w:hAnsi="宋体" w:eastAsia="宋体" w:cs="宋体"/>
          <w:color w:val="auto"/>
          <w:sz w:val="24"/>
          <w:szCs w:val="24"/>
          <w:highlight w:val="none"/>
        </w:rPr>
        <w:t>的，联合体成员存在以上不良信用记录的，联合体</w:t>
      </w:r>
      <w:r>
        <w:rPr>
          <w:rFonts w:hint="eastAsia" w:cs="宋体"/>
          <w:color w:val="auto"/>
          <w:sz w:val="24"/>
          <w:szCs w:val="24"/>
          <w:highlight w:val="none"/>
          <w:lang w:val="en-US" w:eastAsia="zh-CN"/>
        </w:rPr>
        <w:t>谈判</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699A28AD">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1D67C1D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谈判</w:t>
      </w:r>
      <w:r>
        <w:rPr>
          <w:rFonts w:hint="eastAsia" w:asciiTheme="minorEastAsia" w:hAnsiTheme="minorEastAsia" w:eastAsiaTheme="minorEastAsia"/>
          <w:color w:val="auto"/>
          <w:sz w:val="24"/>
          <w:highlight w:val="none"/>
        </w:rPr>
        <w:t>。初审合格后，谈判小组将按网上加密电子响应文件提交顺序集中与单一供应商分别进行谈判，并给予所有参加谈判的供应商平等的谈判机会。</w:t>
      </w:r>
    </w:p>
    <w:p w14:paraId="2E8787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谈判结束后，谈判小组应当要求所有</w:t>
      </w:r>
      <w:r>
        <w:rPr>
          <w:rFonts w:hint="eastAsia" w:asciiTheme="minorEastAsia" w:hAnsiTheme="minorEastAsia" w:eastAsiaTheme="minorEastAsia"/>
          <w:color w:val="auto"/>
          <w:sz w:val="24"/>
          <w:highlight w:val="none"/>
        </w:rPr>
        <w:t>继续参加谈判</w:t>
      </w:r>
      <w:r>
        <w:rPr>
          <w:rFonts w:asciiTheme="minorEastAsia" w:hAnsiTheme="minorEastAsia" w:eastAsiaTheme="minorEastAsia"/>
          <w:color w:val="auto"/>
          <w:sz w:val="24"/>
          <w:highlight w:val="none"/>
        </w:rPr>
        <w:t>的供应商在规定时间内提交最后报价</w:t>
      </w:r>
      <w:r>
        <w:rPr>
          <w:rFonts w:hint="eastAsia"/>
          <w:color w:val="auto"/>
          <w:sz w:val="24"/>
          <w:highlight w:val="none"/>
        </w:rPr>
        <w:t>。</w:t>
      </w:r>
    </w:p>
    <w:p w14:paraId="32E2DC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43A184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.4.1为保证谈判活动顺利进行，供应商可派相关技术人员进行网上答疑；</w:t>
      </w:r>
    </w:p>
    <w:p w14:paraId="30D4EE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.4.2谈判</w:t>
      </w:r>
      <w:r>
        <w:rPr>
          <w:rFonts w:asciiTheme="minorEastAsia" w:hAnsiTheme="minorEastAsia" w:eastAsiaTheme="minorEastAsia"/>
          <w:color w:val="auto"/>
          <w:sz w:val="24"/>
          <w:highlight w:val="none"/>
        </w:rPr>
        <w:t>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谈判情况可能实质性变动</w:t>
      </w:r>
      <w:r>
        <w:rPr>
          <w:rFonts w:hint="eastAsia" w:asciiTheme="minorEastAsia" w:hAnsiTheme="minorEastAsia" w:eastAsiaTheme="minorEastAsia"/>
          <w:color w:val="auto"/>
          <w:sz w:val="24"/>
          <w:highlight w:val="none"/>
        </w:rPr>
        <w:t>谈判文件</w:t>
      </w:r>
      <w:r>
        <w:rPr>
          <w:rFonts w:asciiTheme="minorEastAsia" w:hAnsiTheme="minorEastAsia" w:eastAsiaTheme="minorEastAsia"/>
          <w:color w:val="auto"/>
          <w:sz w:val="24"/>
          <w:highlight w:val="none"/>
        </w:rPr>
        <w:t>的内容，包括采购需求中的技术、服务要求以及合同草案条款。谈判文件有实质性变动的，</w:t>
      </w:r>
      <w:r>
        <w:rPr>
          <w:rFonts w:hint="eastAsia" w:asciiTheme="minorEastAsia" w:hAnsiTheme="minorEastAsia" w:eastAsiaTheme="minorEastAsia"/>
          <w:color w:val="auto"/>
          <w:sz w:val="24"/>
          <w:highlight w:val="none"/>
        </w:rPr>
        <w:t>经采购人代表确认作为谈判文件的有效组成部分，</w:t>
      </w:r>
      <w:r>
        <w:rPr>
          <w:rFonts w:asciiTheme="minorEastAsia" w:hAnsiTheme="minorEastAsia" w:eastAsiaTheme="minorEastAsia"/>
          <w:color w:val="auto"/>
          <w:sz w:val="24"/>
          <w:highlight w:val="none"/>
        </w:rPr>
        <w:t>谈判小组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以书面形式通知所有参加谈判的供应商。</w:t>
      </w:r>
    </w:p>
    <w:p w14:paraId="25BE010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color w:val="auto"/>
          <w:sz w:val="24"/>
          <w:highlight w:val="none"/>
        </w:rPr>
        <w:t>响应无效。</w:t>
      </w:r>
    </w:p>
    <w:p w14:paraId="49C32A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小组可以视同其未提供。</w:t>
      </w:r>
    </w:p>
    <w:p w14:paraId="04549E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.4.5谈判</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7364BCF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谈判过程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4713905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.终止竞争性谈判</w:t>
      </w:r>
    </w:p>
    <w:p w14:paraId="660636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.1出现下列情况之一时，采购人和采购代理机构有权宣布终止竞争性谈判采购，并将理由通知所有供应商：</w:t>
      </w:r>
    </w:p>
    <w:p w14:paraId="1F8B12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（1）有效供应商数量不足，导致本次谈判缺乏竞争的；</w:t>
      </w:r>
    </w:p>
    <w:p w14:paraId="072C87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1C7424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423E98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1A6151F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267BB10E">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1BD588FE">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.2谈判小组要求供应商澄清、说明或者更正响应文件应当以书面形式（询标）作出。供应商的澄清、说明或者更正应当由法定代表人或其授权代表签字或者加盖公章</w:t>
      </w:r>
      <w:r>
        <w:rPr>
          <w:rFonts w:hint="eastAsia"/>
          <w:color w:val="auto"/>
          <w:sz w:val="24"/>
          <w:highlight w:val="none"/>
          <w:lang w:eastAsia="zh-CN"/>
        </w:rPr>
        <w:t>（</w:t>
      </w:r>
      <w:r>
        <w:rPr>
          <w:rFonts w:hint="eastAsia"/>
          <w:color w:val="auto"/>
          <w:sz w:val="24"/>
          <w:highlight w:val="none"/>
          <w:lang w:val="en-US" w:eastAsia="zh-CN"/>
        </w:rPr>
        <w:t>电子签章</w:t>
      </w:r>
      <w:r>
        <w:rPr>
          <w:rFonts w:hint="eastAsia"/>
          <w:color w:val="auto"/>
          <w:sz w:val="24"/>
          <w:highlight w:val="none"/>
          <w:lang w:eastAsia="zh-CN"/>
        </w:rPr>
        <w:t>）</w:t>
      </w:r>
      <w:r>
        <w:rPr>
          <w:rFonts w:hint="eastAsia"/>
          <w:color w:val="auto"/>
          <w:sz w:val="24"/>
          <w:highlight w:val="none"/>
        </w:rPr>
        <w:t>。</w:t>
      </w:r>
    </w:p>
    <w:p w14:paraId="389A5ED2">
      <w:pPr>
        <w:spacing w:line="360" w:lineRule="auto"/>
        <w:ind w:firstLine="435"/>
        <w:rPr>
          <w:color w:val="auto"/>
          <w:sz w:val="24"/>
          <w:highlight w:val="none"/>
        </w:rPr>
      </w:pPr>
      <w:r>
        <w:rPr>
          <w:rFonts w:hint="eastAsia"/>
          <w:b/>
          <w:color w:val="auto"/>
          <w:sz w:val="24"/>
          <w:highlight w:val="none"/>
        </w:rPr>
        <w:t>如有询标，授权代表（或法定代表人）可通过远程登录的方式接受网上询标，也可凭本人有效身份证明参加询标。因授权代表联系不上</w:t>
      </w:r>
      <w:r>
        <w:rPr>
          <w:rFonts w:hint="eastAsia"/>
          <w:b/>
          <w:bCs/>
          <w:color w:val="auto"/>
          <w:sz w:val="24"/>
          <w:highlight w:val="none"/>
        </w:rPr>
        <w:t>、没有及时登录系统等情形</w:t>
      </w:r>
      <w:r>
        <w:rPr>
          <w:rFonts w:hint="eastAsia"/>
          <w:b/>
          <w:color w:val="auto"/>
          <w:sz w:val="24"/>
          <w:highlight w:val="none"/>
        </w:rPr>
        <w:t>而无法接受谈判小组询标的，供应商自行承担相关风险。</w:t>
      </w:r>
      <w:r>
        <w:rPr>
          <w:rFonts w:hint="eastAsia" w:ascii="宋体" w:hAnsi="宋体" w:eastAsia="宋体"/>
          <w:b/>
          <w:bCs/>
          <w:color w:val="auto"/>
          <w:sz w:val="24"/>
          <w:highlight w:val="none"/>
        </w:rPr>
        <w:t>本项目采用远程开标，具体操作方法详见服务指南&gt;交易须知&gt;开标大厅远程解密、质疑(异议)及回复以及评标过程中询标流程操作手册。</w:t>
      </w:r>
    </w:p>
    <w:p w14:paraId="11D730A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1DB015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谈判并不限定只进行二轮报价，如果谈判小组认为有必要，可以要求供应商进行多轮报价。</w:t>
      </w:r>
    </w:p>
    <w:p w14:paraId="46128B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在谈判内容不做实质性变更或重大调整的前提下，供应商下轮报价不得高于</w:t>
      </w:r>
      <w:r>
        <w:rPr>
          <w:rFonts w:hint="eastAsia" w:asciiTheme="minorEastAsia" w:hAnsiTheme="minorEastAsia" w:eastAsiaTheme="minorEastAsia"/>
          <w:color w:val="auto"/>
          <w:sz w:val="24"/>
          <w:highlight w:val="none"/>
          <w:lang w:val="en-US" w:eastAsia="zh-CN"/>
        </w:rPr>
        <w:t>最高限价</w:t>
      </w:r>
      <w:r>
        <w:rPr>
          <w:rFonts w:hint="eastAsia" w:asciiTheme="minorEastAsia" w:hAnsiTheme="minorEastAsia" w:eastAsiaTheme="minorEastAsia"/>
          <w:color w:val="auto"/>
          <w:sz w:val="24"/>
          <w:highlight w:val="none"/>
        </w:rPr>
        <w:t>。</w:t>
      </w:r>
    </w:p>
    <w:p w14:paraId="607E31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150B6CDC">
      <w:pPr>
        <w:spacing w:line="360" w:lineRule="auto"/>
        <w:ind w:firstLine="435"/>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color w:val="auto"/>
          <w:sz w:val="24"/>
          <w:highlight w:val="none"/>
          <w:lang w:val="en-US" w:eastAsia="zh-CN"/>
        </w:rPr>
        <w:t>17.3.1</w:t>
      </w:r>
      <w:bookmarkStart w:id="35" w:name="_Hlk60607655"/>
      <w:r>
        <w:rPr>
          <w:rFonts w:hint="eastAsia" w:asciiTheme="minorEastAsia" w:hAnsiTheme="minorEastAsia" w:eastAsiaTheme="minorEastAsia"/>
          <w:b/>
          <w:bCs/>
          <w:color w:val="auto"/>
          <w:sz w:val="24"/>
          <w:highlight w:val="none"/>
          <w:lang w:val="en-US" w:eastAsia="zh-CN"/>
        </w:rPr>
        <w:t>本项目采用最低价评标法，谈判实行两次报价（最后报价）。第一次报价为供应商在响应文件中填报的报价（不得高于本项目最高限价），第二次报价可以编制在响应文件中上传提交，也可以在响应文件通过评审后，由谈判小组通过评标系统以询标方式，向响应文件评审有效的各供应商进行询标，各供应商应在评标系统询标规定的时间内，通过“评标澄清回复”进行二次报价。各供应商应及时查看系统质询问题并及时进行二次报价。谈判小组应当要求所有继续参加谈判的供应商在规定时间内提交最后报价，提交最后报价的供应商不得少于3家。因此，如果供应商没有提交最后报价，应当视为该供应商退出谈判，而不能将其第一次报价作为最后报价参加评审。谈判结果以投标人的最终报价为准。望各供应商务必全程在线，及时进行回复，否则，因此给其造成相关后果，自行承担。最后报价的综合单价结合提交首次响应文件中的各项综合单价按总价同比例下浮（计算下浮比例时最后报价和首次响应报价均扣除暂列金额、暂估价及相应税金），价款结算时按计算后的成交下浮比率进行调整，但本项目最高投标限价中如有暂估价或暂列金额的，供应商最后报价时包含暂估价或暂列金额，该费用结算时不予下浮。</w:t>
      </w:r>
    </w:p>
    <w:p w14:paraId="0A616516">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 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50CA9502">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68715840">
      <w:pPr>
        <w:spacing w:line="360" w:lineRule="auto"/>
        <w:ind w:firstLine="435"/>
        <w:rPr>
          <w:rFonts w:cs="@仿宋_GB2312"/>
          <w:color w:val="auto"/>
          <w:kern w:val="2"/>
          <w:sz w:val="24"/>
          <w:szCs w:val="22"/>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35"/>
      <w:r>
        <w:rPr>
          <w:rFonts w:hint="eastAsia" w:cs="@仿宋_GB2312"/>
          <w:color w:val="auto"/>
          <w:kern w:val="2"/>
          <w:sz w:val="24"/>
          <w:szCs w:val="22"/>
          <w:highlight w:val="none"/>
        </w:rPr>
        <w:t xml:space="preserve"> </w:t>
      </w:r>
    </w:p>
    <w:p w14:paraId="2D13114E">
      <w:pPr>
        <w:spacing w:line="360" w:lineRule="auto"/>
        <w:ind w:firstLine="435"/>
        <w:rPr>
          <w:rFonts w:cs="@仿宋_GB2312"/>
          <w:color w:val="auto"/>
          <w:kern w:val="2"/>
          <w:sz w:val="24"/>
          <w:szCs w:val="22"/>
          <w:highlight w:val="none"/>
        </w:rPr>
      </w:pPr>
      <w:r>
        <w:rPr>
          <w:rFonts w:hint="eastAsia" w:cs="@仿宋_GB2312"/>
          <w:color w:val="auto"/>
          <w:kern w:val="2"/>
          <w:sz w:val="24"/>
          <w:szCs w:val="22"/>
          <w:highlight w:val="none"/>
          <w:lang w:val="en-US" w:eastAsia="zh-CN"/>
        </w:rPr>
        <w:t>17</w:t>
      </w:r>
      <w:r>
        <w:rPr>
          <w:rFonts w:hint="eastAsia" w:cs="@仿宋_GB2312"/>
          <w:color w:val="auto"/>
          <w:kern w:val="2"/>
          <w:sz w:val="24"/>
          <w:szCs w:val="22"/>
          <w:highlight w:val="none"/>
        </w:rPr>
        <w:t>.</w:t>
      </w:r>
      <w:r>
        <w:rPr>
          <w:rFonts w:hint="eastAsia" w:cs="@仿宋_GB2312"/>
          <w:color w:val="auto"/>
          <w:kern w:val="2"/>
          <w:sz w:val="24"/>
          <w:szCs w:val="22"/>
          <w:highlight w:val="none"/>
          <w:lang w:val="en-US" w:eastAsia="zh-CN"/>
        </w:rPr>
        <w:t>5</w:t>
      </w:r>
      <w:r>
        <w:rPr>
          <w:rFonts w:hint="eastAsia" w:cs="@仿宋_GB2312"/>
          <w:color w:val="auto"/>
          <w:kern w:val="2"/>
          <w:sz w:val="24"/>
          <w:szCs w:val="22"/>
          <w:highlight w:val="none"/>
        </w:rPr>
        <w:t>供应商应当按照企业定额或项目所在地最新建设工程计价依据以及材料市场价格信息等，结合自身实力、施工经验、现场环境以及谈判文件的要求自主报价。</w:t>
      </w:r>
    </w:p>
    <w:p w14:paraId="4C382FE5">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6</w:t>
      </w:r>
      <w:r>
        <w:rPr>
          <w:rFonts w:hint="eastAsia" w:cs="@仿宋_GB2312" w:asciiTheme="minorEastAsia" w:hAnsiTheme="minorEastAsia" w:eastAsiaTheme="minorEastAsia"/>
          <w:color w:val="auto"/>
          <w:kern w:val="2"/>
          <w:sz w:val="24"/>
          <w:highlight w:val="none"/>
        </w:rPr>
        <w:t>除非采购人对谈判文件予以澄清、修改，否则供应商应按采购人提供的工程量清单中列出的工程项目和工程量逐项填报综合单价和合价。供应商不得在工程量清单中任意增删、修改清单项目与工程量及项目排列顺序。</w:t>
      </w:r>
    </w:p>
    <w:p w14:paraId="0EEF71B5">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17.7</w:t>
      </w:r>
      <w:r>
        <w:rPr>
          <w:rFonts w:hint="eastAsia" w:cs="@仿宋_GB2312" w:asciiTheme="minorEastAsia" w:hAnsiTheme="minorEastAsia" w:eastAsiaTheme="minorEastAsia"/>
          <w:color w:val="auto"/>
          <w:kern w:val="2"/>
          <w:sz w:val="24"/>
          <w:highlight w:val="none"/>
        </w:rPr>
        <w:t>除非合同中另有规定，供应商在工程量清单报价书中所报的价格包括完成谈判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1E83777D">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8</w:t>
      </w:r>
      <w:r>
        <w:rPr>
          <w:rFonts w:hint="eastAsia" w:cs="@仿宋_GB2312" w:asciiTheme="minorEastAsia" w:hAnsiTheme="minorEastAsia" w:eastAsiaTheme="minorEastAsia"/>
          <w:color w:val="auto"/>
          <w:kern w:val="2"/>
          <w:sz w:val="24"/>
          <w:highlight w:val="none"/>
        </w:rPr>
        <w:t>本项目的施工地点为本须知前附表所述，供应商可到施工现场踏勘以充分了解工地位置、情况、道路、储存空间、装卸限制及任何其它足以影响谈判报价的情况，任何因忽视或误解施工场地情况而导致的索赔或工期延长申请将不被批准。对于受施工现场场地限制，如需要另外寻找场地解决临时住宿、材料及设备堆放，由此所产生的费用应包含在谈判报价范围内，采购人不再承担该费用。</w:t>
      </w:r>
    </w:p>
    <w:p w14:paraId="5B99D19B">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工程造价的确定与控制</w:t>
      </w:r>
    </w:p>
    <w:p w14:paraId="30A7B019">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.1本工程确定成交供应商后，工程总造价在谈判范围内包定，除经批准的设计变更、经济签证外，其它工程造价增减均不予签证计价。</w:t>
      </w:r>
    </w:p>
    <w:p w14:paraId="48C8C89A">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2谈判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3F9CC20A">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56E79563">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rPr>
        <w:t>4供应商在规定时间内未对工程量清单提出疑问的，成交后，采购人不再对工程量清单的项目和数量进行校对调整。供应商必须按其报价完成竞争性谈判文件规定范围内的设计图纸规定的所有工程项目。</w:t>
      </w:r>
    </w:p>
    <w:p w14:paraId="3D19CCE3">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17.10</w:t>
      </w:r>
      <w:r>
        <w:rPr>
          <w:rFonts w:hint="eastAsia" w:cs="@仿宋_GB2312" w:asciiTheme="minorEastAsia" w:hAnsiTheme="minorEastAsia" w:eastAsiaTheme="minorEastAsia"/>
          <w:color w:val="auto"/>
          <w:kern w:val="2"/>
          <w:sz w:val="24"/>
          <w:highlight w:val="none"/>
        </w:rPr>
        <w:t>成交供应商在工程量清单报价书中所报的综合单价一律不予调整。</w:t>
      </w:r>
    </w:p>
    <w:p w14:paraId="1DFBE7FA">
      <w:pPr>
        <w:spacing w:line="360" w:lineRule="auto"/>
        <w:ind w:firstLine="435"/>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rPr>
        <w:t>17.11</w:t>
      </w:r>
      <w:r>
        <w:rPr>
          <w:rFonts w:hint="eastAsia" w:cs="@仿宋_GB2312" w:asciiTheme="minorEastAsia" w:hAnsiTheme="minorEastAsia" w:eastAsiaTheme="minorEastAsia"/>
          <w:color w:val="auto"/>
          <w:kern w:val="2"/>
          <w:sz w:val="24"/>
          <w:highlight w:val="none"/>
        </w:rPr>
        <w:t>本工程不接受恶意不平衡报价，不保证最低价成交。</w:t>
      </w:r>
    </w:p>
    <w:p w14:paraId="77127A8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40ABF8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谈判小组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标准，</w:t>
      </w:r>
      <w:r>
        <w:rPr>
          <w:rFonts w:hint="eastAsia" w:asciiTheme="minorEastAsia" w:hAnsiTheme="minorEastAsia" w:eastAsiaTheme="minorEastAsia"/>
          <w:color w:val="auto"/>
          <w:sz w:val="24"/>
          <w:highlight w:val="none"/>
        </w:rPr>
        <w:t>按照最后报价由低到高的顺序依次推荐成交候选人。最后报价相同的，</w:t>
      </w:r>
      <w:r>
        <w:rPr>
          <w:rFonts w:asciiTheme="minorEastAsia" w:hAnsiTheme="minorEastAsia" w:eastAsiaTheme="minorEastAsia"/>
          <w:color w:val="auto"/>
          <w:sz w:val="24"/>
          <w:highlight w:val="none"/>
        </w:rPr>
        <w:t>则</w:t>
      </w:r>
      <w:r>
        <w:rPr>
          <w:rFonts w:hint="eastAsia" w:asciiTheme="minorEastAsia" w:hAnsiTheme="minorEastAsia" w:eastAsiaTheme="minorEastAsia"/>
          <w:color w:val="auto"/>
          <w:sz w:val="24"/>
          <w:highlight w:val="none"/>
        </w:rPr>
        <w:t>由谈判小组采取随机抽取方式确定。</w:t>
      </w:r>
    </w:p>
    <w:p w14:paraId="7530E71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0034951A">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lang w:val="en-US" w:eastAsia="zh-CN"/>
        </w:rPr>
        <w:t>19</w:t>
      </w:r>
      <w:r>
        <w:rPr>
          <w:rFonts w:hint="eastAsia"/>
          <w:color w:val="auto"/>
          <w:sz w:val="24"/>
          <w:highlight w:val="none"/>
        </w:rPr>
        <w:t>.1谈判小组按照最后报价由低到高的顺序和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color w:val="auto"/>
          <w:sz w:val="24"/>
          <w:highlight w:val="none"/>
        </w:rPr>
        <w:t>确定成交候选人，并标明排列顺序。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谈判小组</w:t>
      </w:r>
      <w:r>
        <w:rPr>
          <w:rFonts w:asciiTheme="minorEastAsia" w:hAnsiTheme="minorEastAsia" w:eastAsiaTheme="minorEastAsia"/>
          <w:color w:val="auto"/>
          <w:sz w:val="24"/>
          <w:highlight w:val="none"/>
        </w:rPr>
        <w:t>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4066733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1D5B5B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6D6041A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01EA7170">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.1评审将在严格保密的情况下进行。</w:t>
      </w:r>
    </w:p>
    <w:p w14:paraId="7ABE0BA8">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4EE961F7">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.成交结果公告</w:t>
      </w:r>
    </w:p>
    <w:p w14:paraId="0218974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.1为体现“公开、公平、公正”的原则，谈判结束后，</w:t>
      </w:r>
      <w:r>
        <w:rPr>
          <w:rFonts w:hint="eastAsia" w:asciiTheme="minorEastAsia" w:hAnsiTheme="minorEastAsia" w:eastAsiaTheme="minorEastAsia"/>
          <w:color w:val="auto"/>
          <w:sz w:val="24"/>
          <w:highlight w:val="none"/>
        </w:rPr>
        <w:t>采购代理机构将</w:t>
      </w:r>
      <w:r>
        <w:rPr>
          <w:rFonts w:hint="eastAsia"/>
          <w:color w:val="auto"/>
          <w:sz w:val="24"/>
          <w:szCs w:val="18"/>
          <w:highlight w:val="none"/>
        </w:rPr>
        <w:t>在安徽省政府采购网（www.ccgp-anhui.gov.cn）</w:t>
      </w:r>
      <w:r>
        <w:rPr>
          <w:rFonts w:hint="eastAsia"/>
          <w:color w:val="auto"/>
          <w:sz w:val="24"/>
          <w:szCs w:val="18"/>
          <w:highlight w:val="none"/>
          <w:lang w:val="en-US" w:eastAsia="zh-CN"/>
        </w:rPr>
        <w:t>和滁州市公共资源交易中心网站（https://ggzy.chuzhou.gov.cn/）</w:t>
      </w:r>
      <w:r>
        <w:rPr>
          <w:rFonts w:hint="eastAsia"/>
          <w:color w:val="auto"/>
          <w:sz w:val="24"/>
          <w:szCs w:val="18"/>
          <w:highlight w:val="none"/>
        </w:rPr>
        <w:t>上</w:t>
      </w:r>
      <w:r>
        <w:rPr>
          <w:rFonts w:asciiTheme="minorEastAsia" w:hAnsiTheme="minorEastAsia" w:eastAsiaTheme="minorEastAsia"/>
          <w:color w:val="auto"/>
          <w:sz w:val="24"/>
          <w:highlight w:val="none"/>
        </w:rPr>
        <w:t>发布成交结果公告。</w:t>
      </w:r>
    </w:p>
    <w:p w14:paraId="1252074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4FBEDAEE">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lang w:val="en-US" w:eastAsia="zh-CN"/>
        </w:rPr>
        <w:t>3</w:t>
      </w:r>
      <w:r>
        <w:rPr>
          <w:b/>
          <w:color w:val="auto"/>
          <w:sz w:val="24"/>
          <w:highlight w:val="none"/>
        </w:rPr>
        <w:t>.成交通知书</w:t>
      </w:r>
    </w:p>
    <w:p w14:paraId="552B9E81">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color w:val="auto"/>
          <w:sz w:val="24"/>
          <w:highlight w:val="none"/>
        </w:rPr>
        <w:t>向成交供应商发出成交通知书。</w:t>
      </w:r>
      <w:r>
        <w:rPr>
          <w:rFonts w:hint="eastAsia"/>
          <w:color w:val="auto"/>
          <w:sz w:val="24"/>
          <w:highlight w:val="none"/>
        </w:rPr>
        <w:t>中标通知书须加盖采购人、采购代理机构公章并经公共资源交易中心加盖见证章后，方可发出。</w:t>
      </w:r>
    </w:p>
    <w:p w14:paraId="32A118A4">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.2成交通知书对采购人和成交供应商具有同等法律效力。成交通知书发出以后，采购人改变成交结果或者成交供应商放弃成交资格，应当承担相应的法律责任。</w:t>
      </w:r>
    </w:p>
    <w:p w14:paraId="5EB098CB">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.3成交通知书是合同的组成部分。</w:t>
      </w:r>
    </w:p>
    <w:p w14:paraId="5D55D066">
      <w:pPr>
        <w:spacing w:line="360" w:lineRule="auto"/>
        <w:ind w:firstLine="437"/>
        <w:outlineLvl w:val="2"/>
        <w:rPr>
          <w:b/>
          <w:color w:val="auto"/>
          <w:sz w:val="24"/>
          <w:highlight w:val="none"/>
        </w:rPr>
      </w:pPr>
      <w:r>
        <w:rPr>
          <w:rFonts w:hint="eastAsia"/>
          <w:b/>
          <w:color w:val="auto"/>
          <w:sz w:val="24"/>
          <w:highlight w:val="none"/>
        </w:rPr>
        <w:t>2</w:t>
      </w:r>
      <w:r>
        <w:rPr>
          <w:rFonts w:hint="eastAsia"/>
          <w:b/>
          <w:color w:val="auto"/>
          <w:sz w:val="24"/>
          <w:highlight w:val="none"/>
          <w:lang w:val="en-US" w:eastAsia="zh-CN"/>
        </w:rPr>
        <w:t>4</w:t>
      </w:r>
      <w:r>
        <w:rPr>
          <w:b/>
          <w:color w:val="auto"/>
          <w:sz w:val="24"/>
          <w:highlight w:val="none"/>
        </w:rPr>
        <w:t>.告知</w:t>
      </w:r>
      <w:r>
        <w:rPr>
          <w:rFonts w:hint="eastAsia" w:asciiTheme="minorEastAsia" w:hAnsiTheme="minorEastAsia" w:eastAsiaTheme="minorEastAsia"/>
          <w:b/>
          <w:color w:val="auto"/>
          <w:sz w:val="24"/>
          <w:highlight w:val="none"/>
        </w:rPr>
        <w:t>谈判</w:t>
      </w:r>
      <w:r>
        <w:rPr>
          <w:b/>
          <w:color w:val="auto"/>
          <w:sz w:val="24"/>
          <w:highlight w:val="none"/>
        </w:rPr>
        <w:t>结果</w:t>
      </w:r>
    </w:p>
    <w:p w14:paraId="67A2D80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6284047A">
      <w:pPr>
        <w:spacing w:line="360" w:lineRule="auto"/>
        <w:ind w:firstLine="480" w:firstLineChars="200"/>
        <w:rPr>
          <w:color w:val="auto"/>
          <w:sz w:val="24"/>
          <w:highlight w:val="none"/>
        </w:rPr>
      </w:pPr>
      <w:r>
        <w:rPr>
          <w:rFonts w:hint="eastAsia" w:ascii="宋体" w:hAnsi="宋体" w:eastAsia="宋体" w:cs="宋体"/>
          <w:color w:val="auto"/>
          <w:sz w:val="24"/>
          <w:szCs w:val="24"/>
          <w:highlight w:val="none"/>
        </w:rPr>
        <w:t>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采购代理机构对未成交的供应商不做未成交原因的解释</w:t>
      </w:r>
      <w:r>
        <w:rPr>
          <w:color w:val="auto"/>
          <w:sz w:val="24"/>
          <w:highlight w:val="none"/>
        </w:rPr>
        <w:t>。</w:t>
      </w:r>
    </w:p>
    <w:p w14:paraId="61E7148A">
      <w:pPr>
        <w:spacing w:line="360" w:lineRule="auto"/>
        <w:ind w:firstLine="437"/>
        <w:outlineLvl w:val="2"/>
        <w:rPr>
          <w:b/>
          <w:color w:val="auto"/>
          <w:sz w:val="24"/>
          <w:highlight w:val="none"/>
        </w:rPr>
      </w:pPr>
      <w:r>
        <w:rPr>
          <w:rFonts w:hint="eastAsia"/>
          <w:b/>
          <w:color w:val="auto"/>
          <w:sz w:val="24"/>
          <w:highlight w:val="none"/>
          <w:lang w:val="en-US" w:eastAsia="zh-CN"/>
        </w:rPr>
        <w:t>25</w:t>
      </w:r>
      <w:r>
        <w:rPr>
          <w:b/>
          <w:color w:val="auto"/>
          <w:sz w:val="24"/>
          <w:highlight w:val="none"/>
        </w:rPr>
        <w:t>.履约</w:t>
      </w:r>
      <w:r>
        <w:rPr>
          <w:rFonts w:asciiTheme="minorEastAsia" w:hAnsiTheme="minorEastAsia" w:eastAsiaTheme="minorEastAsia"/>
          <w:b/>
          <w:color w:val="auto"/>
          <w:sz w:val="24"/>
          <w:highlight w:val="none"/>
        </w:rPr>
        <w:t>保证金</w:t>
      </w:r>
    </w:p>
    <w:p w14:paraId="110DEC64">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.1成交供应商应按照</w:t>
      </w:r>
      <w:r>
        <w:rPr>
          <w:color w:val="auto"/>
          <w:sz w:val="24"/>
          <w:highlight w:val="none"/>
          <w:u w:val="single"/>
        </w:rPr>
        <w:t>供应商须知前附表</w:t>
      </w:r>
      <w:r>
        <w:rPr>
          <w:color w:val="auto"/>
          <w:sz w:val="24"/>
          <w:highlight w:val="none"/>
        </w:rPr>
        <w:t>规定</w:t>
      </w:r>
      <w:r>
        <w:rPr>
          <w:rFonts w:hint="eastAsia"/>
          <w:color w:val="auto"/>
          <w:sz w:val="24"/>
          <w:highlight w:val="none"/>
        </w:rPr>
        <w:t>缴纳</w:t>
      </w:r>
      <w:r>
        <w:rPr>
          <w:color w:val="auto"/>
          <w:sz w:val="24"/>
          <w:highlight w:val="none"/>
        </w:rPr>
        <w:t>履约保证金。</w:t>
      </w:r>
    </w:p>
    <w:p w14:paraId="54629B58">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37783150">
      <w:pPr>
        <w:spacing w:line="360" w:lineRule="auto"/>
        <w:ind w:firstLine="437"/>
        <w:outlineLvl w:val="2"/>
        <w:rPr>
          <w:rFonts w:hint="default" w:eastAsia="宋体"/>
          <w:b/>
          <w:color w:val="auto"/>
          <w:sz w:val="24"/>
          <w:highlight w:val="none"/>
          <w:lang w:val="en-US" w:eastAsia="zh-CN"/>
        </w:rPr>
      </w:pPr>
      <w:r>
        <w:rPr>
          <w:rFonts w:hint="eastAsia"/>
          <w:b/>
          <w:color w:val="auto"/>
          <w:sz w:val="24"/>
          <w:highlight w:val="none"/>
          <w:lang w:val="en-US" w:eastAsia="zh-CN"/>
        </w:rPr>
        <w:t>26</w:t>
      </w:r>
      <w:r>
        <w:rPr>
          <w:b/>
          <w:color w:val="auto"/>
          <w:sz w:val="24"/>
          <w:highlight w:val="none"/>
        </w:rPr>
        <w:t>.</w:t>
      </w:r>
      <w:r>
        <w:rPr>
          <w:rFonts w:hint="eastAsia"/>
          <w:b/>
          <w:color w:val="auto"/>
          <w:sz w:val="24"/>
          <w:highlight w:val="none"/>
          <w:lang w:val="en-US" w:eastAsia="zh-CN"/>
        </w:rPr>
        <w:t>代理费用</w:t>
      </w:r>
    </w:p>
    <w:p w14:paraId="3AC79B5A">
      <w:pPr>
        <w:spacing w:line="360" w:lineRule="auto"/>
        <w:ind w:firstLine="435"/>
        <w:rPr>
          <w:color w:val="auto"/>
          <w:sz w:val="24"/>
          <w:highlight w:val="none"/>
        </w:rPr>
      </w:pPr>
      <w:r>
        <w:rPr>
          <w:rFonts w:hint="eastAsia"/>
          <w:color w:val="auto"/>
          <w:sz w:val="24"/>
          <w:highlight w:val="none"/>
          <w:lang w:val="en-US" w:eastAsia="zh-CN"/>
        </w:rPr>
        <w:t>26</w:t>
      </w:r>
      <w:r>
        <w:rPr>
          <w:color w:val="auto"/>
          <w:sz w:val="24"/>
          <w:highlight w:val="none"/>
        </w:rPr>
        <w:t>.1本项目</w:t>
      </w:r>
      <w:r>
        <w:rPr>
          <w:rFonts w:hint="eastAsia"/>
          <w:color w:val="auto"/>
          <w:sz w:val="24"/>
          <w:highlight w:val="none"/>
          <w:lang w:val="en-US" w:eastAsia="zh-CN"/>
        </w:rPr>
        <w:t>代理费用</w:t>
      </w:r>
      <w:r>
        <w:rPr>
          <w:color w:val="auto"/>
          <w:sz w:val="24"/>
          <w:highlight w:val="none"/>
        </w:rPr>
        <w:t>的收取按</w:t>
      </w:r>
      <w:r>
        <w:rPr>
          <w:rFonts w:hint="eastAsia"/>
          <w:color w:val="auto"/>
          <w:sz w:val="24"/>
          <w:highlight w:val="none"/>
          <w:u w:val="single"/>
        </w:rPr>
        <w:t>供应商</w:t>
      </w:r>
      <w:r>
        <w:rPr>
          <w:color w:val="auto"/>
          <w:sz w:val="24"/>
          <w:highlight w:val="none"/>
          <w:u w:val="single"/>
        </w:rPr>
        <w:t>须知前附表</w:t>
      </w:r>
      <w:r>
        <w:rPr>
          <w:color w:val="auto"/>
          <w:sz w:val="24"/>
          <w:highlight w:val="none"/>
        </w:rPr>
        <w:t>的规定执行。</w:t>
      </w:r>
    </w:p>
    <w:p w14:paraId="568577D9">
      <w:pPr>
        <w:spacing w:line="360" w:lineRule="auto"/>
        <w:ind w:firstLine="437"/>
        <w:outlineLvl w:val="2"/>
        <w:rPr>
          <w:b/>
          <w:color w:val="auto"/>
          <w:sz w:val="24"/>
          <w:highlight w:val="none"/>
        </w:rPr>
      </w:pPr>
      <w:r>
        <w:rPr>
          <w:rFonts w:hint="eastAsia"/>
          <w:b/>
          <w:color w:val="auto"/>
          <w:sz w:val="24"/>
          <w:highlight w:val="none"/>
          <w:lang w:val="en-US" w:eastAsia="zh-CN"/>
        </w:rPr>
        <w:t>27</w:t>
      </w:r>
      <w:r>
        <w:rPr>
          <w:b/>
          <w:color w:val="auto"/>
          <w:sz w:val="24"/>
          <w:highlight w:val="none"/>
        </w:rPr>
        <w:t>.签订</w:t>
      </w:r>
      <w:r>
        <w:rPr>
          <w:rFonts w:asciiTheme="minorEastAsia" w:hAnsiTheme="minorEastAsia" w:eastAsiaTheme="minorEastAsia"/>
          <w:b/>
          <w:color w:val="auto"/>
          <w:sz w:val="24"/>
          <w:highlight w:val="none"/>
        </w:rPr>
        <w:t>合同</w:t>
      </w:r>
    </w:p>
    <w:p w14:paraId="34C6E105">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3B355905">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.2谈判文件、成交供应商的响应文件及其澄清文件等，均为签订合同的依据。</w:t>
      </w:r>
    </w:p>
    <w:p w14:paraId="4118E692">
      <w:pPr>
        <w:spacing w:line="360" w:lineRule="auto"/>
        <w:ind w:firstLine="470" w:firstLineChars="196"/>
        <w:rPr>
          <w:color w:val="auto"/>
          <w:sz w:val="24"/>
          <w:highlight w:val="none"/>
        </w:rPr>
      </w:pPr>
      <w:r>
        <w:rPr>
          <w:rFonts w:hint="eastAsia"/>
          <w:color w:val="auto"/>
          <w:sz w:val="24"/>
          <w:highlight w:val="none"/>
          <w:lang w:val="en-US" w:eastAsia="zh-CN"/>
        </w:rPr>
        <w:t>27</w:t>
      </w:r>
      <w:r>
        <w:rPr>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highlight w:val="none"/>
        </w:rPr>
        <w:t>成交供应商拒绝签订政府采购合同的不得参加对该项目重新开展的采购活动。</w:t>
      </w:r>
    </w:p>
    <w:p w14:paraId="3BE1CAF1">
      <w:pPr>
        <w:spacing w:line="360" w:lineRule="auto"/>
        <w:ind w:firstLine="470" w:firstLineChars="196"/>
        <w:rPr>
          <w:color w:val="auto"/>
          <w:sz w:val="24"/>
          <w:highlight w:val="none"/>
        </w:rPr>
      </w:pPr>
      <w:bookmarkStart w:id="36" w:name="_Hlk60264926"/>
      <w:r>
        <w:rPr>
          <w:rFonts w:hint="eastAsia"/>
          <w:color w:val="auto"/>
          <w:sz w:val="24"/>
          <w:highlight w:val="none"/>
          <w:lang w:val="en-US" w:eastAsia="zh-CN"/>
        </w:rPr>
        <w:t>27</w:t>
      </w:r>
      <w:r>
        <w:rPr>
          <w:rFonts w:hint="eastAsia"/>
          <w:color w:val="auto"/>
          <w:sz w:val="24"/>
          <w:highlight w:val="none"/>
        </w:rPr>
        <w:t>.</w:t>
      </w:r>
      <w:r>
        <w:rPr>
          <w:color w:val="auto"/>
          <w:sz w:val="24"/>
          <w:highlight w:val="none"/>
        </w:rPr>
        <w:t>4</w:t>
      </w:r>
      <w:r>
        <w:rPr>
          <w:rFonts w:hint="eastAsia"/>
          <w:color w:val="auto"/>
          <w:sz w:val="24"/>
          <w:highlight w:val="none"/>
        </w:rPr>
        <w:t>依据《政府采购促进中小企业发展管理办法》（财库〔</w:t>
      </w:r>
      <w:r>
        <w:rPr>
          <w:color w:val="auto"/>
          <w:sz w:val="24"/>
          <w:highlight w:val="none"/>
        </w:rPr>
        <w:t>2020〕46号</w:t>
      </w:r>
      <w:r>
        <w:rPr>
          <w:rFonts w:hint="eastAsia"/>
          <w:color w:val="auto"/>
          <w:sz w:val="24"/>
          <w:highlight w:val="none"/>
        </w:rPr>
        <w:t>）规定享受扶持政策获得政府采购合同的，小微企业不得将合同分包给大中型企业，中型企业不得将合同分包给大型企业。</w:t>
      </w:r>
      <w:bookmarkEnd w:id="36"/>
    </w:p>
    <w:p w14:paraId="7677E0A1">
      <w:pPr>
        <w:spacing w:line="360" w:lineRule="auto"/>
        <w:ind w:firstLine="437"/>
        <w:outlineLvl w:val="2"/>
        <w:rPr>
          <w:b/>
          <w:color w:val="auto"/>
          <w:sz w:val="24"/>
          <w:highlight w:val="none"/>
        </w:rPr>
      </w:pPr>
      <w:r>
        <w:rPr>
          <w:rFonts w:hint="eastAsia"/>
          <w:b/>
          <w:color w:val="auto"/>
          <w:sz w:val="24"/>
          <w:highlight w:val="none"/>
          <w:lang w:val="en-US" w:eastAsia="zh-CN"/>
        </w:rPr>
        <w:t>28</w:t>
      </w:r>
      <w:r>
        <w:rPr>
          <w:b/>
          <w:color w:val="auto"/>
          <w:sz w:val="24"/>
          <w:highlight w:val="none"/>
        </w:rPr>
        <w:t>.廉洁</w:t>
      </w:r>
      <w:r>
        <w:rPr>
          <w:rFonts w:asciiTheme="minorEastAsia" w:hAnsiTheme="minorEastAsia" w:eastAsiaTheme="minorEastAsia"/>
          <w:b/>
          <w:color w:val="auto"/>
          <w:sz w:val="24"/>
          <w:highlight w:val="none"/>
        </w:rPr>
        <w:t>自律</w:t>
      </w:r>
      <w:r>
        <w:rPr>
          <w:b/>
          <w:color w:val="auto"/>
          <w:sz w:val="24"/>
          <w:highlight w:val="none"/>
        </w:rPr>
        <w:t>规定</w:t>
      </w:r>
    </w:p>
    <w:p w14:paraId="5E90DF5B">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.1采购代理机构工作人员不得以不正当手段获取政府采购代理业务，不得与采购人、供应商恶意串通。</w:t>
      </w:r>
    </w:p>
    <w:p w14:paraId="55354E7A">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.2采购代理机构工作人员不得接受采购人或者供应商组织的宴请、旅游、娱乐，不得收受礼品、现金、有价证券等，不得向采购人或者供应商报销应当由个人承担的费用。</w:t>
      </w:r>
    </w:p>
    <w:p w14:paraId="3D07C9D3">
      <w:pPr>
        <w:spacing w:line="360" w:lineRule="auto"/>
        <w:ind w:firstLine="437"/>
        <w:outlineLvl w:val="2"/>
        <w:rPr>
          <w:b/>
          <w:color w:val="auto"/>
          <w:sz w:val="24"/>
          <w:highlight w:val="none"/>
        </w:rPr>
      </w:pPr>
      <w:r>
        <w:rPr>
          <w:rFonts w:hint="eastAsia"/>
          <w:b/>
          <w:color w:val="auto"/>
          <w:sz w:val="24"/>
          <w:highlight w:val="none"/>
          <w:lang w:val="en-US" w:eastAsia="zh-CN"/>
        </w:rPr>
        <w:t>29</w:t>
      </w:r>
      <w:r>
        <w:rPr>
          <w:b/>
          <w:color w:val="auto"/>
          <w:sz w:val="24"/>
          <w:highlight w:val="none"/>
        </w:rPr>
        <w:t>.质疑的提出与接收</w:t>
      </w:r>
    </w:p>
    <w:p w14:paraId="0C0CA214">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.1供应商认为谈判文件、采购过程和成交结果使自己的权益受到损害的，可以在知道或者应知其权益受到损害之日起七个工作日内，以书面形式向采购人或其委托的采购代理机构提出质疑。</w:t>
      </w:r>
    </w:p>
    <w:p w14:paraId="7C8FC5AB">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质疑供应商应按照财政部制定的《政府采购质疑函范本》格式（详见谈判文件第八章）和《政府采购质疑和投诉办法》的要求，在法定质疑期内以书面形式提出质疑，超出法定质疑期提交的质疑将被拒绝。针对同一采购程序环节的质疑应一次性提出。</w:t>
      </w:r>
    </w:p>
    <w:p w14:paraId="386FB9BB">
      <w:pPr>
        <w:spacing w:line="360" w:lineRule="auto"/>
        <w:ind w:firstLine="435"/>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采购代理机构质疑函接收部门、联系电话和通讯地址，见</w:t>
      </w:r>
      <w:r>
        <w:rPr>
          <w:rFonts w:hint="eastAsia"/>
          <w:color w:val="auto"/>
          <w:sz w:val="24"/>
          <w:highlight w:val="none"/>
          <w:u w:val="single"/>
        </w:rPr>
        <w:t>供应商须知前附表</w:t>
      </w:r>
      <w:r>
        <w:rPr>
          <w:rFonts w:hint="eastAsia"/>
          <w:color w:val="auto"/>
          <w:sz w:val="24"/>
          <w:highlight w:val="none"/>
        </w:rPr>
        <w:t>。</w:t>
      </w:r>
    </w:p>
    <w:p w14:paraId="551CCA39">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注：上述条款中所要求的书面形式包含通过电子交易系统递交方式。</w:t>
      </w:r>
    </w:p>
    <w:p w14:paraId="2488379B">
      <w:pPr>
        <w:spacing w:line="360" w:lineRule="auto"/>
        <w:ind w:firstLine="435"/>
        <w:rPr>
          <w:rFonts w:hint="eastAsia" w:ascii="宋体" w:hAnsi="宋体" w:eastAsia="宋体"/>
          <w:b/>
          <w:bCs/>
          <w:color w:val="auto"/>
          <w:sz w:val="24"/>
          <w:highlight w:val="none"/>
        </w:rPr>
      </w:pPr>
      <w:r>
        <w:rPr>
          <w:rFonts w:hint="eastAsia" w:ascii="宋体" w:hAnsi="宋体" w:eastAsia="宋体"/>
          <w:b/>
          <w:bCs/>
          <w:color w:val="auto"/>
          <w:sz w:val="24"/>
          <w:highlight w:val="none"/>
        </w:rPr>
        <w:t>3</w:t>
      </w:r>
      <w:r>
        <w:rPr>
          <w:rFonts w:hint="eastAsia" w:ascii="宋体" w:hAnsi="宋体" w:eastAsia="宋体"/>
          <w:b/>
          <w:bCs/>
          <w:color w:val="auto"/>
          <w:sz w:val="24"/>
          <w:highlight w:val="none"/>
          <w:lang w:val="en-US" w:eastAsia="zh-CN"/>
        </w:rPr>
        <w:t>0</w:t>
      </w:r>
      <w:r>
        <w:rPr>
          <w:rFonts w:hint="eastAsia" w:ascii="宋体" w:hAnsi="宋体" w:eastAsia="宋体"/>
          <w:b/>
          <w:bCs/>
          <w:color w:val="auto"/>
          <w:sz w:val="24"/>
          <w:highlight w:val="none"/>
        </w:rPr>
        <w:t>.投诉</w:t>
      </w:r>
    </w:p>
    <w:p w14:paraId="341E091A">
      <w:pPr>
        <w:keepNext w:val="0"/>
        <w:keepLines w:val="0"/>
        <w:widowControl w:val="0"/>
        <w:suppressLineNumbers w:val="0"/>
        <w:wordWrap w:val="0"/>
        <w:autoSpaceDE w:val="0"/>
        <w:autoSpaceDN/>
        <w:spacing w:before="0" w:beforeAutospacing="0" w:after="0" w:afterAutospacing="0" w:line="360" w:lineRule="auto"/>
        <w:ind w:left="0" w:right="0" w:firstLine="437"/>
        <w:jc w:val="both"/>
        <w:rPr>
          <w:rFonts w:hint="eastAsia" w:ascii="宋体" w:hAnsi="宋体" w:eastAsia="宋体" w:cs="@仿宋_GB2312"/>
          <w:color w:val="auto"/>
          <w:kern w:val="2"/>
          <w:sz w:val="24"/>
          <w:szCs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.1</w:t>
      </w:r>
      <w:r>
        <w:rPr>
          <w:rFonts w:hint="eastAsia" w:ascii="宋体" w:hAnsi="宋体" w:eastAsia="宋体" w:cs="宋体"/>
          <w:color w:val="auto"/>
          <w:kern w:val="2"/>
          <w:sz w:val="24"/>
          <w:szCs w:val="24"/>
          <w:highlight w:val="none"/>
          <w:lang w:val="en-US" w:eastAsia="zh-CN" w:bidi="ar"/>
        </w:rPr>
        <w:t>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w:t>
      </w:r>
    </w:p>
    <w:p w14:paraId="79B032E0">
      <w:pPr>
        <w:keepNext w:val="0"/>
        <w:keepLines w:val="0"/>
        <w:widowControl w:val="0"/>
        <w:suppressLineNumbers w:val="0"/>
        <w:wordWrap w:val="0"/>
        <w:autoSpaceDE w:val="0"/>
        <w:autoSpaceDN/>
        <w:spacing w:before="0" w:beforeAutospacing="0" w:after="0" w:afterAutospacing="0" w:line="360" w:lineRule="auto"/>
        <w:ind w:left="0" w:right="0" w:firstLine="437"/>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4BBC6727">
      <w:pPr>
        <w:keepNext w:val="0"/>
        <w:keepLines w:val="0"/>
        <w:widowControl w:val="0"/>
        <w:suppressLineNumbers w:val="0"/>
        <w:wordWrap w:val="0"/>
        <w:autoSpaceDE w:val="0"/>
        <w:autoSpaceDN/>
        <w:spacing w:before="0" w:beforeAutospacing="0" w:after="0" w:afterAutospacing="0" w:line="360" w:lineRule="auto"/>
        <w:ind w:left="0" w:right="0" w:firstLine="437"/>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30.3政府采购监督管理部门在处理投诉事项期间，可以视具体情况书面通知采购人暂停采购活动，但暂停时间最长不得超过30日。</w:t>
      </w:r>
    </w:p>
    <w:p w14:paraId="6A7421F6">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lang w:val="en-US" w:eastAsia="zh-CN"/>
        </w:rPr>
        <w:t>1</w:t>
      </w:r>
      <w:r>
        <w:rPr>
          <w:b/>
          <w:color w:val="auto"/>
          <w:sz w:val="24"/>
          <w:highlight w:val="none"/>
        </w:rPr>
        <w:t>.需要补充的其他内容</w:t>
      </w:r>
    </w:p>
    <w:p w14:paraId="3FEE9009">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highlight w:val="none"/>
          <w:u w:val="single"/>
        </w:rPr>
        <w:t>供应商须知前附表</w:t>
      </w:r>
      <w:r>
        <w:rPr>
          <w:rFonts w:hint="eastAsia"/>
          <w:color w:val="auto"/>
          <w:sz w:val="24"/>
          <w:highlight w:val="none"/>
        </w:rPr>
        <w:t>。</w:t>
      </w:r>
    </w:p>
    <w:p w14:paraId="44E4BDA3">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FB20E7C">
      <w:pPr>
        <w:spacing w:line="360" w:lineRule="auto"/>
        <w:jc w:val="center"/>
        <w:outlineLvl w:val="0"/>
        <w:rPr>
          <w:rFonts w:asciiTheme="minorEastAsia" w:hAnsiTheme="minorEastAsia" w:eastAsiaTheme="minorEastAsia"/>
          <w:b/>
          <w:color w:val="auto"/>
          <w:sz w:val="28"/>
          <w:highlight w:val="none"/>
        </w:rPr>
      </w:pPr>
      <w:bookmarkStart w:id="37" w:name="_Toc6146"/>
      <w:r>
        <w:rPr>
          <w:rFonts w:hint="eastAsia" w:asciiTheme="minorEastAsia" w:hAnsiTheme="minorEastAsia" w:eastAsiaTheme="minorEastAsia"/>
          <w:b/>
          <w:color w:val="auto"/>
          <w:sz w:val="28"/>
          <w:highlight w:val="none"/>
        </w:rPr>
        <w:t>第三章  采购需求</w:t>
      </w:r>
      <w:bookmarkEnd w:id="37"/>
    </w:p>
    <w:tbl>
      <w:tblPr>
        <w:tblStyle w:val="10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41A2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D410D39">
            <w:pPr>
              <w:spacing w:line="360" w:lineRule="auto"/>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749" w:type="pct"/>
            <w:vAlign w:val="center"/>
          </w:tcPr>
          <w:p w14:paraId="61543AE1">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3688" w:type="pct"/>
            <w:vAlign w:val="center"/>
          </w:tcPr>
          <w:p w14:paraId="6FF8F83E">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1676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7696C1D">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749" w:type="pct"/>
            <w:vAlign w:val="center"/>
          </w:tcPr>
          <w:p w14:paraId="243B6797">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3688" w:type="pct"/>
            <w:vAlign w:val="center"/>
          </w:tcPr>
          <w:p w14:paraId="79BE18B9">
            <w:pPr>
              <w:spacing w:line="360" w:lineRule="auto"/>
              <w:rPr>
                <w:rFonts w:cs="@仿宋_GB2312" w:asciiTheme="minorEastAsia" w:hAnsiTheme="minorEastAsia" w:eastAsiaTheme="minorEastAsia"/>
                <w:color w:val="auto"/>
                <w:kern w:val="2"/>
                <w:sz w:val="24"/>
                <w:szCs w:val="22"/>
                <w:highlight w:val="none"/>
              </w:rPr>
            </w:pPr>
            <w:r>
              <w:rPr>
                <w:rFonts w:hint="eastAsia" w:cs="宋体"/>
                <w:bCs/>
                <w:color w:val="auto"/>
                <w:kern w:val="0"/>
                <w:sz w:val="24"/>
                <w:szCs w:val="24"/>
                <w:highlight w:val="none"/>
                <w:lang w:eastAsia="zh-CN" w:bidi="ar"/>
              </w:rPr>
              <w:t>项目负责人</w:t>
            </w:r>
            <w:r>
              <w:rPr>
                <w:rFonts w:hint="eastAsia" w:ascii="宋体" w:hAnsi="宋体" w:cs="宋体"/>
                <w:bCs/>
                <w:color w:val="auto"/>
                <w:kern w:val="0"/>
                <w:sz w:val="24"/>
                <w:szCs w:val="24"/>
                <w:highlight w:val="none"/>
                <w:lang w:bidi="ar"/>
              </w:rPr>
              <w:t>每月到岗天数原则上不得低于22个日历天，且每天在现场不少于8小时。</w:t>
            </w:r>
            <w:r>
              <w:rPr>
                <w:rFonts w:hint="eastAsia" w:cs="宋体"/>
                <w:bCs/>
                <w:color w:val="auto"/>
                <w:kern w:val="0"/>
                <w:sz w:val="24"/>
                <w:szCs w:val="24"/>
                <w:highlight w:val="none"/>
                <w:lang w:eastAsia="zh-CN" w:bidi="ar"/>
              </w:rPr>
              <w:t>项目负责人</w:t>
            </w:r>
            <w:r>
              <w:rPr>
                <w:rFonts w:hint="eastAsia" w:ascii="宋体" w:hAnsi="宋体" w:cs="宋体"/>
                <w:bCs/>
                <w:color w:val="auto"/>
                <w:kern w:val="0"/>
                <w:sz w:val="24"/>
                <w:szCs w:val="24"/>
                <w:highlight w:val="none"/>
                <w:lang w:bidi="ar"/>
              </w:rPr>
              <w:t>确需离开施工现场时，应事先通知监理人，并取得发包人的书面同意。</w:t>
            </w:r>
          </w:p>
        </w:tc>
      </w:tr>
      <w:tr w14:paraId="3D02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97BA224">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749" w:type="pct"/>
            <w:vAlign w:val="center"/>
          </w:tcPr>
          <w:p w14:paraId="55F26263">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3688" w:type="pct"/>
            <w:vAlign w:val="center"/>
          </w:tcPr>
          <w:p w14:paraId="687E3E14">
            <w:pPr>
              <w:spacing w:line="360" w:lineRule="auto"/>
              <w:rPr>
                <w:rFonts w:cs="@仿宋_GB2312" w:asciiTheme="minorEastAsia" w:hAnsiTheme="minorEastAsia" w:eastAsiaTheme="minorEastAsia"/>
                <w:color w:val="auto"/>
                <w:kern w:val="2"/>
                <w:sz w:val="24"/>
                <w:szCs w:val="22"/>
                <w:highlight w:val="none"/>
              </w:rPr>
            </w:pPr>
            <w:r>
              <w:rPr>
                <w:rFonts w:hint="eastAsia"/>
                <w:bCs/>
                <w:color w:val="auto"/>
                <w:kern w:val="2"/>
                <w:sz w:val="24"/>
                <w:szCs w:val="22"/>
                <w:highlight w:val="none"/>
                <w:lang w:val="en-US" w:eastAsia="zh-CN"/>
              </w:rPr>
              <w:t>合格，满足设计和规范要求。</w:t>
            </w:r>
          </w:p>
        </w:tc>
      </w:tr>
      <w:tr w14:paraId="5D8B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EE27F71">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749" w:type="pct"/>
            <w:vAlign w:val="center"/>
          </w:tcPr>
          <w:p w14:paraId="11444071">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工程施工重点难点</w:t>
            </w:r>
          </w:p>
        </w:tc>
        <w:tc>
          <w:tcPr>
            <w:tcW w:w="3688" w:type="pct"/>
            <w:vAlign w:val="center"/>
          </w:tcPr>
          <w:p w14:paraId="4D72B309">
            <w:pPr>
              <w:spacing w:line="360" w:lineRule="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eastAsia="zh-CN"/>
              </w:rPr>
              <w:t>详见工程量清单，投标人根据图纸</w:t>
            </w:r>
            <w:r>
              <w:rPr>
                <w:rFonts w:hint="eastAsia"/>
                <w:bCs/>
                <w:color w:val="000000" w:themeColor="text1"/>
                <w:kern w:val="2"/>
                <w:sz w:val="24"/>
                <w:szCs w:val="28"/>
                <w14:textFill>
                  <w14:solidFill>
                    <w14:schemeClr w14:val="tx1"/>
                  </w14:solidFill>
                </w14:textFill>
              </w:rPr>
              <w:t>图纸情况说明</w:t>
            </w:r>
            <w:r>
              <w:rPr>
                <w:rFonts w:hint="eastAsia" w:cs="@仿宋_GB2312" w:asciiTheme="minorEastAsia" w:hAnsiTheme="minorEastAsia" w:eastAsiaTheme="minorEastAsia"/>
                <w:color w:val="auto"/>
                <w:kern w:val="2"/>
                <w:sz w:val="24"/>
                <w:szCs w:val="22"/>
                <w:highlight w:val="none"/>
                <w:lang w:eastAsia="zh-CN"/>
              </w:rPr>
              <w:t>及现场情况自行考虑。</w:t>
            </w:r>
          </w:p>
        </w:tc>
      </w:tr>
      <w:tr w14:paraId="2CC9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92BEB57">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749" w:type="pct"/>
            <w:vAlign w:val="center"/>
          </w:tcPr>
          <w:p w14:paraId="39A1ABF8">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3688" w:type="pct"/>
            <w:vAlign w:val="center"/>
          </w:tcPr>
          <w:p w14:paraId="778CA7EC">
            <w:pPr>
              <w:spacing w:line="360" w:lineRule="auto"/>
              <w:rPr>
                <w:color w:val="auto"/>
                <w:kern w:val="2"/>
                <w:sz w:val="21"/>
                <w:szCs w:val="22"/>
                <w:highlight w:val="none"/>
              </w:rPr>
            </w:pPr>
            <w:r>
              <w:rPr>
                <w:rFonts w:hint="eastAsia" w:cs="@仿宋_GB2312" w:asciiTheme="minorEastAsia" w:hAnsiTheme="minorEastAsia" w:eastAsiaTheme="minorEastAsia"/>
                <w:color w:val="auto"/>
                <w:kern w:val="2"/>
                <w:sz w:val="24"/>
                <w:szCs w:val="22"/>
                <w:highlight w:val="none"/>
              </w:rPr>
              <w:t>供应商最后报价均不得高于谈判文件（公告）列明的项目预算、最高投标限价，否则其响应文件将被认定为响应无效。</w:t>
            </w:r>
          </w:p>
        </w:tc>
      </w:tr>
      <w:tr w14:paraId="4D6D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AD5EB2F">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749" w:type="pct"/>
            <w:vAlign w:val="center"/>
          </w:tcPr>
          <w:p w14:paraId="4065FC8A">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3688" w:type="pct"/>
            <w:vAlign w:val="center"/>
          </w:tcPr>
          <w:p w14:paraId="247C5474">
            <w:pPr>
              <w:spacing w:line="360" w:lineRule="auto"/>
              <w:rPr>
                <w:rFonts w:hint="eastAsia" w:ascii="宋体" w:hAnsi="宋体" w:eastAsia="宋体"/>
                <w:color w:val="auto"/>
                <w:kern w:val="2"/>
                <w:sz w:val="24"/>
                <w:szCs w:val="18"/>
                <w:highlight w:val="none"/>
              </w:rPr>
            </w:pPr>
            <w:r>
              <w:rPr>
                <w:rFonts w:hint="eastAsia" w:cs="宋体"/>
                <w:color w:val="auto"/>
                <w:kern w:val="2"/>
                <w:sz w:val="24"/>
                <w:szCs w:val="24"/>
                <w:highlight w:val="none"/>
                <w:lang w:val="en-US" w:eastAsia="zh-CN"/>
              </w:rPr>
              <w:t>1、</w:t>
            </w:r>
            <w:r>
              <w:rPr>
                <w:rFonts w:ascii="宋体" w:hAnsi="宋体" w:eastAsia="宋体" w:cs="宋体"/>
                <w:color w:val="auto"/>
                <w:kern w:val="2"/>
                <w:sz w:val="24"/>
                <w:szCs w:val="24"/>
                <w:highlight w:val="none"/>
              </w:rPr>
              <w:t>政府采购政策（包括但不限于下列具体政策要求</w:t>
            </w:r>
            <w:r>
              <w:rPr>
                <w:rFonts w:hint="eastAsia" w:ascii="宋体" w:hAnsi="宋体" w:eastAsia="宋体" w:cs="宋体"/>
                <w:color w:val="auto"/>
                <w:kern w:val="2"/>
                <w:sz w:val="24"/>
                <w:szCs w:val="24"/>
                <w:highlight w:val="none"/>
                <w:lang w:eastAsia="zh-CN"/>
              </w:rPr>
              <w:t>）</w:t>
            </w:r>
            <w:r>
              <w:rPr>
                <w:rFonts w:hint="eastAsia" w:ascii="宋体" w:hAnsi="宋体" w:eastAsia="宋体"/>
                <w:color w:val="auto"/>
                <w:kern w:val="2"/>
                <w:sz w:val="24"/>
                <w:szCs w:val="18"/>
                <w:highlight w:val="none"/>
              </w:rPr>
              <w:t>：</w:t>
            </w:r>
          </w:p>
          <w:p w14:paraId="3A0AEECE">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50B6207A">
            <w:pPr>
              <w:spacing w:line="360" w:lineRule="auto"/>
              <w:rPr>
                <w:rFonts w:cs="@仿宋_GB2312" w:asciiTheme="minorEastAsia" w:hAnsiTheme="minorEastAsia" w:eastAsiaTheme="minorEastAsia"/>
                <w:color w:val="auto"/>
                <w:kern w:val="2"/>
                <w:sz w:val="24"/>
                <w:szCs w:val="22"/>
                <w:highlight w:val="none"/>
              </w:rPr>
            </w:pPr>
            <w:r>
              <w:rPr>
                <w:rFonts w:hint="eastAsia" w:ascii="宋体" w:hAnsi="宋体" w:eastAsia="宋体" w:cs="宋体"/>
                <w:color w:val="auto"/>
                <w:kern w:val="2"/>
                <w:sz w:val="24"/>
                <w:szCs w:val="24"/>
                <w:highlight w:val="none"/>
              </w:rPr>
              <w:t>（2）如涉及商品包装和快递包装，</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1EE8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CF50B10">
            <w:pPr>
              <w:spacing w:line="360" w:lineRule="auto"/>
              <w:jc w:val="center"/>
              <w:rPr>
                <w:rFonts w:cs="@仿宋_GB2312" w:asciiTheme="minorEastAsia" w:hAnsiTheme="minorEastAsia" w:eastAsiaTheme="minorEastAsia"/>
                <w:color w:val="auto"/>
                <w:kern w:val="2"/>
                <w:sz w:val="24"/>
                <w:szCs w:val="22"/>
                <w:highlight w:val="none"/>
              </w:rPr>
            </w:pPr>
            <w:r>
              <w:rPr>
                <w:rFonts w:cs="@仿宋_GB2312" w:asciiTheme="minorEastAsia" w:hAnsiTheme="minorEastAsia" w:eastAsiaTheme="minorEastAsia"/>
                <w:color w:val="auto"/>
                <w:kern w:val="2"/>
                <w:sz w:val="24"/>
                <w:szCs w:val="22"/>
                <w:highlight w:val="none"/>
              </w:rPr>
              <w:t>6</w:t>
            </w:r>
          </w:p>
        </w:tc>
        <w:tc>
          <w:tcPr>
            <w:tcW w:w="749" w:type="pct"/>
            <w:vAlign w:val="center"/>
          </w:tcPr>
          <w:p w14:paraId="59D1EEB3">
            <w:pPr>
              <w:spacing w:line="360" w:lineRule="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eastAsia="zh-CN"/>
              </w:rPr>
              <w:t>项目负责人</w:t>
            </w:r>
          </w:p>
        </w:tc>
        <w:tc>
          <w:tcPr>
            <w:tcW w:w="3688" w:type="pct"/>
            <w:vAlign w:val="center"/>
          </w:tcPr>
          <w:p w14:paraId="62044D25">
            <w:pPr>
              <w:spacing w:line="360" w:lineRule="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eastAsia="zh-CN"/>
              </w:rPr>
              <w:t>项目负责人具有公路工程专业二级及以上资质的注册建造师资格以及安全生产考核合格证书（B证）</w:t>
            </w:r>
          </w:p>
        </w:tc>
      </w:tr>
      <w:tr w14:paraId="3B85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178D9C0">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749" w:type="pct"/>
            <w:vAlign w:val="center"/>
          </w:tcPr>
          <w:p w14:paraId="3C17C258">
            <w:pPr>
              <w:pStyle w:val="75"/>
              <w:widowControl w:val="0"/>
              <w:spacing w:before="0" w:beforeAutospacing="0" w:after="0" w:afterAutospacing="0" w:line="360" w:lineRule="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3688" w:type="pct"/>
            <w:vAlign w:val="center"/>
          </w:tcPr>
          <w:p w14:paraId="3A4A4D30">
            <w:pPr>
              <w:spacing w:line="360" w:lineRule="auto"/>
              <w:jc w:val="left"/>
              <w:rPr>
                <w:rFonts w:hint="eastAsia" w:asciiTheme="minorEastAsia" w:hAnsiTheme="minorEastAsia" w:eastAsiaTheme="minorEastAsia"/>
                <w:color w:val="auto"/>
                <w:kern w:val="2"/>
                <w:sz w:val="24"/>
                <w:szCs w:val="22"/>
                <w:highlight w:val="none"/>
                <w:lang w:eastAsia="zh-CN"/>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eastAsia="zh-CN"/>
              </w:rPr>
              <w:t>2025年明光市农村公路日常养护工程（小修及日常养护）项目</w:t>
            </w:r>
          </w:p>
          <w:p w14:paraId="732F51B6">
            <w:pPr>
              <w:rPr>
                <w:rFonts w:hint="eastAsia" w:asciiTheme="minorHAnsi" w:hAnsiTheme="minorHAnsi"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rPr>
              <w:t>所属行业：</w:t>
            </w:r>
            <w:r>
              <w:rPr>
                <w:rFonts w:hint="eastAsia" w:asciiTheme="minorEastAsia" w:hAnsiTheme="minorEastAsia" w:eastAsiaTheme="minorEastAsia"/>
                <w:color w:val="auto"/>
                <w:kern w:val="2"/>
                <w:sz w:val="24"/>
                <w:szCs w:val="22"/>
                <w:highlight w:val="none"/>
                <w:lang w:val="en-US" w:eastAsia="zh-CN"/>
              </w:rPr>
              <w:t>建筑业</w:t>
            </w:r>
          </w:p>
        </w:tc>
      </w:tr>
    </w:tbl>
    <w:p w14:paraId="4344F560">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C9DAC7D">
      <w:pPr>
        <w:spacing w:line="360" w:lineRule="auto"/>
        <w:jc w:val="center"/>
        <w:outlineLvl w:val="0"/>
        <w:rPr>
          <w:rFonts w:asciiTheme="minorEastAsia" w:hAnsiTheme="minorEastAsia" w:eastAsiaTheme="minorEastAsia"/>
          <w:b/>
          <w:color w:val="auto"/>
          <w:sz w:val="28"/>
          <w:highlight w:val="none"/>
        </w:rPr>
      </w:pPr>
      <w:bookmarkStart w:id="38" w:name="_Toc28266"/>
      <w:r>
        <w:rPr>
          <w:rFonts w:hint="eastAsia" w:asciiTheme="minorEastAsia" w:hAnsiTheme="minorEastAsia" w:eastAsiaTheme="minorEastAsia"/>
          <w:b/>
          <w:color w:val="auto"/>
          <w:sz w:val="28"/>
          <w:highlight w:val="none"/>
        </w:rPr>
        <w:t>第四章  评审方法和标准</w:t>
      </w:r>
      <w:bookmarkEnd w:id="38"/>
    </w:p>
    <w:p w14:paraId="790CDF6F">
      <w:pPr>
        <w:spacing w:line="360" w:lineRule="auto"/>
        <w:ind w:firstLine="437"/>
        <w:outlineLvl w:val="1"/>
        <w:rPr>
          <w:rFonts w:asciiTheme="minorEastAsia" w:hAnsiTheme="minorEastAsia" w:eastAsiaTheme="minorEastAsia"/>
          <w:b/>
          <w:color w:val="auto"/>
          <w:sz w:val="24"/>
          <w:highlight w:val="none"/>
        </w:rPr>
      </w:pPr>
      <w:bookmarkStart w:id="39" w:name="_Toc7278"/>
      <w:bookmarkStart w:id="40" w:name="_Toc7817"/>
      <w:r>
        <w:rPr>
          <w:rFonts w:hint="eastAsia" w:asciiTheme="minorEastAsia" w:hAnsiTheme="minorEastAsia" w:eastAsiaTheme="minorEastAsia"/>
          <w:b/>
          <w:color w:val="auto"/>
          <w:sz w:val="24"/>
          <w:highlight w:val="none"/>
        </w:rPr>
        <w:t>一、总则</w:t>
      </w:r>
      <w:bookmarkEnd w:id="39"/>
      <w:bookmarkEnd w:id="40"/>
    </w:p>
    <w:p w14:paraId="04F6B5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本项目将按照谈判文件第二章供应商须知的相关要求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177FBF32">
      <w:pPr>
        <w:spacing w:line="360" w:lineRule="auto"/>
        <w:ind w:firstLine="437"/>
        <w:outlineLvl w:val="1"/>
        <w:rPr>
          <w:rFonts w:asciiTheme="minorEastAsia" w:hAnsiTheme="minorEastAsia" w:eastAsiaTheme="minorEastAsia"/>
          <w:b/>
          <w:color w:val="auto"/>
          <w:sz w:val="24"/>
          <w:highlight w:val="none"/>
        </w:rPr>
      </w:pPr>
      <w:bookmarkStart w:id="41" w:name="_Toc31007"/>
      <w:bookmarkStart w:id="42" w:name="_Toc31558"/>
      <w:r>
        <w:rPr>
          <w:rFonts w:hint="eastAsia" w:asciiTheme="minorEastAsia" w:hAnsiTheme="minorEastAsia" w:eastAsiaTheme="minorEastAsia"/>
          <w:b/>
          <w:color w:val="auto"/>
          <w:sz w:val="24"/>
          <w:highlight w:val="none"/>
        </w:rPr>
        <w:t>二、评审方法</w:t>
      </w:r>
      <w:bookmarkEnd w:id="41"/>
      <w:bookmarkEnd w:id="42"/>
    </w:p>
    <w:tbl>
      <w:tblPr>
        <w:tblStyle w:val="55"/>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553"/>
        <w:gridCol w:w="3776"/>
        <w:gridCol w:w="2443"/>
      </w:tblGrid>
      <w:tr w14:paraId="50ED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4"/>
            <w:tcBorders>
              <w:bottom w:val="single" w:color="auto" w:sz="4" w:space="0"/>
            </w:tcBorders>
            <w:vAlign w:val="center"/>
          </w:tcPr>
          <w:p w14:paraId="00390F56">
            <w:pPr>
              <w:adjustRightInd w:val="0"/>
              <w:snapToGrid w:val="0"/>
              <w:ind w:right="-10"/>
              <w:jc w:val="center"/>
              <w:rPr>
                <w:rFonts w:hint="eastAsia" w:ascii="Calibri" w:hAnsi="Calibri" w:cs="Times New Roman"/>
                <w:b/>
                <w:color w:val="auto"/>
                <w:kern w:val="2"/>
                <w:sz w:val="24"/>
                <w:szCs w:val="22"/>
                <w:highlight w:val="none"/>
              </w:rPr>
            </w:pPr>
            <w:r>
              <w:rPr>
                <w:rFonts w:hint="eastAsia" w:ascii="Calibri" w:hAnsi="Calibri" w:cs="Times New Roman"/>
                <w:b/>
                <w:color w:val="auto"/>
                <w:kern w:val="2"/>
                <w:sz w:val="24"/>
                <w:szCs w:val="22"/>
                <w:highlight w:val="none"/>
              </w:rPr>
              <w:t>初审表</w:t>
            </w:r>
          </w:p>
        </w:tc>
      </w:tr>
      <w:tr w14:paraId="74BB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90" w:type="pct"/>
            <w:tcBorders>
              <w:bottom w:val="single" w:color="auto" w:sz="4" w:space="0"/>
            </w:tcBorders>
            <w:vAlign w:val="center"/>
          </w:tcPr>
          <w:p w14:paraId="71CFBF81">
            <w:pPr>
              <w:adjustRightInd w:val="0"/>
              <w:snapToGrid w:val="0"/>
              <w:spacing w:line="360" w:lineRule="auto"/>
              <w:ind w:right="-10" w:rightChars="0"/>
              <w:jc w:val="center"/>
              <w:rPr>
                <w:rFonts w:ascii="Calibri" w:hAnsi="Calibri" w:cs="Times New Roman"/>
                <w:b/>
                <w:bCs/>
                <w:color w:val="auto"/>
                <w:kern w:val="2"/>
                <w:sz w:val="24"/>
                <w:szCs w:val="22"/>
                <w:highlight w:val="none"/>
              </w:rPr>
            </w:pPr>
            <w:r>
              <w:rPr>
                <w:rFonts w:hint="eastAsia" w:ascii="宋体" w:hAnsi="宋体" w:eastAsia="宋体"/>
                <w:b/>
                <w:bCs/>
                <w:color w:val="auto"/>
                <w:sz w:val="24"/>
                <w:highlight w:val="none"/>
              </w:rPr>
              <w:t>序号</w:t>
            </w:r>
          </w:p>
        </w:tc>
        <w:tc>
          <w:tcPr>
            <w:tcW w:w="901" w:type="pct"/>
            <w:tcBorders>
              <w:bottom w:val="single" w:color="auto" w:sz="4" w:space="0"/>
            </w:tcBorders>
            <w:vAlign w:val="center"/>
          </w:tcPr>
          <w:p w14:paraId="63CE6813">
            <w:pPr>
              <w:pStyle w:val="76"/>
              <w:pBdr>
                <w:bottom w:val="none" w:color="auto" w:sz="0" w:space="0"/>
              </w:pBdr>
              <w:tabs>
                <w:tab w:val="clear" w:pos="4153"/>
                <w:tab w:val="clear" w:pos="8306"/>
              </w:tabs>
              <w:snapToGrid w:val="0"/>
              <w:spacing w:line="36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Cs w:val="24"/>
                <w:highlight w:val="none"/>
                <w:lang w:val="en-US" w:eastAsia="zh-CN"/>
              </w:rPr>
              <w:t>审查因素</w:t>
            </w:r>
          </w:p>
        </w:tc>
        <w:tc>
          <w:tcPr>
            <w:tcW w:w="2191" w:type="pct"/>
            <w:tcBorders>
              <w:bottom w:val="single" w:color="auto" w:sz="4" w:space="0"/>
            </w:tcBorders>
            <w:vAlign w:val="center"/>
          </w:tcPr>
          <w:p w14:paraId="50D07C00">
            <w:pPr>
              <w:adjustRightInd w:val="0"/>
              <w:snapToGrid w:val="0"/>
              <w:spacing w:line="360" w:lineRule="auto"/>
              <w:ind w:right="-10" w:rightChars="0"/>
              <w:jc w:val="center"/>
              <w:rPr>
                <w:rFonts w:ascii="Calibri" w:hAnsi="Calibri" w:cs="Times New Roman"/>
                <w:b/>
                <w:bCs/>
                <w:color w:val="auto"/>
                <w:kern w:val="2"/>
                <w:sz w:val="24"/>
                <w:szCs w:val="22"/>
                <w:highlight w:val="none"/>
              </w:rPr>
            </w:pPr>
            <w:r>
              <w:rPr>
                <w:rFonts w:hint="eastAsia" w:ascii="宋体" w:hAnsi="宋体" w:eastAsia="宋体"/>
                <w:b/>
                <w:bCs/>
                <w:color w:val="auto"/>
                <w:sz w:val="24"/>
                <w:highlight w:val="none"/>
                <w:lang w:val="en-US" w:eastAsia="zh-CN"/>
              </w:rPr>
              <w:t>审查内容</w:t>
            </w:r>
          </w:p>
        </w:tc>
        <w:tc>
          <w:tcPr>
            <w:tcW w:w="1417" w:type="pct"/>
            <w:tcBorders>
              <w:bottom w:val="single" w:color="auto" w:sz="4" w:space="0"/>
            </w:tcBorders>
            <w:vAlign w:val="center"/>
          </w:tcPr>
          <w:p w14:paraId="4F6C548D">
            <w:pPr>
              <w:adjustRightInd w:val="0"/>
              <w:snapToGrid w:val="0"/>
              <w:spacing w:line="360" w:lineRule="auto"/>
              <w:ind w:right="-10" w:rightChars="0"/>
              <w:jc w:val="center"/>
              <w:rPr>
                <w:rFonts w:hint="eastAsia" w:ascii="Calibri" w:hAnsi="Calibri" w:cs="Times New Roman"/>
                <w:b/>
                <w:bCs/>
                <w:color w:val="auto"/>
                <w:kern w:val="2"/>
                <w:sz w:val="24"/>
                <w:szCs w:val="22"/>
                <w:highlight w:val="none"/>
              </w:rPr>
            </w:pPr>
            <w:r>
              <w:rPr>
                <w:rFonts w:hint="eastAsia" w:ascii="宋体" w:hAnsi="宋体" w:eastAsia="宋体"/>
                <w:b/>
                <w:bCs/>
                <w:color w:val="auto"/>
                <w:sz w:val="24"/>
                <w:highlight w:val="none"/>
              </w:rPr>
              <w:t>格式要求</w:t>
            </w:r>
          </w:p>
        </w:tc>
      </w:tr>
      <w:tr w14:paraId="7220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tcBorders>
              <w:bottom w:val="single" w:color="auto" w:sz="4" w:space="0"/>
            </w:tcBorders>
            <w:vAlign w:val="center"/>
          </w:tcPr>
          <w:p w14:paraId="7D54E9DB">
            <w:pPr>
              <w:adjustRightInd w:val="0"/>
              <w:snapToGrid w:val="0"/>
              <w:spacing w:line="360" w:lineRule="auto"/>
              <w:ind w:right="-10" w:rightChars="0"/>
              <w:jc w:val="center"/>
              <w:rPr>
                <w:rFonts w:cs="Times New Roman" w:asciiTheme="minorEastAsia" w:hAnsiTheme="minorEastAsia" w:eastAsiaTheme="minorEastAsia"/>
                <w:color w:val="auto"/>
                <w:kern w:val="2"/>
                <w:sz w:val="24"/>
                <w:szCs w:val="22"/>
                <w:highlight w:val="none"/>
              </w:rPr>
            </w:pPr>
            <w:r>
              <w:rPr>
                <w:rFonts w:hint="eastAsia" w:ascii="宋体" w:hAnsi="宋体" w:eastAsia="宋体"/>
                <w:color w:val="auto"/>
                <w:sz w:val="24"/>
                <w:highlight w:val="none"/>
              </w:rPr>
              <w:t>1</w:t>
            </w:r>
          </w:p>
        </w:tc>
        <w:tc>
          <w:tcPr>
            <w:tcW w:w="901" w:type="pct"/>
            <w:tcBorders>
              <w:bottom w:val="single" w:color="auto" w:sz="4" w:space="0"/>
            </w:tcBorders>
            <w:vAlign w:val="center"/>
          </w:tcPr>
          <w:p w14:paraId="24C11917">
            <w:pPr>
              <w:spacing w:after="50" w:line="36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191" w:type="pct"/>
            <w:tcBorders>
              <w:bottom w:val="single" w:color="auto" w:sz="4" w:space="0"/>
            </w:tcBorders>
            <w:vAlign w:val="center"/>
          </w:tcPr>
          <w:p w14:paraId="045C6136">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08C47610">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3D3726C2">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2F5C6EA9">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lang w:val="en-US" w:eastAsia="zh-CN"/>
              </w:rPr>
              <w:t>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0A98DD45">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lang w:val="en-US" w:eastAsia="zh-CN"/>
              </w:rPr>
              <w:t>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p>
        </w:tc>
        <w:tc>
          <w:tcPr>
            <w:tcW w:w="1417" w:type="pct"/>
            <w:tcBorders>
              <w:bottom w:val="single" w:color="auto" w:sz="4" w:space="0"/>
            </w:tcBorders>
            <w:vAlign w:val="center"/>
          </w:tcPr>
          <w:p w14:paraId="17D06ACA">
            <w:pPr>
              <w:spacing w:line="360" w:lineRule="auto"/>
              <w:jc w:val="left"/>
              <w:rPr>
                <w:rFonts w:hint="eastAsia"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5FB8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Align w:val="center"/>
          </w:tcPr>
          <w:p w14:paraId="1CA93C33">
            <w:pPr>
              <w:adjustRightInd w:val="0"/>
              <w:snapToGrid w:val="0"/>
              <w:spacing w:line="360" w:lineRule="auto"/>
              <w:ind w:right="-10" w:rightChars="0"/>
              <w:jc w:val="center"/>
              <w:rPr>
                <w:rFonts w:cs="Times New Roman" w:asciiTheme="minorEastAsia" w:hAnsiTheme="minorEastAsia" w:eastAsiaTheme="minorEastAsia"/>
                <w:color w:val="auto"/>
                <w:kern w:val="2"/>
                <w:sz w:val="24"/>
                <w:szCs w:val="22"/>
                <w:highlight w:val="none"/>
              </w:rPr>
            </w:pPr>
            <w:r>
              <w:rPr>
                <w:rFonts w:hint="eastAsia" w:ascii="宋体" w:hAnsi="宋体" w:eastAsia="宋体"/>
                <w:color w:val="auto"/>
                <w:sz w:val="24"/>
                <w:highlight w:val="none"/>
                <w:lang w:val="en-US" w:eastAsia="zh-CN"/>
              </w:rPr>
              <w:t>2</w:t>
            </w:r>
          </w:p>
        </w:tc>
        <w:tc>
          <w:tcPr>
            <w:tcW w:w="901" w:type="pct"/>
            <w:vAlign w:val="center"/>
          </w:tcPr>
          <w:p w14:paraId="79DB4D4B">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18"/>
                <w:highlight w:val="none"/>
                <w:lang w:val="en-US" w:eastAsia="zh-CN"/>
              </w:rPr>
              <w:t>供应商资格声明书</w:t>
            </w:r>
          </w:p>
        </w:tc>
        <w:tc>
          <w:tcPr>
            <w:tcW w:w="2191" w:type="pct"/>
            <w:vAlign w:val="center"/>
          </w:tcPr>
          <w:p w14:paraId="5113B586">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谈判</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417" w:type="pct"/>
            <w:vAlign w:val="center"/>
          </w:tcPr>
          <w:p w14:paraId="32969962">
            <w:pPr>
              <w:spacing w:line="360" w:lineRule="auto"/>
              <w:jc w:val="left"/>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D76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Align w:val="center"/>
          </w:tcPr>
          <w:p w14:paraId="3855DEB4">
            <w:pPr>
              <w:adjustRightInd w:val="0"/>
              <w:snapToGrid w:val="0"/>
              <w:spacing w:line="360" w:lineRule="auto"/>
              <w:ind w:right="-10" w:rightChars="0"/>
              <w:jc w:val="center"/>
              <w:rPr>
                <w:rFonts w:cs="Times New Roman" w:asciiTheme="minorEastAsia" w:hAnsiTheme="minorEastAsia" w:eastAsiaTheme="minorEastAsia"/>
                <w:color w:val="auto"/>
                <w:kern w:val="2"/>
                <w:sz w:val="24"/>
                <w:szCs w:val="22"/>
                <w:highlight w:val="none"/>
              </w:rPr>
            </w:pPr>
            <w:r>
              <w:rPr>
                <w:rFonts w:hint="eastAsia" w:ascii="宋体" w:hAnsi="宋体" w:eastAsia="宋体"/>
                <w:color w:val="auto"/>
                <w:sz w:val="24"/>
                <w:highlight w:val="none"/>
              </w:rPr>
              <w:t>3</w:t>
            </w:r>
          </w:p>
        </w:tc>
        <w:tc>
          <w:tcPr>
            <w:tcW w:w="901" w:type="pct"/>
            <w:vAlign w:val="center"/>
          </w:tcPr>
          <w:p w14:paraId="263AC9B5">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191" w:type="pct"/>
            <w:vAlign w:val="center"/>
          </w:tcPr>
          <w:p w14:paraId="61191A2D">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w:t>
            </w:r>
            <w:r>
              <w:rPr>
                <w:rFonts w:hint="eastAsia" w:ascii="宋体" w:hAnsi="宋体" w:eastAsia="宋体" w:cs="宋体"/>
                <w:color w:val="auto"/>
                <w:sz w:val="24"/>
                <w:szCs w:val="24"/>
                <w:highlight w:val="none"/>
                <w:lang w:val="en-US" w:eastAsia="zh-CN"/>
              </w:rPr>
              <w:t>14.3.1条中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417" w:type="pct"/>
            <w:vAlign w:val="center"/>
          </w:tcPr>
          <w:p w14:paraId="61236B9A">
            <w:pPr>
              <w:spacing w:line="360" w:lineRule="auto"/>
              <w:jc w:val="left"/>
              <w:rPr>
                <w:rFonts w:hint="eastAsia" w:cs="Times New Roman"/>
                <w:color w:val="auto"/>
                <w:kern w:val="2"/>
                <w:sz w:val="24"/>
                <w:szCs w:val="22"/>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5681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Align w:val="center"/>
          </w:tcPr>
          <w:p w14:paraId="4458703E">
            <w:pPr>
              <w:adjustRightInd w:val="0"/>
              <w:snapToGrid w:val="0"/>
              <w:spacing w:line="360" w:lineRule="auto"/>
              <w:ind w:right="-10" w:rightChars="0"/>
              <w:jc w:val="center"/>
              <w:rPr>
                <w:rFonts w:cs="Times New Roman" w:asciiTheme="minorEastAsia" w:hAnsiTheme="minorEastAsia" w:eastAsiaTheme="minorEastAsia"/>
                <w:color w:val="auto"/>
                <w:kern w:val="2"/>
                <w:sz w:val="24"/>
                <w:szCs w:val="22"/>
                <w:highlight w:val="none"/>
              </w:rPr>
            </w:pPr>
            <w:r>
              <w:rPr>
                <w:rFonts w:hint="eastAsia" w:ascii="宋体" w:hAnsi="宋体" w:eastAsia="宋体"/>
                <w:color w:val="auto"/>
                <w:sz w:val="24"/>
                <w:highlight w:val="none"/>
              </w:rPr>
              <w:t>4</w:t>
            </w:r>
          </w:p>
        </w:tc>
        <w:tc>
          <w:tcPr>
            <w:tcW w:w="901" w:type="pct"/>
            <w:vAlign w:val="center"/>
          </w:tcPr>
          <w:p w14:paraId="65FE7763">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rPr>
              <w:t>中小企业证明文</w:t>
            </w:r>
            <w:r>
              <w:rPr>
                <w:rFonts w:hint="eastAsia" w:ascii="宋体" w:hAnsi="宋体" w:eastAsia="宋体" w:cs="宋体"/>
                <w:i w:val="0"/>
                <w:iCs w:val="0"/>
                <w:color w:val="auto"/>
                <w:sz w:val="24"/>
                <w:szCs w:val="24"/>
                <w:highlight w:val="none"/>
              </w:rPr>
              <w:t>件（</w:t>
            </w:r>
            <w:r>
              <w:rPr>
                <w:rFonts w:hint="eastAsia" w:ascii="宋体" w:hAnsi="宋体" w:eastAsia="宋体" w:cs="宋体"/>
                <w:i w:val="0"/>
                <w:iCs w:val="0"/>
                <w:color w:val="auto"/>
                <w:sz w:val="24"/>
                <w:szCs w:val="24"/>
                <w:highlight w:val="none"/>
                <w:lang w:val="en-US" w:eastAsia="zh-CN"/>
              </w:rPr>
              <w:t>适用于</w:t>
            </w:r>
            <w:r>
              <w:rPr>
                <w:rFonts w:hint="eastAsia" w:ascii="宋体" w:hAnsi="宋体" w:eastAsia="宋体" w:cs="宋体"/>
                <w:i w:val="0"/>
                <w:iCs w:val="0"/>
                <w:color w:val="auto"/>
                <w:sz w:val="24"/>
                <w:szCs w:val="24"/>
                <w:highlight w:val="none"/>
              </w:rPr>
              <w:t>专门面向中小企业采购项目</w:t>
            </w:r>
            <w:r>
              <w:rPr>
                <w:rFonts w:hint="eastAsia" w:ascii="宋体" w:hAnsi="宋体" w:eastAsia="宋体" w:cs="宋体"/>
                <w:i w:val="0"/>
                <w:iCs w:val="0"/>
                <w:color w:val="auto"/>
                <w:sz w:val="24"/>
                <w:szCs w:val="24"/>
                <w:highlight w:val="none"/>
                <w:lang w:val="en-US" w:eastAsia="zh-CN"/>
              </w:rPr>
              <w:t>或预留中小企业采购份额项目</w:t>
            </w:r>
            <w:r>
              <w:rPr>
                <w:rFonts w:hint="eastAsia" w:ascii="宋体" w:hAnsi="宋体" w:eastAsia="宋体" w:cs="宋体"/>
                <w:i w:val="0"/>
                <w:iCs w:val="0"/>
                <w:color w:val="auto"/>
                <w:sz w:val="24"/>
                <w:szCs w:val="24"/>
                <w:highlight w:val="none"/>
              </w:rPr>
              <w:t>）</w:t>
            </w:r>
          </w:p>
        </w:tc>
        <w:tc>
          <w:tcPr>
            <w:tcW w:w="2191" w:type="pct"/>
            <w:vAlign w:val="top"/>
          </w:tcPr>
          <w:p w14:paraId="0EB68883">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17575190">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p w14:paraId="7EEF8A42">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文件关于预留份额的要求。</w:t>
            </w:r>
          </w:p>
        </w:tc>
        <w:tc>
          <w:tcPr>
            <w:tcW w:w="1417" w:type="pct"/>
            <w:vAlign w:val="center"/>
          </w:tcPr>
          <w:p w14:paraId="58137824">
            <w:pPr>
              <w:spacing w:after="50" w:line="360" w:lineRule="auto"/>
              <w:ind w:right="-10" w:rightChars="0"/>
              <w:jc w:val="center"/>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93F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Align w:val="center"/>
          </w:tcPr>
          <w:p w14:paraId="736DD94F">
            <w:pPr>
              <w:adjustRightInd w:val="0"/>
              <w:snapToGrid w:val="0"/>
              <w:spacing w:line="360" w:lineRule="auto"/>
              <w:ind w:right="-10" w:rightChars="0"/>
              <w:jc w:val="center"/>
              <w:rPr>
                <w:rFonts w:hint="eastAsia" w:cs="Times New Roman" w:asciiTheme="minorEastAsia" w:hAnsiTheme="minorEastAsia" w:eastAsiaTheme="minorEastAsia"/>
                <w:color w:val="auto"/>
                <w:kern w:val="2"/>
                <w:sz w:val="24"/>
                <w:szCs w:val="22"/>
                <w:highlight w:val="none"/>
                <w:lang w:eastAsia="zh-CN"/>
              </w:rPr>
            </w:pPr>
            <w:r>
              <w:rPr>
                <w:rFonts w:hint="eastAsia"/>
                <w:color w:val="auto"/>
                <w:sz w:val="24"/>
                <w:highlight w:val="none"/>
                <w:lang w:val="en-US" w:eastAsia="zh-CN"/>
              </w:rPr>
              <w:t>5</w:t>
            </w:r>
          </w:p>
        </w:tc>
        <w:tc>
          <w:tcPr>
            <w:tcW w:w="901" w:type="pct"/>
            <w:vAlign w:val="center"/>
          </w:tcPr>
          <w:p w14:paraId="6EBFD096">
            <w:pPr>
              <w:spacing w:after="50" w:line="36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其它落实政府采</w:t>
            </w:r>
            <w:r>
              <w:rPr>
                <w:rFonts w:ascii="宋体" w:hAnsi="宋体" w:eastAsia="宋体" w:cs="宋体"/>
                <w:color w:val="auto"/>
                <w:spacing w:val="11"/>
                <w:sz w:val="24"/>
                <w:szCs w:val="24"/>
                <w:highlight w:val="none"/>
              </w:rPr>
              <w:t>购政策的资格要</w:t>
            </w:r>
            <w:r>
              <w:rPr>
                <w:rFonts w:ascii="宋体" w:hAnsi="宋体" w:eastAsia="宋体" w:cs="宋体"/>
                <w:color w:val="auto"/>
                <w:sz w:val="24"/>
                <w:szCs w:val="24"/>
                <w:highlight w:val="none"/>
              </w:rPr>
              <w:t>求</w:t>
            </w:r>
          </w:p>
        </w:tc>
        <w:tc>
          <w:tcPr>
            <w:tcW w:w="2191" w:type="pct"/>
            <w:vAlign w:val="center"/>
          </w:tcPr>
          <w:p w14:paraId="3D8263C7">
            <w:pPr>
              <w:spacing w:after="50" w:line="360" w:lineRule="auto"/>
              <w:ind w:right="-10" w:rightChars="0"/>
              <w:jc w:val="both"/>
              <w:rPr>
                <w:rFonts w:ascii="Calibri" w:hAnsi="Calibri" w:cs="Times New Roman"/>
                <w:color w:val="auto"/>
                <w:kern w:val="2"/>
                <w:sz w:val="24"/>
                <w:szCs w:val="22"/>
                <w:highlight w:val="none"/>
              </w:rPr>
            </w:pPr>
            <w:r>
              <w:rPr>
                <w:rFonts w:ascii="宋体" w:hAnsi="宋体" w:eastAsia="宋体" w:cs="宋体"/>
                <w:color w:val="auto"/>
                <w:spacing w:val="-2"/>
                <w:sz w:val="24"/>
                <w:szCs w:val="24"/>
                <w:highlight w:val="none"/>
              </w:rPr>
              <w:t>如有，见第一章《</w:t>
            </w:r>
            <w:r>
              <w:rPr>
                <w:rFonts w:hint="eastAsia" w:ascii="宋体" w:hAnsi="宋体" w:eastAsia="宋体" w:cs="宋体"/>
                <w:color w:val="auto"/>
                <w:spacing w:val="-2"/>
                <w:sz w:val="24"/>
                <w:szCs w:val="24"/>
                <w:highlight w:val="none"/>
                <w:lang w:val="en-US" w:eastAsia="zh-CN"/>
              </w:rPr>
              <w:t>谈判</w:t>
            </w:r>
            <w:r>
              <w:rPr>
                <w:rFonts w:ascii="宋体" w:hAnsi="宋体" w:eastAsia="宋体" w:cs="宋体"/>
                <w:color w:val="auto"/>
                <w:spacing w:val="-2"/>
                <w:sz w:val="24"/>
                <w:szCs w:val="24"/>
                <w:highlight w:val="none"/>
              </w:rPr>
              <w:t>邀请》</w:t>
            </w:r>
          </w:p>
        </w:tc>
        <w:tc>
          <w:tcPr>
            <w:tcW w:w="1417" w:type="pct"/>
            <w:vAlign w:val="center"/>
          </w:tcPr>
          <w:p w14:paraId="659C3FEB">
            <w:pPr>
              <w:spacing w:after="50" w:line="360" w:lineRule="auto"/>
              <w:ind w:right="-10" w:rightChars="0"/>
              <w:jc w:val="both"/>
              <w:rPr>
                <w:rFonts w:hint="eastAsia"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69B5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Align w:val="center"/>
          </w:tcPr>
          <w:p w14:paraId="4533144B">
            <w:pPr>
              <w:adjustRightInd w:val="0"/>
              <w:snapToGrid w:val="0"/>
              <w:spacing w:line="360" w:lineRule="auto"/>
              <w:ind w:right="-10" w:rightChars="0"/>
              <w:jc w:val="center"/>
              <w:rPr>
                <w:rFonts w:hint="eastAsia" w:cs="Times New Roman" w:asciiTheme="minorEastAsia" w:hAnsiTheme="minorEastAsia" w:eastAsiaTheme="minorEastAsia"/>
                <w:color w:val="auto"/>
                <w:kern w:val="2"/>
                <w:sz w:val="24"/>
                <w:szCs w:val="22"/>
                <w:highlight w:val="none"/>
                <w:lang w:eastAsia="zh-CN"/>
              </w:rPr>
            </w:pPr>
            <w:r>
              <w:rPr>
                <w:rFonts w:hint="eastAsia" w:asciiTheme="majorEastAsia" w:hAnsiTheme="majorEastAsia" w:eastAsiaTheme="majorEastAsia"/>
                <w:color w:val="auto"/>
                <w:sz w:val="24"/>
                <w:highlight w:val="none"/>
                <w:lang w:val="en-US" w:eastAsia="zh-CN"/>
              </w:rPr>
              <w:t>6</w:t>
            </w:r>
          </w:p>
        </w:tc>
        <w:tc>
          <w:tcPr>
            <w:tcW w:w="901" w:type="pct"/>
            <w:vAlign w:val="center"/>
          </w:tcPr>
          <w:p w14:paraId="554C600F">
            <w:pPr>
              <w:spacing w:after="50" w:line="36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其他特定资格要求</w:t>
            </w:r>
          </w:p>
        </w:tc>
        <w:tc>
          <w:tcPr>
            <w:tcW w:w="2191" w:type="pct"/>
            <w:vAlign w:val="center"/>
          </w:tcPr>
          <w:p w14:paraId="6E8E39F9">
            <w:pPr>
              <w:spacing w:after="50" w:line="360" w:lineRule="auto"/>
              <w:ind w:right="-10" w:rightChars="0"/>
              <w:jc w:val="both"/>
              <w:rPr>
                <w:rFonts w:ascii="Calibri" w:hAnsi="Calibri" w:cs="Times New Roman"/>
                <w:color w:val="auto"/>
                <w:kern w:val="2"/>
                <w:sz w:val="24"/>
                <w:szCs w:val="22"/>
                <w:highlight w:val="none"/>
              </w:rPr>
            </w:pPr>
            <w:r>
              <w:rPr>
                <w:rFonts w:ascii="宋体" w:hAnsi="宋体" w:eastAsia="宋体" w:cs="宋体"/>
                <w:color w:val="auto"/>
                <w:spacing w:val="10"/>
                <w:sz w:val="24"/>
                <w:szCs w:val="24"/>
                <w:highlight w:val="none"/>
              </w:rPr>
              <w:t>如有，见第一章《</w:t>
            </w:r>
            <w:r>
              <w:rPr>
                <w:rFonts w:hint="eastAsia" w:ascii="宋体" w:hAnsi="宋体" w:eastAsia="宋体" w:cs="宋体"/>
                <w:color w:val="auto"/>
                <w:spacing w:val="10"/>
                <w:sz w:val="24"/>
                <w:szCs w:val="24"/>
                <w:highlight w:val="none"/>
                <w:lang w:val="en-US" w:eastAsia="zh-CN"/>
              </w:rPr>
              <w:t>谈判</w:t>
            </w:r>
            <w:r>
              <w:rPr>
                <w:rFonts w:ascii="宋体" w:hAnsi="宋体" w:eastAsia="宋体" w:cs="宋体"/>
                <w:color w:val="auto"/>
                <w:spacing w:val="10"/>
                <w:sz w:val="24"/>
                <w:szCs w:val="24"/>
                <w:highlight w:val="none"/>
              </w:rPr>
              <w:t>邀请》</w:t>
            </w:r>
          </w:p>
        </w:tc>
        <w:tc>
          <w:tcPr>
            <w:tcW w:w="1417" w:type="pct"/>
            <w:vAlign w:val="center"/>
          </w:tcPr>
          <w:p w14:paraId="5ACA3511">
            <w:pPr>
              <w:spacing w:after="50" w:line="360" w:lineRule="auto"/>
              <w:ind w:right="-10" w:rightChars="0"/>
              <w:jc w:val="both"/>
              <w:rPr>
                <w:rFonts w:hint="eastAsia" w:cs="Times New Roman"/>
                <w:color w:val="auto"/>
                <w:kern w:val="2"/>
                <w:sz w:val="24"/>
                <w:szCs w:val="28"/>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68D9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Align w:val="center"/>
          </w:tcPr>
          <w:p w14:paraId="77373255">
            <w:pPr>
              <w:adjustRightInd w:val="0"/>
              <w:snapToGrid w:val="0"/>
              <w:spacing w:line="360" w:lineRule="auto"/>
              <w:ind w:right="-10"/>
              <w:jc w:val="center"/>
              <w:rPr>
                <w:rFonts w:hint="eastAsia" w:cs="Times New Roman" w:asciiTheme="minorEastAsia" w:hAnsiTheme="minorEastAsia" w:eastAsiaTheme="minorEastAsia"/>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7</w:t>
            </w:r>
          </w:p>
        </w:tc>
        <w:tc>
          <w:tcPr>
            <w:tcW w:w="901" w:type="pct"/>
            <w:vAlign w:val="center"/>
          </w:tcPr>
          <w:p w14:paraId="035F1CD1">
            <w:pPr>
              <w:adjustRightInd w:val="0"/>
              <w:snapToGrid w:val="0"/>
              <w:spacing w:line="360" w:lineRule="auto"/>
              <w:ind w:right="-10"/>
              <w:jc w:val="center"/>
              <w:rPr>
                <w:rFonts w:ascii="Calibri" w:hAnsi="Calibri" w:cs="Times New Roman"/>
                <w:color w:val="auto"/>
                <w:kern w:val="2"/>
                <w:sz w:val="24"/>
                <w:szCs w:val="24"/>
                <w:highlight w:val="none"/>
              </w:rPr>
            </w:pPr>
            <w:r>
              <w:rPr>
                <w:rFonts w:hint="eastAsia" w:cs="Times New Roman"/>
                <w:color w:val="auto"/>
                <w:kern w:val="2"/>
                <w:sz w:val="24"/>
                <w:highlight w:val="none"/>
              </w:rPr>
              <w:t>授权书</w:t>
            </w:r>
          </w:p>
        </w:tc>
        <w:tc>
          <w:tcPr>
            <w:tcW w:w="2191" w:type="pct"/>
            <w:vAlign w:val="center"/>
          </w:tcPr>
          <w:p w14:paraId="55CE738C">
            <w:pPr>
              <w:adjustRightInd w:val="0"/>
              <w:snapToGrid w:val="0"/>
              <w:spacing w:line="360" w:lineRule="auto"/>
              <w:ind w:right="-10"/>
              <w:jc w:val="left"/>
              <w:rPr>
                <w:rFonts w:ascii="Calibri" w:hAnsi="Calibri" w:cs="Times New Roman"/>
                <w:color w:val="auto"/>
                <w:kern w:val="2"/>
                <w:sz w:val="24"/>
                <w:szCs w:val="22"/>
                <w:highlight w:val="none"/>
              </w:rPr>
            </w:pPr>
            <w:r>
              <w:rPr>
                <w:rFonts w:hint="eastAsia" w:cs="Times New Roman"/>
                <w:color w:val="auto"/>
                <w:kern w:val="2"/>
                <w:sz w:val="24"/>
                <w:szCs w:val="22"/>
                <w:highlight w:val="none"/>
              </w:rPr>
              <w:t>符合谈判文件要求。</w:t>
            </w:r>
          </w:p>
        </w:tc>
        <w:tc>
          <w:tcPr>
            <w:tcW w:w="1417" w:type="pct"/>
            <w:vAlign w:val="center"/>
          </w:tcPr>
          <w:p w14:paraId="39FDE9B6">
            <w:pPr>
              <w:adjustRightInd w:val="0"/>
              <w:snapToGrid w:val="0"/>
              <w:spacing w:line="360" w:lineRule="auto"/>
              <w:ind w:right="-10"/>
              <w:jc w:val="center"/>
              <w:rPr>
                <w:rFonts w:hint="default" w:eastAsia="宋体" w:cs="Times New Roman"/>
                <w:color w:val="auto"/>
                <w:kern w:val="2"/>
                <w:sz w:val="24"/>
                <w:szCs w:val="22"/>
                <w:highlight w:val="none"/>
                <w:lang w:val="en-US" w:eastAsia="zh-CN"/>
              </w:rPr>
            </w:pPr>
            <w:r>
              <w:rPr>
                <w:rFonts w:hint="eastAsia" w:cs="Times New Roman"/>
                <w:color w:val="auto"/>
                <w:kern w:val="2"/>
                <w:sz w:val="24"/>
                <w:szCs w:val="22"/>
                <w:highlight w:val="none"/>
                <w:lang w:val="en-US" w:eastAsia="zh-CN"/>
              </w:rPr>
              <w:t>核验电子标书</w:t>
            </w:r>
          </w:p>
        </w:tc>
      </w:tr>
      <w:tr w14:paraId="20BC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Align w:val="center"/>
          </w:tcPr>
          <w:p w14:paraId="4CB45AC1">
            <w:pPr>
              <w:adjustRightInd w:val="0"/>
              <w:snapToGrid w:val="0"/>
              <w:spacing w:line="360" w:lineRule="auto"/>
              <w:ind w:right="-10"/>
              <w:jc w:val="center"/>
              <w:rPr>
                <w:rFonts w:hint="eastAsia" w:cs="Times New Roman" w:asciiTheme="minorEastAsia" w:hAnsiTheme="minorEastAsia" w:eastAsiaTheme="minorEastAsia"/>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8</w:t>
            </w:r>
          </w:p>
        </w:tc>
        <w:tc>
          <w:tcPr>
            <w:tcW w:w="901" w:type="pct"/>
            <w:vAlign w:val="center"/>
          </w:tcPr>
          <w:p w14:paraId="63A58A46">
            <w:pPr>
              <w:adjustRightInd w:val="0"/>
              <w:snapToGrid w:val="0"/>
              <w:spacing w:line="360" w:lineRule="auto"/>
              <w:ind w:right="-10"/>
              <w:jc w:val="center"/>
              <w:rPr>
                <w:rFonts w:ascii="Calibri" w:hAnsi="Calibri" w:cs="Times New Roman"/>
                <w:color w:val="auto"/>
                <w:kern w:val="2"/>
                <w:sz w:val="24"/>
                <w:szCs w:val="24"/>
                <w:highlight w:val="none"/>
              </w:rPr>
            </w:pPr>
            <w:r>
              <w:rPr>
                <w:rFonts w:hint="eastAsia" w:cs="Times New Roman"/>
                <w:color w:val="auto"/>
                <w:kern w:val="2"/>
                <w:sz w:val="24"/>
                <w:highlight w:val="none"/>
              </w:rPr>
              <w:t>谈判响应函</w:t>
            </w:r>
          </w:p>
        </w:tc>
        <w:tc>
          <w:tcPr>
            <w:tcW w:w="2191" w:type="pct"/>
            <w:vAlign w:val="center"/>
          </w:tcPr>
          <w:p w14:paraId="08A388A0">
            <w:pPr>
              <w:adjustRightInd w:val="0"/>
              <w:snapToGrid w:val="0"/>
              <w:spacing w:line="360" w:lineRule="auto"/>
              <w:ind w:right="-10"/>
              <w:jc w:val="left"/>
              <w:rPr>
                <w:rFonts w:ascii="Calibri" w:hAnsi="Calibri" w:cs="Times New Roman"/>
                <w:color w:val="auto"/>
                <w:kern w:val="2"/>
                <w:sz w:val="24"/>
                <w:szCs w:val="22"/>
                <w:highlight w:val="none"/>
              </w:rPr>
            </w:pPr>
            <w:r>
              <w:rPr>
                <w:rFonts w:hint="eastAsia" w:cs="Times New Roman"/>
                <w:color w:val="auto"/>
                <w:kern w:val="2"/>
                <w:sz w:val="24"/>
                <w:szCs w:val="22"/>
                <w:highlight w:val="none"/>
              </w:rPr>
              <w:t>符合谈判文件要求。</w:t>
            </w:r>
          </w:p>
        </w:tc>
        <w:tc>
          <w:tcPr>
            <w:tcW w:w="1417" w:type="pct"/>
            <w:vAlign w:val="center"/>
          </w:tcPr>
          <w:p w14:paraId="2D838A71">
            <w:pPr>
              <w:adjustRightInd w:val="0"/>
              <w:snapToGrid w:val="0"/>
              <w:spacing w:line="360" w:lineRule="auto"/>
              <w:ind w:right="-10"/>
              <w:jc w:val="center"/>
              <w:rPr>
                <w:rFonts w:hint="eastAsia" w:cs="Times New Roman"/>
                <w:color w:val="auto"/>
                <w:kern w:val="2"/>
                <w:sz w:val="24"/>
                <w:szCs w:val="22"/>
                <w:highlight w:val="none"/>
              </w:rPr>
            </w:pPr>
            <w:r>
              <w:rPr>
                <w:rFonts w:hint="eastAsia" w:cs="Times New Roman"/>
                <w:color w:val="auto"/>
                <w:kern w:val="2"/>
                <w:sz w:val="24"/>
                <w:szCs w:val="22"/>
                <w:highlight w:val="none"/>
                <w:lang w:val="en-US" w:eastAsia="zh-CN"/>
              </w:rPr>
              <w:t>核验电子标书</w:t>
            </w:r>
          </w:p>
        </w:tc>
      </w:tr>
      <w:tr w14:paraId="2893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Align w:val="center"/>
          </w:tcPr>
          <w:p w14:paraId="101A2F5F">
            <w:pPr>
              <w:adjustRightInd w:val="0"/>
              <w:snapToGrid w:val="0"/>
              <w:spacing w:line="360" w:lineRule="auto"/>
              <w:ind w:right="-10" w:rightChars="0"/>
              <w:jc w:val="center"/>
              <w:rPr>
                <w:rFonts w:hint="eastAsia" w:cs="Times New Roman" w:asciiTheme="minorEastAsia" w:hAnsiTheme="minorEastAsia" w:eastAsiaTheme="minorEastAsia"/>
                <w:color w:val="auto"/>
                <w:kern w:val="2"/>
                <w:sz w:val="24"/>
                <w:szCs w:val="22"/>
                <w:highlight w:val="none"/>
                <w:lang w:eastAsia="zh-CN"/>
              </w:rPr>
            </w:pPr>
            <w:r>
              <w:rPr>
                <w:rFonts w:hint="eastAsia"/>
                <w:color w:val="auto"/>
                <w:sz w:val="24"/>
                <w:highlight w:val="none"/>
                <w:lang w:val="en-US" w:eastAsia="zh-CN"/>
              </w:rPr>
              <w:t>9</w:t>
            </w:r>
          </w:p>
        </w:tc>
        <w:tc>
          <w:tcPr>
            <w:tcW w:w="901" w:type="pct"/>
            <w:vAlign w:val="center"/>
          </w:tcPr>
          <w:p w14:paraId="52D4D66C">
            <w:pPr>
              <w:spacing w:after="50" w:line="360" w:lineRule="auto"/>
              <w:ind w:right="-10" w:rightChars="0"/>
              <w:jc w:val="center"/>
              <w:rPr>
                <w:rFonts w:ascii="Calibri" w:hAnsi="Calibri" w:cs="Times New Roman"/>
                <w:color w:val="auto"/>
                <w:kern w:val="2"/>
                <w:sz w:val="24"/>
                <w:szCs w:val="24"/>
                <w:highlight w:val="none"/>
              </w:rPr>
            </w:pP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报价</w:t>
            </w:r>
          </w:p>
        </w:tc>
        <w:tc>
          <w:tcPr>
            <w:tcW w:w="2191" w:type="pct"/>
            <w:vAlign w:val="center"/>
          </w:tcPr>
          <w:p w14:paraId="24473372">
            <w:pPr>
              <w:spacing w:after="50" w:line="360" w:lineRule="auto"/>
              <w:ind w:right="-10" w:rightChars="0"/>
              <w:jc w:val="both"/>
              <w:rPr>
                <w:rFonts w:hint="eastAsia" w:ascii="Calibri" w:hAnsi="Calibri" w:cs="Times New Roman" w:eastAsiaTheme="minorEastAsia"/>
                <w:color w:val="auto"/>
                <w:kern w:val="2"/>
                <w:sz w:val="24"/>
                <w:szCs w:val="22"/>
                <w:highlight w:val="none"/>
                <w:lang w:val="en-US" w:eastAsia="zh-CN"/>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要求</w:t>
            </w:r>
          </w:p>
        </w:tc>
        <w:tc>
          <w:tcPr>
            <w:tcW w:w="1417" w:type="pct"/>
            <w:vAlign w:val="center"/>
          </w:tcPr>
          <w:p w14:paraId="5E8371E4">
            <w:pPr>
              <w:adjustRightInd w:val="0"/>
              <w:snapToGrid w:val="0"/>
              <w:spacing w:line="360" w:lineRule="auto"/>
              <w:ind w:right="-10" w:rightChars="0"/>
              <w:jc w:val="center"/>
              <w:rPr>
                <w:rFonts w:hint="eastAsia" w:asciiTheme="majorEastAsia" w:hAnsiTheme="majorEastAsia" w:eastAsiaTheme="majorEastAsia"/>
                <w:color w:val="auto"/>
                <w:sz w:val="24"/>
                <w:highlight w:val="none"/>
              </w:rPr>
            </w:pPr>
            <w:r>
              <w:rPr>
                <w:rFonts w:hint="eastAsia" w:cs="Times New Roman"/>
                <w:color w:val="auto"/>
                <w:kern w:val="2"/>
                <w:sz w:val="24"/>
                <w:szCs w:val="22"/>
                <w:highlight w:val="none"/>
                <w:lang w:val="en-US" w:eastAsia="zh-CN"/>
              </w:rPr>
              <w:t>核验电子标书</w:t>
            </w:r>
          </w:p>
        </w:tc>
      </w:tr>
      <w:tr w14:paraId="3A25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Align w:val="center"/>
          </w:tcPr>
          <w:p w14:paraId="764454A5">
            <w:pPr>
              <w:adjustRightInd w:val="0"/>
              <w:snapToGrid w:val="0"/>
              <w:spacing w:line="360" w:lineRule="auto"/>
              <w:ind w:right="-10"/>
              <w:jc w:val="center"/>
              <w:rPr>
                <w:rFonts w:hint="default" w:cs="Times New Roman" w:asciiTheme="minorEastAsia" w:hAnsiTheme="minorEastAsia" w:eastAsiaTheme="minorEastAsia"/>
                <w:color w:val="auto"/>
                <w:kern w:val="2"/>
                <w:sz w:val="24"/>
                <w:szCs w:val="22"/>
                <w:highlight w:val="none"/>
                <w:lang w:val="en-US" w:eastAsia="zh-CN"/>
              </w:rPr>
            </w:pPr>
            <w:r>
              <w:rPr>
                <w:rFonts w:hint="eastAsia" w:cs="Times New Roman" w:asciiTheme="minorEastAsia" w:hAnsiTheme="minorEastAsia" w:eastAsiaTheme="minorEastAsia"/>
                <w:color w:val="auto"/>
                <w:kern w:val="2"/>
                <w:sz w:val="24"/>
                <w:szCs w:val="22"/>
                <w:highlight w:val="none"/>
                <w:lang w:val="en-US" w:eastAsia="zh-CN"/>
              </w:rPr>
              <w:t>10</w:t>
            </w:r>
          </w:p>
        </w:tc>
        <w:tc>
          <w:tcPr>
            <w:tcW w:w="901" w:type="pct"/>
            <w:vAlign w:val="center"/>
          </w:tcPr>
          <w:p w14:paraId="09ED913D">
            <w:pPr>
              <w:widowControl/>
              <w:spacing w:line="360" w:lineRule="auto"/>
              <w:jc w:val="center"/>
              <w:rPr>
                <w:rFonts w:ascii="Calibri" w:hAnsi="Calibri" w:cs="Times New Roman"/>
                <w:color w:val="auto"/>
                <w:kern w:val="2"/>
                <w:sz w:val="24"/>
                <w:szCs w:val="24"/>
                <w:highlight w:val="none"/>
              </w:rPr>
            </w:pPr>
            <w:r>
              <w:rPr>
                <w:rFonts w:hint="eastAsia" w:ascii="宋体" w:hAnsi="宋体"/>
                <w:color w:val="auto"/>
                <w:kern w:val="0"/>
                <w:sz w:val="24"/>
                <w:highlight w:val="none"/>
              </w:rPr>
              <w:t>工程量清单报价书</w:t>
            </w:r>
          </w:p>
        </w:tc>
        <w:tc>
          <w:tcPr>
            <w:tcW w:w="2191" w:type="pct"/>
            <w:vAlign w:val="center"/>
          </w:tcPr>
          <w:p w14:paraId="212F4E87">
            <w:pPr>
              <w:widowControl/>
              <w:spacing w:line="360" w:lineRule="auto"/>
              <w:jc w:val="both"/>
              <w:rPr>
                <w:rFonts w:ascii="Calibri" w:hAnsi="Calibri" w:cs="Times New Roman"/>
                <w:color w:val="auto"/>
                <w:kern w:val="2"/>
                <w:sz w:val="24"/>
                <w:szCs w:val="22"/>
                <w:highlight w:val="none"/>
              </w:rPr>
            </w:pPr>
            <w:r>
              <w:rPr>
                <w:rFonts w:hint="eastAsia" w:ascii="宋体" w:hAnsi="宋体"/>
                <w:color w:val="auto"/>
                <w:kern w:val="0"/>
                <w:sz w:val="24"/>
                <w:highlight w:val="none"/>
              </w:rPr>
              <w:t>按要求逐页签章</w:t>
            </w:r>
          </w:p>
        </w:tc>
        <w:tc>
          <w:tcPr>
            <w:tcW w:w="1417" w:type="pct"/>
            <w:vAlign w:val="center"/>
          </w:tcPr>
          <w:p w14:paraId="0176A0C6">
            <w:pPr>
              <w:adjustRightInd w:val="0"/>
              <w:snapToGrid w:val="0"/>
              <w:spacing w:line="360" w:lineRule="auto"/>
              <w:ind w:right="-10"/>
              <w:jc w:val="center"/>
              <w:rPr>
                <w:rFonts w:hint="eastAsia" w:cs="Times New Roman"/>
                <w:color w:val="auto"/>
                <w:kern w:val="2"/>
                <w:sz w:val="24"/>
                <w:szCs w:val="22"/>
                <w:highlight w:val="none"/>
              </w:rPr>
            </w:pPr>
            <w:r>
              <w:rPr>
                <w:rFonts w:hint="eastAsia" w:cs="Times New Roman"/>
                <w:color w:val="auto"/>
                <w:kern w:val="2"/>
                <w:sz w:val="24"/>
                <w:szCs w:val="22"/>
                <w:highlight w:val="none"/>
                <w:lang w:val="en-US" w:eastAsia="zh-CN"/>
              </w:rPr>
              <w:t>核验电子标书</w:t>
            </w:r>
          </w:p>
        </w:tc>
      </w:tr>
      <w:tr w14:paraId="2514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00" w:type="pct"/>
            <w:gridSpan w:val="4"/>
            <w:tcBorders>
              <w:bottom w:val="single" w:color="auto" w:sz="4" w:space="0"/>
            </w:tcBorders>
            <w:vAlign w:val="center"/>
          </w:tcPr>
          <w:p w14:paraId="637A0E37">
            <w:pPr>
              <w:adjustRightInd w:val="0"/>
              <w:snapToGrid w:val="0"/>
              <w:ind w:right="-10"/>
              <w:jc w:val="left"/>
              <w:rPr>
                <w:rFonts w:hint="eastAsia" w:ascii="Calibri" w:hAnsi="Calibri" w:cs="Times New Roman"/>
                <w:color w:val="auto"/>
                <w:kern w:val="2"/>
                <w:sz w:val="24"/>
                <w:szCs w:val="22"/>
                <w:highlight w:val="none"/>
              </w:rPr>
            </w:pPr>
            <w:r>
              <w:rPr>
                <w:rFonts w:hint="eastAsia" w:ascii="Calibri" w:hAnsi="Calibri" w:cs="Times New Roman"/>
                <w:color w:val="auto"/>
                <w:kern w:val="2"/>
                <w:sz w:val="24"/>
                <w:szCs w:val="22"/>
                <w:highlight w:val="none"/>
              </w:rPr>
              <w:t>评审指标通过标准：供应商必须通过上述全部指标。</w:t>
            </w:r>
          </w:p>
        </w:tc>
      </w:tr>
    </w:tbl>
    <w:p w14:paraId="4B8D5281">
      <w:pPr>
        <w:spacing w:line="360" w:lineRule="exact"/>
        <w:rPr>
          <w:rFonts w:hint="eastAsia" w:ascii="宋体" w:hAnsi="宋体"/>
          <w:b/>
          <w:color w:val="auto"/>
          <w:szCs w:val="21"/>
          <w:lang w:val="en-US" w:eastAsia="zh-CN"/>
        </w:rPr>
      </w:pPr>
      <w:r>
        <w:rPr>
          <w:rFonts w:hint="eastAsia" w:ascii="宋体" w:hAnsi="宋体"/>
          <w:b/>
          <w:color w:val="auto"/>
          <w:szCs w:val="21"/>
          <w:lang w:val="en-US" w:eastAsia="zh-CN"/>
        </w:rPr>
        <w:t>注：供应商拟委任</w:t>
      </w:r>
      <w:r>
        <w:rPr>
          <w:rFonts w:hint="eastAsia"/>
          <w:b/>
          <w:color w:val="auto"/>
          <w:szCs w:val="21"/>
          <w:lang w:val="en-US" w:eastAsia="zh-CN"/>
        </w:rPr>
        <w:t>项目负责人</w:t>
      </w:r>
      <w:r>
        <w:rPr>
          <w:rFonts w:hint="eastAsia" w:ascii="宋体" w:hAnsi="宋体"/>
          <w:b/>
          <w:color w:val="auto"/>
          <w:szCs w:val="21"/>
          <w:lang w:val="en-US" w:eastAsia="zh-CN"/>
        </w:rPr>
        <w:t>为注册建造师（含一级、二级）的，须提供有效的纸质版电子证书。一级建造师打印电子证书后，应在个人签名处手写本人签名，未手写签名或与签名图像笔迹不一致的，该电子证书无效。</w:t>
      </w:r>
    </w:p>
    <w:p w14:paraId="356890A9">
      <w:pPr>
        <w:spacing w:line="360" w:lineRule="exact"/>
        <w:ind w:firstLine="402" w:firstLineChars="200"/>
        <w:rPr>
          <w:rFonts w:hint="default" w:ascii="宋体" w:hAnsi="宋体" w:eastAsia="宋体"/>
          <w:b/>
          <w:color w:val="auto"/>
          <w:szCs w:val="21"/>
          <w:lang w:val="en-US" w:eastAsia="zh-CN"/>
        </w:rPr>
      </w:pPr>
      <w:r>
        <w:rPr>
          <w:rFonts w:hint="eastAsia" w:ascii="宋体" w:hAnsi="宋体"/>
          <w:b/>
          <w:color w:val="auto"/>
          <w:szCs w:val="21"/>
          <w:lang w:val="en-US" w:eastAsia="zh-CN"/>
        </w:rPr>
        <w:t>供应商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p>
    <w:p w14:paraId="635BBBD2">
      <w:pPr>
        <w:spacing w:line="360" w:lineRule="auto"/>
        <w:jc w:val="center"/>
        <w:rPr>
          <w:rFonts w:hint="eastAsia" w:ascii="宋体" w:hAnsi="宋体"/>
          <w:color w:val="auto"/>
          <w:sz w:val="28"/>
          <w:szCs w:val="24"/>
        </w:rPr>
      </w:pPr>
      <w:r>
        <w:rPr>
          <w:rFonts w:hint="eastAsia"/>
          <w:color w:val="auto"/>
          <w:sz w:val="28"/>
          <w:szCs w:val="28"/>
        </w:rPr>
        <w:t>示例：安徽省</w:t>
      </w:r>
      <w:r>
        <w:rPr>
          <w:rFonts w:hint="eastAsia" w:ascii="宋体" w:hAnsi="宋体"/>
          <w:b/>
          <w:bCs/>
          <w:color w:val="auto"/>
          <w:sz w:val="28"/>
          <w:szCs w:val="24"/>
        </w:rPr>
        <w:t>二级建造师电子证书签名示意</w:t>
      </w:r>
    </w:p>
    <w:p w14:paraId="73CF4406">
      <w:pPr>
        <w:rPr>
          <w:rFonts w:hint="eastAsia" w:ascii="宋体" w:hAnsi="宋体" w:eastAsia="宋体" w:cs="Times New Roman"/>
          <w:b/>
          <w:color w:val="auto"/>
          <w:szCs w:val="21"/>
          <w:lang w:val="en-US" w:eastAsia="zh-CN"/>
        </w:rPr>
      </w:pPr>
      <w:r>
        <w:rPr>
          <w:rFonts w:ascii="Calibri" w:hAnsi="Calibri"/>
          <w:color w:val="auto"/>
          <w:szCs w:val="24"/>
        </w:rPr>
        <w:drawing>
          <wp:inline distT="0" distB="0" distL="114300" distR="114300">
            <wp:extent cx="5934075" cy="2476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934075" cy="2476500"/>
                    </a:xfrm>
                    <a:prstGeom prst="rect">
                      <a:avLst/>
                    </a:prstGeom>
                    <a:noFill/>
                    <a:ln>
                      <a:noFill/>
                    </a:ln>
                  </pic:spPr>
                </pic:pic>
              </a:graphicData>
            </a:graphic>
          </wp:inline>
        </w:drawing>
      </w:r>
      <w:r>
        <w:rPr>
          <w:rFonts w:hint="eastAsia" w:ascii="宋体" w:hAnsi="宋体" w:eastAsia="宋体" w:cs="Times New Roman"/>
          <w:b/>
          <w:color w:val="auto"/>
          <w:szCs w:val="21"/>
          <w:lang w:val="en-US" w:eastAsia="zh-CN"/>
        </w:rPr>
        <w:t>注：（1）“②个人签名”未手写个人签名或未提供知情承诺的，该证书无效。</w:t>
      </w:r>
    </w:p>
    <w:p w14:paraId="3C093F1F">
      <w:pPr>
        <w:ind w:firstLine="402" w:firstLineChars="200"/>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（2）“②个人签名”或知情承诺签字与“①签名图像”笔迹不一致，该证书无效。</w:t>
      </w:r>
    </w:p>
    <w:p w14:paraId="0A8EA2A8">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bookmarkStart w:id="43" w:name="_Toc32646"/>
      <w:r>
        <w:rPr>
          <w:rFonts w:hint="eastAsia" w:asciiTheme="minorEastAsia" w:hAnsiTheme="minorEastAsia" w:eastAsiaTheme="minorEastAsia"/>
          <w:b/>
          <w:bCs/>
          <w:color w:val="auto"/>
          <w:sz w:val="24"/>
          <w:highlight w:val="none"/>
        </w:rPr>
        <w:t>三、无效投标条款</w:t>
      </w:r>
    </w:p>
    <w:p w14:paraId="257DC7F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有下列情形之一的,其</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拒收:</w:t>
      </w:r>
    </w:p>
    <w:p w14:paraId="6C8A120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(1) 未在</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截止时间前通过网上招标投标系统递交有效电子</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的，开标系统不予接收，投标将被拒绝。</w:t>
      </w:r>
    </w:p>
    <w:p w14:paraId="7D491FF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（2）供应商接到远程解密指令后，须在规定时间内解密。因供应商自身原因导致</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在规定时间内未能解密、解密失败或解密超时，</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无效；解密时间：从本项目</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截止时间开始计时，至完成</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解密时间，不得超过60分钟，否则</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将被拒绝</w:t>
      </w:r>
      <w:r>
        <w:rPr>
          <w:rFonts w:hint="eastAsia" w:asciiTheme="minorEastAsia" w:hAnsiTheme="minorEastAsia" w:eastAsiaTheme="minorEastAsia"/>
          <w:color w:val="auto"/>
          <w:sz w:val="24"/>
          <w:highlight w:val="none"/>
          <w:lang w:eastAsia="zh-CN"/>
        </w:rPr>
        <w:t>。</w:t>
      </w:r>
    </w:p>
    <w:p w14:paraId="3032F4D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3.2供应商有下列情形之一的,资格审查后其投标作无效投标处理：</w:t>
      </w:r>
    </w:p>
    <w:p w14:paraId="0038F74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(1)供应商为本项目提供招标代理服务的；</w:t>
      </w:r>
    </w:p>
    <w:p w14:paraId="6CB3A7B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7E6897F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)要求供应商以联合体形式参加采购活动，供应商非联合体或者联合协议中中小企业合同金额未达到应当达到的比例；</w:t>
      </w:r>
    </w:p>
    <w:p w14:paraId="450CD9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)要求获得采购合同的供应商向中小企业分包，供应商未提供分包意向协议或者分包意向协议中中小企业合同金额未达到应当达到的比例；</w:t>
      </w:r>
    </w:p>
    <w:p w14:paraId="6812895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 评标专家无法查看并检验电子</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中相关资料的；</w:t>
      </w:r>
    </w:p>
    <w:p w14:paraId="4550701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)联合体投标未提交联合体协议的；</w:t>
      </w:r>
    </w:p>
    <w:p w14:paraId="54DF0E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)责令停产停业；</w:t>
      </w:r>
    </w:p>
    <w:p w14:paraId="4F846AA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)暂停或者取消参与政府采购项目资格的；</w:t>
      </w:r>
    </w:p>
    <w:p w14:paraId="6829A1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)供应商单位负责人为同一人或者存在直接控股、管理关系的不同单位的；</w:t>
      </w:r>
    </w:p>
    <w:p w14:paraId="0449066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 供应商基本资格条件和特定资格条件中有一项及以上不符合要求的；</w:t>
      </w:r>
    </w:p>
    <w:p w14:paraId="16BDD15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 开标时查询</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制作机器码、文件创建标识码及造价软件加密锁号。若存在</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制作机器码或创建标识码或造价软件加密锁号信息与其他供应商雷同的，投标无效、进行信用信息披露，行政监管部门将依据线索依法查处；</w:t>
      </w:r>
    </w:p>
    <w:p w14:paraId="781516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 其它情形，经</w:t>
      </w:r>
      <w:r>
        <w:rPr>
          <w:rFonts w:hint="eastAsia" w:asciiTheme="minorEastAsia" w:hAnsiTheme="minorEastAsia" w:eastAsiaTheme="minorEastAsia"/>
          <w:color w:val="auto"/>
          <w:sz w:val="24"/>
          <w:highlight w:val="none"/>
          <w:lang w:eastAsia="zh-CN"/>
        </w:rPr>
        <w:t>谈判小组</w:t>
      </w:r>
      <w:r>
        <w:rPr>
          <w:rFonts w:hint="eastAsia" w:asciiTheme="minorEastAsia" w:hAnsiTheme="minorEastAsia" w:eastAsiaTheme="minorEastAsia"/>
          <w:color w:val="auto"/>
          <w:sz w:val="24"/>
          <w:highlight w:val="none"/>
        </w:rPr>
        <w:t>提出按无效投标处理，并经公共资源交易监督部门核准的；</w:t>
      </w:r>
    </w:p>
    <w:p w14:paraId="7471FD1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 供应商投标MAC地址或供应商联系人或联系电话或投标IP地址相同的，由评标委员会否决其投标，并报告监管部门作不良行为处理和进一步调查；</w:t>
      </w:r>
    </w:p>
    <w:p w14:paraId="423C6A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 供应商单方面出现其他供应商材料的；</w:t>
      </w:r>
    </w:p>
    <w:p w14:paraId="031DC62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规定的其它无效投标情形。</w:t>
      </w:r>
    </w:p>
    <w:p w14:paraId="47502A1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3.3 </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有下列情形之一的,符合性审查后其投标按无效投标处理：</w:t>
      </w:r>
    </w:p>
    <w:p w14:paraId="3F58ED2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签字、盖章不全，经评标委员会一致认定对开评标内容有实质性影响并经公共资源交易监督部门核准的；</w:t>
      </w:r>
    </w:p>
    <w:p w14:paraId="36A16CD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(2)未按规定的格式填写导致实质性内容不全以及实质性上不响应，或者关键字迹模糊、无法辨认; 经公共资源交易监督部门核准的；</w:t>
      </w:r>
    </w:p>
    <w:p w14:paraId="5ECC63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(3)同一供应商提交两个以上不同的</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或者投标报价，但</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规定提交备选方案的除外；</w:t>
      </w:r>
    </w:p>
    <w:p w14:paraId="71BEF27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没有对</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的实质性要求和条件作出响应;</w:t>
      </w:r>
    </w:p>
    <w:p w14:paraId="6E2EAA7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报价超出规定的</w:t>
      </w:r>
      <w:r>
        <w:rPr>
          <w:rFonts w:hint="eastAsia" w:asciiTheme="minorEastAsia" w:hAnsiTheme="minorEastAsia" w:eastAsiaTheme="minorEastAsia"/>
          <w:color w:val="auto"/>
          <w:sz w:val="24"/>
          <w:highlight w:val="none"/>
          <w:lang w:val="en-US" w:eastAsia="zh-CN"/>
        </w:rPr>
        <w:t>最高</w:t>
      </w:r>
      <w:r>
        <w:rPr>
          <w:rFonts w:hint="eastAsia" w:asciiTheme="minorEastAsia" w:hAnsiTheme="minorEastAsia" w:eastAsiaTheme="minorEastAsia"/>
          <w:color w:val="auto"/>
          <w:sz w:val="24"/>
          <w:highlight w:val="none"/>
        </w:rPr>
        <w:t>限价或公布的采购预算；</w:t>
      </w:r>
    </w:p>
    <w:p w14:paraId="605754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(6)不按评标委员会要求澄清、说明或补正的，或者评标委员会根据</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的规定对</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的计算错误进行修正后，供应商不接受修正的投标报价的。</w:t>
      </w:r>
    </w:p>
    <w:p w14:paraId="170E09D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w:t>
      </w:r>
      <w:r>
        <w:rPr>
          <w:rFonts w:hint="eastAsia" w:asciiTheme="minorEastAsia" w:hAnsiTheme="minorEastAsia" w:eastAsiaTheme="minorEastAsia"/>
          <w:color w:val="auto"/>
          <w:sz w:val="24"/>
          <w:highlight w:val="none"/>
          <w:lang w:eastAsia="zh-CN"/>
        </w:rPr>
        <w:t>谈判小组</w:t>
      </w:r>
      <w:r>
        <w:rPr>
          <w:rFonts w:hint="eastAsia" w:asciiTheme="minorEastAsia" w:hAnsiTheme="minorEastAsia" w:eastAsiaTheme="minorEastAsia"/>
          <w:color w:val="auto"/>
          <w:sz w:val="24"/>
          <w:highlight w:val="none"/>
        </w:rPr>
        <w:t>提出按无效投标处理，并经公共资源交易监督部门核准的；</w:t>
      </w:r>
    </w:p>
    <w:p w14:paraId="5FFCBB4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含有采购人不能接受的附加条件的;</w:t>
      </w:r>
    </w:p>
    <w:p w14:paraId="470A4C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规定的其它无效投标情形。</w:t>
      </w:r>
    </w:p>
    <w:p w14:paraId="4AB2B63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3.4 </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有下列情形之一的, 详细评审后其投标按无效投标处理：</w:t>
      </w:r>
    </w:p>
    <w:p w14:paraId="2072D67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(1)投标产品不符合必须强制执行的国家标准的；</w:t>
      </w:r>
    </w:p>
    <w:p w14:paraId="23339E8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(2)供应商有串通投标、弄虚作假、行贿等违法行为；</w:t>
      </w:r>
    </w:p>
    <w:p w14:paraId="2E9FA66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含有违反国家法律、法规的内容，或附有采购人不能接受的条件的；</w:t>
      </w:r>
    </w:p>
    <w:p w14:paraId="2BEA721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(4)拒不确认评标委员会评审修正的投标无效；</w:t>
      </w:r>
    </w:p>
    <w:p w14:paraId="1E86004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)其它情形，经</w:t>
      </w:r>
      <w:r>
        <w:rPr>
          <w:rFonts w:hint="eastAsia" w:asciiTheme="minorEastAsia" w:hAnsiTheme="minorEastAsia" w:eastAsiaTheme="minorEastAsia"/>
          <w:color w:val="auto"/>
          <w:sz w:val="24"/>
          <w:highlight w:val="none"/>
          <w:lang w:eastAsia="zh-CN"/>
        </w:rPr>
        <w:t>谈判小组</w:t>
      </w:r>
      <w:r>
        <w:rPr>
          <w:rFonts w:hint="eastAsia" w:asciiTheme="minorEastAsia" w:hAnsiTheme="minorEastAsia" w:eastAsiaTheme="minorEastAsia"/>
          <w:color w:val="auto"/>
          <w:sz w:val="24"/>
          <w:highlight w:val="none"/>
        </w:rPr>
        <w:t>提出按无效投标处理，并经公共资源交易监督部门核准的；</w:t>
      </w:r>
    </w:p>
    <w:p w14:paraId="46C7446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规定的其它无效投标情形。</w:t>
      </w:r>
    </w:p>
    <w:p w14:paraId="00D2E742">
      <w:pPr>
        <w:rPr>
          <w:rFonts w:hint="eastAsia" w:asciiTheme="minorEastAsia" w:hAnsiTheme="minorEastAsia" w:eastAsiaTheme="minorEastAsia"/>
          <w:b/>
          <w:color w:val="auto"/>
          <w:sz w:val="28"/>
          <w:highlight w:val="none"/>
        </w:rPr>
      </w:pPr>
    </w:p>
    <w:p w14:paraId="33E9726A">
      <w:pPr>
        <w:pStyle w:val="2"/>
        <w:rPr>
          <w:rFonts w:hint="eastAsia" w:asciiTheme="minorEastAsia" w:hAnsiTheme="minorEastAsia" w:eastAsiaTheme="minorEastAsia"/>
          <w:b/>
          <w:color w:val="auto"/>
          <w:sz w:val="28"/>
          <w:highlight w:val="none"/>
        </w:rPr>
      </w:pPr>
    </w:p>
    <w:p w14:paraId="5FD690D1">
      <w:pPr>
        <w:rPr>
          <w:rFonts w:hint="eastAsia" w:asciiTheme="minorEastAsia" w:hAnsiTheme="minorEastAsia" w:eastAsiaTheme="minorEastAsia"/>
          <w:b/>
          <w:color w:val="auto"/>
          <w:sz w:val="28"/>
          <w:highlight w:val="none"/>
        </w:rPr>
      </w:pPr>
    </w:p>
    <w:p w14:paraId="54928CB3">
      <w:pPr>
        <w:pStyle w:val="2"/>
        <w:rPr>
          <w:rFonts w:hint="eastAsia" w:asciiTheme="minorEastAsia" w:hAnsiTheme="minorEastAsia" w:eastAsiaTheme="minorEastAsia"/>
          <w:b/>
          <w:color w:val="auto"/>
          <w:sz w:val="28"/>
          <w:highlight w:val="none"/>
        </w:rPr>
      </w:pPr>
    </w:p>
    <w:p w14:paraId="4560710C">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3"/>
    </w:p>
    <w:p w14:paraId="4EF26302">
      <w:pPr>
        <w:keepNext/>
        <w:keepLines/>
        <w:snapToGrid w:val="0"/>
        <w:spacing w:before="312" w:beforeLines="100" w:after="312" w:afterLines="100" w:line="360" w:lineRule="auto"/>
        <w:jc w:val="center"/>
        <w:outlineLvl w:val="1"/>
        <w:rPr>
          <w:rFonts w:cs="宋体"/>
          <w:b/>
          <w:bCs/>
          <w:color w:val="auto"/>
          <w:sz w:val="21"/>
          <w:szCs w:val="21"/>
          <w:highlight w:val="none"/>
        </w:rPr>
      </w:pPr>
      <w:bookmarkStart w:id="44" w:name="_Toc25807"/>
      <w:bookmarkStart w:id="45" w:name="_Toc28799376"/>
      <w:bookmarkStart w:id="46" w:name="_Toc130919120"/>
      <w:r>
        <w:rPr>
          <w:rFonts w:hint="eastAsia" w:cs="宋体"/>
          <w:b/>
          <w:bCs/>
          <w:color w:val="auto"/>
          <w:sz w:val="21"/>
          <w:szCs w:val="21"/>
          <w:highlight w:val="none"/>
        </w:rPr>
        <w:t>第一节  合同协议书</w:t>
      </w:r>
      <w:bookmarkEnd w:id="44"/>
      <w:bookmarkEnd w:id="45"/>
      <w:bookmarkEnd w:id="46"/>
    </w:p>
    <w:p w14:paraId="31B0E957">
      <w:pPr>
        <w:spacing w:line="360" w:lineRule="auto"/>
        <w:rPr>
          <w:rFonts w:cs="宋体"/>
          <w:b/>
          <w:color w:val="auto"/>
          <w:sz w:val="24"/>
          <w:szCs w:val="24"/>
          <w:highlight w:val="none"/>
          <w:u w:val="single"/>
        </w:rPr>
      </w:pPr>
      <w:r>
        <w:rPr>
          <w:rFonts w:hint="eastAsia" w:cs="宋体"/>
          <w:b/>
          <w:color w:val="auto"/>
          <w:sz w:val="24"/>
          <w:szCs w:val="24"/>
          <w:highlight w:val="none"/>
        </w:rPr>
        <w:t>发包人（全称）：</w:t>
      </w:r>
      <w:r>
        <w:rPr>
          <w:rFonts w:hint="eastAsia" w:cs="宋体"/>
          <w:b/>
          <w:color w:val="auto"/>
          <w:sz w:val="24"/>
          <w:szCs w:val="24"/>
          <w:highlight w:val="none"/>
          <w:u w:val="single"/>
          <w:lang w:val="en-US" w:eastAsia="zh-CN"/>
        </w:rPr>
        <w:t>明光市公路运输管理服务中心</w:t>
      </w:r>
      <w:r>
        <w:rPr>
          <w:rFonts w:hint="eastAsia" w:cs="宋体"/>
          <w:b/>
          <w:color w:val="auto"/>
          <w:sz w:val="24"/>
          <w:szCs w:val="24"/>
          <w:highlight w:val="none"/>
          <w:u w:val="single"/>
        </w:rPr>
        <w:t xml:space="preserve"> </w:t>
      </w:r>
    </w:p>
    <w:p w14:paraId="356CCC00">
      <w:pPr>
        <w:spacing w:line="360" w:lineRule="auto"/>
        <w:rPr>
          <w:rFonts w:ascii="Times New Roman" w:hAnsi="Times New Roman" w:eastAsia="仿宋_GB2312" w:cs="Times New Roman"/>
          <w:b/>
          <w:color w:val="auto"/>
          <w:kern w:val="2"/>
          <w:sz w:val="30"/>
          <w:szCs w:val="30"/>
          <w:highlight w:val="none"/>
          <w:u w:val="single"/>
        </w:rPr>
      </w:pPr>
      <w:r>
        <w:rPr>
          <w:rFonts w:hint="eastAsia" w:cs="宋体"/>
          <w:b/>
          <w:color w:val="auto"/>
          <w:sz w:val="24"/>
          <w:szCs w:val="24"/>
          <w:highlight w:val="none"/>
        </w:rPr>
        <w:t>承包人（全称）：</w:t>
      </w:r>
      <w:r>
        <w:rPr>
          <w:rFonts w:hint="eastAsia" w:cs="宋体"/>
          <w:b/>
          <w:color w:val="auto"/>
          <w:sz w:val="24"/>
          <w:szCs w:val="24"/>
          <w:highlight w:val="none"/>
          <w:u w:val="single"/>
        </w:rPr>
        <w:t xml:space="preserve">     </w:t>
      </w:r>
      <w:r>
        <w:rPr>
          <w:rFonts w:hint="eastAsia" w:cs="宋体"/>
          <w:b/>
          <w:color w:val="auto"/>
          <w:sz w:val="24"/>
          <w:szCs w:val="24"/>
          <w:highlight w:val="none"/>
          <w:u w:val="single"/>
          <w:lang w:val="en-US" w:eastAsia="zh-CN"/>
        </w:rPr>
        <w:t xml:space="preserve">       </w:t>
      </w:r>
      <w:r>
        <w:rPr>
          <w:rFonts w:hint="eastAsia" w:cs="宋体"/>
          <w:b/>
          <w:color w:val="auto"/>
          <w:sz w:val="24"/>
          <w:szCs w:val="24"/>
          <w:highlight w:val="none"/>
          <w:u w:val="single"/>
        </w:rPr>
        <w:t xml:space="preserve">   </w:t>
      </w:r>
    </w:p>
    <w:p w14:paraId="40647681">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根据《中华人民共和国民法典》《中华人民共和国建筑法》及有关法律规定，遵循平等、自愿、公平和诚实信用的原则，双方就</w:t>
      </w:r>
      <w:r>
        <w:rPr>
          <w:rFonts w:hint="eastAsia" w:cs="宋体"/>
          <w:color w:val="auto"/>
          <w:sz w:val="21"/>
          <w:szCs w:val="21"/>
          <w:highlight w:val="none"/>
          <w:u w:val="single"/>
        </w:rPr>
        <w:t xml:space="preserve"> </w:t>
      </w:r>
      <w:r>
        <w:rPr>
          <w:rFonts w:hint="eastAsia" w:cs="宋体"/>
          <w:color w:val="auto"/>
          <w:sz w:val="21"/>
          <w:szCs w:val="21"/>
          <w:highlight w:val="none"/>
          <w:u w:val="single"/>
          <w:lang w:eastAsia="zh-CN"/>
        </w:rPr>
        <w:t>2025年明光市农村公路日常养护工程（小修及日常养护）项目</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rPr>
        <w:t>工程施工及有关事项协商一致，共同达成如下协议：</w:t>
      </w:r>
    </w:p>
    <w:p w14:paraId="68A5C209">
      <w:pPr>
        <w:snapToGrid w:val="0"/>
        <w:spacing w:line="360" w:lineRule="auto"/>
        <w:ind w:firstLine="422" w:firstLineChars="200"/>
        <w:rPr>
          <w:rFonts w:cs="宋体"/>
          <w:color w:val="auto"/>
          <w:sz w:val="21"/>
          <w:szCs w:val="21"/>
          <w:highlight w:val="none"/>
        </w:rPr>
      </w:pPr>
      <w:r>
        <w:rPr>
          <w:rFonts w:hint="eastAsia" w:cs="宋体"/>
          <w:b/>
          <w:color w:val="auto"/>
          <w:sz w:val="21"/>
          <w:szCs w:val="21"/>
          <w:highlight w:val="none"/>
        </w:rPr>
        <w:t>一、工程概况</w:t>
      </w:r>
    </w:p>
    <w:p w14:paraId="0595A594">
      <w:pPr>
        <w:snapToGrid w:val="0"/>
        <w:spacing w:line="360" w:lineRule="auto"/>
        <w:ind w:firstLine="411" w:firstLineChars="196"/>
        <w:rPr>
          <w:rFonts w:cs="宋体"/>
          <w:color w:val="auto"/>
          <w:sz w:val="21"/>
          <w:szCs w:val="21"/>
          <w:highlight w:val="none"/>
          <w:u w:val="single"/>
        </w:rPr>
      </w:pPr>
      <w:r>
        <w:rPr>
          <w:rFonts w:hint="eastAsia" w:cs="宋体"/>
          <w:bCs/>
          <w:color w:val="auto"/>
          <w:sz w:val="21"/>
          <w:szCs w:val="21"/>
          <w:highlight w:val="none"/>
        </w:rPr>
        <w:t>1. 工程名称</w:t>
      </w:r>
      <w:r>
        <w:rPr>
          <w:rFonts w:hint="eastAsia" w:cs="宋体"/>
          <w:color w:val="auto"/>
          <w:sz w:val="21"/>
          <w:szCs w:val="21"/>
          <w:highlight w:val="none"/>
        </w:rPr>
        <w:t>：</w:t>
      </w:r>
      <w:r>
        <w:rPr>
          <w:rFonts w:hint="eastAsia" w:cs="宋体"/>
          <w:color w:val="auto"/>
          <w:sz w:val="21"/>
          <w:szCs w:val="21"/>
          <w:highlight w:val="none"/>
          <w:u w:val="single"/>
          <w:lang w:eastAsia="zh-CN"/>
        </w:rPr>
        <w:t>2025年明光市农村公路日常养护工程（小修及日常养护）项目</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0D433E4">
      <w:pPr>
        <w:snapToGrid w:val="0"/>
        <w:spacing w:line="360" w:lineRule="auto"/>
        <w:ind w:firstLine="411" w:firstLineChars="196"/>
        <w:rPr>
          <w:rFonts w:cs="宋体"/>
          <w:bCs/>
          <w:color w:val="auto"/>
          <w:sz w:val="21"/>
          <w:szCs w:val="21"/>
          <w:highlight w:val="none"/>
        </w:rPr>
      </w:pPr>
      <w:r>
        <w:rPr>
          <w:rFonts w:hint="eastAsia" w:cs="宋体"/>
          <w:bCs/>
          <w:color w:val="auto"/>
          <w:sz w:val="21"/>
          <w:szCs w:val="21"/>
          <w:highlight w:val="none"/>
        </w:rPr>
        <w:t>2. 工程地点</w:t>
      </w:r>
      <w:r>
        <w:rPr>
          <w:rFonts w:hint="eastAsia" w:cs="宋体"/>
          <w:bCs/>
          <w:color w:val="auto"/>
          <w:sz w:val="21"/>
          <w:szCs w:val="21"/>
          <w:highlight w:val="none"/>
          <w:lang w:eastAsia="zh-CN"/>
        </w:rPr>
        <w:t>：</w:t>
      </w:r>
      <w:r>
        <w:rPr>
          <w:rFonts w:hint="eastAsia" w:cs="宋体"/>
          <w:color w:val="auto"/>
          <w:sz w:val="21"/>
          <w:szCs w:val="21"/>
          <w:highlight w:val="none"/>
          <w:u w:val="single"/>
          <w:lang w:val="en-US" w:eastAsia="zh-CN"/>
        </w:rPr>
        <w:t>明光市交通运输综合服务中心大楼</w:t>
      </w:r>
      <w:r>
        <w:rPr>
          <w:rFonts w:hint="eastAsia" w:cs="宋体"/>
          <w:color w:val="auto"/>
          <w:sz w:val="21"/>
          <w:szCs w:val="21"/>
          <w:highlight w:val="none"/>
        </w:rPr>
        <w:t>。</w:t>
      </w:r>
    </w:p>
    <w:p w14:paraId="745B652C">
      <w:pPr>
        <w:snapToGrid w:val="0"/>
        <w:spacing w:line="360" w:lineRule="auto"/>
        <w:ind w:firstLine="411" w:firstLineChars="196"/>
        <w:rPr>
          <w:rFonts w:cs="宋体"/>
          <w:bCs/>
          <w:color w:val="auto"/>
          <w:sz w:val="21"/>
          <w:szCs w:val="21"/>
          <w:highlight w:val="none"/>
        </w:rPr>
      </w:pPr>
      <w:r>
        <w:rPr>
          <w:rFonts w:hint="eastAsia" w:cs="宋体"/>
          <w:bCs/>
          <w:color w:val="auto"/>
          <w:sz w:val="21"/>
          <w:szCs w:val="21"/>
          <w:highlight w:val="none"/>
        </w:rPr>
        <w:t>3. 工程立项批准文号：</w:t>
      </w:r>
      <w:r>
        <w:rPr>
          <w:rFonts w:hint="eastAsia" w:cs="宋体"/>
          <w:color w:val="auto"/>
          <w:sz w:val="21"/>
          <w:szCs w:val="21"/>
          <w:highlight w:val="none"/>
          <w:u w:val="single"/>
        </w:rPr>
        <w:t xml:space="preserve">       </w:t>
      </w:r>
      <w:r>
        <w:rPr>
          <w:rFonts w:hint="eastAsia" w:cs="宋体"/>
          <w:bCs/>
          <w:color w:val="auto"/>
          <w:sz w:val="21"/>
          <w:szCs w:val="21"/>
          <w:highlight w:val="none"/>
        </w:rPr>
        <w:t>。</w:t>
      </w:r>
    </w:p>
    <w:p w14:paraId="1AF025DD">
      <w:pPr>
        <w:snapToGrid w:val="0"/>
        <w:spacing w:line="360" w:lineRule="auto"/>
        <w:ind w:firstLine="411" w:firstLineChars="196"/>
        <w:rPr>
          <w:rFonts w:cs="宋体"/>
          <w:bCs/>
          <w:color w:val="auto"/>
          <w:sz w:val="21"/>
          <w:szCs w:val="21"/>
          <w:highlight w:val="none"/>
        </w:rPr>
      </w:pPr>
      <w:r>
        <w:rPr>
          <w:rFonts w:hint="eastAsia" w:cs="宋体"/>
          <w:bCs/>
          <w:color w:val="auto"/>
          <w:sz w:val="21"/>
          <w:szCs w:val="21"/>
          <w:highlight w:val="none"/>
        </w:rPr>
        <w:t>4. 资金来源：</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财政资金</w:t>
      </w:r>
      <w:r>
        <w:rPr>
          <w:rFonts w:hint="eastAsia" w:cs="宋体"/>
          <w:color w:val="auto"/>
          <w:sz w:val="21"/>
          <w:szCs w:val="21"/>
          <w:highlight w:val="none"/>
          <w:u w:val="single"/>
        </w:rPr>
        <w:t xml:space="preserve"> </w:t>
      </w:r>
      <w:r>
        <w:rPr>
          <w:rFonts w:hint="eastAsia" w:cs="宋体"/>
          <w:bCs/>
          <w:color w:val="auto"/>
          <w:sz w:val="21"/>
          <w:szCs w:val="21"/>
          <w:highlight w:val="none"/>
        </w:rPr>
        <w:t>。</w:t>
      </w:r>
    </w:p>
    <w:p w14:paraId="27D02302">
      <w:pPr>
        <w:snapToGrid w:val="0"/>
        <w:spacing w:line="360" w:lineRule="auto"/>
        <w:ind w:firstLine="411" w:firstLineChars="196"/>
        <w:rPr>
          <w:rFonts w:hint="eastAsia" w:eastAsia="宋体" w:cs="宋体"/>
          <w:bCs/>
          <w:color w:val="auto"/>
          <w:sz w:val="21"/>
          <w:szCs w:val="21"/>
          <w:highlight w:val="none"/>
          <w:lang w:eastAsia="zh-CN"/>
        </w:rPr>
      </w:pPr>
      <w:r>
        <w:rPr>
          <w:rFonts w:hint="eastAsia" w:cs="宋体"/>
          <w:bCs/>
          <w:color w:val="auto"/>
          <w:sz w:val="21"/>
          <w:szCs w:val="21"/>
          <w:highlight w:val="none"/>
        </w:rPr>
        <w:t>5. 工程内容：</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lang w:eastAsia="zh-CN"/>
        </w:rPr>
        <w:t>。</w:t>
      </w:r>
    </w:p>
    <w:p w14:paraId="2BB02D06">
      <w:pPr>
        <w:snapToGrid w:val="0"/>
        <w:spacing w:line="360" w:lineRule="auto"/>
        <w:ind w:firstLine="411" w:firstLineChars="196"/>
        <w:rPr>
          <w:rFonts w:cs="宋体"/>
          <w:bCs/>
          <w:color w:val="auto"/>
          <w:sz w:val="21"/>
          <w:szCs w:val="21"/>
          <w:highlight w:val="none"/>
        </w:rPr>
      </w:pPr>
      <w:r>
        <w:rPr>
          <w:rFonts w:hint="eastAsia" w:cs="宋体"/>
          <w:color w:val="auto"/>
          <w:sz w:val="21"/>
          <w:szCs w:val="21"/>
          <w:highlight w:val="none"/>
        </w:rPr>
        <w:t>群体工程应附《承包人承揽工程项目一览表》（附件1）。</w:t>
      </w:r>
    </w:p>
    <w:p w14:paraId="6A5CFA6E">
      <w:pPr>
        <w:snapToGrid w:val="0"/>
        <w:spacing w:line="360" w:lineRule="auto"/>
        <w:ind w:firstLine="405" w:firstLineChars="193"/>
        <w:rPr>
          <w:rFonts w:cs="宋体"/>
          <w:color w:val="auto"/>
          <w:sz w:val="21"/>
          <w:szCs w:val="21"/>
          <w:highlight w:val="none"/>
        </w:rPr>
      </w:pPr>
      <w:r>
        <w:rPr>
          <w:rFonts w:hint="eastAsia" w:cs="宋体"/>
          <w:bCs/>
          <w:color w:val="auto"/>
          <w:sz w:val="21"/>
          <w:szCs w:val="21"/>
          <w:highlight w:val="none"/>
        </w:rPr>
        <w:t>6. 工程承包范围：</w:t>
      </w:r>
      <w:r>
        <w:rPr>
          <w:rFonts w:hint="eastAsia" w:cs="宋体"/>
          <w:color w:val="auto"/>
          <w:sz w:val="21"/>
          <w:szCs w:val="21"/>
          <w:highlight w:val="none"/>
          <w:u w:val="single"/>
        </w:rPr>
        <w:t>详见工程量清单及图纸</w:t>
      </w:r>
      <w:r>
        <w:rPr>
          <w:rFonts w:hint="eastAsia" w:cs="宋体"/>
          <w:color w:val="auto"/>
          <w:sz w:val="21"/>
          <w:szCs w:val="21"/>
          <w:highlight w:val="none"/>
          <w:u w:val="single"/>
          <w:lang w:val="en-US" w:eastAsia="zh-CN"/>
        </w:rPr>
        <w:t>或图纸情况说明</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092A454">
      <w:pPr>
        <w:snapToGrid w:val="0"/>
        <w:spacing w:line="360" w:lineRule="auto"/>
        <w:ind w:firstLine="422" w:firstLineChars="200"/>
        <w:rPr>
          <w:rFonts w:cs="宋体"/>
          <w:b/>
          <w:color w:val="auto"/>
          <w:sz w:val="21"/>
          <w:szCs w:val="21"/>
          <w:highlight w:val="none"/>
        </w:rPr>
      </w:pPr>
      <w:bookmarkStart w:id="47" w:name="_Toc351203482"/>
      <w:r>
        <w:rPr>
          <w:rFonts w:hint="eastAsia" w:cs="宋体"/>
          <w:b/>
          <w:color w:val="auto"/>
          <w:sz w:val="21"/>
          <w:szCs w:val="21"/>
          <w:highlight w:val="none"/>
        </w:rPr>
        <w:t>二、合同工期</w:t>
      </w:r>
      <w:bookmarkEnd w:id="47"/>
    </w:p>
    <w:p w14:paraId="00F3D0A0">
      <w:pPr>
        <w:snapToGrid w:val="0"/>
        <w:spacing w:line="360" w:lineRule="auto"/>
        <w:ind w:firstLine="459"/>
        <w:rPr>
          <w:rFonts w:cs="宋体"/>
          <w:color w:val="auto"/>
          <w:sz w:val="21"/>
          <w:szCs w:val="21"/>
          <w:highlight w:val="none"/>
        </w:rPr>
      </w:pPr>
      <w:r>
        <w:rPr>
          <w:rFonts w:hint="eastAsia" w:cs="宋体"/>
          <w:color w:val="auto"/>
          <w:sz w:val="21"/>
          <w:szCs w:val="21"/>
          <w:highlight w:val="none"/>
        </w:rPr>
        <w:t>计划开工日期：</w:t>
      </w:r>
      <w:r>
        <w:rPr>
          <w:rFonts w:hint="eastAsia" w:cs="宋体"/>
          <w:color w:val="auto"/>
          <w:sz w:val="21"/>
          <w:szCs w:val="21"/>
          <w:highlight w:val="none"/>
          <w:u w:val="single"/>
        </w:rPr>
        <w:t></w:t>
      </w:r>
      <w:r>
        <w:rPr>
          <w:rFonts w:hint="eastAsia" w:cs="宋体"/>
          <w:color w:val="auto"/>
          <w:sz w:val="21"/>
          <w:szCs w:val="21"/>
          <w:highlight w:val="none"/>
        </w:rPr>
        <w:t>年</w:t>
      </w:r>
      <w:r>
        <w:rPr>
          <w:rFonts w:hint="eastAsia" w:cs="宋体"/>
          <w:color w:val="auto"/>
          <w:sz w:val="21"/>
          <w:szCs w:val="21"/>
          <w:highlight w:val="none"/>
          <w:u w:val="single"/>
        </w:rPr>
        <w:t></w:t>
      </w:r>
      <w:r>
        <w:rPr>
          <w:rFonts w:hint="eastAsia" w:cs="宋体"/>
          <w:color w:val="auto"/>
          <w:sz w:val="21"/>
          <w:szCs w:val="21"/>
          <w:highlight w:val="none"/>
        </w:rPr>
        <w:t>月</w:t>
      </w:r>
      <w:r>
        <w:rPr>
          <w:rFonts w:hint="eastAsia" w:cs="宋体"/>
          <w:color w:val="auto"/>
          <w:sz w:val="21"/>
          <w:szCs w:val="21"/>
          <w:highlight w:val="none"/>
          <w:u w:val="single"/>
        </w:rPr>
        <w:t></w:t>
      </w:r>
      <w:r>
        <w:rPr>
          <w:rFonts w:hint="eastAsia" w:cs="宋体"/>
          <w:color w:val="auto"/>
          <w:sz w:val="21"/>
          <w:szCs w:val="21"/>
          <w:highlight w:val="none"/>
        </w:rPr>
        <w:t>日。</w:t>
      </w:r>
    </w:p>
    <w:p w14:paraId="35E4A488">
      <w:pPr>
        <w:snapToGrid w:val="0"/>
        <w:spacing w:line="360" w:lineRule="auto"/>
        <w:ind w:firstLine="459"/>
        <w:rPr>
          <w:rFonts w:cs="宋体"/>
          <w:color w:val="auto"/>
          <w:sz w:val="21"/>
          <w:szCs w:val="21"/>
          <w:highlight w:val="none"/>
        </w:rPr>
      </w:pPr>
      <w:r>
        <w:rPr>
          <w:rFonts w:hint="eastAsia" w:cs="宋体"/>
          <w:color w:val="auto"/>
          <w:sz w:val="21"/>
          <w:szCs w:val="21"/>
          <w:highlight w:val="none"/>
        </w:rPr>
        <w:t>计划竣工日期：</w:t>
      </w:r>
      <w:r>
        <w:rPr>
          <w:rFonts w:hint="eastAsia" w:cs="宋体"/>
          <w:color w:val="auto"/>
          <w:sz w:val="21"/>
          <w:szCs w:val="21"/>
          <w:highlight w:val="none"/>
          <w:u w:val="single"/>
        </w:rPr>
        <w:t></w:t>
      </w:r>
      <w:r>
        <w:rPr>
          <w:rFonts w:hint="eastAsia" w:cs="宋体"/>
          <w:color w:val="auto"/>
          <w:sz w:val="21"/>
          <w:szCs w:val="21"/>
          <w:highlight w:val="none"/>
        </w:rPr>
        <w:t>年</w:t>
      </w:r>
      <w:r>
        <w:rPr>
          <w:rFonts w:hint="eastAsia" w:cs="宋体"/>
          <w:color w:val="auto"/>
          <w:sz w:val="21"/>
          <w:szCs w:val="21"/>
          <w:highlight w:val="none"/>
          <w:u w:val="single"/>
        </w:rPr>
        <w:t></w:t>
      </w:r>
      <w:r>
        <w:rPr>
          <w:rFonts w:hint="eastAsia" w:cs="宋体"/>
          <w:color w:val="auto"/>
          <w:sz w:val="21"/>
          <w:szCs w:val="21"/>
          <w:highlight w:val="none"/>
        </w:rPr>
        <w:t>月</w:t>
      </w:r>
      <w:r>
        <w:rPr>
          <w:rFonts w:hint="eastAsia" w:cs="宋体"/>
          <w:color w:val="auto"/>
          <w:sz w:val="21"/>
          <w:szCs w:val="21"/>
          <w:highlight w:val="none"/>
          <w:u w:val="single"/>
        </w:rPr>
        <w:t></w:t>
      </w:r>
      <w:r>
        <w:rPr>
          <w:rFonts w:hint="eastAsia" w:cs="宋体"/>
          <w:color w:val="auto"/>
          <w:sz w:val="21"/>
          <w:szCs w:val="21"/>
          <w:highlight w:val="none"/>
        </w:rPr>
        <w:t>日。</w:t>
      </w:r>
    </w:p>
    <w:p w14:paraId="6037E13E">
      <w:pPr>
        <w:snapToGrid w:val="0"/>
        <w:spacing w:line="360" w:lineRule="auto"/>
        <w:ind w:firstLine="459"/>
        <w:rPr>
          <w:rFonts w:cs="宋体"/>
          <w:color w:val="auto"/>
          <w:sz w:val="21"/>
          <w:szCs w:val="21"/>
          <w:highlight w:val="none"/>
        </w:rPr>
      </w:pPr>
      <w:r>
        <w:rPr>
          <w:rFonts w:hint="eastAsia" w:cs="宋体"/>
          <w:color w:val="auto"/>
          <w:sz w:val="21"/>
          <w:szCs w:val="21"/>
          <w:highlight w:val="none"/>
        </w:rPr>
        <w:t>工期总日历天数：</w:t>
      </w:r>
      <w:r>
        <w:rPr>
          <w:rFonts w:hint="eastAsia" w:cs="宋体"/>
          <w:color w:val="auto"/>
          <w:sz w:val="21"/>
          <w:szCs w:val="21"/>
          <w:highlight w:val="none"/>
          <w:u w:val="single"/>
          <w:lang w:val="en-US" w:eastAsia="zh-CN"/>
        </w:rPr>
        <w:t xml:space="preserve">     个日历</w:t>
      </w:r>
      <w:r>
        <w:rPr>
          <w:rFonts w:hint="eastAsia" w:cs="宋体"/>
          <w:color w:val="auto"/>
          <w:sz w:val="21"/>
          <w:szCs w:val="21"/>
          <w:highlight w:val="none"/>
        </w:rPr>
        <w:t>天。工期总日历天数与根据前述计划开竣工日期计算的工期天数不一致的，以工期总日历天数为准。</w:t>
      </w:r>
    </w:p>
    <w:p w14:paraId="7AAE0BBB">
      <w:pPr>
        <w:snapToGrid w:val="0"/>
        <w:spacing w:line="360" w:lineRule="auto"/>
        <w:ind w:firstLine="422" w:firstLineChars="200"/>
        <w:rPr>
          <w:rFonts w:cs="宋体"/>
          <w:b/>
          <w:color w:val="auto"/>
          <w:sz w:val="21"/>
          <w:szCs w:val="21"/>
          <w:highlight w:val="none"/>
        </w:rPr>
      </w:pPr>
      <w:bookmarkStart w:id="48" w:name="_Toc351203483"/>
      <w:r>
        <w:rPr>
          <w:rFonts w:hint="eastAsia" w:cs="宋体"/>
          <w:b/>
          <w:color w:val="auto"/>
          <w:sz w:val="21"/>
          <w:szCs w:val="21"/>
          <w:highlight w:val="none"/>
        </w:rPr>
        <w:t>三、质量标准</w:t>
      </w:r>
      <w:bookmarkEnd w:id="48"/>
    </w:p>
    <w:p w14:paraId="6A63B8A0">
      <w:pPr>
        <w:snapToGrid w:val="0"/>
        <w:spacing w:line="360" w:lineRule="auto"/>
        <w:ind w:firstLine="459"/>
        <w:rPr>
          <w:rFonts w:cs="宋体"/>
          <w:color w:val="auto"/>
          <w:sz w:val="21"/>
          <w:szCs w:val="21"/>
          <w:highlight w:val="none"/>
        </w:rPr>
      </w:pPr>
      <w:r>
        <w:rPr>
          <w:rFonts w:hint="eastAsia" w:cs="宋体"/>
          <w:color w:val="auto"/>
          <w:sz w:val="21"/>
          <w:szCs w:val="21"/>
          <w:highlight w:val="none"/>
        </w:rPr>
        <w:t>工程质量符合</w:t>
      </w:r>
      <w:r>
        <w:rPr>
          <w:rFonts w:hint="eastAsia" w:cs="宋体"/>
          <w:color w:val="auto"/>
          <w:sz w:val="21"/>
          <w:szCs w:val="21"/>
          <w:highlight w:val="none"/>
          <w:u w:val="single"/>
        </w:rPr>
        <w:t xml:space="preserve"> 合格 </w:t>
      </w:r>
      <w:r>
        <w:rPr>
          <w:rFonts w:hint="eastAsia" w:cs="宋体"/>
          <w:color w:val="auto"/>
          <w:sz w:val="21"/>
          <w:szCs w:val="21"/>
          <w:highlight w:val="none"/>
        </w:rPr>
        <w:t>标准。</w:t>
      </w:r>
    </w:p>
    <w:p w14:paraId="363D53C5">
      <w:pPr>
        <w:snapToGrid w:val="0"/>
        <w:spacing w:line="360" w:lineRule="auto"/>
        <w:ind w:firstLine="422" w:firstLineChars="200"/>
        <w:rPr>
          <w:rFonts w:cs="宋体"/>
          <w:b/>
          <w:color w:val="auto"/>
          <w:sz w:val="21"/>
          <w:szCs w:val="21"/>
          <w:highlight w:val="none"/>
        </w:rPr>
      </w:pPr>
      <w:bookmarkStart w:id="49" w:name="_Toc351203484"/>
      <w:r>
        <w:rPr>
          <w:rFonts w:hint="eastAsia" w:cs="宋体"/>
          <w:b/>
          <w:color w:val="auto"/>
          <w:sz w:val="21"/>
          <w:szCs w:val="21"/>
          <w:highlight w:val="none"/>
        </w:rPr>
        <w:t>四、签约合同价与合同价格形式</w:t>
      </w:r>
      <w:bookmarkEnd w:id="49"/>
    </w:p>
    <w:p w14:paraId="07FAF80F">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 签约合同价为：</w:t>
      </w:r>
    </w:p>
    <w:p w14:paraId="61AB3E80">
      <w:pPr>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1B48B6EC">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其中：</w:t>
      </w:r>
    </w:p>
    <w:p w14:paraId="67924579">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（1）安全文明施工费：</w:t>
      </w:r>
    </w:p>
    <w:p w14:paraId="42E82227">
      <w:pPr>
        <w:snapToGrid w:val="0"/>
        <w:spacing w:line="360" w:lineRule="auto"/>
        <w:ind w:firstLine="945" w:firstLineChars="4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039E7E58">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（2）材料和工程设备暂估价金额：</w:t>
      </w:r>
    </w:p>
    <w:p w14:paraId="6A3D91BC">
      <w:pPr>
        <w:snapToGrid w:val="0"/>
        <w:spacing w:line="360" w:lineRule="auto"/>
        <w:ind w:firstLine="945" w:firstLineChars="4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2FE1DE2E">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（3）专业工程暂估价金额：</w:t>
      </w:r>
    </w:p>
    <w:p w14:paraId="5529AF8E">
      <w:pPr>
        <w:snapToGrid w:val="0"/>
        <w:spacing w:line="360" w:lineRule="auto"/>
        <w:ind w:firstLine="945" w:firstLineChars="4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498EC15E">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（4）暂列金额：</w:t>
      </w:r>
    </w:p>
    <w:p w14:paraId="7DC80B0F">
      <w:pPr>
        <w:snapToGrid w:val="0"/>
        <w:spacing w:line="360" w:lineRule="auto"/>
        <w:ind w:firstLine="945" w:firstLineChars="4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361AB4C1">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 合同价格形式：</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ED31026">
      <w:pPr>
        <w:snapToGrid w:val="0"/>
        <w:spacing w:line="360" w:lineRule="auto"/>
        <w:ind w:firstLine="422" w:firstLineChars="200"/>
        <w:rPr>
          <w:rFonts w:hint="eastAsia" w:eastAsia="宋体" w:cs="宋体"/>
          <w:b/>
          <w:color w:val="auto"/>
          <w:sz w:val="21"/>
          <w:szCs w:val="21"/>
          <w:highlight w:val="none"/>
          <w:lang w:eastAsia="zh-CN"/>
        </w:rPr>
      </w:pPr>
      <w:bookmarkStart w:id="50" w:name="_Toc351203485"/>
      <w:r>
        <w:rPr>
          <w:rFonts w:hint="eastAsia" w:cs="宋体"/>
          <w:b/>
          <w:color w:val="auto"/>
          <w:sz w:val="21"/>
          <w:szCs w:val="21"/>
          <w:highlight w:val="none"/>
        </w:rPr>
        <w:t>五、</w:t>
      </w:r>
      <w:bookmarkEnd w:id="50"/>
      <w:r>
        <w:rPr>
          <w:rFonts w:hint="eastAsia" w:cs="宋体"/>
          <w:b/>
          <w:color w:val="auto"/>
          <w:sz w:val="21"/>
          <w:szCs w:val="21"/>
          <w:highlight w:val="none"/>
          <w:lang w:eastAsia="zh-CN"/>
        </w:rPr>
        <w:t>项目负责人</w:t>
      </w:r>
    </w:p>
    <w:p w14:paraId="5B19FC88">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w:t>
      </w:r>
      <w:r>
        <w:rPr>
          <w:rFonts w:hint="eastAsia" w:cs="宋体"/>
          <w:color w:val="auto"/>
          <w:sz w:val="21"/>
          <w:szCs w:val="21"/>
          <w:highlight w:val="none"/>
          <w:lang w:eastAsia="zh-CN"/>
        </w:rPr>
        <w:t>项目负责人</w:t>
      </w:r>
      <w:r>
        <w:rPr>
          <w:rFonts w:hint="eastAsia" w:cs="宋体"/>
          <w:color w:val="auto"/>
          <w:sz w:val="21"/>
          <w:szCs w:val="21"/>
          <w:highlight w:val="none"/>
        </w:rPr>
        <w:t>：</w:t>
      </w:r>
      <w:r>
        <w:rPr>
          <w:rFonts w:hint="eastAsia" w:cs="宋体"/>
          <w:color w:val="auto"/>
          <w:sz w:val="21"/>
          <w:szCs w:val="21"/>
          <w:highlight w:val="none"/>
          <w:u w:val="single"/>
        </w:rPr>
        <w:t>                     </w:t>
      </w:r>
      <w:r>
        <w:rPr>
          <w:rFonts w:hint="eastAsia" w:cs="宋体"/>
          <w:color w:val="auto"/>
          <w:sz w:val="21"/>
          <w:szCs w:val="21"/>
          <w:highlight w:val="none"/>
        </w:rPr>
        <w:t>。</w:t>
      </w:r>
    </w:p>
    <w:p w14:paraId="42845E1E">
      <w:pPr>
        <w:snapToGrid w:val="0"/>
        <w:spacing w:line="360" w:lineRule="auto"/>
        <w:ind w:firstLine="422" w:firstLineChars="200"/>
        <w:rPr>
          <w:rFonts w:cs="宋体"/>
          <w:b/>
          <w:color w:val="auto"/>
          <w:sz w:val="21"/>
          <w:szCs w:val="21"/>
          <w:highlight w:val="none"/>
        </w:rPr>
      </w:pPr>
      <w:bookmarkStart w:id="51" w:name="_Toc351203486"/>
      <w:r>
        <w:rPr>
          <w:rFonts w:hint="eastAsia" w:cs="宋体"/>
          <w:b/>
          <w:color w:val="auto"/>
          <w:sz w:val="21"/>
          <w:szCs w:val="21"/>
          <w:highlight w:val="none"/>
        </w:rPr>
        <w:t>六、合同文件构成</w:t>
      </w:r>
      <w:bookmarkEnd w:id="51"/>
    </w:p>
    <w:p w14:paraId="24956099">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本协议书与下列文件一起构成合同文件：</w:t>
      </w:r>
    </w:p>
    <w:p w14:paraId="2F5750F4">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（1）中标通知书（如果有）；</w:t>
      </w:r>
    </w:p>
    <w:p w14:paraId="11572D45">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 xml:space="preserve">（2）投标函及其附录（如果有）； </w:t>
      </w:r>
    </w:p>
    <w:p w14:paraId="0CD9A35B">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（3）专用合同条款及其附件；</w:t>
      </w:r>
    </w:p>
    <w:p w14:paraId="2DA95105">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（4）通用合同条款；</w:t>
      </w:r>
    </w:p>
    <w:p w14:paraId="5DCF7C56">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（5）技术标准和要求；</w:t>
      </w:r>
    </w:p>
    <w:p w14:paraId="7CAA54AD">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（6）图纸；</w:t>
      </w:r>
    </w:p>
    <w:p w14:paraId="02EE5183">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（7）已标价工程量清单或预算书；</w:t>
      </w:r>
    </w:p>
    <w:p w14:paraId="6838CE11">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（8）其他合同文件。</w:t>
      </w:r>
    </w:p>
    <w:p w14:paraId="105856EE">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在合同订立及履行过程中形成的与合同有关的文件均构成合同文件组成部分。</w:t>
      </w:r>
    </w:p>
    <w:p w14:paraId="27F2C7DD">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4B0565C5">
      <w:pPr>
        <w:snapToGrid w:val="0"/>
        <w:spacing w:line="360" w:lineRule="auto"/>
        <w:ind w:firstLine="422" w:firstLineChars="200"/>
        <w:rPr>
          <w:rFonts w:cs="宋体"/>
          <w:b/>
          <w:color w:val="auto"/>
          <w:sz w:val="21"/>
          <w:szCs w:val="21"/>
          <w:highlight w:val="none"/>
        </w:rPr>
      </w:pPr>
      <w:bookmarkStart w:id="52" w:name="_Toc351203487"/>
      <w:r>
        <w:rPr>
          <w:rFonts w:hint="eastAsia" w:cs="宋体"/>
          <w:b/>
          <w:color w:val="auto"/>
          <w:sz w:val="21"/>
          <w:szCs w:val="21"/>
          <w:highlight w:val="none"/>
        </w:rPr>
        <w:t>七、承诺</w:t>
      </w:r>
      <w:bookmarkEnd w:id="52"/>
    </w:p>
    <w:p w14:paraId="53499D33">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1. 发包人承诺按照法律规定履行项目审批手续、筹集工程建设资金并按照合同约定的期限和方式支付合同价款。</w:t>
      </w:r>
    </w:p>
    <w:p w14:paraId="5058DD41">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2. 承包人承诺按照法律规定及合同约定组织完成工程施工，确保工程质量和安全，不进行转包及违法分包，并在缺陷责任期及保修期内承担相应的工程维修责任。</w:t>
      </w:r>
    </w:p>
    <w:p w14:paraId="33A93E8A">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3. 发包人和承包人通过招投标形式签订合同的，双方理解并承诺不再就同一工程另行签订与合同实质性内容相背离的协议。</w:t>
      </w:r>
    </w:p>
    <w:p w14:paraId="4C770A54">
      <w:pPr>
        <w:snapToGrid w:val="0"/>
        <w:spacing w:line="360" w:lineRule="auto"/>
        <w:ind w:firstLine="422" w:firstLineChars="200"/>
        <w:rPr>
          <w:rFonts w:cs="宋体"/>
          <w:b/>
          <w:color w:val="auto"/>
          <w:sz w:val="21"/>
          <w:szCs w:val="21"/>
          <w:highlight w:val="none"/>
        </w:rPr>
      </w:pPr>
      <w:bookmarkStart w:id="53" w:name="_Toc351203488"/>
      <w:r>
        <w:rPr>
          <w:rFonts w:hint="eastAsia" w:cs="宋体"/>
          <w:b/>
          <w:color w:val="auto"/>
          <w:sz w:val="21"/>
          <w:szCs w:val="21"/>
          <w:highlight w:val="none"/>
        </w:rPr>
        <w:t>八、词语含义</w:t>
      </w:r>
      <w:bookmarkEnd w:id="53"/>
    </w:p>
    <w:p w14:paraId="551B66C6">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本协议书中词语含义与第二部分通用合同条款中赋予的含义相同。</w:t>
      </w:r>
    </w:p>
    <w:p w14:paraId="18F34F3D">
      <w:pPr>
        <w:snapToGrid w:val="0"/>
        <w:spacing w:line="360" w:lineRule="auto"/>
        <w:ind w:firstLine="422" w:firstLineChars="200"/>
        <w:rPr>
          <w:rFonts w:cs="宋体"/>
          <w:b/>
          <w:color w:val="auto"/>
          <w:sz w:val="21"/>
          <w:szCs w:val="21"/>
          <w:highlight w:val="none"/>
        </w:rPr>
      </w:pPr>
      <w:bookmarkStart w:id="54" w:name="_Toc351203489"/>
      <w:r>
        <w:rPr>
          <w:rFonts w:hint="eastAsia" w:cs="宋体"/>
          <w:b/>
          <w:color w:val="auto"/>
          <w:sz w:val="21"/>
          <w:szCs w:val="21"/>
          <w:highlight w:val="none"/>
        </w:rPr>
        <w:t>九、签订时间</w:t>
      </w:r>
      <w:bookmarkEnd w:id="54"/>
    </w:p>
    <w:p w14:paraId="6048FFC5">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本合同于</w:t>
      </w:r>
      <w:r>
        <w:rPr>
          <w:rFonts w:hint="eastAsia" w:cs="宋体"/>
          <w:bCs/>
          <w:color w:val="auto"/>
          <w:sz w:val="21"/>
          <w:szCs w:val="21"/>
          <w:highlight w:val="none"/>
          <w:u w:val="single"/>
        </w:rPr>
        <w:t xml:space="preserve">         </w:t>
      </w:r>
      <w:r>
        <w:rPr>
          <w:rFonts w:hint="eastAsia" w:cs="宋体"/>
          <w:bCs/>
          <w:color w:val="auto"/>
          <w:sz w:val="21"/>
          <w:szCs w:val="21"/>
          <w:highlight w:val="none"/>
        </w:rPr>
        <w:t>年</w:t>
      </w:r>
      <w:r>
        <w:rPr>
          <w:rFonts w:hint="eastAsia" w:cs="宋体"/>
          <w:bCs/>
          <w:color w:val="auto"/>
          <w:sz w:val="21"/>
          <w:szCs w:val="21"/>
          <w:highlight w:val="none"/>
          <w:u w:val="single"/>
        </w:rPr>
        <w:t xml:space="preserve">    </w:t>
      </w:r>
      <w:r>
        <w:rPr>
          <w:rFonts w:hint="eastAsia" w:cs="宋体"/>
          <w:bCs/>
          <w:color w:val="auto"/>
          <w:sz w:val="21"/>
          <w:szCs w:val="21"/>
          <w:highlight w:val="none"/>
        </w:rPr>
        <w:t>月</w:t>
      </w:r>
      <w:r>
        <w:rPr>
          <w:rFonts w:hint="eastAsia" w:cs="宋体"/>
          <w:bCs/>
          <w:color w:val="auto"/>
          <w:sz w:val="21"/>
          <w:szCs w:val="21"/>
          <w:highlight w:val="none"/>
          <w:u w:val="single"/>
        </w:rPr>
        <w:t xml:space="preserve">    </w:t>
      </w:r>
      <w:r>
        <w:rPr>
          <w:rFonts w:hint="eastAsia" w:cs="宋体"/>
          <w:bCs/>
          <w:color w:val="auto"/>
          <w:sz w:val="21"/>
          <w:szCs w:val="21"/>
          <w:highlight w:val="none"/>
        </w:rPr>
        <w:t>日签订。</w:t>
      </w:r>
    </w:p>
    <w:p w14:paraId="7212CEAF">
      <w:pPr>
        <w:snapToGrid w:val="0"/>
        <w:spacing w:line="360" w:lineRule="auto"/>
        <w:ind w:firstLine="422" w:firstLineChars="200"/>
        <w:rPr>
          <w:rFonts w:cs="宋体"/>
          <w:b/>
          <w:color w:val="auto"/>
          <w:sz w:val="21"/>
          <w:szCs w:val="21"/>
          <w:highlight w:val="none"/>
        </w:rPr>
      </w:pPr>
      <w:bookmarkStart w:id="55" w:name="_Toc351203490"/>
      <w:r>
        <w:rPr>
          <w:rFonts w:hint="eastAsia" w:cs="宋体"/>
          <w:b/>
          <w:color w:val="auto"/>
          <w:sz w:val="21"/>
          <w:szCs w:val="21"/>
          <w:highlight w:val="none"/>
        </w:rPr>
        <w:t>十、签订地点</w:t>
      </w:r>
      <w:bookmarkEnd w:id="55"/>
    </w:p>
    <w:p w14:paraId="2C08F8AA">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本合同在</w:t>
      </w:r>
      <w:r>
        <w:rPr>
          <w:rFonts w:hint="eastAsia" w:cs="宋体"/>
          <w:bCs/>
          <w:color w:val="auto"/>
          <w:sz w:val="21"/>
          <w:szCs w:val="21"/>
          <w:highlight w:val="none"/>
          <w:u w:val="single"/>
          <w:lang w:eastAsia="zh-CN"/>
        </w:rPr>
        <w:t>明光市公路运输管理服务中心</w:t>
      </w:r>
      <w:r>
        <w:rPr>
          <w:rFonts w:hint="eastAsia" w:cs="宋体"/>
          <w:bCs/>
          <w:color w:val="auto"/>
          <w:sz w:val="21"/>
          <w:szCs w:val="21"/>
          <w:highlight w:val="none"/>
          <w:u w:val="single"/>
        </w:rPr>
        <w:t xml:space="preserve">  </w:t>
      </w:r>
      <w:r>
        <w:rPr>
          <w:rFonts w:hint="eastAsia" w:cs="宋体"/>
          <w:bCs/>
          <w:color w:val="auto"/>
          <w:sz w:val="21"/>
          <w:szCs w:val="21"/>
          <w:highlight w:val="none"/>
        </w:rPr>
        <w:t>签订。</w:t>
      </w:r>
    </w:p>
    <w:p w14:paraId="7DA8C63E">
      <w:pPr>
        <w:snapToGrid w:val="0"/>
        <w:spacing w:line="360" w:lineRule="auto"/>
        <w:ind w:firstLine="422" w:firstLineChars="200"/>
        <w:rPr>
          <w:rFonts w:cs="宋体"/>
          <w:b/>
          <w:color w:val="auto"/>
          <w:sz w:val="21"/>
          <w:szCs w:val="21"/>
          <w:highlight w:val="none"/>
        </w:rPr>
      </w:pPr>
      <w:bookmarkStart w:id="56" w:name="_Toc351203491"/>
      <w:r>
        <w:rPr>
          <w:rFonts w:hint="eastAsia" w:cs="宋体"/>
          <w:b/>
          <w:color w:val="auto"/>
          <w:sz w:val="21"/>
          <w:szCs w:val="21"/>
          <w:highlight w:val="none"/>
        </w:rPr>
        <w:t>十一、补充协议</w:t>
      </w:r>
      <w:bookmarkEnd w:id="56"/>
    </w:p>
    <w:p w14:paraId="426C0E4E">
      <w:pPr>
        <w:snapToGrid w:val="0"/>
        <w:spacing w:line="360" w:lineRule="auto"/>
        <w:ind w:firstLine="420" w:firstLineChars="200"/>
        <w:rPr>
          <w:rFonts w:cs="宋体"/>
          <w:b/>
          <w:bCs/>
          <w:color w:val="auto"/>
          <w:sz w:val="21"/>
          <w:szCs w:val="21"/>
          <w:highlight w:val="none"/>
        </w:rPr>
      </w:pPr>
      <w:r>
        <w:rPr>
          <w:rFonts w:hint="eastAsia" w:cs="宋体"/>
          <w:bCs/>
          <w:color w:val="auto"/>
          <w:sz w:val="21"/>
          <w:szCs w:val="21"/>
          <w:highlight w:val="none"/>
        </w:rPr>
        <w:t>合同未尽事宜，合同当事人另行签订补充协议，补充协议是合同的组成部分。</w:t>
      </w:r>
    </w:p>
    <w:p w14:paraId="25D76A25">
      <w:pPr>
        <w:snapToGrid w:val="0"/>
        <w:spacing w:line="360" w:lineRule="auto"/>
        <w:ind w:firstLine="422" w:firstLineChars="200"/>
        <w:rPr>
          <w:rFonts w:hint="eastAsia" w:cs="宋体"/>
          <w:b/>
          <w:color w:val="auto"/>
          <w:sz w:val="21"/>
          <w:szCs w:val="21"/>
          <w:highlight w:val="none"/>
        </w:rPr>
      </w:pPr>
      <w:bookmarkStart w:id="57" w:name="_Toc351203492"/>
    </w:p>
    <w:p w14:paraId="7BC8A3D4">
      <w:pPr>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十二、合同生效</w:t>
      </w:r>
      <w:bookmarkEnd w:id="57"/>
    </w:p>
    <w:p w14:paraId="196E3EE8">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本合同自</w:t>
      </w:r>
      <w:r>
        <w:rPr>
          <w:rFonts w:hint="eastAsia" w:cs="宋体"/>
          <w:bCs/>
          <w:color w:val="auto"/>
          <w:sz w:val="21"/>
          <w:szCs w:val="21"/>
          <w:highlight w:val="none"/>
          <w:u w:val="single"/>
        </w:rPr>
        <w:t xml:space="preserve">                                   </w:t>
      </w:r>
      <w:r>
        <w:rPr>
          <w:rFonts w:hint="eastAsia" w:cs="宋体"/>
          <w:bCs/>
          <w:color w:val="auto"/>
          <w:sz w:val="21"/>
          <w:szCs w:val="21"/>
          <w:highlight w:val="none"/>
        </w:rPr>
        <w:t>生效。</w:t>
      </w:r>
    </w:p>
    <w:p w14:paraId="13DF998E">
      <w:pPr>
        <w:snapToGrid w:val="0"/>
        <w:spacing w:line="360" w:lineRule="auto"/>
        <w:ind w:firstLine="422" w:firstLineChars="200"/>
        <w:rPr>
          <w:rFonts w:cs="宋体"/>
          <w:b/>
          <w:color w:val="auto"/>
          <w:sz w:val="21"/>
          <w:szCs w:val="21"/>
          <w:highlight w:val="none"/>
        </w:rPr>
      </w:pPr>
      <w:bookmarkStart w:id="58" w:name="_Toc351203493"/>
      <w:r>
        <w:rPr>
          <w:rFonts w:hint="eastAsia" w:cs="宋体"/>
          <w:b/>
          <w:color w:val="auto"/>
          <w:sz w:val="21"/>
          <w:szCs w:val="21"/>
          <w:highlight w:val="none"/>
        </w:rPr>
        <w:t>十三、合同份数</w:t>
      </w:r>
      <w:bookmarkEnd w:id="58"/>
    </w:p>
    <w:p w14:paraId="28567A50">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本合同一式</w:t>
      </w:r>
      <w:r>
        <w:rPr>
          <w:rFonts w:hint="eastAsia" w:cs="宋体"/>
          <w:bCs/>
          <w:color w:val="auto"/>
          <w:sz w:val="21"/>
          <w:szCs w:val="21"/>
          <w:highlight w:val="none"/>
          <w:u w:val="single"/>
        </w:rPr>
        <w:t xml:space="preserve">    </w:t>
      </w:r>
      <w:r>
        <w:rPr>
          <w:rFonts w:hint="eastAsia" w:cs="宋体"/>
          <w:bCs/>
          <w:color w:val="auto"/>
          <w:sz w:val="21"/>
          <w:szCs w:val="21"/>
          <w:highlight w:val="none"/>
        </w:rPr>
        <w:t>份，均具有同等法律效力，发包人执</w:t>
      </w:r>
      <w:r>
        <w:rPr>
          <w:rFonts w:hint="eastAsia" w:cs="宋体"/>
          <w:bCs/>
          <w:color w:val="auto"/>
          <w:sz w:val="21"/>
          <w:szCs w:val="21"/>
          <w:highlight w:val="none"/>
          <w:u w:val="single"/>
        </w:rPr>
        <w:t xml:space="preserve">    </w:t>
      </w:r>
      <w:r>
        <w:rPr>
          <w:rFonts w:hint="eastAsia" w:cs="宋体"/>
          <w:bCs/>
          <w:color w:val="auto"/>
          <w:sz w:val="21"/>
          <w:szCs w:val="21"/>
          <w:highlight w:val="none"/>
        </w:rPr>
        <w:t>份，承包人执</w:t>
      </w:r>
      <w:r>
        <w:rPr>
          <w:rFonts w:hint="eastAsia" w:cs="宋体"/>
          <w:bCs/>
          <w:color w:val="auto"/>
          <w:sz w:val="21"/>
          <w:szCs w:val="21"/>
          <w:highlight w:val="none"/>
          <w:u w:val="single"/>
        </w:rPr>
        <w:t xml:space="preserve">    </w:t>
      </w:r>
      <w:r>
        <w:rPr>
          <w:rFonts w:hint="eastAsia" w:cs="宋体"/>
          <w:bCs/>
          <w:color w:val="auto"/>
          <w:sz w:val="21"/>
          <w:szCs w:val="21"/>
          <w:highlight w:val="none"/>
        </w:rPr>
        <w:t>份。</w:t>
      </w:r>
    </w:p>
    <w:p w14:paraId="69DFDCB5">
      <w:pPr>
        <w:snapToGrid w:val="0"/>
        <w:spacing w:line="360" w:lineRule="auto"/>
        <w:rPr>
          <w:rFonts w:cs="宋体"/>
          <w:bCs/>
          <w:color w:val="auto"/>
          <w:sz w:val="21"/>
          <w:szCs w:val="21"/>
          <w:highlight w:val="none"/>
        </w:rPr>
      </w:pPr>
    </w:p>
    <w:p w14:paraId="49B5412F">
      <w:pPr>
        <w:snapToGrid w:val="0"/>
        <w:spacing w:line="360" w:lineRule="auto"/>
        <w:rPr>
          <w:rFonts w:cs="宋体"/>
          <w:color w:val="auto"/>
          <w:sz w:val="21"/>
          <w:szCs w:val="21"/>
          <w:highlight w:val="none"/>
        </w:rPr>
      </w:pPr>
      <w:r>
        <w:rPr>
          <w:rFonts w:hint="eastAsia" w:cs="宋体"/>
          <w:color w:val="auto"/>
          <w:sz w:val="21"/>
          <w:szCs w:val="21"/>
          <w:highlight w:val="none"/>
        </w:rPr>
        <w:t>发包人：</w:t>
      </w:r>
      <w:r>
        <w:rPr>
          <w:rFonts w:hint="eastAsia" w:cs="宋体"/>
          <w:color w:val="auto"/>
          <w:sz w:val="21"/>
          <w:szCs w:val="21"/>
          <w:highlight w:val="none"/>
          <w:u w:val="single"/>
        </w:rPr>
        <w:t>      （</w:t>
      </w:r>
      <w:r>
        <w:rPr>
          <w:rFonts w:hint="eastAsia" w:cs="宋体"/>
          <w:color w:val="auto"/>
          <w:sz w:val="21"/>
          <w:szCs w:val="21"/>
          <w:highlight w:val="none"/>
        </w:rPr>
        <w:t>公章）                 承包人：</w:t>
      </w:r>
      <w:r>
        <w:rPr>
          <w:rFonts w:hint="eastAsia" w:cs="宋体"/>
          <w:color w:val="auto"/>
          <w:sz w:val="21"/>
          <w:szCs w:val="21"/>
          <w:highlight w:val="none"/>
          <w:u w:val="single"/>
        </w:rPr>
        <w:t>        （</w:t>
      </w:r>
      <w:r>
        <w:rPr>
          <w:rFonts w:hint="eastAsia" w:cs="宋体"/>
          <w:color w:val="auto"/>
          <w:sz w:val="21"/>
          <w:szCs w:val="21"/>
          <w:highlight w:val="none"/>
        </w:rPr>
        <w:t>公章）</w:t>
      </w:r>
    </w:p>
    <w:p w14:paraId="2838830B">
      <w:pPr>
        <w:snapToGrid w:val="0"/>
        <w:spacing w:line="360" w:lineRule="auto"/>
        <w:rPr>
          <w:rFonts w:cs="宋体"/>
          <w:color w:val="auto"/>
          <w:sz w:val="21"/>
          <w:szCs w:val="21"/>
          <w:highlight w:val="none"/>
        </w:rPr>
      </w:pPr>
      <w:r>
        <w:rPr>
          <w:rFonts w:hint="eastAsia" w:cs="宋体"/>
          <w:color w:val="auto"/>
          <w:sz w:val="21"/>
          <w:szCs w:val="21"/>
          <w:highlight w:val="none"/>
        </w:rPr>
        <w:t>法定代表人或其委托代理人：                 法定代表人或其委托代理人：</w:t>
      </w:r>
    </w:p>
    <w:p w14:paraId="71EB7707">
      <w:pPr>
        <w:snapToGrid w:val="0"/>
        <w:spacing w:line="360" w:lineRule="auto"/>
        <w:rPr>
          <w:rFonts w:cs="宋体"/>
          <w:color w:val="auto"/>
          <w:sz w:val="21"/>
          <w:szCs w:val="21"/>
          <w:highlight w:val="none"/>
        </w:rPr>
      </w:pPr>
      <w:r>
        <w:rPr>
          <w:rFonts w:hint="eastAsia" w:cs="宋体"/>
          <w:color w:val="auto"/>
          <w:sz w:val="21"/>
          <w:szCs w:val="21"/>
          <w:highlight w:val="none"/>
        </w:rPr>
        <w:t>（签字）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（签字）</w:t>
      </w:r>
      <w:r>
        <w:rPr>
          <w:rFonts w:hint="eastAsia" w:cs="宋体"/>
          <w:color w:val="auto"/>
          <w:sz w:val="21"/>
          <w:szCs w:val="21"/>
          <w:highlight w:val="none"/>
          <w:u w:val="single"/>
        </w:rPr>
        <w:t xml:space="preserve">                   </w:t>
      </w:r>
    </w:p>
    <w:p w14:paraId="0C56AF35">
      <w:pPr>
        <w:tabs>
          <w:tab w:val="left" w:pos="4410"/>
        </w:tabs>
        <w:snapToGrid w:val="0"/>
        <w:spacing w:line="360" w:lineRule="auto"/>
        <w:rPr>
          <w:rFonts w:cs="宋体"/>
          <w:color w:val="auto"/>
          <w:sz w:val="21"/>
          <w:szCs w:val="21"/>
          <w:highlight w:val="none"/>
        </w:rPr>
      </w:pPr>
      <w:r>
        <w:rPr>
          <w:rFonts w:hint="eastAsia" w:cs="宋体"/>
          <w:color w:val="auto"/>
          <w:sz w:val="21"/>
          <w:szCs w:val="21"/>
          <w:highlight w:val="none"/>
        </w:rPr>
        <w:t>组织机构代码：</w:t>
      </w:r>
      <w:r>
        <w:rPr>
          <w:rFonts w:hint="eastAsia" w:cs="宋体"/>
          <w:color w:val="auto"/>
          <w:sz w:val="21"/>
          <w:szCs w:val="21"/>
          <w:highlight w:val="none"/>
          <w:u w:val="single"/>
        </w:rPr>
        <w:t xml:space="preserve">       </w:t>
      </w:r>
      <w:r>
        <w:rPr>
          <w:rFonts w:hint="eastAsia" w:cs="宋体"/>
          <w:color w:val="auto"/>
          <w:sz w:val="21"/>
          <w:szCs w:val="21"/>
          <w:highlight w:val="none"/>
        </w:rPr>
        <w:t xml:space="preserve">                组织机构代码：</w:t>
      </w:r>
      <w:r>
        <w:rPr>
          <w:rFonts w:hint="eastAsia" w:cs="宋体"/>
          <w:color w:val="auto"/>
          <w:sz w:val="21"/>
          <w:szCs w:val="21"/>
          <w:highlight w:val="none"/>
          <w:u w:val="single"/>
        </w:rPr>
        <w:t xml:space="preserve">        </w:t>
      </w:r>
    </w:p>
    <w:p w14:paraId="5BFB14CC">
      <w:pPr>
        <w:snapToGrid w:val="0"/>
        <w:spacing w:line="360" w:lineRule="auto"/>
        <w:rPr>
          <w:rFonts w:cs="宋体"/>
          <w:color w:val="auto"/>
          <w:sz w:val="21"/>
          <w:szCs w:val="21"/>
          <w:highlight w:val="none"/>
        </w:rPr>
      </w:pPr>
      <w:r>
        <w:rPr>
          <w:rFonts w:hint="eastAsia" w:cs="宋体"/>
          <w:color w:val="auto"/>
          <w:sz w:val="21"/>
          <w:szCs w:val="21"/>
          <w:highlight w:val="none"/>
        </w:rPr>
        <w:t>地  址：</w:t>
      </w:r>
      <w:r>
        <w:rPr>
          <w:rFonts w:hint="eastAsia" w:cs="宋体"/>
          <w:color w:val="auto"/>
          <w:sz w:val="21"/>
          <w:szCs w:val="21"/>
          <w:highlight w:val="none"/>
          <w:u w:val="single"/>
        </w:rPr>
        <w:t xml:space="preserve">     </w:t>
      </w:r>
      <w:r>
        <w:rPr>
          <w:rFonts w:hint="eastAsia" w:cs="宋体"/>
          <w:color w:val="auto"/>
          <w:sz w:val="21"/>
          <w:szCs w:val="21"/>
          <w:highlight w:val="none"/>
        </w:rPr>
        <w:t xml:space="preserve">                地  址：</w:t>
      </w:r>
      <w:r>
        <w:rPr>
          <w:rFonts w:hint="eastAsia" w:cs="宋体"/>
          <w:color w:val="auto"/>
          <w:sz w:val="21"/>
          <w:szCs w:val="21"/>
          <w:highlight w:val="none"/>
          <w:u w:val="single"/>
        </w:rPr>
        <w:t xml:space="preserve">     </w:t>
      </w:r>
    </w:p>
    <w:p w14:paraId="646E9CD9">
      <w:pPr>
        <w:snapToGrid w:val="0"/>
        <w:spacing w:line="360" w:lineRule="auto"/>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     </w:t>
      </w:r>
      <w:r>
        <w:rPr>
          <w:rFonts w:hint="eastAsia" w:cs="宋体"/>
          <w:color w:val="auto"/>
          <w:sz w:val="21"/>
          <w:szCs w:val="21"/>
          <w:highlight w:val="none"/>
        </w:rPr>
        <w:t xml:space="preserve">               邮政编码：</w:t>
      </w:r>
      <w:r>
        <w:rPr>
          <w:rFonts w:hint="eastAsia" w:cs="宋体"/>
          <w:color w:val="auto"/>
          <w:sz w:val="21"/>
          <w:szCs w:val="21"/>
          <w:highlight w:val="none"/>
          <w:u w:val="single"/>
        </w:rPr>
        <w:t xml:space="preserve"> </w:t>
      </w:r>
    </w:p>
    <w:p w14:paraId="751EA402">
      <w:pPr>
        <w:snapToGrid w:val="0"/>
        <w:spacing w:line="360" w:lineRule="auto"/>
        <w:rPr>
          <w:rFonts w:cs="宋体"/>
          <w:color w:val="auto"/>
          <w:sz w:val="21"/>
          <w:szCs w:val="21"/>
          <w:highlight w:val="none"/>
        </w:rPr>
      </w:pPr>
      <w:r>
        <w:rPr>
          <w:rFonts w:hint="eastAsia" w:cs="宋体"/>
          <w:color w:val="auto"/>
          <w:sz w:val="21"/>
          <w:szCs w:val="21"/>
          <w:highlight w:val="none"/>
        </w:rPr>
        <w:t>法定代表人：</w:t>
      </w:r>
      <w:r>
        <w:rPr>
          <w:rFonts w:hint="eastAsia" w:cs="宋体"/>
          <w:color w:val="auto"/>
          <w:sz w:val="21"/>
          <w:szCs w:val="21"/>
          <w:highlight w:val="none"/>
          <w:u w:val="single"/>
        </w:rPr>
        <w:t xml:space="preserve">           </w:t>
      </w:r>
      <w:r>
        <w:rPr>
          <w:rFonts w:hint="eastAsia" w:cs="宋体"/>
          <w:color w:val="auto"/>
          <w:sz w:val="21"/>
          <w:szCs w:val="21"/>
          <w:highlight w:val="none"/>
        </w:rPr>
        <w:t xml:space="preserve">                法定代表人：</w:t>
      </w:r>
      <w:r>
        <w:rPr>
          <w:rFonts w:hint="eastAsia" w:cs="宋体"/>
          <w:color w:val="auto"/>
          <w:sz w:val="21"/>
          <w:szCs w:val="21"/>
          <w:highlight w:val="none"/>
          <w:u w:val="single"/>
        </w:rPr>
        <w:t xml:space="preserve">          </w:t>
      </w:r>
    </w:p>
    <w:p w14:paraId="54093EAC">
      <w:pPr>
        <w:snapToGrid w:val="0"/>
        <w:spacing w:line="360" w:lineRule="auto"/>
        <w:rPr>
          <w:rFonts w:cs="宋体"/>
          <w:color w:val="auto"/>
          <w:sz w:val="21"/>
          <w:szCs w:val="21"/>
          <w:highlight w:val="none"/>
        </w:rPr>
      </w:pPr>
      <w:r>
        <w:rPr>
          <w:rFonts w:hint="eastAsia" w:cs="宋体"/>
          <w:color w:val="auto"/>
          <w:sz w:val="21"/>
          <w:szCs w:val="21"/>
          <w:highlight w:val="none"/>
        </w:rPr>
        <w:t>委托代理人：</w:t>
      </w:r>
      <w:r>
        <w:rPr>
          <w:rFonts w:hint="eastAsia" w:cs="宋体"/>
          <w:color w:val="auto"/>
          <w:sz w:val="21"/>
          <w:szCs w:val="21"/>
          <w:highlight w:val="none"/>
          <w:u w:val="single"/>
        </w:rPr>
        <w:t xml:space="preserve">           </w:t>
      </w:r>
      <w:r>
        <w:rPr>
          <w:rFonts w:hint="eastAsia" w:cs="宋体"/>
          <w:color w:val="auto"/>
          <w:sz w:val="21"/>
          <w:szCs w:val="21"/>
          <w:highlight w:val="none"/>
        </w:rPr>
        <w:t xml:space="preserve">                委托代理人：</w:t>
      </w:r>
      <w:r>
        <w:rPr>
          <w:rFonts w:hint="eastAsia" w:cs="宋体"/>
          <w:color w:val="auto"/>
          <w:sz w:val="21"/>
          <w:szCs w:val="21"/>
          <w:highlight w:val="none"/>
          <w:u w:val="single"/>
        </w:rPr>
        <w:t xml:space="preserve">          </w:t>
      </w:r>
    </w:p>
    <w:p w14:paraId="1916D5B0">
      <w:pPr>
        <w:snapToGrid w:val="0"/>
        <w:spacing w:line="360" w:lineRule="auto"/>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r>
        <w:rPr>
          <w:rFonts w:hint="eastAsia" w:cs="宋体"/>
          <w:color w:val="auto"/>
          <w:sz w:val="21"/>
          <w:szCs w:val="21"/>
          <w:highlight w:val="none"/>
        </w:rPr>
        <w:t xml:space="preserve">                电  话：</w:t>
      </w:r>
      <w:r>
        <w:rPr>
          <w:rFonts w:hint="eastAsia" w:cs="宋体"/>
          <w:color w:val="auto"/>
          <w:sz w:val="21"/>
          <w:szCs w:val="21"/>
          <w:highlight w:val="none"/>
          <w:u w:val="single"/>
        </w:rPr>
        <w:t xml:space="preserve">  </w:t>
      </w:r>
    </w:p>
    <w:p w14:paraId="35F1A1C4">
      <w:pPr>
        <w:snapToGrid w:val="0"/>
        <w:spacing w:line="360" w:lineRule="auto"/>
        <w:rPr>
          <w:rFonts w:cs="宋体"/>
          <w:color w:val="auto"/>
          <w:sz w:val="21"/>
          <w:szCs w:val="21"/>
          <w:highlight w:val="none"/>
        </w:rPr>
      </w:pPr>
      <w:r>
        <w:rPr>
          <w:rFonts w:hint="eastAsia" w:cs="宋体"/>
          <w:color w:val="auto"/>
          <w:sz w:val="21"/>
          <w:szCs w:val="21"/>
          <w:highlight w:val="none"/>
        </w:rPr>
        <w:t>传  真：</w:t>
      </w:r>
      <w:r>
        <w:rPr>
          <w:rFonts w:hint="eastAsia" w:cs="宋体"/>
          <w:color w:val="auto"/>
          <w:sz w:val="21"/>
          <w:szCs w:val="21"/>
          <w:highlight w:val="none"/>
          <w:u w:val="single"/>
        </w:rPr>
        <w:t xml:space="preserve">   </w:t>
      </w:r>
      <w:r>
        <w:rPr>
          <w:rFonts w:hint="eastAsia" w:cs="宋体"/>
          <w:color w:val="auto"/>
          <w:sz w:val="21"/>
          <w:szCs w:val="21"/>
          <w:highlight w:val="none"/>
        </w:rPr>
        <w:t xml:space="preserve">                传  真：</w:t>
      </w:r>
      <w:r>
        <w:rPr>
          <w:rFonts w:hint="eastAsia" w:cs="宋体"/>
          <w:color w:val="auto"/>
          <w:sz w:val="21"/>
          <w:szCs w:val="21"/>
          <w:highlight w:val="none"/>
          <w:u w:val="single"/>
        </w:rPr>
        <w:t>  </w:t>
      </w:r>
    </w:p>
    <w:p w14:paraId="3A4DAC6A">
      <w:pPr>
        <w:snapToGrid w:val="0"/>
        <w:spacing w:line="360" w:lineRule="auto"/>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 xml:space="preserve">                电子信箱：</w:t>
      </w:r>
      <w:r>
        <w:rPr>
          <w:rFonts w:hint="eastAsia" w:cs="宋体"/>
          <w:color w:val="auto"/>
          <w:sz w:val="21"/>
          <w:szCs w:val="21"/>
          <w:highlight w:val="none"/>
          <w:u w:val="single"/>
        </w:rPr>
        <w:t></w:t>
      </w:r>
    </w:p>
    <w:p w14:paraId="00B69FDB">
      <w:pPr>
        <w:snapToGrid w:val="0"/>
        <w:spacing w:line="360" w:lineRule="auto"/>
        <w:rPr>
          <w:rFonts w:cs="宋体"/>
          <w:color w:val="auto"/>
          <w:sz w:val="21"/>
          <w:szCs w:val="21"/>
          <w:highlight w:val="none"/>
        </w:rPr>
      </w:pPr>
      <w:r>
        <w:rPr>
          <w:rFonts w:hint="eastAsia" w:cs="宋体"/>
          <w:color w:val="auto"/>
          <w:sz w:val="21"/>
          <w:szCs w:val="21"/>
          <w:highlight w:val="none"/>
        </w:rPr>
        <w:t>开户银行：</w:t>
      </w:r>
      <w:r>
        <w:rPr>
          <w:rFonts w:hint="eastAsia" w:cs="宋体"/>
          <w:color w:val="auto"/>
          <w:sz w:val="21"/>
          <w:szCs w:val="21"/>
          <w:highlight w:val="none"/>
          <w:u w:val="single"/>
        </w:rPr>
        <w:t xml:space="preserve">   </w:t>
      </w:r>
      <w:r>
        <w:rPr>
          <w:rFonts w:hint="eastAsia" w:cs="宋体"/>
          <w:color w:val="auto"/>
          <w:sz w:val="21"/>
          <w:szCs w:val="21"/>
          <w:highlight w:val="none"/>
        </w:rPr>
        <w:t xml:space="preserve">                开户银行：</w:t>
      </w:r>
      <w:r>
        <w:rPr>
          <w:rFonts w:hint="eastAsia" w:cs="宋体"/>
          <w:color w:val="auto"/>
          <w:sz w:val="21"/>
          <w:szCs w:val="21"/>
          <w:highlight w:val="none"/>
          <w:u w:val="single"/>
        </w:rPr>
        <w:t></w:t>
      </w:r>
    </w:p>
    <w:p w14:paraId="4D13D928">
      <w:pPr>
        <w:snapToGrid w:val="0"/>
        <w:spacing w:line="360" w:lineRule="auto"/>
        <w:rPr>
          <w:rFonts w:cs="宋体"/>
          <w:color w:val="auto"/>
          <w:sz w:val="21"/>
          <w:szCs w:val="21"/>
          <w:highlight w:val="none"/>
        </w:rPr>
      </w:pPr>
      <w:r>
        <w:rPr>
          <w:rFonts w:hint="eastAsia" w:cs="宋体"/>
          <w:color w:val="auto"/>
          <w:sz w:val="21"/>
          <w:szCs w:val="21"/>
          <w:highlight w:val="none"/>
        </w:rPr>
        <w:t>账  号：</w:t>
      </w:r>
      <w:r>
        <w:rPr>
          <w:rFonts w:hint="eastAsia" w:cs="宋体"/>
          <w:color w:val="auto"/>
          <w:sz w:val="21"/>
          <w:szCs w:val="21"/>
          <w:highlight w:val="none"/>
          <w:u w:val="single"/>
        </w:rPr>
        <w:t xml:space="preserve">       </w:t>
      </w:r>
      <w:r>
        <w:rPr>
          <w:rFonts w:hint="eastAsia" w:cs="宋体"/>
          <w:color w:val="auto"/>
          <w:sz w:val="21"/>
          <w:szCs w:val="21"/>
          <w:highlight w:val="none"/>
        </w:rPr>
        <w:t xml:space="preserve">                账  号：</w:t>
      </w:r>
      <w:r>
        <w:rPr>
          <w:rFonts w:hint="eastAsia" w:cs="宋体"/>
          <w:color w:val="auto"/>
          <w:sz w:val="21"/>
          <w:szCs w:val="21"/>
          <w:highlight w:val="none"/>
          <w:u w:val="single"/>
        </w:rPr>
        <w:t xml:space="preserve">   </w:t>
      </w:r>
    </w:p>
    <w:p w14:paraId="64B924CB">
      <w:pPr>
        <w:keepNext/>
        <w:keepLines/>
        <w:snapToGrid w:val="0"/>
        <w:spacing w:before="312" w:beforeLines="100" w:after="312" w:afterLines="100" w:line="360" w:lineRule="auto"/>
        <w:jc w:val="center"/>
        <w:outlineLvl w:val="1"/>
        <w:rPr>
          <w:rFonts w:hint="eastAsia" w:ascii="宋体" w:hAnsi="宋体" w:eastAsia="宋体" w:cs="宋体"/>
          <w:color w:val="auto"/>
          <w:kern w:val="2"/>
          <w:sz w:val="21"/>
          <w:szCs w:val="21"/>
          <w:highlight w:val="none"/>
          <w:lang w:val="en-US" w:eastAsia="zh-CN" w:bidi="ar-SA"/>
        </w:rPr>
      </w:pPr>
      <w:r>
        <w:rPr>
          <w:rFonts w:hint="eastAsia" w:cs="宋体"/>
          <w:b/>
          <w:bCs/>
          <w:color w:val="auto"/>
          <w:sz w:val="21"/>
          <w:szCs w:val="21"/>
          <w:highlight w:val="none"/>
        </w:rPr>
        <w:br w:type="page"/>
      </w:r>
      <w:bookmarkStart w:id="59" w:name="_Toc28799377"/>
      <w:bookmarkStart w:id="60" w:name="_Toc8613"/>
      <w:bookmarkStart w:id="61" w:name="_Toc130919121"/>
      <w:r>
        <w:rPr>
          <w:rFonts w:hint="eastAsia" w:ascii="等线" w:hAnsi="等线" w:eastAsia="等线" w:cs="@仿宋_GB2312"/>
          <w:b/>
          <w:color w:val="auto"/>
          <w:kern w:val="2"/>
          <w:sz w:val="24"/>
          <w:highlight w:val="none"/>
          <w:lang w:val="en-US" w:eastAsia="zh-CN"/>
        </w:rPr>
        <w:t>第二节  通用合同条款</w:t>
      </w:r>
      <w:bookmarkEnd w:id="59"/>
      <w:bookmarkEnd w:id="60"/>
      <w:bookmarkEnd w:id="61"/>
    </w:p>
    <w:p w14:paraId="015AD744">
      <w:pPr>
        <w:spacing w:line="360" w:lineRule="auto"/>
        <w:ind w:firstLine="560" w:firstLineChars="200"/>
        <w:rPr>
          <w:rFonts w:cs="Times New Roman"/>
          <w:snapToGrid w:val="0"/>
          <w:color w:val="auto"/>
          <w:sz w:val="28"/>
          <w:szCs w:val="24"/>
          <w:highlight w:val="none"/>
        </w:rPr>
      </w:pPr>
      <w:r>
        <w:rPr>
          <w:rFonts w:hint="eastAsia" w:cs="Times New Roman"/>
          <w:snapToGrid w:val="0"/>
          <w:color w:val="auto"/>
          <w:sz w:val="28"/>
          <w:szCs w:val="24"/>
          <w:highlight w:val="none"/>
        </w:rPr>
        <w:t>采用《建设工程施工合同（示范文本）》（GF-2017-0201）中通用合同条款。上述资料由承包人自行准备。</w:t>
      </w:r>
    </w:p>
    <w:p w14:paraId="423674FD">
      <w:pPr>
        <w:keepNext/>
        <w:keepLines/>
        <w:snapToGrid w:val="0"/>
        <w:spacing w:before="312" w:beforeLines="100" w:after="312" w:afterLines="100" w:line="360" w:lineRule="auto"/>
        <w:jc w:val="center"/>
        <w:outlineLvl w:val="1"/>
        <w:rPr>
          <w:rFonts w:cs="宋体"/>
          <w:bCs/>
          <w:color w:val="auto"/>
          <w:sz w:val="21"/>
          <w:szCs w:val="21"/>
          <w:highlight w:val="none"/>
        </w:rPr>
      </w:pPr>
      <w:r>
        <w:rPr>
          <w:rFonts w:hint="eastAsia" w:cs="宋体"/>
          <w:b/>
          <w:bCs/>
          <w:color w:val="auto"/>
          <w:sz w:val="21"/>
          <w:szCs w:val="21"/>
          <w:highlight w:val="none"/>
        </w:rPr>
        <w:br w:type="page"/>
      </w:r>
      <w:bookmarkStart w:id="62" w:name="_Toc28799378"/>
      <w:bookmarkStart w:id="63" w:name="_Toc130919122"/>
      <w:bookmarkStart w:id="64" w:name="_Toc25217"/>
      <w:r>
        <w:rPr>
          <w:rFonts w:hint="eastAsia" w:ascii="等线" w:hAnsi="等线" w:eastAsia="等线" w:cs="@仿宋_GB2312"/>
          <w:b/>
          <w:color w:val="auto"/>
          <w:kern w:val="2"/>
          <w:sz w:val="24"/>
          <w:highlight w:val="none"/>
        </w:rPr>
        <w:t>第三节  专用合同条款</w:t>
      </w:r>
      <w:bookmarkEnd w:id="62"/>
      <w:bookmarkEnd w:id="63"/>
      <w:bookmarkEnd w:id="64"/>
    </w:p>
    <w:p w14:paraId="52288F61">
      <w:pPr>
        <w:snapToGrid w:val="0"/>
        <w:spacing w:before="312" w:beforeLines="100" w:after="312" w:afterLines="100" w:line="360" w:lineRule="auto"/>
        <w:jc w:val="center"/>
        <w:outlineLvl w:val="2"/>
        <w:rPr>
          <w:rFonts w:cs="宋体"/>
          <w:color w:val="auto"/>
          <w:sz w:val="21"/>
          <w:szCs w:val="21"/>
          <w:highlight w:val="none"/>
        </w:rPr>
      </w:pPr>
      <w:bookmarkStart w:id="65" w:name="_Toc351203633"/>
      <w:r>
        <w:rPr>
          <w:rFonts w:hint="eastAsia" w:cs="宋体"/>
          <w:color w:val="auto"/>
          <w:sz w:val="21"/>
          <w:szCs w:val="21"/>
          <w:highlight w:val="none"/>
        </w:rPr>
        <w:t>专用合同条款数据表</w:t>
      </w:r>
    </w:p>
    <w:p w14:paraId="2FE527A8">
      <w:pPr>
        <w:pStyle w:val="3"/>
        <w:snapToGrid w:val="0"/>
        <w:spacing w:line="360" w:lineRule="auto"/>
        <w:ind w:left="400" w:firstLine="480"/>
        <w:rPr>
          <w:rFonts w:ascii="宋体" w:hAnsi="宋体" w:cs="宋体"/>
          <w:color w:val="auto"/>
          <w:szCs w:val="21"/>
          <w:highlight w:val="none"/>
        </w:rPr>
      </w:pPr>
      <w:r>
        <w:rPr>
          <w:rFonts w:hint="eastAsia" w:ascii="宋体" w:hAnsi="宋体" w:cs="宋体"/>
          <w:color w:val="auto"/>
          <w:szCs w:val="21"/>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06FB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668BCEF0">
            <w:pPr>
              <w:snapToGrid w:val="0"/>
              <w:spacing w:before="100" w:beforeAutospacing="1" w:line="360" w:lineRule="auto"/>
              <w:ind w:left="-100" w:leftChars="-50" w:right="-100" w:rightChars="-50"/>
              <w:jc w:val="center"/>
              <w:rPr>
                <w:rFonts w:cs="宋体"/>
                <w:b/>
                <w:color w:val="auto"/>
                <w:sz w:val="21"/>
                <w:szCs w:val="21"/>
                <w:highlight w:val="none"/>
              </w:rPr>
            </w:pPr>
            <w:r>
              <w:rPr>
                <w:rFonts w:hint="eastAsia" w:cs="宋体"/>
                <w:b/>
                <w:color w:val="auto"/>
                <w:sz w:val="21"/>
                <w:szCs w:val="21"/>
                <w:highlight w:val="none"/>
              </w:rPr>
              <w:t>序号</w:t>
            </w:r>
          </w:p>
        </w:tc>
        <w:tc>
          <w:tcPr>
            <w:tcW w:w="1111" w:type="dxa"/>
            <w:vAlign w:val="center"/>
          </w:tcPr>
          <w:p w14:paraId="44F17989">
            <w:pPr>
              <w:snapToGrid w:val="0"/>
              <w:spacing w:line="360" w:lineRule="auto"/>
              <w:ind w:left="-100" w:leftChars="-50" w:right="-100" w:rightChars="-50"/>
              <w:jc w:val="center"/>
              <w:rPr>
                <w:rFonts w:cs="宋体"/>
                <w:b/>
                <w:color w:val="auto"/>
                <w:sz w:val="21"/>
                <w:szCs w:val="21"/>
                <w:highlight w:val="none"/>
              </w:rPr>
            </w:pPr>
            <w:r>
              <w:rPr>
                <w:rFonts w:hint="eastAsia" w:cs="宋体"/>
                <w:b/>
                <w:color w:val="auto"/>
                <w:sz w:val="21"/>
                <w:szCs w:val="21"/>
                <w:highlight w:val="none"/>
              </w:rPr>
              <w:t>条目号</w:t>
            </w:r>
          </w:p>
        </w:tc>
        <w:tc>
          <w:tcPr>
            <w:tcW w:w="7304" w:type="dxa"/>
            <w:vAlign w:val="center"/>
          </w:tcPr>
          <w:p w14:paraId="24660E64">
            <w:pPr>
              <w:snapToGrid w:val="0"/>
              <w:spacing w:line="360" w:lineRule="auto"/>
              <w:jc w:val="center"/>
              <w:rPr>
                <w:rFonts w:cs="宋体"/>
                <w:b/>
                <w:color w:val="auto"/>
                <w:sz w:val="21"/>
                <w:szCs w:val="21"/>
                <w:highlight w:val="none"/>
              </w:rPr>
            </w:pPr>
            <w:r>
              <w:rPr>
                <w:rFonts w:hint="eastAsia" w:cs="宋体"/>
                <w:b/>
                <w:color w:val="auto"/>
                <w:sz w:val="21"/>
                <w:szCs w:val="21"/>
                <w:highlight w:val="none"/>
              </w:rPr>
              <w:t>信息或数据</w:t>
            </w:r>
          </w:p>
        </w:tc>
      </w:tr>
      <w:tr w14:paraId="2690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2605BE1">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270CCE08">
            <w:pPr>
              <w:snapToGrid w:val="0"/>
              <w:spacing w:line="360" w:lineRule="auto"/>
              <w:jc w:val="center"/>
              <w:rPr>
                <w:rFonts w:cs="宋体"/>
                <w:bCs/>
                <w:color w:val="auto"/>
                <w:sz w:val="21"/>
                <w:szCs w:val="21"/>
                <w:highlight w:val="none"/>
              </w:rPr>
            </w:pPr>
            <w:r>
              <w:rPr>
                <w:rFonts w:hint="eastAsia" w:cs="宋体"/>
                <w:bCs/>
                <w:color w:val="auto"/>
                <w:sz w:val="21"/>
                <w:szCs w:val="21"/>
                <w:highlight w:val="none"/>
              </w:rPr>
              <w:t>2.5</w:t>
            </w:r>
          </w:p>
        </w:tc>
        <w:tc>
          <w:tcPr>
            <w:tcW w:w="7304" w:type="dxa"/>
            <w:vAlign w:val="center"/>
          </w:tcPr>
          <w:p w14:paraId="4F51408A">
            <w:pPr>
              <w:snapToGrid w:val="0"/>
              <w:spacing w:line="360" w:lineRule="auto"/>
              <w:rPr>
                <w:rFonts w:cs="宋体"/>
                <w:bCs/>
                <w:color w:val="auto"/>
                <w:sz w:val="21"/>
                <w:szCs w:val="21"/>
                <w:highlight w:val="none"/>
                <w:u w:val="single"/>
              </w:rPr>
            </w:pPr>
            <w:r>
              <w:rPr>
                <w:rFonts w:hint="eastAsia" w:cs="宋体"/>
                <w:bCs/>
                <w:color w:val="auto"/>
                <w:sz w:val="21"/>
                <w:szCs w:val="21"/>
                <w:highlight w:val="none"/>
              </w:rPr>
              <w:t>发包人提供资金来源证明的期限要求：</w:t>
            </w:r>
            <w:r>
              <w:rPr>
                <w:rFonts w:hint="eastAsia" w:cs="宋体"/>
                <w:bCs/>
                <w:color w:val="auto"/>
                <w:sz w:val="21"/>
                <w:szCs w:val="21"/>
                <w:highlight w:val="none"/>
                <w:u w:val="single"/>
              </w:rPr>
              <w:t>执行通用条款。</w:t>
            </w:r>
          </w:p>
          <w:p w14:paraId="72F1AF26">
            <w:pPr>
              <w:snapToGrid w:val="0"/>
              <w:spacing w:line="360" w:lineRule="auto"/>
              <w:rPr>
                <w:rFonts w:hint="default" w:eastAsia="宋体" w:cs="宋体"/>
                <w:bCs/>
                <w:color w:val="auto"/>
                <w:sz w:val="21"/>
                <w:szCs w:val="21"/>
                <w:highlight w:val="none"/>
                <w:u w:val="single"/>
                <w:lang w:val="en-US" w:eastAsia="zh-CN"/>
              </w:rPr>
            </w:pPr>
            <w:r>
              <w:rPr>
                <w:rFonts w:hint="eastAsia" w:cs="宋体"/>
                <w:bCs/>
                <w:color w:val="auto"/>
                <w:sz w:val="21"/>
                <w:szCs w:val="21"/>
                <w:highlight w:val="none"/>
              </w:rPr>
              <w:t>发包人是否提供支付担保：</w:t>
            </w:r>
            <w:r>
              <w:rPr>
                <w:rFonts w:hint="eastAsia" w:cs="宋体"/>
                <w:bCs/>
                <w:color w:val="auto"/>
                <w:sz w:val="21"/>
                <w:szCs w:val="21"/>
                <w:highlight w:val="none"/>
                <w:u w:val="single"/>
                <w:lang w:val="en-US" w:eastAsia="zh-CN"/>
              </w:rPr>
              <w:t>提供支付担保</w:t>
            </w:r>
          </w:p>
          <w:p w14:paraId="2D463756">
            <w:pPr>
              <w:snapToGrid w:val="0"/>
              <w:spacing w:line="360" w:lineRule="auto"/>
              <w:rPr>
                <w:rFonts w:cs="宋体"/>
                <w:bCs/>
                <w:color w:val="auto"/>
                <w:sz w:val="21"/>
                <w:szCs w:val="21"/>
                <w:highlight w:val="none"/>
                <w:u w:val="single"/>
              </w:rPr>
            </w:pPr>
            <w:r>
              <w:rPr>
                <w:rFonts w:hint="eastAsia" w:cs="宋体"/>
                <w:bCs/>
                <w:color w:val="auto"/>
                <w:sz w:val="21"/>
                <w:szCs w:val="21"/>
                <w:highlight w:val="none"/>
              </w:rPr>
              <w:t>发包人提供支付担保的形式：</w:t>
            </w:r>
            <w:r>
              <w:rPr>
                <w:rFonts w:hint="eastAsia" w:cs="宋体"/>
                <w:bCs/>
                <w:color w:val="auto"/>
                <w:sz w:val="21"/>
                <w:szCs w:val="21"/>
                <w:highlight w:val="none"/>
                <w:u w:val="single"/>
              </w:rPr>
              <w:t>提供财政等政府有权部门出具的落实项目建设资金保障证明作为工程款支付担保凭证。</w:t>
            </w:r>
          </w:p>
        </w:tc>
      </w:tr>
      <w:tr w14:paraId="4E36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2E8BF32">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55FFB0EE">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3.2.1</w:t>
            </w:r>
          </w:p>
        </w:tc>
        <w:tc>
          <w:tcPr>
            <w:tcW w:w="7304" w:type="dxa"/>
            <w:vAlign w:val="center"/>
          </w:tcPr>
          <w:p w14:paraId="2D695C4A">
            <w:pPr>
              <w:snapToGrid w:val="0"/>
              <w:spacing w:line="360" w:lineRule="auto"/>
              <w:rPr>
                <w:rFonts w:hint="eastAsia" w:eastAsia="宋体" w:cs="宋体"/>
                <w:bCs/>
                <w:color w:val="auto"/>
                <w:sz w:val="21"/>
                <w:szCs w:val="21"/>
                <w:highlight w:val="none"/>
                <w:lang w:eastAsia="zh-CN"/>
              </w:rPr>
            </w:pPr>
            <w:r>
              <w:rPr>
                <w:rFonts w:hint="eastAsia" w:cs="宋体"/>
                <w:bCs/>
                <w:color w:val="auto"/>
                <w:sz w:val="21"/>
                <w:szCs w:val="21"/>
                <w:highlight w:val="none"/>
                <w:lang w:eastAsia="zh-CN"/>
              </w:rPr>
              <w:t>项目负责人</w:t>
            </w:r>
          </w:p>
          <w:p w14:paraId="59BE672B">
            <w:pPr>
              <w:snapToGrid w:val="0"/>
              <w:spacing w:line="360" w:lineRule="auto"/>
              <w:rPr>
                <w:rFonts w:cs="宋体"/>
                <w:bCs/>
                <w:color w:val="auto"/>
                <w:sz w:val="21"/>
                <w:szCs w:val="21"/>
                <w:highlight w:val="none"/>
              </w:rPr>
            </w:pPr>
            <w:r>
              <w:rPr>
                <w:rFonts w:hint="eastAsia" w:cs="宋体"/>
                <w:bCs/>
                <w:color w:val="auto"/>
                <w:sz w:val="21"/>
                <w:szCs w:val="21"/>
                <w:highlight w:val="none"/>
              </w:rPr>
              <w:t>姓    名：</w:t>
            </w:r>
            <w:r>
              <w:rPr>
                <w:rFonts w:hint="eastAsia" w:cs="宋体"/>
                <w:bCs/>
                <w:color w:val="auto"/>
                <w:sz w:val="21"/>
                <w:szCs w:val="21"/>
                <w:highlight w:val="none"/>
                <w:u w:val="single"/>
              </w:rPr>
              <w:t xml:space="preserve">          </w:t>
            </w:r>
          </w:p>
          <w:p w14:paraId="3FAD0662">
            <w:pPr>
              <w:snapToGrid w:val="0"/>
              <w:spacing w:line="360" w:lineRule="auto"/>
              <w:rPr>
                <w:rFonts w:cs="宋体"/>
                <w:bCs/>
                <w:color w:val="auto"/>
                <w:sz w:val="21"/>
                <w:szCs w:val="21"/>
                <w:highlight w:val="none"/>
              </w:rPr>
            </w:pPr>
            <w:r>
              <w:rPr>
                <w:rFonts w:hint="eastAsia" w:cs="宋体"/>
                <w:bCs/>
                <w:color w:val="auto"/>
                <w:sz w:val="21"/>
                <w:szCs w:val="21"/>
                <w:highlight w:val="none"/>
              </w:rPr>
              <w:t>身份证号：</w:t>
            </w:r>
            <w:r>
              <w:rPr>
                <w:rFonts w:hint="eastAsia" w:cs="宋体"/>
                <w:bCs/>
                <w:color w:val="auto"/>
                <w:sz w:val="21"/>
                <w:szCs w:val="21"/>
                <w:highlight w:val="none"/>
                <w:u w:val="single"/>
              </w:rPr>
              <w:t xml:space="preserve">          </w:t>
            </w:r>
          </w:p>
          <w:p w14:paraId="74C0DB3F">
            <w:pPr>
              <w:snapToGrid w:val="0"/>
              <w:spacing w:line="360" w:lineRule="auto"/>
              <w:rPr>
                <w:rFonts w:cs="宋体"/>
                <w:bCs/>
                <w:color w:val="auto"/>
                <w:sz w:val="21"/>
                <w:szCs w:val="21"/>
                <w:highlight w:val="none"/>
              </w:rPr>
            </w:pPr>
            <w:r>
              <w:rPr>
                <w:rFonts w:hint="eastAsia" w:cs="宋体"/>
                <w:bCs/>
                <w:color w:val="auto"/>
                <w:sz w:val="21"/>
                <w:szCs w:val="21"/>
                <w:highlight w:val="none"/>
              </w:rPr>
              <w:t>建造师执业资格等级：</w:t>
            </w:r>
            <w:r>
              <w:rPr>
                <w:rFonts w:hint="eastAsia" w:cs="宋体"/>
                <w:bCs/>
                <w:color w:val="auto"/>
                <w:sz w:val="21"/>
                <w:szCs w:val="21"/>
                <w:highlight w:val="none"/>
                <w:u w:val="single"/>
              </w:rPr>
              <w:t xml:space="preserve">          </w:t>
            </w:r>
          </w:p>
          <w:p w14:paraId="0113410A">
            <w:pPr>
              <w:snapToGrid w:val="0"/>
              <w:spacing w:line="360" w:lineRule="auto"/>
              <w:rPr>
                <w:rFonts w:cs="宋体"/>
                <w:bCs/>
                <w:color w:val="auto"/>
                <w:sz w:val="21"/>
                <w:szCs w:val="21"/>
                <w:highlight w:val="none"/>
              </w:rPr>
            </w:pPr>
            <w:r>
              <w:rPr>
                <w:rFonts w:hint="eastAsia" w:cs="宋体"/>
                <w:bCs/>
                <w:color w:val="auto"/>
                <w:sz w:val="21"/>
                <w:szCs w:val="21"/>
                <w:highlight w:val="none"/>
              </w:rPr>
              <w:t>建造师注册证书号：</w:t>
            </w:r>
            <w:r>
              <w:rPr>
                <w:rFonts w:hint="eastAsia" w:cs="宋体"/>
                <w:bCs/>
                <w:color w:val="auto"/>
                <w:sz w:val="21"/>
                <w:szCs w:val="21"/>
                <w:highlight w:val="none"/>
                <w:u w:val="single"/>
              </w:rPr>
              <w:t xml:space="preserve">            </w:t>
            </w:r>
          </w:p>
          <w:p w14:paraId="0B5CE3BA">
            <w:pPr>
              <w:snapToGrid w:val="0"/>
              <w:spacing w:line="360" w:lineRule="auto"/>
              <w:rPr>
                <w:rFonts w:cs="宋体"/>
                <w:bCs/>
                <w:color w:val="auto"/>
                <w:sz w:val="21"/>
                <w:szCs w:val="21"/>
                <w:highlight w:val="none"/>
                <w:u w:val="single"/>
              </w:rPr>
            </w:pPr>
            <w:r>
              <w:rPr>
                <w:rFonts w:hint="eastAsia" w:cs="宋体"/>
                <w:bCs/>
                <w:color w:val="auto"/>
                <w:sz w:val="21"/>
                <w:szCs w:val="21"/>
                <w:highlight w:val="none"/>
              </w:rPr>
              <w:t>承包人对</w:t>
            </w:r>
            <w:r>
              <w:rPr>
                <w:rFonts w:hint="eastAsia" w:cs="宋体"/>
                <w:bCs/>
                <w:color w:val="auto"/>
                <w:sz w:val="21"/>
                <w:szCs w:val="21"/>
                <w:highlight w:val="none"/>
                <w:lang w:eastAsia="zh-CN"/>
              </w:rPr>
              <w:t>项目负责人</w:t>
            </w:r>
            <w:r>
              <w:rPr>
                <w:rFonts w:hint="eastAsia" w:cs="宋体"/>
                <w:bCs/>
                <w:color w:val="auto"/>
                <w:sz w:val="21"/>
                <w:szCs w:val="21"/>
                <w:highlight w:val="none"/>
              </w:rPr>
              <w:t>的授权范围如下：</w:t>
            </w:r>
            <w:r>
              <w:rPr>
                <w:rFonts w:hint="eastAsia" w:cs="宋体"/>
                <w:bCs/>
                <w:color w:val="auto"/>
                <w:sz w:val="21"/>
                <w:szCs w:val="21"/>
                <w:highlight w:val="none"/>
                <w:u w:val="single"/>
              </w:rPr>
              <w:t>受承包人委托全面负责工程安全、质量、进度、三大控制要素，完善合同、信息、组织管理体系，做好安全监督、文明标准化现场工作和疫情防控工作，负责提交、接收、确认工程往来函件、技术签证等事项</w:t>
            </w:r>
            <w:r>
              <w:rPr>
                <w:rFonts w:hint="eastAsia" w:cs="宋体"/>
                <w:bCs/>
                <w:color w:val="auto"/>
                <w:sz w:val="21"/>
                <w:szCs w:val="21"/>
                <w:highlight w:val="none"/>
                <w:u w:val="single"/>
                <w:lang w:eastAsia="zh-CN"/>
              </w:rPr>
              <w:t>。</w:t>
            </w:r>
          </w:p>
          <w:p w14:paraId="0F04B2A4">
            <w:pPr>
              <w:snapToGrid w:val="0"/>
              <w:spacing w:line="360" w:lineRule="auto"/>
              <w:rPr>
                <w:rFonts w:hint="eastAsia" w:cs="宋体"/>
                <w:bCs/>
                <w:color w:val="auto"/>
                <w:sz w:val="21"/>
                <w:szCs w:val="21"/>
                <w:highlight w:val="none"/>
              </w:rPr>
            </w:pPr>
            <w:r>
              <w:rPr>
                <w:rFonts w:hint="eastAsia" w:cs="宋体"/>
                <w:bCs/>
                <w:color w:val="auto"/>
                <w:sz w:val="21"/>
                <w:szCs w:val="21"/>
                <w:highlight w:val="none"/>
              </w:rPr>
              <w:t>承包人</w:t>
            </w:r>
            <w:r>
              <w:rPr>
                <w:rFonts w:hint="eastAsia" w:cs="宋体"/>
                <w:bCs/>
                <w:color w:val="auto"/>
                <w:sz w:val="21"/>
                <w:szCs w:val="21"/>
                <w:highlight w:val="none"/>
                <w:lang w:eastAsia="zh-CN"/>
              </w:rPr>
              <w:t>项目负责人</w:t>
            </w:r>
            <w:r>
              <w:rPr>
                <w:rFonts w:hint="eastAsia" w:cs="宋体"/>
                <w:bCs/>
                <w:color w:val="auto"/>
                <w:sz w:val="21"/>
                <w:szCs w:val="21"/>
                <w:highlight w:val="none"/>
              </w:rPr>
              <w:t>每月在施工现场的时间：驻场时间每月不少于</w:t>
            </w:r>
            <w:r>
              <w:rPr>
                <w:rFonts w:hint="eastAsia" w:cs="宋体"/>
                <w:bCs/>
                <w:color w:val="auto"/>
                <w:sz w:val="21"/>
                <w:szCs w:val="21"/>
                <w:highlight w:val="none"/>
                <w:u w:val="single"/>
                <w:lang w:val="en-US" w:eastAsia="zh-CN"/>
              </w:rPr>
              <w:t>22</w:t>
            </w:r>
            <w:r>
              <w:rPr>
                <w:rFonts w:hint="eastAsia" w:cs="宋体"/>
                <w:bCs/>
                <w:color w:val="auto"/>
                <w:sz w:val="21"/>
                <w:szCs w:val="21"/>
                <w:highlight w:val="none"/>
              </w:rPr>
              <w:t>天，每天在岗工作时间不得少于</w:t>
            </w:r>
            <w:r>
              <w:rPr>
                <w:rFonts w:hint="eastAsia" w:cs="宋体"/>
                <w:bCs/>
                <w:color w:val="auto"/>
                <w:sz w:val="21"/>
                <w:szCs w:val="21"/>
                <w:highlight w:val="none"/>
                <w:u w:val="single"/>
                <w:lang w:val="en-US" w:eastAsia="zh-CN"/>
              </w:rPr>
              <w:t>8</w:t>
            </w:r>
            <w:r>
              <w:rPr>
                <w:rFonts w:hint="eastAsia" w:cs="宋体"/>
                <w:bCs/>
                <w:color w:val="auto"/>
                <w:sz w:val="21"/>
                <w:szCs w:val="21"/>
                <w:highlight w:val="none"/>
              </w:rPr>
              <w:t>小时。</w:t>
            </w:r>
          </w:p>
        </w:tc>
      </w:tr>
      <w:tr w14:paraId="62F7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1F7C584">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4B23E169">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3.7</w:t>
            </w:r>
          </w:p>
        </w:tc>
        <w:tc>
          <w:tcPr>
            <w:tcW w:w="7304" w:type="dxa"/>
            <w:vAlign w:val="center"/>
          </w:tcPr>
          <w:p w14:paraId="369FA1E3">
            <w:pPr>
              <w:snapToGrid w:val="0"/>
              <w:spacing w:line="360" w:lineRule="auto"/>
              <w:rPr>
                <w:rFonts w:cs="宋体"/>
                <w:bCs/>
                <w:color w:val="auto"/>
                <w:sz w:val="21"/>
                <w:szCs w:val="21"/>
                <w:highlight w:val="none"/>
              </w:rPr>
            </w:pPr>
            <w:r>
              <w:rPr>
                <w:rFonts w:hint="eastAsia" w:cs="宋体"/>
                <w:bCs/>
                <w:color w:val="auto"/>
                <w:sz w:val="21"/>
                <w:szCs w:val="21"/>
                <w:highlight w:val="none"/>
              </w:rPr>
              <w:t>承包人是否提供履约保证金：</w:t>
            </w:r>
            <w:r>
              <w:rPr>
                <w:rFonts w:hint="eastAsia" w:cs="宋体"/>
                <w:bCs/>
                <w:color w:val="auto"/>
                <w:sz w:val="21"/>
                <w:szCs w:val="21"/>
                <w:highlight w:val="none"/>
                <w:u w:val="single"/>
                <w:lang w:val="en-US" w:eastAsia="zh-CN"/>
              </w:rPr>
              <w:t>是</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6B23DF25">
            <w:pPr>
              <w:snapToGrid w:val="0"/>
              <w:spacing w:line="360" w:lineRule="auto"/>
              <w:rPr>
                <w:rFonts w:cs="宋体"/>
                <w:bCs/>
                <w:color w:val="auto"/>
                <w:sz w:val="21"/>
                <w:szCs w:val="21"/>
                <w:highlight w:val="none"/>
              </w:rPr>
            </w:pPr>
            <w:r>
              <w:rPr>
                <w:rFonts w:hint="eastAsia" w:cs="宋体"/>
                <w:bCs/>
                <w:color w:val="auto"/>
                <w:sz w:val="21"/>
                <w:szCs w:val="21"/>
                <w:highlight w:val="none"/>
              </w:rPr>
              <w:t>承包人提供履约保证金的形式：</w:t>
            </w:r>
            <w:r>
              <w:rPr>
                <w:rFonts w:hint="eastAsia" w:cs="宋体"/>
                <w:bCs/>
                <w:color w:val="auto"/>
                <w:sz w:val="21"/>
                <w:szCs w:val="21"/>
                <w:highlight w:val="none"/>
                <w:u w:val="single"/>
                <w:lang w:eastAsia="zh-CN"/>
              </w:rPr>
              <w:t>√</w:t>
            </w:r>
            <w:r>
              <w:rPr>
                <w:rFonts w:hint="eastAsia" w:cs="宋体"/>
                <w:bCs/>
                <w:color w:val="auto"/>
                <w:sz w:val="21"/>
                <w:szCs w:val="21"/>
                <w:highlight w:val="none"/>
                <w:u w:val="single"/>
              </w:rPr>
              <w:t xml:space="preserve">转账/电汇 </w:t>
            </w:r>
            <w:r>
              <w:rPr>
                <w:rFonts w:hint="eastAsia" w:cs="宋体"/>
                <w:bCs/>
                <w:color w:val="auto"/>
                <w:sz w:val="21"/>
                <w:szCs w:val="21"/>
                <w:highlight w:val="none"/>
                <w:u w:val="single"/>
                <w:lang w:eastAsia="zh-CN"/>
              </w:rPr>
              <w:t>√</w:t>
            </w:r>
            <w:r>
              <w:rPr>
                <w:rFonts w:hint="eastAsia" w:cs="宋体"/>
                <w:bCs/>
                <w:color w:val="auto"/>
                <w:sz w:val="21"/>
                <w:szCs w:val="21"/>
                <w:highlight w:val="none"/>
                <w:u w:val="single"/>
              </w:rPr>
              <w:t xml:space="preserve">支票 </w:t>
            </w:r>
            <w:r>
              <w:rPr>
                <w:rFonts w:hint="eastAsia" w:cs="宋体"/>
                <w:bCs/>
                <w:color w:val="auto"/>
                <w:sz w:val="21"/>
                <w:szCs w:val="21"/>
                <w:highlight w:val="none"/>
                <w:u w:val="single"/>
                <w:lang w:eastAsia="zh-CN"/>
              </w:rPr>
              <w:t>√</w:t>
            </w:r>
            <w:r>
              <w:rPr>
                <w:rFonts w:hint="eastAsia" w:cs="宋体"/>
                <w:bCs/>
                <w:color w:val="auto"/>
                <w:sz w:val="21"/>
                <w:szCs w:val="21"/>
                <w:highlight w:val="none"/>
                <w:u w:val="single"/>
              </w:rPr>
              <w:t xml:space="preserve">汇票 </w:t>
            </w:r>
            <w:r>
              <w:rPr>
                <w:rFonts w:hint="eastAsia" w:cs="宋体"/>
                <w:bCs/>
                <w:color w:val="auto"/>
                <w:sz w:val="21"/>
                <w:szCs w:val="21"/>
                <w:highlight w:val="none"/>
                <w:u w:val="single"/>
                <w:lang w:eastAsia="zh-CN"/>
              </w:rPr>
              <w:t>√</w:t>
            </w:r>
            <w:r>
              <w:rPr>
                <w:rFonts w:hint="eastAsia" w:cs="宋体"/>
                <w:bCs/>
                <w:color w:val="auto"/>
                <w:sz w:val="21"/>
                <w:szCs w:val="21"/>
                <w:highlight w:val="none"/>
                <w:u w:val="single"/>
              </w:rPr>
              <w:t xml:space="preserve">本票 </w:t>
            </w:r>
            <w:r>
              <w:rPr>
                <w:rFonts w:hint="eastAsia" w:cs="宋体"/>
                <w:bCs/>
                <w:color w:val="auto"/>
                <w:sz w:val="21"/>
                <w:szCs w:val="21"/>
                <w:highlight w:val="none"/>
                <w:u w:val="single"/>
                <w:lang w:eastAsia="zh-CN"/>
              </w:rPr>
              <w:t>√</w:t>
            </w:r>
            <w:r>
              <w:rPr>
                <w:rFonts w:hint="eastAsia" w:cs="宋体"/>
                <w:bCs/>
                <w:color w:val="auto"/>
                <w:sz w:val="21"/>
                <w:szCs w:val="21"/>
                <w:highlight w:val="none"/>
                <w:u w:val="single"/>
              </w:rPr>
              <w:t xml:space="preserve">保险 </w:t>
            </w:r>
            <w:r>
              <w:rPr>
                <w:rFonts w:hint="eastAsia" w:cs="宋体"/>
                <w:bCs/>
                <w:color w:val="auto"/>
                <w:sz w:val="21"/>
                <w:szCs w:val="21"/>
                <w:highlight w:val="none"/>
                <w:u w:val="single"/>
                <w:lang w:eastAsia="zh-CN"/>
              </w:rPr>
              <w:t>√</w:t>
            </w:r>
            <w:r>
              <w:rPr>
                <w:rFonts w:hint="eastAsia" w:cs="宋体"/>
                <w:bCs/>
                <w:color w:val="auto"/>
                <w:sz w:val="21"/>
                <w:szCs w:val="21"/>
                <w:highlight w:val="none"/>
                <w:u w:val="single"/>
              </w:rPr>
              <w:t>保函（</w:t>
            </w:r>
            <w:r>
              <w:rPr>
                <w:rFonts w:hint="eastAsia" w:cs="宋体"/>
                <w:bCs/>
                <w:color w:val="auto"/>
                <w:sz w:val="21"/>
                <w:szCs w:val="21"/>
                <w:highlight w:val="none"/>
                <w:u w:val="single"/>
                <w:lang w:eastAsia="zh-CN"/>
              </w:rPr>
              <w:t>√</w:t>
            </w:r>
            <w:r>
              <w:rPr>
                <w:rFonts w:hint="eastAsia" w:cs="宋体"/>
                <w:bCs/>
                <w:color w:val="auto"/>
                <w:sz w:val="21"/>
                <w:szCs w:val="21"/>
                <w:highlight w:val="none"/>
                <w:u w:val="single"/>
              </w:rPr>
              <w:t>电子保函</w:t>
            </w:r>
            <w:r>
              <w:rPr>
                <w:rFonts w:hint="eastAsia" w:cs="宋体"/>
                <w:bCs/>
                <w:color w:val="auto"/>
                <w:sz w:val="21"/>
                <w:szCs w:val="21"/>
                <w:highlight w:val="none"/>
                <w:u w:val="single"/>
                <w:lang w:eastAsia="zh-CN"/>
              </w:rPr>
              <w:t>√</w:t>
            </w:r>
            <w:r>
              <w:rPr>
                <w:rFonts w:hint="eastAsia" w:cs="宋体"/>
                <w:bCs/>
                <w:color w:val="auto"/>
                <w:sz w:val="21"/>
                <w:szCs w:val="21"/>
                <w:highlight w:val="none"/>
                <w:u w:val="single"/>
              </w:rPr>
              <w:t>银行直开或分离式纸质保函）</w:t>
            </w:r>
            <w:r>
              <w:rPr>
                <w:rFonts w:hint="eastAsia" w:cs="宋体"/>
                <w:bCs/>
                <w:color w:val="auto"/>
                <w:sz w:val="21"/>
                <w:szCs w:val="21"/>
                <w:highlight w:val="none"/>
              </w:rPr>
              <w:t>。</w:t>
            </w:r>
          </w:p>
          <w:p w14:paraId="65F0974D">
            <w:pPr>
              <w:snapToGrid w:val="0"/>
              <w:spacing w:line="360" w:lineRule="auto"/>
              <w:rPr>
                <w:rFonts w:cs="宋体"/>
                <w:bCs/>
                <w:color w:val="auto"/>
                <w:sz w:val="21"/>
                <w:szCs w:val="21"/>
                <w:highlight w:val="none"/>
              </w:rPr>
            </w:pPr>
            <w:r>
              <w:rPr>
                <w:rFonts w:hint="eastAsia" w:cs="宋体"/>
                <w:bCs/>
                <w:color w:val="auto"/>
                <w:sz w:val="21"/>
                <w:szCs w:val="21"/>
                <w:highlight w:val="none"/>
              </w:rPr>
              <w:t>履约保证金的金额：中标合同金额的</w:t>
            </w:r>
            <w:r>
              <w:rPr>
                <w:rFonts w:hint="eastAsia" w:cs="宋体"/>
                <w:bCs/>
                <w:color w:val="auto"/>
                <w:sz w:val="21"/>
                <w:szCs w:val="21"/>
                <w:highlight w:val="none"/>
                <w:u w:val="single"/>
                <w:lang w:val="en-US" w:eastAsia="zh-CN"/>
              </w:rPr>
              <w:t>2</w:t>
            </w:r>
            <w:r>
              <w:rPr>
                <w:rFonts w:hint="eastAsia" w:cs="宋体"/>
                <w:bCs/>
                <w:color w:val="auto"/>
                <w:sz w:val="21"/>
                <w:szCs w:val="21"/>
                <w:highlight w:val="none"/>
              </w:rPr>
              <w:t>%。</w:t>
            </w:r>
          </w:p>
          <w:p w14:paraId="0A255FE3">
            <w:pPr>
              <w:snapToGrid w:val="0"/>
              <w:spacing w:line="360" w:lineRule="auto"/>
              <w:rPr>
                <w:rFonts w:cs="宋体"/>
                <w:bCs/>
                <w:color w:val="auto"/>
                <w:sz w:val="21"/>
                <w:szCs w:val="21"/>
                <w:highlight w:val="none"/>
              </w:rPr>
            </w:pPr>
            <w:r>
              <w:rPr>
                <w:rFonts w:hint="eastAsia" w:cs="宋体"/>
                <w:bCs/>
                <w:color w:val="auto"/>
                <w:sz w:val="21"/>
                <w:szCs w:val="21"/>
                <w:highlight w:val="none"/>
              </w:rPr>
              <w:t>履约保证金提交期限的要求：签订合同前。</w:t>
            </w:r>
          </w:p>
          <w:p w14:paraId="270E587E">
            <w:pPr>
              <w:snapToGrid w:val="0"/>
              <w:spacing w:line="360" w:lineRule="auto"/>
              <w:rPr>
                <w:rFonts w:hint="eastAsia" w:cs="宋体"/>
                <w:bCs/>
                <w:color w:val="auto"/>
                <w:sz w:val="21"/>
                <w:szCs w:val="21"/>
                <w:highlight w:val="none"/>
                <w:u w:val="single"/>
              </w:rPr>
            </w:pPr>
            <w:r>
              <w:rPr>
                <w:rFonts w:hint="eastAsia" w:cs="宋体"/>
                <w:bCs/>
                <w:color w:val="auto"/>
                <w:sz w:val="21"/>
                <w:szCs w:val="21"/>
                <w:highlight w:val="none"/>
              </w:rPr>
              <w:t>履约保证金退还时限：</w:t>
            </w:r>
            <w:r>
              <w:rPr>
                <w:rFonts w:hint="eastAsia" w:cs="宋体"/>
                <w:bCs/>
                <w:color w:val="auto"/>
                <w:sz w:val="21"/>
                <w:szCs w:val="21"/>
                <w:highlight w:val="none"/>
                <w:u w:val="single"/>
              </w:rPr>
              <w:t>①采用银行转账方式：全部工程竣工验收合格后退还；</w:t>
            </w:r>
          </w:p>
          <w:p w14:paraId="011C50B8">
            <w:pPr>
              <w:snapToGrid w:val="0"/>
              <w:spacing w:line="360" w:lineRule="auto"/>
              <w:rPr>
                <w:rFonts w:cs="宋体"/>
                <w:bCs/>
                <w:color w:val="auto"/>
                <w:kern w:val="2"/>
                <w:sz w:val="21"/>
                <w:szCs w:val="21"/>
                <w:highlight w:val="none"/>
              </w:rPr>
            </w:pPr>
            <w:r>
              <w:rPr>
                <w:rFonts w:hint="eastAsia" w:cs="宋体"/>
                <w:bCs/>
                <w:color w:val="auto"/>
                <w:sz w:val="21"/>
                <w:szCs w:val="21"/>
                <w:highlight w:val="none"/>
                <w:u w:val="single"/>
              </w:rPr>
              <w:t>②采用支票、汇票、本票、保函等方式：有效期为自合同签订之日起至服务期（供货期）满后止。</w:t>
            </w:r>
          </w:p>
        </w:tc>
      </w:tr>
      <w:tr w14:paraId="66FC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681D5B06">
            <w:pPr>
              <w:numPr>
                <w:ilvl w:val="0"/>
                <w:numId w:val="2"/>
              </w:numPr>
              <w:snapToGrid w:val="0"/>
              <w:spacing w:line="360" w:lineRule="auto"/>
              <w:jc w:val="center"/>
              <w:rPr>
                <w:rFonts w:cs="宋体"/>
                <w:bCs/>
                <w:color w:val="auto"/>
                <w:sz w:val="21"/>
                <w:szCs w:val="21"/>
                <w:highlight w:val="none"/>
              </w:rPr>
            </w:pPr>
          </w:p>
        </w:tc>
        <w:tc>
          <w:tcPr>
            <w:tcW w:w="1111" w:type="dxa"/>
            <w:vAlign w:val="center"/>
          </w:tcPr>
          <w:p w14:paraId="11A5E6DC">
            <w:pPr>
              <w:snapToGrid w:val="0"/>
              <w:spacing w:line="360" w:lineRule="auto"/>
              <w:jc w:val="center"/>
              <w:rPr>
                <w:rFonts w:cs="宋体"/>
                <w:bCs/>
                <w:color w:val="auto"/>
                <w:sz w:val="21"/>
                <w:szCs w:val="21"/>
                <w:highlight w:val="none"/>
              </w:rPr>
            </w:pPr>
            <w:r>
              <w:rPr>
                <w:rFonts w:hint="eastAsia" w:cs="宋体"/>
                <w:bCs/>
                <w:color w:val="auto"/>
                <w:sz w:val="21"/>
                <w:szCs w:val="21"/>
                <w:highlight w:val="none"/>
              </w:rPr>
              <w:t>5.1.1</w:t>
            </w:r>
          </w:p>
        </w:tc>
        <w:tc>
          <w:tcPr>
            <w:tcW w:w="7304" w:type="dxa"/>
            <w:vAlign w:val="center"/>
          </w:tcPr>
          <w:p w14:paraId="49687FD3">
            <w:pPr>
              <w:snapToGrid w:val="0"/>
              <w:spacing w:line="360" w:lineRule="auto"/>
              <w:rPr>
                <w:rFonts w:cs="宋体"/>
                <w:bCs/>
                <w:color w:val="auto"/>
                <w:sz w:val="21"/>
                <w:szCs w:val="21"/>
                <w:highlight w:val="none"/>
              </w:rPr>
            </w:pPr>
            <w:r>
              <w:rPr>
                <w:rFonts w:hint="eastAsia" w:cs="宋体"/>
                <w:bCs/>
                <w:color w:val="auto"/>
                <w:sz w:val="21"/>
                <w:szCs w:val="21"/>
                <w:highlight w:val="none"/>
              </w:rPr>
              <w:t>5.1.1 特殊质量标准和要求：</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5999EA5B">
            <w:pPr>
              <w:snapToGrid w:val="0"/>
              <w:spacing w:line="360" w:lineRule="auto"/>
              <w:rPr>
                <w:rFonts w:cs="宋体"/>
                <w:bCs/>
                <w:color w:val="auto"/>
                <w:sz w:val="21"/>
                <w:szCs w:val="21"/>
                <w:highlight w:val="none"/>
              </w:rPr>
            </w:pPr>
            <w:r>
              <w:rPr>
                <w:rFonts w:hint="eastAsia" w:cs="宋体"/>
                <w:bCs/>
                <w:color w:val="auto"/>
                <w:sz w:val="21"/>
                <w:szCs w:val="21"/>
                <w:highlight w:val="none"/>
              </w:rPr>
              <w:t>关于工程奖项的约定：</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无</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55D1DB63">
            <w:pPr>
              <w:snapToGrid w:val="0"/>
              <w:spacing w:line="360" w:lineRule="auto"/>
              <w:rPr>
                <w:rFonts w:cs="宋体"/>
                <w:bCs/>
                <w:color w:val="auto"/>
                <w:sz w:val="21"/>
                <w:szCs w:val="21"/>
                <w:highlight w:val="none"/>
              </w:rPr>
            </w:pPr>
            <w:r>
              <w:rPr>
                <w:rFonts w:hint="eastAsia" w:cs="宋体"/>
                <w:bCs/>
                <w:color w:val="auto"/>
                <w:sz w:val="21"/>
                <w:szCs w:val="21"/>
                <w:highlight w:val="none"/>
              </w:rPr>
              <w:t>关于建造要求：</w:t>
            </w:r>
          </w:p>
          <w:p w14:paraId="7CC54CE6">
            <w:pPr>
              <w:snapToGrid w:val="0"/>
              <w:spacing w:line="360" w:lineRule="auto"/>
              <w:rPr>
                <w:rFonts w:cs="宋体"/>
                <w:bCs/>
                <w:color w:val="auto"/>
                <w:sz w:val="21"/>
                <w:szCs w:val="21"/>
                <w:highlight w:val="none"/>
              </w:rPr>
            </w:pPr>
            <w:r>
              <w:rPr>
                <w:rFonts w:hint="eastAsia" w:cs="宋体"/>
                <w:bCs/>
                <w:color w:val="auto"/>
                <w:sz w:val="21"/>
                <w:szCs w:val="21"/>
                <w:highlight w:val="none"/>
              </w:rPr>
              <w:t>（1）绿色建筑等级要求：</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2B181F68">
            <w:pPr>
              <w:snapToGrid w:val="0"/>
              <w:spacing w:line="360" w:lineRule="auto"/>
              <w:rPr>
                <w:rFonts w:cs="宋体"/>
                <w:bCs/>
                <w:color w:val="auto"/>
                <w:sz w:val="21"/>
                <w:szCs w:val="21"/>
                <w:highlight w:val="none"/>
              </w:rPr>
            </w:pPr>
            <w:r>
              <w:rPr>
                <w:rFonts w:hint="eastAsia" w:cs="宋体"/>
                <w:bCs/>
                <w:color w:val="auto"/>
                <w:sz w:val="21"/>
                <w:szCs w:val="21"/>
                <w:highlight w:val="none"/>
              </w:rPr>
              <w:t>（2）智慧工地管理要求：</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5ACA0C5E">
            <w:pPr>
              <w:snapToGrid w:val="0"/>
              <w:spacing w:line="360" w:lineRule="auto"/>
              <w:rPr>
                <w:rFonts w:cs="宋体"/>
                <w:bCs/>
                <w:color w:val="auto"/>
                <w:sz w:val="21"/>
                <w:szCs w:val="21"/>
                <w:highlight w:val="none"/>
              </w:rPr>
            </w:pPr>
            <w:r>
              <w:rPr>
                <w:rFonts w:hint="eastAsia" w:cs="宋体"/>
                <w:bCs/>
                <w:color w:val="auto"/>
                <w:sz w:val="21"/>
                <w:szCs w:val="21"/>
                <w:highlight w:val="none"/>
              </w:rPr>
              <w:t>（3）建筑垃圾减量化目标：</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140C0BE2">
            <w:pPr>
              <w:snapToGrid w:val="0"/>
              <w:spacing w:line="360" w:lineRule="auto"/>
              <w:rPr>
                <w:rFonts w:cs="宋体"/>
                <w:bCs/>
                <w:color w:val="auto"/>
                <w:sz w:val="21"/>
                <w:szCs w:val="21"/>
                <w:highlight w:val="none"/>
              </w:rPr>
            </w:pPr>
            <w:r>
              <w:rPr>
                <w:rFonts w:hint="eastAsia" w:cs="宋体"/>
                <w:bCs/>
                <w:color w:val="auto"/>
                <w:sz w:val="21"/>
                <w:szCs w:val="21"/>
                <w:highlight w:val="none"/>
              </w:rPr>
              <w:t>（4）装配式建筑装配率要求：</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1F109A8A">
            <w:pPr>
              <w:snapToGrid w:val="0"/>
              <w:spacing w:line="360" w:lineRule="auto"/>
              <w:rPr>
                <w:rFonts w:cs="宋体"/>
                <w:bCs/>
                <w:color w:val="auto"/>
                <w:sz w:val="21"/>
                <w:szCs w:val="21"/>
                <w:highlight w:val="none"/>
              </w:rPr>
            </w:pPr>
            <w:r>
              <w:rPr>
                <w:rFonts w:hint="eastAsia" w:cs="宋体"/>
                <w:bCs/>
                <w:color w:val="auto"/>
                <w:sz w:val="21"/>
                <w:szCs w:val="21"/>
                <w:highlight w:val="none"/>
              </w:rPr>
              <w:t>（5）</w:t>
            </w:r>
            <w:r>
              <w:rPr>
                <w:rFonts w:hint="eastAsia" w:cs="宋体"/>
                <w:bCs/>
                <w:color w:val="auto"/>
                <w:sz w:val="21"/>
                <w:szCs w:val="21"/>
                <w:highlight w:val="none"/>
                <w:u w:val="single"/>
              </w:rPr>
              <w:t xml:space="preserve">                                               </w:t>
            </w:r>
            <w:r>
              <w:rPr>
                <w:rFonts w:hint="eastAsia" w:cs="宋体"/>
                <w:bCs/>
                <w:color w:val="auto"/>
                <w:sz w:val="21"/>
                <w:szCs w:val="21"/>
                <w:highlight w:val="none"/>
              </w:rPr>
              <w:t>。</w:t>
            </w:r>
          </w:p>
        </w:tc>
      </w:tr>
      <w:tr w14:paraId="1CF4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D27F776">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21E2C189">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7.5.2</w:t>
            </w:r>
          </w:p>
        </w:tc>
        <w:tc>
          <w:tcPr>
            <w:tcW w:w="7304" w:type="dxa"/>
            <w:tcBorders>
              <w:bottom w:val="single" w:color="auto" w:sz="4" w:space="0"/>
            </w:tcBorders>
            <w:vAlign w:val="center"/>
          </w:tcPr>
          <w:p w14:paraId="490D80CA">
            <w:pPr>
              <w:snapToGrid w:val="0"/>
              <w:spacing w:line="360" w:lineRule="auto"/>
              <w:rPr>
                <w:rFonts w:hint="eastAsia" w:cs="宋体"/>
                <w:bCs/>
                <w:color w:val="auto"/>
                <w:kern w:val="2"/>
                <w:sz w:val="21"/>
                <w:szCs w:val="21"/>
                <w:highlight w:val="none"/>
                <w:u w:val="single"/>
              </w:rPr>
            </w:pPr>
            <w:r>
              <w:rPr>
                <w:rFonts w:hint="eastAsia" w:cs="宋体"/>
                <w:bCs/>
                <w:color w:val="auto"/>
                <w:kern w:val="2"/>
                <w:sz w:val="21"/>
                <w:szCs w:val="21"/>
                <w:highlight w:val="none"/>
              </w:rPr>
              <w:t>因承包人原因造成工期延误，逾期竣工违约金的计算方法为：</w:t>
            </w:r>
            <w:r>
              <w:rPr>
                <w:rFonts w:hint="eastAsia" w:cs="宋体"/>
                <w:bCs/>
                <w:color w:val="auto"/>
                <w:kern w:val="2"/>
                <w:sz w:val="21"/>
                <w:szCs w:val="21"/>
                <w:highlight w:val="none"/>
                <w:u w:val="single"/>
              </w:rPr>
              <w:t>（1） 督促承包人采取有效的赶工措施（费用自理）。</w:t>
            </w:r>
          </w:p>
          <w:p w14:paraId="043388F5">
            <w:pPr>
              <w:snapToGrid w:val="0"/>
              <w:spacing w:line="360" w:lineRule="auto"/>
              <w:rPr>
                <w:rFonts w:hint="eastAsia" w:cs="宋体"/>
                <w:bCs/>
                <w:color w:val="auto"/>
                <w:kern w:val="2"/>
                <w:sz w:val="21"/>
                <w:szCs w:val="21"/>
                <w:highlight w:val="none"/>
                <w:u w:val="single"/>
              </w:rPr>
            </w:pPr>
            <w:r>
              <w:rPr>
                <w:rFonts w:hint="eastAsia" w:cs="宋体"/>
                <w:bCs/>
                <w:color w:val="auto"/>
                <w:kern w:val="2"/>
                <w:sz w:val="21"/>
                <w:szCs w:val="21"/>
                <w:highlight w:val="none"/>
                <w:u w:val="single"/>
              </w:rPr>
              <w:t>（2） 拖延工期违约金直接从承包人的工程进度款中扣除；每推迟一天，按10000 元/ 天处以违约金，累计最高赔偿金额不超过合同价款的 10% ，提前不奖励。</w:t>
            </w:r>
          </w:p>
          <w:p w14:paraId="5F6B589F">
            <w:pPr>
              <w:snapToGrid w:val="0"/>
              <w:spacing w:line="360" w:lineRule="auto"/>
              <w:rPr>
                <w:rFonts w:hint="eastAsia" w:cs="宋体"/>
                <w:bCs/>
                <w:color w:val="auto"/>
                <w:kern w:val="2"/>
                <w:sz w:val="21"/>
                <w:szCs w:val="21"/>
                <w:highlight w:val="none"/>
                <w:u w:val="single"/>
              </w:rPr>
            </w:pPr>
            <w:r>
              <w:rPr>
                <w:rFonts w:hint="eastAsia" w:cs="宋体"/>
                <w:bCs/>
                <w:color w:val="auto"/>
                <w:kern w:val="2"/>
                <w:sz w:val="21"/>
                <w:szCs w:val="21"/>
                <w:highlight w:val="none"/>
                <w:u w:val="single"/>
              </w:rPr>
              <w:t>（3）对严重拖延工期（超期 30 天及其以上），经发包人督促，承包人拒不执行的，发包人可单方面终止施工合同，扣除 50% 履约保证金作为违约处罚，承包人在接到发包人终止施工合同通知 7 天内无条件退出施工现场。同时承包人须无条件配合交接工作（含变更施工许可证、前期资料手续对接、分部分项验收等），不得以任何借口阻挠另选的施工队伍进场施工，不得向发包人提出任何索赔要求。如承包人拒不配合则按已完合格工程量的 80% 进行结算并扣除 50% 履约保证金。因承包人原因造成的工期延误，延期监理费用由承包人承担。</w:t>
            </w:r>
          </w:p>
          <w:p w14:paraId="57973101">
            <w:pPr>
              <w:snapToGrid w:val="0"/>
              <w:spacing w:line="360" w:lineRule="auto"/>
              <w:rPr>
                <w:rFonts w:cs="宋体"/>
                <w:bCs/>
                <w:color w:val="auto"/>
                <w:kern w:val="2"/>
                <w:sz w:val="21"/>
                <w:szCs w:val="21"/>
                <w:highlight w:val="none"/>
                <w:u w:val="single"/>
              </w:rPr>
            </w:pPr>
            <w:r>
              <w:rPr>
                <w:rFonts w:hint="eastAsia" w:cs="宋体"/>
                <w:bCs/>
                <w:color w:val="auto"/>
                <w:kern w:val="2"/>
                <w:sz w:val="21"/>
                <w:szCs w:val="21"/>
                <w:highlight w:val="none"/>
                <w:u w:val="single"/>
              </w:rPr>
              <w:t>（4）因承包人原因造成工期延误，逾期竣工违约金的计算方法为： 拖延工期违约金直接从承包人的工程进度款中扣除；每推迟一天，按 10000 元/ 天处以违约金，提前不奖励。</w:t>
            </w:r>
          </w:p>
          <w:p w14:paraId="1488C568">
            <w:pPr>
              <w:snapToGrid w:val="0"/>
              <w:spacing w:line="360" w:lineRule="auto"/>
              <w:rPr>
                <w:rFonts w:cs="宋体"/>
                <w:bCs/>
                <w:color w:val="auto"/>
                <w:kern w:val="2"/>
                <w:sz w:val="21"/>
                <w:szCs w:val="21"/>
                <w:highlight w:val="none"/>
              </w:rPr>
            </w:pPr>
            <w:r>
              <w:rPr>
                <w:rFonts w:hint="eastAsia" w:cs="宋体"/>
                <w:bCs/>
                <w:color w:val="auto"/>
                <w:kern w:val="2"/>
                <w:sz w:val="21"/>
                <w:szCs w:val="21"/>
                <w:highlight w:val="none"/>
              </w:rPr>
              <w:t>因承包人原因造成工期延误，逾期竣工违约金的上限：</w:t>
            </w:r>
            <w:r>
              <w:rPr>
                <w:rFonts w:hint="eastAsia" w:cs="宋体"/>
                <w:bCs/>
                <w:color w:val="auto"/>
                <w:kern w:val="2"/>
                <w:sz w:val="21"/>
                <w:szCs w:val="21"/>
                <w:highlight w:val="none"/>
                <w:u w:val="single"/>
              </w:rPr>
              <w:t xml:space="preserve">       </w:t>
            </w:r>
            <w:r>
              <w:rPr>
                <w:rFonts w:hint="eastAsia" w:cs="宋体"/>
                <w:bCs/>
                <w:color w:val="auto"/>
                <w:kern w:val="2"/>
                <w:sz w:val="21"/>
                <w:szCs w:val="21"/>
                <w:highlight w:val="none"/>
              </w:rPr>
              <w:t>。</w:t>
            </w:r>
          </w:p>
        </w:tc>
      </w:tr>
      <w:tr w14:paraId="07CB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C81C509">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499A9D35">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7.9.2</w:t>
            </w:r>
          </w:p>
        </w:tc>
        <w:tc>
          <w:tcPr>
            <w:tcW w:w="7304" w:type="dxa"/>
            <w:tcBorders>
              <w:bottom w:val="single" w:color="auto" w:sz="4" w:space="0"/>
            </w:tcBorders>
            <w:vAlign w:val="center"/>
          </w:tcPr>
          <w:p w14:paraId="04404BF2">
            <w:pPr>
              <w:snapToGrid w:val="0"/>
              <w:spacing w:line="360" w:lineRule="auto"/>
              <w:rPr>
                <w:rFonts w:cs="宋体"/>
                <w:bCs/>
                <w:color w:val="auto"/>
                <w:kern w:val="2"/>
                <w:sz w:val="21"/>
                <w:szCs w:val="21"/>
                <w:highlight w:val="none"/>
              </w:rPr>
            </w:pPr>
            <w:r>
              <w:rPr>
                <w:rFonts w:hint="eastAsia" w:cs="宋体"/>
                <w:color w:val="auto"/>
                <w:sz w:val="21"/>
                <w:szCs w:val="21"/>
                <w:highlight w:val="none"/>
              </w:rPr>
              <w:t>提前竣工的奖励：</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无奖励</w:t>
            </w:r>
            <w:r>
              <w:rPr>
                <w:rFonts w:hint="eastAsia" w:cs="宋体"/>
                <w:color w:val="auto"/>
                <w:sz w:val="21"/>
                <w:szCs w:val="21"/>
                <w:highlight w:val="none"/>
                <w:u w:val="single"/>
              </w:rPr>
              <w:t xml:space="preserve"> </w:t>
            </w:r>
            <w:r>
              <w:rPr>
                <w:rFonts w:hint="eastAsia" w:cs="宋体"/>
                <w:color w:val="auto"/>
                <w:sz w:val="21"/>
                <w:szCs w:val="21"/>
                <w:highlight w:val="none"/>
              </w:rPr>
              <w:t>。</w:t>
            </w:r>
          </w:p>
        </w:tc>
      </w:tr>
      <w:tr w14:paraId="6074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900D4F5">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060D00DF">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11.1</w:t>
            </w:r>
          </w:p>
        </w:tc>
        <w:tc>
          <w:tcPr>
            <w:tcW w:w="7304" w:type="dxa"/>
            <w:tcBorders>
              <w:bottom w:val="single" w:color="auto" w:sz="4" w:space="0"/>
            </w:tcBorders>
            <w:vAlign w:val="center"/>
          </w:tcPr>
          <w:p w14:paraId="08C84544">
            <w:pPr>
              <w:pStyle w:val="34"/>
              <w:tabs>
                <w:tab w:val="clear" w:pos="4153"/>
                <w:tab w:val="clear" w:pos="8306"/>
              </w:tabs>
              <w:spacing w:line="360" w:lineRule="auto"/>
              <w:rPr>
                <w:rFonts w:cs="宋体"/>
                <w:bCs/>
                <w:color w:val="auto"/>
                <w:kern w:val="2"/>
                <w:sz w:val="21"/>
                <w:szCs w:val="21"/>
                <w:highlight w:val="none"/>
              </w:rPr>
            </w:pPr>
            <w:r>
              <w:rPr>
                <w:rFonts w:hint="eastAsia" w:cs="宋体"/>
                <w:bCs/>
                <w:color w:val="auto"/>
                <w:kern w:val="2"/>
                <w:sz w:val="21"/>
                <w:szCs w:val="21"/>
                <w:highlight w:val="none"/>
              </w:rPr>
              <w:t>市场价格波动是否调整合同价格的约定：</w:t>
            </w:r>
            <w:r>
              <w:rPr>
                <w:rFonts w:hint="eastAsia" w:cs="宋体"/>
                <w:bCs/>
                <w:color w:val="auto"/>
                <w:kern w:val="2"/>
                <w:sz w:val="21"/>
                <w:szCs w:val="21"/>
                <w:highlight w:val="none"/>
                <w:u w:val="single"/>
                <w:lang w:val="en-US" w:eastAsia="zh-CN"/>
              </w:rPr>
              <w:t>不调整</w:t>
            </w:r>
            <w:r>
              <w:rPr>
                <w:rFonts w:hint="eastAsia" w:cs="宋体"/>
                <w:bCs/>
                <w:color w:val="auto"/>
                <w:kern w:val="2"/>
                <w:sz w:val="21"/>
                <w:szCs w:val="21"/>
                <w:highlight w:val="none"/>
              </w:rPr>
              <w:t>。</w:t>
            </w:r>
          </w:p>
        </w:tc>
      </w:tr>
      <w:tr w14:paraId="325C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EB0418C">
            <w:pPr>
              <w:numPr>
                <w:ilvl w:val="0"/>
                <w:numId w:val="2"/>
              </w:numPr>
              <w:snapToGrid w:val="0"/>
              <w:spacing w:line="360" w:lineRule="auto"/>
              <w:jc w:val="center"/>
              <w:rPr>
                <w:rFonts w:cs="宋体"/>
                <w:bCs/>
                <w:color w:val="auto"/>
                <w:sz w:val="21"/>
                <w:szCs w:val="21"/>
                <w:highlight w:val="none"/>
              </w:rPr>
            </w:pPr>
          </w:p>
        </w:tc>
        <w:tc>
          <w:tcPr>
            <w:tcW w:w="1111" w:type="dxa"/>
            <w:vAlign w:val="center"/>
          </w:tcPr>
          <w:p w14:paraId="0BFB1EBD">
            <w:pPr>
              <w:snapToGrid w:val="0"/>
              <w:spacing w:line="360" w:lineRule="auto"/>
              <w:jc w:val="center"/>
              <w:rPr>
                <w:rFonts w:cs="宋体"/>
                <w:bCs/>
                <w:color w:val="auto"/>
                <w:sz w:val="21"/>
                <w:szCs w:val="21"/>
                <w:highlight w:val="none"/>
              </w:rPr>
            </w:pPr>
            <w:r>
              <w:rPr>
                <w:rFonts w:hint="eastAsia" w:cs="宋体"/>
                <w:bCs/>
                <w:color w:val="auto"/>
                <w:sz w:val="21"/>
                <w:szCs w:val="21"/>
                <w:highlight w:val="none"/>
              </w:rPr>
              <w:t>12.1</w:t>
            </w:r>
          </w:p>
        </w:tc>
        <w:tc>
          <w:tcPr>
            <w:tcW w:w="7304" w:type="dxa"/>
            <w:tcBorders>
              <w:bottom w:val="single" w:color="auto" w:sz="4" w:space="0"/>
            </w:tcBorders>
            <w:vAlign w:val="center"/>
          </w:tcPr>
          <w:p w14:paraId="019D235E">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合同价格形式</w:t>
            </w:r>
          </w:p>
          <w:p w14:paraId="1F408400">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(1)单价合同。</w:t>
            </w:r>
          </w:p>
          <w:p w14:paraId="299E29B7">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综合单价包含的风险范围：</w:t>
            </w:r>
            <w:r>
              <w:rPr>
                <w:rFonts w:hint="eastAsia" w:cs="宋体"/>
                <w:bCs/>
                <w:color w:val="auto"/>
                <w:sz w:val="21"/>
                <w:szCs w:val="21"/>
                <w:highlight w:val="none"/>
                <w:u w:val="single"/>
              </w:rPr>
              <w:t>隐含于已标价工程量清单综合单价中，用于化解发承包双方在工 程合同中约定内容和范围内的市场价格波动风险的费用。综合单价包括为完成本项目所需要的一切费用,包括但不限于人工费、材料费、施工机械费、管理费、利润、风险费用、相关交易费及完成本工程</w:t>
            </w:r>
            <w:r>
              <w:rPr>
                <w:rFonts w:hint="eastAsia" w:cs="宋体"/>
                <w:bCs/>
                <w:color w:val="auto"/>
                <w:sz w:val="21"/>
                <w:szCs w:val="21"/>
                <w:highlight w:val="none"/>
                <w:u w:val="single"/>
                <w:lang w:eastAsia="zh-CN"/>
              </w:rPr>
              <w:t>谈判文件</w:t>
            </w:r>
            <w:r>
              <w:rPr>
                <w:rFonts w:hint="eastAsia" w:cs="宋体"/>
                <w:bCs/>
                <w:color w:val="auto"/>
                <w:sz w:val="21"/>
                <w:szCs w:val="21"/>
                <w:highlight w:val="none"/>
                <w:u w:val="single"/>
              </w:rPr>
              <w:t xml:space="preserve">及合同条款内容等所有费用，综合单价今后将不作任何调整 </w:t>
            </w:r>
            <w:r>
              <w:rPr>
                <w:rFonts w:hint="eastAsia" w:cs="宋体"/>
                <w:bCs/>
                <w:color w:val="auto"/>
                <w:sz w:val="21"/>
                <w:szCs w:val="21"/>
                <w:highlight w:val="none"/>
              </w:rPr>
              <w:t>。</w:t>
            </w:r>
          </w:p>
          <w:p w14:paraId="77E2A9F2">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风险费用的计算方法：</w:t>
            </w:r>
            <w:r>
              <w:rPr>
                <w:rFonts w:hint="eastAsia" w:cs="宋体"/>
                <w:bCs/>
                <w:color w:val="auto"/>
                <w:sz w:val="21"/>
                <w:szCs w:val="21"/>
                <w:highlight w:val="none"/>
                <w:u w:val="single"/>
              </w:rPr>
              <w:t xml:space="preserve"> 承包人自行考虑，包含在报价中 </w:t>
            </w:r>
            <w:r>
              <w:rPr>
                <w:rFonts w:hint="eastAsia" w:cs="宋体"/>
                <w:bCs/>
                <w:color w:val="auto"/>
                <w:sz w:val="21"/>
                <w:szCs w:val="21"/>
                <w:highlight w:val="none"/>
              </w:rPr>
              <w:t>。</w:t>
            </w:r>
          </w:p>
          <w:p w14:paraId="7296A456">
            <w:pPr>
              <w:pStyle w:val="34"/>
              <w:tabs>
                <w:tab w:val="clear" w:pos="4153"/>
                <w:tab w:val="clear" w:pos="8306"/>
              </w:tabs>
              <w:spacing w:line="360" w:lineRule="auto"/>
              <w:rPr>
                <w:rFonts w:hint="eastAsia" w:cs="宋体"/>
                <w:bCs/>
                <w:color w:val="auto"/>
                <w:sz w:val="21"/>
                <w:szCs w:val="21"/>
                <w:highlight w:val="none"/>
                <w:u w:val="single"/>
              </w:rPr>
            </w:pPr>
            <w:r>
              <w:rPr>
                <w:rFonts w:hint="eastAsia" w:cs="宋体"/>
                <w:bCs/>
                <w:color w:val="auto"/>
                <w:sz w:val="21"/>
                <w:szCs w:val="21"/>
                <w:highlight w:val="none"/>
              </w:rPr>
              <w:t>风险范围以外合同价格的调整方法：</w:t>
            </w:r>
            <w:r>
              <w:rPr>
                <w:rFonts w:hint="eastAsia" w:cs="宋体"/>
                <w:bCs/>
                <w:color w:val="auto"/>
                <w:sz w:val="21"/>
                <w:szCs w:val="21"/>
                <w:highlight w:val="none"/>
                <w:u w:val="single"/>
              </w:rPr>
              <w:t xml:space="preserve">  结算价=中标价±工程量变更×综合单价＋（新增工程量清单项目数量×审定签证综合单价＋施工技术措施费调整）×A±人工费调整±材料差价调整-暂定金额、暂估价（未使用或未施工部分）±合理工程索赔。（A 为投标让利幅度，A=中标价/最高投标限价，比例式中的中标价、最高投标限价均不含暂定金额、暂估价部分,下同）。 </w:t>
            </w:r>
          </w:p>
          <w:p w14:paraId="1F170278">
            <w:pPr>
              <w:pStyle w:val="34"/>
              <w:tabs>
                <w:tab w:val="clear" w:pos="4153"/>
                <w:tab w:val="clear" w:pos="8306"/>
              </w:tabs>
              <w:spacing w:line="360" w:lineRule="auto"/>
              <w:rPr>
                <w:rFonts w:hint="eastAsia" w:cs="宋体"/>
                <w:bCs/>
                <w:color w:val="auto"/>
                <w:sz w:val="21"/>
                <w:szCs w:val="21"/>
                <w:highlight w:val="none"/>
                <w:u w:val="single"/>
              </w:rPr>
            </w:pPr>
            <w:r>
              <w:rPr>
                <w:rFonts w:hint="eastAsia" w:cs="宋体"/>
                <w:bCs/>
                <w:color w:val="auto"/>
                <w:sz w:val="21"/>
                <w:szCs w:val="21"/>
                <w:highlight w:val="none"/>
                <w:u w:val="single"/>
              </w:rPr>
              <w:t xml:space="preserve">国家法律、法规、规章和政策发生变化及由政府定价或政府指导价管理的原材料等价格风险由发包人承担。 </w:t>
            </w:r>
          </w:p>
          <w:p w14:paraId="30A81C63">
            <w:pPr>
              <w:pStyle w:val="34"/>
              <w:tabs>
                <w:tab w:val="clear" w:pos="4153"/>
                <w:tab w:val="clear" w:pos="8306"/>
              </w:tabs>
              <w:spacing w:line="360" w:lineRule="auto"/>
              <w:rPr>
                <w:rFonts w:hint="eastAsia" w:cs="宋体"/>
                <w:bCs/>
                <w:color w:val="auto"/>
                <w:sz w:val="21"/>
                <w:szCs w:val="21"/>
                <w:highlight w:val="none"/>
                <w:u w:val="single"/>
              </w:rPr>
            </w:pPr>
            <w:r>
              <w:rPr>
                <w:rFonts w:hint="eastAsia" w:cs="宋体"/>
                <w:bCs/>
                <w:color w:val="auto"/>
                <w:sz w:val="21"/>
                <w:szCs w:val="21"/>
                <w:highlight w:val="none"/>
                <w:u w:val="single"/>
              </w:rPr>
              <w:t xml:space="preserve">人工费调整方法：按滁州市工程造价管理机构发布的人工信息价以实际施工期间平均价进行调整，人工费调整仅计取税金进总价（独立费单价中人工单价不调整）。 </w:t>
            </w:r>
          </w:p>
          <w:p w14:paraId="470CC624">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u w:val="single"/>
              </w:rPr>
              <w:t xml:space="preserve">施工机械台班使用费的风险范围：施工机械台班使用费中燃料、水电费价格的风险由发包人承担；其他要素价格风险由承包人承担 </w:t>
            </w:r>
            <w:r>
              <w:rPr>
                <w:rFonts w:hint="eastAsia" w:cs="宋体"/>
                <w:bCs/>
                <w:color w:val="auto"/>
                <w:sz w:val="21"/>
                <w:szCs w:val="21"/>
                <w:highlight w:val="none"/>
              </w:rPr>
              <w:t>。</w:t>
            </w:r>
          </w:p>
          <w:p w14:paraId="537FA893">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(2)总价合同。</w:t>
            </w:r>
          </w:p>
          <w:p w14:paraId="45DACEB0">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总价包含的风险范围：</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p>
          <w:p w14:paraId="37D818F4">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风险费用的计算方法：</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35DF5220">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风险范围以外合同价格的调整方法：</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451268D0">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（3）其他价格方式：</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tc>
      </w:tr>
      <w:tr w14:paraId="63B3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678983B3">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7736ECA4">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 xml:space="preserve">12.2.1 </w:t>
            </w:r>
          </w:p>
        </w:tc>
        <w:tc>
          <w:tcPr>
            <w:tcW w:w="7304" w:type="dxa"/>
            <w:tcBorders>
              <w:bottom w:val="single" w:color="auto" w:sz="4" w:space="0"/>
            </w:tcBorders>
            <w:vAlign w:val="center"/>
          </w:tcPr>
          <w:p w14:paraId="6CBC7285">
            <w:pPr>
              <w:adjustRightInd w:val="0"/>
              <w:snapToGrid w:val="0"/>
              <w:spacing w:line="360" w:lineRule="auto"/>
              <w:rPr>
                <w:rFonts w:cs="宋体"/>
                <w:bCs/>
                <w:color w:val="auto"/>
                <w:sz w:val="21"/>
                <w:szCs w:val="21"/>
                <w:highlight w:val="none"/>
              </w:rPr>
            </w:pPr>
            <w:r>
              <w:rPr>
                <w:rFonts w:hint="eastAsia" w:cs="宋体"/>
                <w:bCs/>
                <w:color w:val="auto"/>
                <w:sz w:val="21"/>
                <w:szCs w:val="21"/>
                <w:highlight w:val="none"/>
              </w:rPr>
              <w:t>预付款的支付</w:t>
            </w:r>
          </w:p>
          <w:p w14:paraId="1C7099DD">
            <w:pPr>
              <w:adjustRightInd w:val="0"/>
              <w:snapToGrid w:val="0"/>
              <w:spacing w:line="360" w:lineRule="auto"/>
              <w:rPr>
                <w:rFonts w:cs="宋体"/>
                <w:bCs/>
                <w:color w:val="auto"/>
                <w:sz w:val="21"/>
                <w:szCs w:val="21"/>
                <w:highlight w:val="none"/>
              </w:rPr>
            </w:pPr>
            <w:r>
              <w:rPr>
                <w:rFonts w:hint="eastAsia" w:cs="宋体"/>
                <w:bCs/>
                <w:color w:val="auto"/>
                <w:sz w:val="21"/>
                <w:szCs w:val="21"/>
                <w:highlight w:val="none"/>
              </w:rPr>
              <w:t>预付款支付比例或金额：</w:t>
            </w:r>
            <w:r>
              <w:rPr>
                <w:rFonts w:hint="eastAsia" w:cs="宋体"/>
                <w:bCs/>
                <w:color w:val="auto"/>
                <w:sz w:val="21"/>
                <w:szCs w:val="21"/>
                <w:highlight w:val="none"/>
                <w:u w:val="single"/>
              </w:rPr>
              <w:t>预付款为合同金额的40%。</w:t>
            </w:r>
          </w:p>
          <w:p w14:paraId="4639E41D">
            <w:pPr>
              <w:adjustRightInd w:val="0"/>
              <w:snapToGrid w:val="0"/>
              <w:spacing w:line="360" w:lineRule="auto"/>
              <w:rPr>
                <w:rFonts w:hint="eastAsia" w:eastAsia="宋体" w:cs="宋体"/>
                <w:bCs/>
                <w:color w:val="auto"/>
                <w:sz w:val="21"/>
                <w:szCs w:val="21"/>
                <w:highlight w:val="none"/>
                <w:u w:val="single"/>
                <w:lang w:eastAsia="zh-CN"/>
              </w:rPr>
            </w:pPr>
            <w:r>
              <w:rPr>
                <w:rFonts w:hint="eastAsia" w:cs="宋体"/>
                <w:bCs/>
                <w:color w:val="auto"/>
                <w:sz w:val="21"/>
                <w:szCs w:val="21"/>
                <w:highlight w:val="none"/>
              </w:rPr>
              <w:t>预付款支付期限：</w:t>
            </w:r>
            <w:r>
              <w:rPr>
                <w:rFonts w:hint="eastAsia" w:cs="宋体"/>
                <w:bCs/>
                <w:color w:val="auto"/>
                <w:sz w:val="21"/>
                <w:szCs w:val="21"/>
                <w:highlight w:val="none"/>
                <w:u w:val="single"/>
              </w:rPr>
              <w:t>合同签订、担保措施生效并具备实施条件后支付预付款</w:t>
            </w:r>
            <w:r>
              <w:rPr>
                <w:rFonts w:hint="eastAsia" w:cs="宋体"/>
                <w:bCs/>
                <w:color w:val="auto"/>
                <w:sz w:val="21"/>
                <w:szCs w:val="21"/>
                <w:highlight w:val="none"/>
                <w:u w:val="single"/>
                <w:lang w:eastAsia="zh-CN"/>
              </w:rPr>
              <w:t>。</w:t>
            </w:r>
          </w:p>
          <w:p w14:paraId="2873A3B0">
            <w:pPr>
              <w:adjustRightInd w:val="0"/>
              <w:snapToGrid w:val="0"/>
              <w:spacing w:line="360" w:lineRule="auto"/>
              <w:rPr>
                <w:rFonts w:hint="eastAsia" w:eastAsia="宋体" w:cs="宋体"/>
                <w:bCs/>
                <w:color w:val="auto"/>
                <w:kern w:val="2"/>
                <w:sz w:val="21"/>
                <w:szCs w:val="21"/>
                <w:highlight w:val="none"/>
                <w:lang w:eastAsia="zh-CN"/>
              </w:rPr>
            </w:pPr>
            <w:r>
              <w:rPr>
                <w:rFonts w:hint="eastAsia" w:cs="宋体"/>
                <w:bCs/>
                <w:color w:val="auto"/>
                <w:sz w:val="21"/>
                <w:szCs w:val="21"/>
                <w:highlight w:val="none"/>
              </w:rPr>
              <w:t>预付款扣回的方式：</w:t>
            </w:r>
            <w:r>
              <w:rPr>
                <w:rFonts w:hint="eastAsia" w:cs="宋体"/>
                <w:bCs/>
                <w:color w:val="auto"/>
                <w:sz w:val="21"/>
                <w:szCs w:val="21"/>
                <w:highlight w:val="none"/>
                <w:u w:val="single"/>
              </w:rPr>
              <w:t>在支付工程进度款中按比例扣除，扣完为止</w:t>
            </w:r>
            <w:r>
              <w:rPr>
                <w:rFonts w:hint="eastAsia" w:cs="宋体"/>
                <w:bCs/>
                <w:color w:val="auto"/>
                <w:sz w:val="21"/>
                <w:szCs w:val="21"/>
                <w:highlight w:val="none"/>
                <w:u w:val="single"/>
                <w:lang w:eastAsia="zh-CN"/>
              </w:rPr>
              <w:t>。</w:t>
            </w:r>
          </w:p>
        </w:tc>
      </w:tr>
      <w:tr w14:paraId="79FB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3F348258">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6CD770F8">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12.2.2</w:t>
            </w:r>
          </w:p>
        </w:tc>
        <w:tc>
          <w:tcPr>
            <w:tcW w:w="7304" w:type="dxa"/>
            <w:tcBorders>
              <w:bottom w:val="single" w:color="auto" w:sz="4" w:space="0"/>
            </w:tcBorders>
            <w:vAlign w:val="center"/>
          </w:tcPr>
          <w:p w14:paraId="392DBFD5">
            <w:pPr>
              <w:adjustRightInd w:val="0"/>
              <w:snapToGrid w:val="0"/>
              <w:spacing w:line="360" w:lineRule="auto"/>
              <w:rPr>
                <w:rFonts w:cs="宋体"/>
                <w:bCs/>
                <w:color w:val="auto"/>
                <w:sz w:val="21"/>
                <w:szCs w:val="21"/>
                <w:highlight w:val="none"/>
              </w:rPr>
            </w:pPr>
            <w:r>
              <w:rPr>
                <w:rFonts w:hint="eastAsia" w:cs="宋体"/>
                <w:bCs/>
                <w:color w:val="auto"/>
                <w:sz w:val="21"/>
                <w:szCs w:val="21"/>
                <w:highlight w:val="none"/>
              </w:rPr>
              <w:t>预付款担保</w:t>
            </w:r>
          </w:p>
          <w:p w14:paraId="45CC70BF">
            <w:pPr>
              <w:adjustRightInd w:val="0"/>
              <w:snapToGrid w:val="0"/>
              <w:spacing w:line="360" w:lineRule="auto"/>
              <w:rPr>
                <w:rFonts w:cs="宋体"/>
                <w:bCs/>
                <w:color w:val="auto"/>
                <w:sz w:val="21"/>
                <w:szCs w:val="21"/>
                <w:highlight w:val="none"/>
              </w:rPr>
            </w:pPr>
            <w:r>
              <w:rPr>
                <w:rFonts w:hint="eastAsia" w:cs="宋体"/>
                <w:bCs/>
                <w:color w:val="auto"/>
                <w:sz w:val="21"/>
                <w:szCs w:val="21"/>
                <w:highlight w:val="none"/>
              </w:rPr>
              <w:t>承包人提交预付款担保的期限：</w:t>
            </w:r>
            <w:r>
              <w:rPr>
                <w:rFonts w:hint="eastAsia" w:cs="宋体"/>
                <w:bCs/>
                <w:color w:val="auto"/>
                <w:sz w:val="21"/>
                <w:szCs w:val="21"/>
                <w:highlight w:val="none"/>
                <w:u w:val="single"/>
              </w:rPr>
              <w:t xml:space="preserve">          </w:t>
            </w:r>
          </w:p>
          <w:p w14:paraId="01BE3D44">
            <w:pPr>
              <w:adjustRightInd w:val="0"/>
              <w:snapToGrid w:val="0"/>
              <w:spacing w:line="360" w:lineRule="auto"/>
              <w:rPr>
                <w:rFonts w:cs="宋体"/>
                <w:bCs/>
                <w:color w:val="auto"/>
                <w:kern w:val="2"/>
                <w:sz w:val="21"/>
                <w:szCs w:val="21"/>
                <w:highlight w:val="none"/>
              </w:rPr>
            </w:pPr>
            <w:r>
              <w:rPr>
                <w:rFonts w:hint="eastAsia" w:cs="宋体"/>
                <w:bCs/>
                <w:color w:val="auto"/>
                <w:sz w:val="21"/>
                <w:szCs w:val="21"/>
                <w:highlight w:val="none"/>
              </w:rPr>
              <w:t>预付款担保的形式为：</w:t>
            </w:r>
            <w:r>
              <w:rPr>
                <w:rFonts w:hint="eastAsia" w:cs="宋体"/>
                <w:bCs/>
                <w:color w:val="auto"/>
                <w:sz w:val="21"/>
                <w:szCs w:val="21"/>
                <w:highlight w:val="none"/>
                <w:u w:val="single"/>
              </w:rPr>
              <w:t>见索即付型的独立保函</w:t>
            </w:r>
          </w:p>
        </w:tc>
      </w:tr>
      <w:tr w14:paraId="1776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64B67423">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6455C2EB">
            <w:pPr>
              <w:snapToGrid w:val="0"/>
              <w:spacing w:line="360" w:lineRule="auto"/>
              <w:jc w:val="center"/>
              <w:rPr>
                <w:rFonts w:cs="宋体"/>
                <w:bCs/>
                <w:color w:val="auto"/>
                <w:sz w:val="21"/>
                <w:szCs w:val="21"/>
                <w:highlight w:val="none"/>
              </w:rPr>
            </w:pPr>
            <w:r>
              <w:rPr>
                <w:rFonts w:hint="eastAsia" w:cs="宋体"/>
                <w:bCs/>
                <w:color w:val="auto"/>
                <w:sz w:val="21"/>
                <w:szCs w:val="21"/>
                <w:highlight w:val="none"/>
              </w:rPr>
              <w:t>12.4.1</w:t>
            </w:r>
          </w:p>
        </w:tc>
        <w:tc>
          <w:tcPr>
            <w:tcW w:w="7304" w:type="dxa"/>
            <w:tcBorders>
              <w:bottom w:val="single" w:color="auto" w:sz="4" w:space="0"/>
            </w:tcBorders>
            <w:vAlign w:val="center"/>
          </w:tcPr>
          <w:p w14:paraId="37928FCB">
            <w:pPr>
              <w:adjustRightInd w:val="0"/>
              <w:snapToGrid w:val="0"/>
              <w:spacing w:line="360" w:lineRule="auto"/>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付款周期</w:t>
            </w:r>
          </w:p>
          <w:p w14:paraId="2FC1BBA1">
            <w:pPr>
              <w:adjustRightInd w:val="0"/>
              <w:snapToGrid w:val="0"/>
              <w:spacing w:line="360" w:lineRule="auto"/>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关于付款周期的约定：合同签订、担保措施生效并具备实施条件后支付预付款，预付款为合同金额的40%（成交人须提供在金融机构办理的同等金额的保函，保函须使用见索即付型的独立保函），全部工程竣工验收合格后付至合同价款的 80%，结算审核完成后成交单位须缴纳结算价款的2%质保金后，付至结算价款的100% ，质保金自竣工验收合格次日起满一年后退还。（质量保证金推行工程担保制度，支持通过金融机构办理的的同等金额的保函、保证保险等方式提供）。</w:t>
            </w:r>
          </w:p>
        </w:tc>
      </w:tr>
      <w:tr w14:paraId="237D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2369AD1">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59AC1EA9">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15.2.1</w:t>
            </w:r>
          </w:p>
        </w:tc>
        <w:tc>
          <w:tcPr>
            <w:tcW w:w="7304" w:type="dxa"/>
            <w:vAlign w:val="center"/>
          </w:tcPr>
          <w:p w14:paraId="25DD217A">
            <w:pPr>
              <w:snapToGrid w:val="0"/>
              <w:spacing w:line="360" w:lineRule="auto"/>
              <w:rPr>
                <w:rFonts w:cs="宋体"/>
                <w:bCs/>
                <w:color w:val="auto"/>
                <w:kern w:val="2"/>
                <w:sz w:val="21"/>
                <w:szCs w:val="21"/>
                <w:highlight w:val="none"/>
              </w:rPr>
            </w:pPr>
            <w:r>
              <w:rPr>
                <w:rFonts w:hint="eastAsia" w:cs="宋体"/>
                <w:color w:val="auto"/>
                <w:sz w:val="21"/>
                <w:szCs w:val="21"/>
                <w:highlight w:val="none"/>
              </w:rPr>
              <w:t>缺陷责任期的具体期限：</w:t>
            </w:r>
            <w:r>
              <w:rPr>
                <w:rFonts w:hint="eastAsia" w:cs="宋体"/>
                <w:color w:val="auto"/>
                <w:sz w:val="21"/>
                <w:szCs w:val="21"/>
                <w:highlight w:val="none"/>
                <w:u w:val="single"/>
                <w:lang w:val="en-US" w:eastAsia="zh-CN"/>
              </w:rPr>
              <w:t>一年</w:t>
            </w:r>
            <w:r>
              <w:rPr>
                <w:rFonts w:hint="eastAsia" w:cs="宋体"/>
                <w:color w:val="auto"/>
                <w:sz w:val="21"/>
                <w:szCs w:val="21"/>
                <w:highlight w:val="none"/>
              </w:rPr>
              <w:t>。</w:t>
            </w:r>
          </w:p>
        </w:tc>
      </w:tr>
      <w:tr w14:paraId="1E58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3A89B15E">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46E48BBD">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15.3.1</w:t>
            </w:r>
          </w:p>
        </w:tc>
        <w:tc>
          <w:tcPr>
            <w:tcW w:w="7304" w:type="dxa"/>
            <w:vAlign w:val="center"/>
          </w:tcPr>
          <w:p w14:paraId="353B814A">
            <w:pPr>
              <w:adjustRightInd w:val="0"/>
              <w:snapToGrid w:val="0"/>
              <w:spacing w:line="360" w:lineRule="auto"/>
              <w:rPr>
                <w:rFonts w:cs="宋体"/>
                <w:color w:val="auto"/>
                <w:sz w:val="21"/>
                <w:szCs w:val="21"/>
                <w:highlight w:val="none"/>
              </w:rPr>
            </w:pPr>
            <w:r>
              <w:rPr>
                <w:rFonts w:hint="eastAsia" w:cs="宋体"/>
                <w:color w:val="auto"/>
                <w:sz w:val="21"/>
                <w:szCs w:val="21"/>
                <w:highlight w:val="none"/>
              </w:rPr>
              <w:t>质量保证金可采用以下任意一种方式：</w:t>
            </w:r>
          </w:p>
          <w:p w14:paraId="41E49573">
            <w:pPr>
              <w:adjustRightInd w:val="0"/>
              <w:snapToGrid w:val="0"/>
              <w:spacing w:line="360" w:lineRule="auto"/>
              <w:rPr>
                <w:rFonts w:cs="宋体"/>
                <w:color w:val="auto"/>
                <w:sz w:val="21"/>
                <w:szCs w:val="21"/>
                <w:highlight w:val="none"/>
              </w:rPr>
            </w:pPr>
            <w:r>
              <w:rPr>
                <w:rFonts w:hint="eastAsia" w:cs="宋体"/>
                <w:color w:val="auto"/>
                <w:sz w:val="21"/>
                <w:szCs w:val="21"/>
                <w:highlight w:val="none"/>
              </w:rPr>
              <w:t>（1）由银行业金融机构、工程担保公司、保险机构出具银行保函、工程质量保险等担保方式，担保/保证金额为：</w:t>
            </w:r>
            <w:r>
              <w:rPr>
                <w:rFonts w:hint="eastAsia" w:cs="宋体"/>
                <w:color w:val="auto"/>
                <w:sz w:val="21"/>
                <w:szCs w:val="21"/>
                <w:highlight w:val="none"/>
                <w:u w:val="single"/>
                <w:lang w:val="en-US" w:eastAsia="zh-CN"/>
              </w:rPr>
              <w:t>结算价款*2%</w:t>
            </w:r>
            <w:r>
              <w:rPr>
                <w:rFonts w:hint="eastAsia" w:cs="宋体"/>
                <w:color w:val="auto"/>
                <w:sz w:val="21"/>
                <w:szCs w:val="21"/>
                <w:highlight w:val="none"/>
                <w:u w:val="single"/>
              </w:rPr>
              <w:t>；</w:t>
            </w:r>
          </w:p>
          <w:p w14:paraId="1C97A34B">
            <w:pPr>
              <w:adjustRightInd w:val="0"/>
              <w:snapToGrid w:val="0"/>
              <w:spacing w:line="360" w:lineRule="auto"/>
              <w:rPr>
                <w:rFonts w:cs="宋体"/>
                <w:color w:val="auto"/>
                <w:sz w:val="21"/>
                <w:szCs w:val="21"/>
                <w:highlight w:val="none"/>
              </w:rPr>
            </w:pPr>
            <w:r>
              <w:rPr>
                <w:rFonts w:hint="eastAsia" w:cs="宋体"/>
                <w:color w:val="auto"/>
                <w:sz w:val="21"/>
                <w:szCs w:val="21"/>
                <w:highlight w:val="none"/>
              </w:rPr>
              <w:t xml:space="preserve">（2） </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结算价款*2%</w:t>
            </w:r>
            <w:r>
              <w:rPr>
                <w:rFonts w:hint="eastAsia" w:cs="宋体"/>
                <w:color w:val="auto"/>
                <w:sz w:val="21"/>
                <w:szCs w:val="21"/>
                <w:highlight w:val="none"/>
                <w:u w:val="single"/>
              </w:rPr>
              <w:t xml:space="preserve">  ；</w:t>
            </w:r>
          </w:p>
          <w:p w14:paraId="44CA5C0F">
            <w:pPr>
              <w:adjustRightInd w:val="0"/>
              <w:snapToGrid w:val="0"/>
              <w:spacing w:line="360" w:lineRule="auto"/>
              <w:rPr>
                <w:rFonts w:cs="宋体"/>
                <w:color w:val="auto"/>
                <w:sz w:val="21"/>
                <w:szCs w:val="21"/>
                <w:highlight w:val="none"/>
              </w:rPr>
            </w:pPr>
            <w:r>
              <w:rPr>
                <w:rFonts w:hint="eastAsia" w:cs="宋体"/>
                <w:color w:val="auto"/>
                <w:sz w:val="21"/>
                <w:szCs w:val="21"/>
                <w:highlight w:val="none"/>
              </w:rPr>
              <w:t>（3）其他方式：</w:t>
            </w:r>
            <w:r>
              <w:rPr>
                <w:rFonts w:hint="eastAsia" w:cs="宋体"/>
                <w:color w:val="auto"/>
                <w:sz w:val="21"/>
                <w:szCs w:val="21"/>
                <w:highlight w:val="none"/>
                <w:u w:val="single"/>
              </w:rPr>
              <w:t xml:space="preserve">             。</w:t>
            </w:r>
          </w:p>
          <w:p w14:paraId="0FDBC4A6">
            <w:pPr>
              <w:pStyle w:val="8"/>
              <w:snapToGrid w:val="0"/>
              <w:spacing w:line="360" w:lineRule="auto"/>
              <w:rPr>
                <w:rFonts w:cs="宋体"/>
                <w:bCs w:val="0"/>
                <w:color w:val="auto"/>
                <w:kern w:val="2"/>
                <w:sz w:val="21"/>
                <w:szCs w:val="21"/>
                <w:highlight w:val="none"/>
              </w:rPr>
            </w:pPr>
            <w:r>
              <w:rPr>
                <w:rFonts w:hint="eastAsia" w:cs="宋体"/>
                <w:bCs w:val="0"/>
                <w:color w:val="auto"/>
                <w:sz w:val="21"/>
                <w:szCs w:val="21"/>
                <w:highlight w:val="none"/>
              </w:rPr>
              <w:t>注：以现金形式提交质量保证金的（含从工程款中以扣留方式提交的），同时退还银行同期活期存款利息。</w:t>
            </w:r>
          </w:p>
        </w:tc>
      </w:tr>
    </w:tbl>
    <w:p w14:paraId="1BDE10FD">
      <w:pPr>
        <w:snapToGrid w:val="0"/>
        <w:spacing w:before="312" w:beforeLines="100" w:after="312" w:afterLines="100" w:line="360" w:lineRule="auto"/>
        <w:outlineLvl w:val="2"/>
        <w:rPr>
          <w:rFonts w:cs="宋体"/>
          <w:color w:val="auto"/>
          <w:sz w:val="21"/>
          <w:szCs w:val="21"/>
          <w:highlight w:val="none"/>
        </w:rPr>
      </w:pPr>
      <w:r>
        <w:rPr>
          <w:rFonts w:hint="eastAsia" w:cs="宋体"/>
          <w:color w:val="auto"/>
          <w:sz w:val="21"/>
          <w:szCs w:val="21"/>
          <w:highlight w:val="none"/>
        </w:rPr>
        <w:br w:type="page"/>
      </w:r>
      <w:bookmarkEnd w:id="65"/>
      <w:r>
        <w:rPr>
          <w:rFonts w:hint="eastAsia" w:cs="宋体"/>
          <w:color w:val="auto"/>
          <w:sz w:val="21"/>
          <w:szCs w:val="21"/>
          <w:highlight w:val="none"/>
        </w:rPr>
        <w:t>1</w:t>
      </w:r>
      <w:bookmarkStart w:id="66" w:name="_Toc292559361"/>
      <w:bookmarkStart w:id="67" w:name="_Toc296503156"/>
      <w:bookmarkStart w:id="68" w:name="_Toc296347155"/>
      <w:bookmarkStart w:id="69" w:name="_Toc296890984"/>
      <w:bookmarkStart w:id="70" w:name="_Toc297048342"/>
      <w:bookmarkStart w:id="71" w:name="_Toc296891196"/>
      <w:bookmarkStart w:id="72" w:name="_Toc296944495"/>
      <w:bookmarkStart w:id="73" w:name="_Toc296346657"/>
      <w:bookmarkStart w:id="74" w:name="_Toc297120456"/>
      <w:bookmarkStart w:id="75" w:name="_Toc292559866"/>
      <w:r>
        <w:rPr>
          <w:rFonts w:hint="eastAsia" w:cs="宋体"/>
          <w:color w:val="auto"/>
          <w:sz w:val="21"/>
          <w:szCs w:val="21"/>
          <w:highlight w:val="none"/>
        </w:rPr>
        <w:t>. 一般约定</w:t>
      </w:r>
    </w:p>
    <w:bookmarkEnd w:id="66"/>
    <w:bookmarkEnd w:id="67"/>
    <w:bookmarkEnd w:id="68"/>
    <w:bookmarkEnd w:id="69"/>
    <w:bookmarkEnd w:id="70"/>
    <w:bookmarkEnd w:id="71"/>
    <w:bookmarkEnd w:id="72"/>
    <w:bookmarkEnd w:id="73"/>
    <w:bookmarkEnd w:id="74"/>
    <w:bookmarkEnd w:id="75"/>
    <w:p w14:paraId="2D9F5200">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1.1 词语定义与解释</w:t>
      </w:r>
    </w:p>
    <w:p w14:paraId="7C7B834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1.1.1 合同</w:t>
      </w:r>
    </w:p>
    <w:p w14:paraId="5232AB1D">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1.1.1.10 其他合同文件包括：</w:t>
      </w:r>
      <w:r>
        <w:rPr>
          <w:rFonts w:hint="eastAsia" w:cs="宋体"/>
          <w:color w:val="auto"/>
          <w:sz w:val="21"/>
          <w:szCs w:val="21"/>
          <w:highlight w:val="none"/>
          <w:u w:val="single"/>
        </w:rPr>
        <w:t xml:space="preserve">                 </w:t>
      </w:r>
    </w:p>
    <w:p w14:paraId="649EAC5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1.1.2 合同当事人及其他相关方</w:t>
      </w:r>
    </w:p>
    <w:p w14:paraId="1BAD1A1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1.1.2.4 监理人：</w:t>
      </w:r>
    </w:p>
    <w:p w14:paraId="32F6E0D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名    称：</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A642B6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资质类别和等级：</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7DDDEF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BCF87A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E25270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CA9EC5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1.1.2.5 设计人：</w:t>
      </w:r>
    </w:p>
    <w:p w14:paraId="4098CF8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名    称：</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70FDF9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资质类别和等级：</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DF1D07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7CD26D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6F7BA5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2D9961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1.1.3 工程和设备</w:t>
      </w:r>
    </w:p>
    <w:p w14:paraId="049C706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1.1.3.7 作为施工现场组成部分的其他场所包括：</w:t>
      </w:r>
      <w:r>
        <w:rPr>
          <w:rFonts w:hint="eastAsia" w:cs="宋体"/>
          <w:color w:val="auto"/>
          <w:sz w:val="21"/>
          <w:szCs w:val="21"/>
          <w:highlight w:val="none"/>
          <w:u w:val="single"/>
        </w:rPr>
        <w:t xml:space="preserve"> </w:t>
      </w:r>
      <w:r>
        <w:rPr>
          <w:rFonts w:hint="eastAsia" w:ascii="宋体" w:hAnsi="宋体" w:cs="宋体"/>
          <w:color w:val="auto"/>
          <w:highlight w:val="none"/>
          <w:u w:val="single"/>
        </w:rPr>
        <w:t>现场确定</w:t>
      </w:r>
      <w:r>
        <w:rPr>
          <w:rFonts w:hint="eastAsia" w:cs="宋体"/>
          <w:color w:val="auto"/>
          <w:sz w:val="21"/>
          <w:szCs w:val="21"/>
          <w:highlight w:val="none"/>
          <w:u w:val="single"/>
        </w:rPr>
        <w:t></w:t>
      </w:r>
      <w:r>
        <w:rPr>
          <w:rFonts w:hint="eastAsia" w:cs="宋体"/>
          <w:color w:val="auto"/>
          <w:sz w:val="21"/>
          <w:szCs w:val="21"/>
          <w:highlight w:val="none"/>
        </w:rPr>
        <w:t>。</w:t>
      </w:r>
    </w:p>
    <w:p w14:paraId="30DBDC9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1.1.3.9 永久占地包括：</w:t>
      </w:r>
      <w:r>
        <w:rPr>
          <w:rFonts w:hint="eastAsia" w:cs="宋体"/>
          <w:color w:val="auto"/>
          <w:sz w:val="21"/>
          <w:szCs w:val="21"/>
          <w:highlight w:val="none"/>
          <w:u w:val="single"/>
        </w:rPr>
        <w:t xml:space="preserve"> </w:t>
      </w:r>
      <w:r>
        <w:rPr>
          <w:rFonts w:hint="eastAsia" w:cs="宋体"/>
          <w:color w:val="auto"/>
          <w:highlight w:val="none"/>
          <w:u w:val="single"/>
          <w:lang w:val="en-US" w:eastAsia="zh-CN"/>
        </w:rPr>
        <w:t>/</w:t>
      </w:r>
      <w:r>
        <w:rPr>
          <w:rFonts w:hint="eastAsia" w:cs="宋体"/>
          <w:color w:val="auto"/>
          <w:sz w:val="21"/>
          <w:szCs w:val="21"/>
          <w:highlight w:val="none"/>
          <w:u w:val="single"/>
        </w:rPr>
        <w:t></w:t>
      </w:r>
      <w:r>
        <w:rPr>
          <w:rFonts w:hint="eastAsia" w:cs="宋体"/>
          <w:color w:val="auto"/>
          <w:sz w:val="21"/>
          <w:szCs w:val="21"/>
          <w:highlight w:val="none"/>
        </w:rPr>
        <w:t>。</w:t>
      </w:r>
    </w:p>
    <w:p w14:paraId="0C44939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1.1.3.10 临时占地包括：</w:t>
      </w:r>
      <w:r>
        <w:rPr>
          <w:rFonts w:hint="eastAsia" w:cs="宋体"/>
          <w:color w:val="auto"/>
          <w:sz w:val="21"/>
          <w:szCs w:val="21"/>
          <w:highlight w:val="none"/>
          <w:u w:val="single"/>
        </w:rPr>
        <w:t xml:space="preserve"> </w:t>
      </w:r>
      <w:r>
        <w:rPr>
          <w:rFonts w:hint="eastAsia" w:ascii="宋体" w:hAnsi="宋体" w:cs="宋体"/>
          <w:color w:val="auto"/>
          <w:highlight w:val="none"/>
          <w:u w:val="single"/>
        </w:rPr>
        <w:t>现场确定</w:t>
      </w:r>
      <w:r>
        <w:rPr>
          <w:rFonts w:hint="eastAsia" w:cs="宋体"/>
          <w:color w:val="auto"/>
          <w:sz w:val="21"/>
          <w:szCs w:val="21"/>
          <w:highlight w:val="none"/>
          <w:u w:val="single"/>
        </w:rPr>
        <w:t></w:t>
      </w:r>
      <w:r>
        <w:rPr>
          <w:rFonts w:hint="eastAsia" w:cs="宋体"/>
          <w:color w:val="auto"/>
          <w:sz w:val="21"/>
          <w:szCs w:val="21"/>
          <w:highlight w:val="none"/>
        </w:rPr>
        <w:t>。</w:t>
      </w:r>
    </w:p>
    <w:p w14:paraId="62B037A2">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 xml:space="preserve">1.3 法律 </w:t>
      </w:r>
    </w:p>
    <w:p w14:paraId="501E6726">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适用于合同的其他规范性文件：</w:t>
      </w:r>
      <w:r>
        <w:rPr>
          <w:rFonts w:hint="eastAsia" w:cs="宋体"/>
          <w:color w:val="auto"/>
          <w:sz w:val="21"/>
          <w:szCs w:val="21"/>
          <w:highlight w:val="none"/>
          <w:u w:val="single"/>
        </w:rPr>
        <w:t>《中华人民共和国民法典》、《中华人民共和国建筑法》、《中华人民共和国政府采购法》、《中华人民共和国招标投标法》、《建设工程质量管理条例》、《建设工程安全生产管理条例》等国家及工程所在地现行有效的法律法规和规章</w:t>
      </w:r>
      <w:r>
        <w:rPr>
          <w:rFonts w:hint="eastAsia" w:cs="宋体"/>
          <w:color w:val="auto"/>
          <w:sz w:val="21"/>
          <w:szCs w:val="21"/>
          <w:highlight w:val="none"/>
        </w:rPr>
        <w:t>。</w:t>
      </w:r>
    </w:p>
    <w:p w14:paraId="67993E72">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1.4 标准和规范</w:t>
      </w:r>
    </w:p>
    <w:p w14:paraId="48240AC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1.4.1 适用于工程的标准规范包括：</w:t>
      </w:r>
      <w:r>
        <w:rPr>
          <w:rFonts w:hint="eastAsia" w:cs="宋体"/>
          <w:color w:val="auto"/>
          <w:sz w:val="21"/>
          <w:szCs w:val="21"/>
          <w:highlight w:val="none"/>
          <w:u w:val="single"/>
        </w:rPr>
        <w:t xml:space="preserve">  中华人民共和国建设部颁发的现行的有关标准、规范及省、市有关规定 </w:t>
      </w:r>
      <w:r>
        <w:rPr>
          <w:rFonts w:hint="eastAsia" w:cs="宋体"/>
          <w:color w:val="auto"/>
          <w:sz w:val="21"/>
          <w:szCs w:val="21"/>
          <w:highlight w:val="none"/>
        </w:rPr>
        <w:t>。</w:t>
      </w:r>
    </w:p>
    <w:p w14:paraId="73D39817">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1.4.2 发包人提供国外标准、规范的名称：</w:t>
      </w:r>
      <w:r>
        <w:rPr>
          <w:rFonts w:hint="eastAsia" w:cs="宋体"/>
          <w:color w:val="auto"/>
          <w:sz w:val="21"/>
          <w:szCs w:val="21"/>
          <w:highlight w:val="none"/>
          <w:u w:val="single"/>
        </w:rPr>
        <w:t xml:space="preserve"> 承包人自备国内现行适用的标准、规范 </w:t>
      </w:r>
      <w:r>
        <w:rPr>
          <w:rFonts w:hint="eastAsia" w:cs="宋体"/>
          <w:color w:val="auto"/>
          <w:sz w:val="21"/>
          <w:szCs w:val="21"/>
          <w:highlight w:val="none"/>
        </w:rPr>
        <w:t>；</w:t>
      </w:r>
    </w:p>
    <w:p w14:paraId="2F2C2DF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发包人提供国外标准、规范的份数：</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104911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发包人提供国外标准、规范的时间：</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3ECD4E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1.4.3 发包人对工程的技术标准和功能要求的特殊要求：</w:t>
      </w:r>
      <w:r>
        <w:rPr>
          <w:rFonts w:hint="eastAsia" w:cs="宋体"/>
          <w:color w:val="auto"/>
          <w:sz w:val="21"/>
          <w:szCs w:val="21"/>
          <w:highlight w:val="none"/>
          <w:u w:val="single"/>
        </w:rPr>
        <w:t xml:space="preserve"> 按现行规范执行 </w:t>
      </w:r>
      <w:r>
        <w:rPr>
          <w:rFonts w:hint="eastAsia" w:cs="宋体"/>
          <w:color w:val="auto"/>
          <w:sz w:val="21"/>
          <w:szCs w:val="21"/>
          <w:highlight w:val="none"/>
        </w:rPr>
        <w:t>。</w:t>
      </w:r>
    </w:p>
    <w:p w14:paraId="67185356">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1.5 合同文件的优先顺序</w:t>
      </w:r>
    </w:p>
    <w:p w14:paraId="21FCE5E9">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合同文件组成及优先顺序为：</w:t>
      </w:r>
      <w:r>
        <w:rPr>
          <w:rFonts w:hint="eastAsia" w:cs="宋体"/>
          <w:color w:val="auto"/>
          <w:sz w:val="21"/>
          <w:szCs w:val="21"/>
          <w:highlight w:val="none"/>
          <w:u w:val="single"/>
        </w:rPr>
        <w:t xml:space="preserve"> （1）合同协议书；（2）中标通知书；（3）投标函及其附录；（4）</w:t>
      </w:r>
      <w:r>
        <w:rPr>
          <w:rFonts w:hint="eastAsia" w:cs="宋体"/>
          <w:color w:val="auto"/>
          <w:sz w:val="21"/>
          <w:szCs w:val="21"/>
          <w:highlight w:val="none"/>
          <w:u w:val="single"/>
          <w:lang w:eastAsia="zh-CN"/>
        </w:rPr>
        <w:t>谈判文件</w:t>
      </w:r>
      <w:r>
        <w:rPr>
          <w:rFonts w:hint="eastAsia" w:cs="宋体"/>
          <w:color w:val="auto"/>
          <w:sz w:val="21"/>
          <w:szCs w:val="21"/>
          <w:highlight w:val="none"/>
          <w:u w:val="single"/>
        </w:rPr>
        <w:t>；（5）专用合同条款及其附件；（6）通用合同条款；（7）技术标准和要求；（</w:t>
      </w:r>
      <w:r>
        <w:rPr>
          <w:rFonts w:hint="eastAsia" w:cs="宋体"/>
          <w:color w:val="auto"/>
          <w:sz w:val="21"/>
          <w:szCs w:val="21"/>
          <w:highlight w:val="none"/>
          <w:u w:val="single"/>
          <w:lang w:val="en-US" w:eastAsia="zh-CN"/>
        </w:rPr>
        <w:t>8</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图纸或图纸情况说明；(9)</w:t>
      </w:r>
      <w:r>
        <w:rPr>
          <w:rFonts w:hint="eastAsia" w:cs="宋体"/>
          <w:color w:val="auto"/>
          <w:sz w:val="21"/>
          <w:szCs w:val="21"/>
          <w:highlight w:val="none"/>
          <w:u w:val="single"/>
        </w:rPr>
        <w:t>已标价工程量清单或预算书；（</w:t>
      </w:r>
      <w:r>
        <w:rPr>
          <w:rFonts w:hint="eastAsia" w:cs="宋体"/>
          <w:color w:val="auto"/>
          <w:sz w:val="21"/>
          <w:szCs w:val="21"/>
          <w:highlight w:val="none"/>
          <w:u w:val="single"/>
          <w:lang w:val="en-US" w:eastAsia="zh-CN"/>
        </w:rPr>
        <w:t>10</w:t>
      </w:r>
      <w:r>
        <w:rPr>
          <w:rFonts w:hint="eastAsia" w:cs="宋体"/>
          <w:color w:val="auto"/>
          <w:sz w:val="21"/>
          <w:szCs w:val="21"/>
          <w:highlight w:val="none"/>
          <w:u w:val="single"/>
        </w:rPr>
        <w:t xml:space="preserve">）其他合同文件。 </w:t>
      </w:r>
    </w:p>
    <w:p w14:paraId="35647571">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1.6 图纸和承包人文件</w:t>
      </w:r>
      <w:r>
        <w:rPr>
          <w:rFonts w:hint="eastAsia" w:cs="宋体"/>
          <w:bCs/>
          <w:color w:val="auto"/>
          <w:sz w:val="21"/>
          <w:szCs w:val="21"/>
          <w:highlight w:val="none"/>
        </w:rPr>
        <w:tab/>
      </w:r>
    </w:p>
    <w:p w14:paraId="221B7DC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1.6.1 图纸的提供和交底</w:t>
      </w:r>
    </w:p>
    <w:p w14:paraId="670F213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发包人向承包人提供图纸的期限：</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66D43B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发包人向承包人提供图纸的数量：</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w:t>
      </w:r>
    </w:p>
    <w:p w14:paraId="53E87BD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发包人向承包人提供图纸的内容：</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45FD6B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1.6.4 承包人文件</w:t>
      </w:r>
    </w:p>
    <w:p w14:paraId="67BAC09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需要由承包人提供的文件，包括：</w:t>
      </w:r>
      <w:r>
        <w:rPr>
          <w:rFonts w:hint="eastAsia" w:cs="宋体"/>
          <w:color w:val="auto"/>
          <w:sz w:val="21"/>
          <w:szCs w:val="21"/>
          <w:highlight w:val="none"/>
          <w:u w:val="single"/>
        </w:rPr>
        <w:t xml:space="preserve"> 施工组织设计、工程进度计划、专项施工方案，具体由监理人通知 </w:t>
      </w:r>
      <w:r>
        <w:rPr>
          <w:rFonts w:hint="eastAsia" w:cs="宋体"/>
          <w:color w:val="auto"/>
          <w:sz w:val="21"/>
          <w:szCs w:val="21"/>
          <w:highlight w:val="none"/>
        </w:rPr>
        <w:t>；</w:t>
      </w:r>
    </w:p>
    <w:p w14:paraId="55638B4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承包人提供的文件的期限为：</w:t>
      </w:r>
      <w:r>
        <w:rPr>
          <w:rFonts w:hint="eastAsia" w:cs="宋体"/>
          <w:color w:val="auto"/>
          <w:sz w:val="21"/>
          <w:szCs w:val="21"/>
          <w:highlight w:val="none"/>
          <w:u w:val="single"/>
        </w:rPr>
        <w:t xml:space="preserve">必须满足工程施工要求及监理人、发包人审查期限要求 </w:t>
      </w:r>
      <w:r>
        <w:rPr>
          <w:rFonts w:hint="eastAsia" w:cs="宋体"/>
          <w:color w:val="auto"/>
          <w:sz w:val="21"/>
          <w:szCs w:val="21"/>
          <w:highlight w:val="none"/>
        </w:rPr>
        <w:t>；</w:t>
      </w:r>
    </w:p>
    <w:p w14:paraId="2980C1A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承包人提供的文件的数量为：</w:t>
      </w:r>
      <w:r>
        <w:rPr>
          <w:rFonts w:hint="eastAsia" w:cs="宋体"/>
          <w:color w:val="auto"/>
          <w:sz w:val="21"/>
          <w:szCs w:val="21"/>
          <w:highlight w:val="none"/>
          <w:u w:val="single"/>
        </w:rPr>
        <w:t xml:space="preserve">3 套（具体以发包人要求为准） </w:t>
      </w:r>
      <w:r>
        <w:rPr>
          <w:rFonts w:hint="eastAsia" w:cs="宋体"/>
          <w:color w:val="auto"/>
          <w:sz w:val="21"/>
          <w:szCs w:val="21"/>
          <w:highlight w:val="none"/>
        </w:rPr>
        <w:t>；</w:t>
      </w:r>
    </w:p>
    <w:p w14:paraId="526D135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承包人提供的文件的形式为：</w:t>
      </w:r>
      <w:r>
        <w:rPr>
          <w:rFonts w:hint="eastAsia" w:cs="宋体"/>
          <w:color w:val="auto"/>
          <w:sz w:val="21"/>
          <w:szCs w:val="21"/>
          <w:highlight w:val="none"/>
          <w:u w:val="single"/>
        </w:rPr>
        <w:t xml:space="preserve"> 电子版及纸质版 </w:t>
      </w:r>
      <w:r>
        <w:rPr>
          <w:rFonts w:hint="eastAsia" w:cs="宋体"/>
          <w:color w:val="auto"/>
          <w:sz w:val="21"/>
          <w:szCs w:val="21"/>
          <w:highlight w:val="none"/>
        </w:rPr>
        <w:t>；</w:t>
      </w:r>
    </w:p>
    <w:p w14:paraId="22C5A77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发包人审批承包人文件的期限：</w:t>
      </w:r>
      <w:r>
        <w:rPr>
          <w:rFonts w:hint="eastAsia" w:cs="宋体"/>
          <w:color w:val="auto"/>
          <w:sz w:val="21"/>
          <w:szCs w:val="21"/>
          <w:highlight w:val="none"/>
          <w:u w:val="single"/>
        </w:rPr>
        <w:t xml:space="preserve"> 收到承包人所提交的完整、合格的文件之日起 7 天内审批完毕，发包人对文件有异议的，通知监理人要求承包人进行修改后重新报批或直接通知承包人修改后重新报批 </w:t>
      </w:r>
      <w:r>
        <w:rPr>
          <w:rFonts w:hint="eastAsia" w:cs="宋体"/>
          <w:color w:val="auto"/>
          <w:sz w:val="21"/>
          <w:szCs w:val="21"/>
          <w:highlight w:val="none"/>
        </w:rPr>
        <w:t>。</w:t>
      </w:r>
    </w:p>
    <w:p w14:paraId="7DE733E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1.6.5 图纸和承包人文件的保管</w:t>
      </w:r>
    </w:p>
    <w:p w14:paraId="33D1D7C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关于图纸和承包人文件保管的约定：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rPr>
        <w:t>。</w:t>
      </w:r>
    </w:p>
    <w:p w14:paraId="7271E442">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1.7 联络</w:t>
      </w:r>
    </w:p>
    <w:p w14:paraId="2CB42AE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1.7.1 发包人和承包人应当在</w:t>
      </w:r>
      <w:r>
        <w:rPr>
          <w:rFonts w:hint="eastAsia" w:cs="宋体"/>
          <w:color w:val="auto"/>
          <w:sz w:val="21"/>
          <w:szCs w:val="21"/>
          <w:highlight w:val="none"/>
          <w:u w:val="single"/>
        </w:rPr>
        <w:t>7</w:t>
      </w:r>
      <w:r>
        <w:rPr>
          <w:rFonts w:hint="eastAsia" w:cs="宋体"/>
          <w:color w:val="auto"/>
          <w:sz w:val="21"/>
          <w:szCs w:val="21"/>
          <w:highlight w:val="none"/>
        </w:rPr>
        <w:t>天内将与合同有关的通知、批准、证明、证书、指示、指令、要求、请求、同意、意见、确定和决定等书面函件送达对方当事人。</w:t>
      </w:r>
    </w:p>
    <w:p w14:paraId="755AF271">
      <w:pPr>
        <w:adjustRightInd w:val="0"/>
        <w:snapToGrid w:val="0"/>
        <w:spacing w:line="384" w:lineRule="auto"/>
        <w:ind w:firstLine="420" w:firstLineChars="200"/>
        <w:rPr>
          <w:rFonts w:hint="eastAsia" w:ascii="宋体" w:hAnsi="宋体" w:cs="宋体"/>
          <w:color w:val="auto"/>
          <w:kern w:val="0"/>
          <w:sz w:val="21"/>
          <w:szCs w:val="21"/>
          <w:highlight w:val="none"/>
        </w:rPr>
      </w:pPr>
      <w:r>
        <w:rPr>
          <w:rFonts w:hint="eastAsia" w:cs="宋体"/>
          <w:color w:val="auto"/>
          <w:sz w:val="21"/>
          <w:szCs w:val="21"/>
          <w:highlight w:val="none"/>
        </w:rPr>
        <w:t xml:space="preserve">1.7.2 </w:t>
      </w:r>
      <w:r>
        <w:rPr>
          <w:rFonts w:hint="eastAsia" w:ascii="宋体" w:hAnsi="宋体" w:cs="宋体"/>
          <w:color w:val="auto"/>
          <w:kern w:val="0"/>
          <w:sz w:val="21"/>
          <w:szCs w:val="21"/>
          <w:highlight w:val="none"/>
        </w:rPr>
        <w:t>发包人接收文件的地点：</w:t>
      </w:r>
      <w:r>
        <w:rPr>
          <w:rFonts w:hint="eastAsia" w:ascii="宋体" w:hAnsi="宋体" w:cs="宋体"/>
          <w:color w:val="auto"/>
          <w:sz w:val="21"/>
          <w:szCs w:val="21"/>
          <w:highlight w:val="none"/>
          <w:u w:val="single"/>
        </w:rPr>
        <w:t xml:space="preserve">  招标单位处</w:t>
      </w:r>
      <w:r>
        <w:rPr>
          <w:rFonts w:hint="eastAsia" w:ascii="宋体" w:hAnsi="宋体" w:cs="宋体"/>
          <w:color w:val="auto"/>
          <w:kern w:val="0"/>
          <w:sz w:val="21"/>
          <w:szCs w:val="21"/>
          <w:highlight w:val="none"/>
        </w:rPr>
        <w:t>；</w:t>
      </w:r>
    </w:p>
    <w:p w14:paraId="63648BB9">
      <w:pPr>
        <w:adjustRightInd w:val="0"/>
        <w:snapToGrid w:val="0"/>
        <w:spacing w:line="384"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发包人指定的接收人为：</w:t>
      </w:r>
      <w:r>
        <w:rPr>
          <w:rFonts w:hint="eastAsia" w:ascii="宋体" w:hAnsi="宋体" w:cs="宋体"/>
          <w:color w:val="auto"/>
          <w:sz w:val="21"/>
          <w:szCs w:val="21"/>
          <w:highlight w:val="none"/>
          <w:u w:val="single"/>
        </w:rPr>
        <w:t xml:space="preserve">  业主代表   </w:t>
      </w:r>
      <w:r>
        <w:rPr>
          <w:rFonts w:hint="eastAsia" w:ascii="宋体" w:hAnsi="宋体" w:cs="宋体"/>
          <w:color w:val="auto"/>
          <w:kern w:val="0"/>
          <w:sz w:val="21"/>
          <w:szCs w:val="21"/>
          <w:highlight w:val="none"/>
        </w:rPr>
        <w:t>。</w:t>
      </w:r>
    </w:p>
    <w:p w14:paraId="3AC1F624">
      <w:pPr>
        <w:adjustRightInd w:val="0"/>
        <w:snapToGrid w:val="0"/>
        <w:spacing w:line="384"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承包人接收文件的地点：</w:t>
      </w:r>
      <w:r>
        <w:rPr>
          <w:rFonts w:hint="eastAsia" w:ascii="宋体" w:hAnsi="宋体" w:cs="宋体"/>
          <w:color w:val="auto"/>
          <w:sz w:val="21"/>
          <w:szCs w:val="21"/>
          <w:highlight w:val="none"/>
          <w:u w:val="single"/>
        </w:rPr>
        <w:t xml:space="preserve">  项目部       </w:t>
      </w:r>
      <w:r>
        <w:rPr>
          <w:rFonts w:hint="eastAsia" w:ascii="宋体" w:hAnsi="宋体" w:cs="宋体"/>
          <w:color w:val="auto"/>
          <w:kern w:val="0"/>
          <w:sz w:val="21"/>
          <w:szCs w:val="21"/>
          <w:highlight w:val="none"/>
        </w:rPr>
        <w:t>；</w:t>
      </w:r>
    </w:p>
    <w:p w14:paraId="5BAF4A78">
      <w:pPr>
        <w:adjustRightInd w:val="0"/>
        <w:snapToGrid w:val="0"/>
        <w:spacing w:line="384"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cs="宋体"/>
          <w:color w:val="auto"/>
          <w:sz w:val="21"/>
          <w:szCs w:val="21"/>
          <w:highlight w:val="none"/>
          <w:u w:val="single"/>
          <w:lang w:eastAsia="zh-CN"/>
        </w:rPr>
        <w:t>项目负责人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505DB43A">
      <w:pPr>
        <w:adjustRightInd w:val="0"/>
        <w:snapToGrid w:val="0"/>
        <w:spacing w:line="384"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监理人接收文件的地点：</w:t>
      </w:r>
      <w:r>
        <w:rPr>
          <w:rFonts w:hint="eastAsia" w:ascii="宋体" w:hAnsi="宋体" w:cs="宋体"/>
          <w:color w:val="auto"/>
          <w:sz w:val="21"/>
          <w:szCs w:val="21"/>
          <w:highlight w:val="none"/>
          <w:u w:val="single"/>
        </w:rPr>
        <w:t xml:space="preserve">   监理部   </w:t>
      </w:r>
      <w:r>
        <w:rPr>
          <w:rFonts w:hint="eastAsia" w:ascii="宋体" w:hAnsi="宋体" w:cs="宋体"/>
          <w:color w:val="auto"/>
          <w:kern w:val="0"/>
          <w:sz w:val="21"/>
          <w:szCs w:val="21"/>
          <w:highlight w:val="none"/>
        </w:rPr>
        <w:t>；</w:t>
      </w:r>
    </w:p>
    <w:p w14:paraId="78985B42">
      <w:pPr>
        <w:adjustRightInd w:val="0"/>
        <w:snapToGrid w:val="0"/>
        <w:spacing w:line="384"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总监</w:t>
      </w:r>
      <w:r>
        <w:rPr>
          <w:rFonts w:hint="eastAsia" w:ascii="宋体" w:hAnsi="宋体" w:cs="宋体"/>
          <w:color w:val="auto"/>
          <w:sz w:val="21"/>
          <w:szCs w:val="21"/>
          <w:highlight w:val="none"/>
          <w:u w:val="single"/>
        </w:rPr>
        <w:t xml:space="preserve">       </w:t>
      </w:r>
      <w:r>
        <w:rPr>
          <w:rFonts w:hint="eastAsia" w:ascii="宋体" w:hAnsi="宋体" w:cs="宋体"/>
          <w:color w:val="auto"/>
          <w:kern w:val="0"/>
          <w:sz w:val="21"/>
          <w:szCs w:val="21"/>
          <w:highlight w:val="none"/>
        </w:rPr>
        <w:t>。</w:t>
      </w:r>
    </w:p>
    <w:p w14:paraId="221140D1">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1.10 交通运输</w:t>
      </w:r>
    </w:p>
    <w:p w14:paraId="37A9A36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w:t>
      </w:r>
      <w:bookmarkStart w:id="76" w:name="_Toc303539100"/>
      <w:bookmarkStart w:id="77" w:name="_Toc312677986"/>
      <w:bookmarkStart w:id="78" w:name="_Toc300934943"/>
      <w:bookmarkStart w:id="79" w:name="_Toc318581155"/>
      <w:bookmarkStart w:id="80" w:name="_Toc304295521"/>
      <w:r>
        <w:rPr>
          <w:rFonts w:hint="eastAsia" w:cs="宋体"/>
          <w:color w:val="auto"/>
          <w:sz w:val="21"/>
          <w:szCs w:val="21"/>
          <w:highlight w:val="none"/>
        </w:rPr>
        <w:t>.10.1 出入现场的权利</w:t>
      </w:r>
    </w:p>
    <w:p w14:paraId="76097404">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cs="宋体"/>
          <w:color w:val="auto"/>
          <w:sz w:val="21"/>
          <w:szCs w:val="21"/>
          <w:highlight w:val="none"/>
        </w:rPr>
        <w:t>关于出入现场的权利的约定：</w:t>
      </w:r>
      <w:r>
        <w:rPr>
          <w:rFonts w:hint="eastAsia" w:ascii="宋体" w:hAnsi="宋体" w:cs="宋体"/>
          <w:color w:val="auto"/>
          <w:sz w:val="21"/>
          <w:szCs w:val="21"/>
          <w:highlight w:val="none"/>
          <w:u w:val="single"/>
        </w:rPr>
        <w:t xml:space="preserve">按有关规定办理有关施工场地交通、环卫和施工噪音管理等手续，费用由承包人负责。施工中建筑垃圾需运出施工现场外时，承包人需到城管部门办理相关手续并按城管部门指定地点放置。承包人违反城管、环卫等有关管理的规定，被处以罚款的，由承包人承担 </w:t>
      </w:r>
      <w:r>
        <w:rPr>
          <w:rFonts w:hint="eastAsia" w:ascii="宋体" w:hAnsi="宋体" w:cs="宋体"/>
          <w:color w:val="auto"/>
          <w:sz w:val="21"/>
          <w:szCs w:val="21"/>
          <w:highlight w:val="none"/>
        </w:rPr>
        <w:t>。</w:t>
      </w:r>
    </w:p>
    <w:p w14:paraId="495A3D4B">
      <w:pPr>
        <w:pStyle w:val="2"/>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color w:val="auto"/>
          <w:sz w:val="21"/>
          <w:szCs w:val="21"/>
          <w:highlight w:val="none"/>
          <w:u w:val="single"/>
        </w:rPr>
      </w:pPr>
      <w:r>
        <w:rPr>
          <w:rFonts w:hint="eastAsia"/>
          <w:color w:val="auto"/>
          <w:sz w:val="21"/>
          <w:szCs w:val="21"/>
          <w:highlight w:val="none"/>
          <w:u w:val="single"/>
        </w:rPr>
        <w:t>施工前应开设 1-2 个固定施工通道，通道位置由发包人和承包人现场共同确认，确定后不得移动并采取有效硬化措施。不得损坏道路路面路侧石、人行道板、雨水井、雨水篦、绿化带、通信光缆、燃气管道、供电等公共设施，如因工程需要，确需损坏少量公共设施的，施工方应办理相关手续，在完工后必须恢复原状或按照有关部门核定的价格赔偿。以上均为工程验收内容，若施工方有损毁不及时修复，发包人有权委托其他施工方进行维修，发生的费用从承包人工程款中直接扣除，并在每阶段付款节点顺延六个月支付。施工过程中，应办理渣土运输证件，保持道路清洁，如有抛撒滴漏，应及时清扫。否则发包人对承包人进行处罚。施工方应确保施工安全，若施工过程中出现工伤事故及由此产生的所有经济赔偿由施工方负责,与发包人无关。</w:t>
      </w:r>
    </w:p>
    <w:p w14:paraId="71B93534">
      <w:pPr>
        <w:adjustRightInd w:val="0"/>
        <w:snapToGrid w:val="0"/>
        <w:spacing w:line="360" w:lineRule="auto"/>
        <w:ind w:firstLine="420" w:firstLineChars="200"/>
        <w:rPr>
          <w:rFonts w:cs="宋体"/>
          <w:color w:val="auto"/>
          <w:sz w:val="21"/>
          <w:szCs w:val="21"/>
          <w:highlight w:val="none"/>
          <w:u w:val="single"/>
        </w:rPr>
      </w:pPr>
      <w:r>
        <w:rPr>
          <w:rFonts w:hint="eastAsia"/>
          <w:color w:val="auto"/>
          <w:sz w:val="21"/>
          <w:szCs w:val="21"/>
          <w:highlight w:val="none"/>
          <w:u w:val="single"/>
        </w:rPr>
        <w:t>在本工程施工期间，施工单位使用的运输车辆须满足公安、市容城管、交通管理部门等的规定并按要求依法遵照有关规定办理运输许可证，严禁使用无牌无证车辆进行施工，若因以上原因造成的各种行政罚款等费用，由施工单位自行承担，发包人不具有协调等责任义务。如由此造成影响导致业主声誉受损，发包人将向承包人收取违约金 1000 元/次 。</w:t>
      </w:r>
    </w:p>
    <w:bookmarkEnd w:id="76"/>
    <w:bookmarkEnd w:id="77"/>
    <w:bookmarkEnd w:id="78"/>
    <w:bookmarkEnd w:id="79"/>
    <w:bookmarkEnd w:id="80"/>
    <w:p w14:paraId="7B9D3FE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w:t>
      </w:r>
      <w:bookmarkStart w:id="81" w:name="_Toc312677987"/>
      <w:bookmarkStart w:id="82" w:name="_Toc304295522"/>
      <w:bookmarkStart w:id="83" w:name="_Toc318581156"/>
      <w:bookmarkStart w:id="84" w:name="_Toc300934944"/>
      <w:bookmarkStart w:id="85" w:name="_Toc303539101"/>
      <w:r>
        <w:rPr>
          <w:rFonts w:hint="eastAsia" w:cs="宋体"/>
          <w:color w:val="auto"/>
          <w:sz w:val="21"/>
          <w:szCs w:val="21"/>
          <w:highlight w:val="none"/>
        </w:rPr>
        <w:t>.10.3 场内交通</w:t>
      </w:r>
    </w:p>
    <w:bookmarkEnd w:id="81"/>
    <w:bookmarkEnd w:id="82"/>
    <w:bookmarkEnd w:id="83"/>
    <w:bookmarkEnd w:id="84"/>
    <w:bookmarkEnd w:id="85"/>
    <w:p w14:paraId="383334BD">
      <w:pPr>
        <w:adjustRightInd w:val="0"/>
        <w:snapToGrid w:val="0"/>
        <w:spacing w:line="384"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kern w:val="0"/>
          <w:sz w:val="21"/>
          <w:szCs w:val="21"/>
          <w:highlight w:val="none"/>
        </w:rPr>
        <w:t>关于场外交通和场内交通的边界的约定：</w:t>
      </w:r>
      <w:r>
        <w:rPr>
          <w:rFonts w:hint="eastAsia" w:ascii="宋体" w:hAnsi="宋体" w:cs="宋体"/>
          <w:color w:val="auto"/>
          <w:sz w:val="21"/>
          <w:szCs w:val="21"/>
          <w:highlight w:val="none"/>
          <w:u w:val="single"/>
        </w:rPr>
        <w:t>场内交通边界为拟建建筑物建设用地规划红线范围（分期建设的以本期规划实施范围界限）为准，其他为场外交通</w:t>
      </w:r>
      <w:r>
        <w:rPr>
          <w:rFonts w:hint="eastAsia" w:ascii="宋体" w:hAnsi="宋体" w:cs="宋体"/>
          <w:color w:val="auto"/>
          <w:sz w:val="21"/>
          <w:szCs w:val="21"/>
          <w:highlight w:val="none"/>
        </w:rPr>
        <w:t>。</w:t>
      </w:r>
    </w:p>
    <w:p w14:paraId="094D57AF">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关于发包人向承包人免费提供满足工程施工需要的场内道路和交通设施的约定：</w:t>
      </w:r>
      <w:r>
        <w:rPr>
          <w:rFonts w:hint="eastAsia" w:ascii="宋体" w:hAnsi="宋体" w:cs="宋体"/>
          <w:color w:val="auto"/>
          <w:sz w:val="21"/>
          <w:szCs w:val="21"/>
          <w:highlight w:val="none"/>
          <w:u w:val="single"/>
        </w:rPr>
        <w:t>场内交通场地及设施由承包人自行解决，承包价已包括该部分费用；场外交通已具备条件，但应遵守政府交通主管部门及发包人有关规定</w:t>
      </w:r>
      <w:r>
        <w:rPr>
          <w:rFonts w:hint="eastAsia" w:ascii="宋体" w:hAnsi="宋体" w:cs="宋体"/>
          <w:color w:val="auto"/>
          <w:sz w:val="21"/>
          <w:szCs w:val="21"/>
          <w:highlight w:val="none"/>
        </w:rPr>
        <w:t>。</w:t>
      </w:r>
      <w:bookmarkStart w:id="86" w:name="_Toc318581157"/>
    </w:p>
    <w:p w14:paraId="58FF0E3C">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1.10.4 超大件和超重件的运输</w:t>
      </w:r>
    </w:p>
    <w:p w14:paraId="7D16AECF">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承包人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承担。</w:t>
      </w:r>
    </w:p>
    <w:bookmarkEnd w:id="86"/>
    <w:p w14:paraId="0AFFA63F">
      <w:pPr>
        <w:keepNext/>
        <w:keepLines/>
        <w:adjustRightInd w:val="0"/>
        <w:snapToGrid w:val="0"/>
        <w:spacing w:line="384" w:lineRule="auto"/>
        <w:ind w:firstLine="420" w:firstLineChars="200"/>
        <w:outlineLvl w:val="3"/>
        <w:rPr>
          <w:rFonts w:hint="eastAsia" w:ascii="宋体" w:hAnsi="宋体" w:cs="宋体"/>
          <w:bCs/>
          <w:color w:val="auto"/>
          <w:sz w:val="21"/>
          <w:szCs w:val="21"/>
          <w:highlight w:val="none"/>
        </w:rPr>
      </w:pPr>
      <w:r>
        <w:rPr>
          <w:rFonts w:hint="eastAsia" w:ascii="宋体" w:hAnsi="宋体" w:cs="宋体"/>
          <w:bCs/>
          <w:color w:val="auto"/>
          <w:sz w:val="21"/>
          <w:szCs w:val="21"/>
          <w:highlight w:val="none"/>
        </w:rPr>
        <w:t>1.11 知识产权</w:t>
      </w:r>
    </w:p>
    <w:p w14:paraId="2A90920C">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1"/>
          <w:szCs w:val="21"/>
          <w:highlight w:val="none"/>
          <w:u w:val="single"/>
        </w:rPr>
        <w:t xml:space="preserve">  发包人  </w:t>
      </w:r>
      <w:r>
        <w:rPr>
          <w:rFonts w:hint="eastAsia" w:ascii="宋体" w:hAnsi="宋体" w:cs="宋体"/>
          <w:color w:val="auto"/>
          <w:sz w:val="21"/>
          <w:szCs w:val="21"/>
          <w:highlight w:val="none"/>
        </w:rPr>
        <w:t>。</w:t>
      </w:r>
    </w:p>
    <w:p w14:paraId="7B6AF358">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关于发包人提供的上述文件的使用限制的要求：</w:t>
      </w:r>
      <w:r>
        <w:rPr>
          <w:rFonts w:hint="eastAsia" w:ascii="宋体" w:hAnsi="宋体" w:cs="宋体"/>
          <w:color w:val="auto"/>
          <w:sz w:val="21"/>
          <w:szCs w:val="21"/>
          <w:highlight w:val="none"/>
          <w:u w:val="single"/>
        </w:rPr>
        <w:t xml:space="preserve">未经发包人同意不得复制，不得向承包人以外的人员泄漏有关图纸内容，工程竣工后，原图全部收回 </w:t>
      </w:r>
      <w:r>
        <w:rPr>
          <w:rFonts w:hint="eastAsia" w:ascii="宋体" w:hAnsi="宋体" w:cs="宋体"/>
          <w:color w:val="auto"/>
          <w:sz w:val="21"/>
          <w:szCs w:val="21"/>
          <w:highlight w:val="none"/>
        </w:rPr>
        <w:t>。</w:t>
      </w:r>
    </w:p>
    <w:p w14:paraId="6A31EB43">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1.11.2 关于承包人为实施工程所编制文件的著作权的归属：</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发包人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CC4D028">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关于承包人提供的上述文件的使用限制的要求：</w:t>
      </w:r>
      <w:r>
        <w:rPr>
          <w:rFonts w:hint="eastAsia" w:ascii="宋体" w:hAnsi="宋体" w:cs="宋体"/>
          <w:color w:val="auto"/>
          <w:sz w:val="21"/>
          <w:szCs w:val="21"/>
          <w:highlight w:val="none"/>
          <w:u w:val="single"/>
        </w:rPr>
        <w:t xml:space="preserve"> 承包人可因实施工程的运行、调试、维修、改造等目的而复制、使用此类文件，但不能用于与合同无关的其他事项。未经发包人书面同意</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 xml:space="preserve">承包人不得为了合同以外的目的而复制、使用上述文件或将之提供给任何第三方  </w:t>
      </w:r>
      <w:r>
        <w:rPr>
          <w:rFonts w:hint="eastAsia" w:ascii="宋体" w:hAnsi="宋体" w:cs="宋体"/>
          <w:color w:val="auto"/>
          <w:sz w:val="21"/>
          <w:szCs w:val="21"/>
          <w:highlight w:val="none"/>
        </w:rPr>
        <w:t>。</w:t>
      </w:r>
    </w:p>
    <w:p w14:paraId="54E3A00A">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1.11.4 承包人在施工过程中所采用的专利、专有技术、技术秘密的使用费的承担方式：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承包人承担</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A4812A7">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1.13 工程量清单错误的修正</w:t>
      </w:r>
    </w:p>
    <w:p w14:paraId="6EEFF1D4">
      <w:pPr>
        <w:adjustRightInd w:val="0"/>
        <w:snapToGrid w:val="0"/>
        <w:spacing w:line="360" w:lineRule="auto"/>
        <w:ind w:firstLine="420" w:firstLineChars="200"/>
        <w:rPr>
          <w:rFonts w:cs="宋体"/>
          <w:b/>
          <w:bCs/>
          <w:i/>
          <w:iCs/>
          <w:color w:val="auto"/>
          <w:kern w:val="2"/>
          <w:sz w:val="21"/>
          <w:szCs w:val="21"/>
          <w:highlight w:val="none"/>
        </w:rPr>
      </w:pPr>
      <w:r>
        <w:rPr>
          <w:rFonts w:hint="eastAsia" w:cs="宋体"/>
          <w:color w:val="auto"/>
          <w:sz w:val="21"/>
          <w:szCs w:val="21"/>
          <w:highlight w:val="none"/>
        </w:rPr>
        <w:t>出现工程量清单错误时，是否调整合同价格：</w:t>
      </w:r>
      <w:r>
        <w:rPr>
          <w:rFonts w:hint="eastAsia" w:ascii="宋体" w:hAnsi="宋体" w:cs="宋体"/>
          <w:b/>
          <w:color w:val="auto"/>
          <w:highlight w:val="none"/>
          <w:u w:val="single"/>
          <w:lang w:val="en-US" w:eastAsia="zh-CN"/>
        </w:rPr>
        <w:t>允许调整</w:t>
      </w:r>
      <w:r>
        <w:rPr>
          <w:rFonts w:hint="eastAsia" w:cs="宋体"/>
          <w:b/>
          <w:bCs/>
          <w:i/>
          <w:iCs/>
          <w:color w:val="auto"/>
          <w:kern w:val="2"/>
          <w:sz w:val="21"/>
          <w:szCs w:val="21"/>
          <w:highlight w:val="none"/>
          <w:lang w:eastAsia="zh-CN"/>
        </w:rPr>
        <w:t>。</w:t>
      </w:r>
      <w:r>
        <w:rPr>
          <w:rFonts w:hint="eastAsia" w:cs="宋体"/>
          <w:b/>
          <w:bCs/>
          <w:i/>
          <w:iCs/>
          <w:color w:val="auto"/>
          <w:kern w:val="2"/>
          <w:sz w:val="21"/>
          <w:szCs w:val="21"/>
          <w:highlight w:val="none"/>
        </w:rPr>
        <w:t>（备注：与合同补充条款相对应）。</w:t>
      </w:r>
    </w:p>
    <w:p w14:paraId="728A701C">
      <w:pPr>
        <w:adjustRightInd w:val="0"/>
        <w:snapToGrid w:val="0"/>
        <w:spacing w:line="360" w:lineRule="auto"/>
        <w:ind w:firstLine="420" w:firstLineChars="200"/>
        <w:rPr>
          <w:rFonts w:cs="宋体"/>
          <w:b/>
          <w:bCs/>
          <w:i/>
          <w:iCs/>
          <w:color w:val="auto"/>
          <w:kern w:val="2"/>
          <w:sz w:val="21"/>
          <w:szCs w:val="21"/>
          <w:highlight w:val="none"/>
          <w:shd w:val="clear" w:color="FFFFFF" w:fill="D9D9D9"/>
        </w:rPr>
      </w:pPr>
      <w:r>
        <w:rPr>
          <w:rFonts w:hint="eastAsia" w:cs="宋体"/>
          <w:color w:val="auto"/>
          <w:sz w:val="21"/>
          <w:szCs w:val="21"/>
          <w:highlight w:val="none"/>
        </w:rPr>
        <w:t>允许调整合同价格的工程量偏差范围：</w:t>
      </w:r>
      <w:r>
        <w:rPr>
          <w:rFonts w:hint="eastAsia" w:cs="宋体"/>
          <w:color w:val="auto"/>
          <w:sz w:val="21"/>
          <w:szCs w:val="21"/>
          <w:highlight w:val="none"/>
          <w:u w:val="single"/>
        </w:rPr>
        <w:t>按实计量调整</w:t>
      </w:r>
      <w:r>
        <w:rPr>
          <w:rFonts w:hint="eastAsia" w:cs="宋体"/>
          <w:b/>
          <w:bCs/>
          <w:i/>
          <w:iCs/>
          <w:color w:val="auto"/>
          <w:kern w:val="2"/>
          <w:sz w:val="21"/>
          <w:szCs w:val="21"/>
          <w:highlight w:val="none"/>
          <w:lang w:eastAsia="zh-CN"/>
        </w:rPr>
        <w:t>。</w:t>
      </w:r>
      <w:r>
        <w:rPr>
          <w:rFonts w:hint="eastAsia" w:cs="宋体"/>
          <w:b/>
          <w:bCs/>
          <w:i/>
          <w:iCs/>
          <w:color w:val="auto"/>
          <w:kern w:val="2"/>
          <w:sz w:val="21"/>
          <w:szCs w:val="21"/>
          <w:highlight w:val="none"/>
        </w:rPr>
        <w:t>（备注：与合同补充条款相对应）。</w:t>
      </w:r>
    </w:p>
    <w:p w14:paraId="00F6121F">
      <w:pPr>
        <w:snapToGrid w:val="0"/>
        <w:spacing w:before="312" w:beforeLines="100" w:after="312" w:afterLines="100" w:line="360" w:lineRule="auto"/>
        <w:outlineLvl w:val="2"/>
        <w:rPr>
          <w:rFonts w:cs="宋体"/>
          <w:color w:val="auto"/>
          <w:sz w:val="21"/>
          <w:szCs w:val="21"/>
          <w:highlight w:val="none"/>
        </w:rPr>
      </w:pPr>
      <w:bookmarkStart w:id="87" w:name="_Toc351203634"/>
      <w:r>
        <w:rPr>
          <w:rFonts w:hint="eastAsia" w:cs="宋体"/>
          <w:color w:val="auto"/>
          <w:sz w:val="21"/>
          <w:szCs w:val="21"/>
          <w:highlight w:val="none"/>
        </w:rPr>
        <w:t>2</w:t>
      </w:r>
      <w:bookmarkStart w:id="88" w:name="_Toc296944496"/>
      <w:bookmarkStart w:id="89" w:name="_Toc292559867"/>
      <w:bookmarkStart w:id="90" w:name="_Toc296890985"/>
      <w:bookmarkStart w:id="91" w:name="_Toc296503157"/>
      <w:bookmarkStart w:id="92" w:name="_Toc296347156"/>
      <w:bookmarkStart w:id="93" w:name="_Toc296346658"/>
      <w:bookmarkStart w:id="94" w:name="_Toc297048343"/>
      <w:bookmarkStart w:id="95" w:name="_Toc296891197"/>
      <w:bookmarkStart w:id="96" w:name="_Toc292559362"/>
      <w:bookmarkStart w:id="97" w:name="_Toc297120457"/>
      <w:r>
        <w:rPr>
          <w:rFonts w:hint="eastAsia" w:cs="宋体"/>
          <w:color w:val="auto"/>
          <w:sz w:val="21"/>
          <w:szCs w:val="21"/>
          <w:highlight w:val="none"/>
        </w:rPr>
        <w:t>. 发包人</w:t>
      </w:r>
      <w:bookmarkEnd w:id="87"/>
    </w:p>
    <w:bookmarkEnd w:id="88"/>
    <w:bookmarkEnd w:id="89"/>
    <w:bookmarkEnd w:id="90"/>
    <w:bookmarkEnd w:id="91"/>
    <w:bookmarkEnd w:id="92"/>
    <w:bookmarkEnd w:id="93"/>
    <w:bookmarkEnd w:id="94"/>
    <w:bookmarkEnd w:id="95"/>
    <w:bookmarkEnd w:id="96"/>
    <w:bookmarkEnd w:id="97"/>
    <w:p w14:paraId="46DAFA43">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2.2 发包人代表</w:t>
      </w:r>
    </w:p>
    <w:p w14:paraId="2B9B5FD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发包人代表：</w:t>
      </w:r>
    </w:p>
    <w:p w14:paraId="003D920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姓    名：</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C9A5D3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身份证号：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98DD8D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职    务：</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EF7D50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0C405C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8B2DA5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868C868">
      <w:pPr>
        <w:adjustRightInd w:val="0"/>
        <w:snapToGrid w:val="0"/>
        <w:spacing w:line="360" w:lineRule="auto"/>
        <w:ind w:firstLine="420" w:firstLineChars="200"/>
        <w:rPr>
          <w:rFonts w:cs="宋体"/>
          <w:b/>
          <w:strike/>
          <w:color w:val="auto"/>
          <w:sz w:val="21"/>
          <w:szCs w:val="21"/>
          <w:highlight w:val="none"/>
        </w:rPr>
      </w:pPr>
      <w:r>
        <w:rPr>
          <w:rFonts w:hint="eastAsia" w:cs="宋体"/>
          <w:color w:val="auto"/>
          <w:sz w:val="21"/>
          <w:szCs w:val="21"/>
          <w:highlight w:val="none"/>
        </w:rPr>
        <w:t>发包人对发包人代表的授权范围如下：</w:t>
      </w:r>
      <w:r>
        <w:rPr>
          <w:rFonts w:hint="eastAsia" w:cs="宋体"/>
          <w:color w:val="auto"/>
          <w:sz w:val="21"/>
          <w:szCs w:val="21"/>
          <w:highlight w:val="none"/>
          <w:u w:val="single"/>
        </w:rPr>
        <w:t xml:space="preserve"> 施工组织设计和总进度计划的审批权；工程变更、签证的确认权；发布开工令、停工令、复工令权；工程款的审查权和支付权；特殊及重要施工工艺和材料发包及指定分包权；建筑材料价格的确认权；合同的解释等等 </w:t>
      </w:r>
      <w:r>
        <w:rPr>
          <w:rFonts w:hint="eastAsia" w:cs="宋体"/>
          <w:color w:val="auto"/>
          <w:sz w:val="21"/>
          <w:szCs w:val="21"/>
          <w:highlight w:val="none"/>
        </w:rPr>
        <w:t>。</w:t>
      </w:r>
    </w:p>
    <w:p w14:paraId="169B619D">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2.4 施工现场、施工条件和基础资料的提供</w:t>
      </w:r>
    </w:p>
    <w:p w14:paraId="4788839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2.4.1 提供施工现场</w:t>
      </w:r>
    </w:p>
    <w:p w14:paraId="70DF077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关于发包人移交施工现场的期限要求：</w:t>
      </w:r>
      <w:r>
        <w:rPr>
          <w:rFonts w:hint="eastAsia" w:cs="宋体"/>
          <w:color w:val="auto"/>
          <w:sz w:val="21"/>
          <w:szCs w:val="21"/>
          <w:highlight w:val="none"/>
          <w:u w:val="single"/>
        </w:rPr>
        <w:t>发包人应最迟于开工日期 7 天前向承包人移交施工现场。</w:t>
      </w:r>
    </w:p>
    <w:p w14:paraId="263341E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2.4.2 提供施工条件</w:t>
      </w:r>
    </w:p>
    <w:p w14:paraId="7EF15562">
      <w:pPr>
        <w:adjustRightInd w:val="0"/>
        <w:snapToGrid w:val="0"/>
        <w:spacing w:line="384" w:lineRule="auto"/>
        <w:ind w:firstLine="420" w:firstLineChars="200"/>
        <w:rPr>
          <w:rFonts w:hint="eastAsia" w:ascii="宋体" w:hAnsi="宋体" w:cs="宋体"/>
          <w:color w:val="auto"/>
          <w:sz w:val="21"/>
          <w:szCs w:val="21"/>
          <w:highlight w:val="none"/>
          <w:u w:val="single"/>
        </w:rPr>
      </w:pPr>
      <w:r>
        <w:rPr>
          <w:rFonts w:hint="eastAsia" w:cs="宋体"/>
          <w:color w:val="auto"/>
          <w:sz w:val="21"/>
          <w:szCs w:val="21"/>
          <w:highlight w:val="none"/>
        </w:rPr>
        <w:t>关于发包人应负责提供施工所需要的条件，包括：</w:t>
      </w:r>
      <w:r>
        <w:rPr>
          <w:rFonts w:hint="eastAsia" w:ascii="宋体" w:hAnsi="宋体" w:cs="宋体"/>
          <w:color w:val="auto"/>
          <w:sz w:val="21"/>
          <w:szCs w:val="21"/>
          <w:highlight w:val="none"/>
          <w:u w:val="single"/>
        </w:rPr>
        <w:t>（1）承包人应当协助发包人协调相关单位尽快使现场具备开工条件，所有工程前期及施工期间因协调处理而发生的所有费用已包含在签约合同价中，发包人不再另行支付相关费用。</w:t>
      </w:r>
    </w:p>
    <w:p w14:paraId="374D251A">
      <w:pPr>
        <w:adjustRightInd w:val="0"/>
        <w:snapToGrid w:val="0"/>
        <w:spacing w:line="384"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（2）施工场地与公共道路的通道开通时间和要求：施工场地内道路由承包人负责实施以及全部建设期内维护，所需费用已包含在签约合同价中，发包人不再另行支付相关费用。</w:t>
      </w:r>
    </w:p>
    <w:p w14:paraId="0BF2C4DD">
      <w:pPr>
        <w:adjustRightInd w:val="0"/>
        <w:snapToGrid w:val="0"/>
        <w:spacing w:line="384"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3）协调处理施工场地周围地下管线和邻近建筑物、构筑物（含文物保护建筑）、古树名木的保护工作及种植作物（如有）的处理工作：发包人负责协调相关单位，承包人负责处理或保护，因处理或保护而发生的措施费用，已经包含在签约合同价中，发包人不再另行支付相关费用；因保护处理影响工期 5 个工作日以内的，总工期不予顺延，超过 5 个工作日的，经发包人签证后可以顺延。</w:t>
      </w:r>
    </w:p>
    <w:p w14:paraId="30FABA7C">
      <w:pPr>
        <w:adjustRightInd w:val="0"/>
        <w:snapToGrid w:val="0"/>
        <w:spacing w:line="384"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4）施工用水、用电条件以投标时现场踏勘条件为准，水电由承包人自行报装和接引，并在发包人的监管下安装水、电表，并自行缴纳水电相关费用。电讯线路由承包人自行解决。本条款所发生的一切费用已包含在签约合同价中，发包人不再另行支付相关费用。</w:t>
      </w:r>
    </w:p>
    <w:p w14:paraId="3D47A9A7">
      <w:pPr>
        <w:adjustRightInd w:val="0"/>
        <w:snapToGrid w:val="0"/>
        <w:spacing w:line="360" w:lineRule="auto"/>
        <w:ind w:firstLine="420" w:firstLineChars="200"/>
        <w:rPr>
          <w:rFonts w:cs="宋体"/>
          <w:color w:val="auto"/>
          <w:sz w:val="21"/>
          <w:szCs w:val="21"/>
          <w:highlight w:val="none"/>
          <w:u w:val="single"/>
        </w:rPr>
      </w:pPr>
      <w:r>
        <w:rPr>
          <w:rFonts w:hint="eastAsia" w:ascii="宋体" w:hAnsi="宋体" w:cs="宋体"/>
          <w:color w:val="auto"/>
          <w:sz w:val="21"/>
          <w:szCs w:val="21"/>
          <w:highlight w:val="none"/>
          <w:u w:val="single"/>
        </w:rPr>
        <w:t>（5）图纸会审和设计交底时间：开工前 7 日内完成</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7150B8E">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2.5 资金来源证明及支付担保</w:t>
      </w:r>
    </w:p>
    <w:p w14:paraId="532F318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发包人提供资金来源证明的期限要求：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E80AC8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发包人是否提供支付担保：</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BD0E707">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发包人提供支付担保的形式：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7A1F5C0">
      <w:pPr>
        <w:snapToGrid w:val="0"/>
        <w:spacing w:before="312" w:beforeLines="100" w:after="312" w:afterLines="100" w:line="360" w:lineRule="auto"/>
        <w:outlineLvl w:val="2"/>
        <w:rPr>
          <w:rFonts w:cs="宋体"/>
          <w:color w:val="auto"/>
          <w:sz w:val="21"/>
          <w:szCs w:val="21"/>
          <w:highlight w:val="none"/>
        </w:rPr>
      </w:pPr>
      <w:bookmarkStart w:id="98" w:name="_Toc351203635"/>
      <w:r>
        <w:rPr>
          <w:rFonts w:hint="eastAsia" w:cs="宋体"/>
          <w:color w:val="auto"/>
          <w:sz w:val="21"/>
          <w:szCs w:val="21"/>
          <w:highlight w:val="none"/>
        </w:rPr>
        <w:t>3</w:t>
      </w:r>
      <w:bookmarkStart w:id="99" w:name="_Toc296347157"/>
      <w:bookmarkStart w:id="100" w:name="_Toc292559868"/>
      <w:bookmarkStart w:id="101" w:name="_Toc297120458"/>
      <w:bookmarkStart w:id="102" w:name="_Toc296891198"/>
      <w:bookmarkStart w:id="103" w:name="_Toc297048344"/>
      <w:bookmarkStart w:id="104" w:name="_Toc296944497"/>
      <w:bookmarkStart w:id="105" w:name="_Toc296890986"/>
      <w:bookmarkStart w:id="106" w:name="_Toc292559363"/>
      <w:bookmarkStart w:id="107" w:name="_Toc296503158"/>
      <w:bookmarkStart w:id="108" w:name="_Toc296346659"/>
      <w:r>
        <w:rPr>
          <w:rFonts w:hint="eastAsia" w:cs="宋体"/>
          <w:color w:val="auto"/>
          <w:sz w:val="21"/>
          <w:szCs w:val="21"/>
          <w:highlight w:val="none"/>
        </w:rPr>
        <w:t>. 承包人</w:t>
      </w:r>
      <w:bookmarkEnd w:id="98"/>
    </w:p>
    <w:bookmarkEnd w:id="99"/>
    <w:bookmarkEnd w:id="100"/>
    <w:bookmarkEnd w:id="101"/>
    <w:bookmarkEnd w:id="102"/>
    <w:bookmarkEnd w:id="103"/>
    <w:bookmarkEnd w:id="104"/>
    <w:bookmarkEnd w:id="105"/>
    <w:bookmarkEnd w:id="106"/>
    <w:bookmarkEnd w:id="107"/>
    <w:bookmarkEnd w:id="108"/>
    <w:p w14:paraId="37A4EAF9">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3.1 承包人的一般义务</w:t>
      </w:r>
    </w:p>
    <w:p w14:paraId="3B00CE8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（9）承包人提交的竣工资料的内容：</w:t>
      </w:r>
      <w:r>
        <w:rPr>
          <w:rFonts w:hint="eastAsia" w:cs="宋体"/>
          <w:color w:val="auto"/>
          <w:sz w:val="21"/>
          <w:szCs w:val="21"/>
          <w:highlight w:val="none"/>
          <w:u w:val="single"/>
        </w:rPr>
        <w:t>承包人提供全套竣工图，所有竣工图应为新图纸</w:t>
      </w:r>
      <w:r>
        <w:rPr>
          <w:rFonts w:hint="eastAsia" w:cs="宋体"/>
          <w:color w:val="auto"/>
          <w:sz w:val="21"/>
          <w:szCs w:val="21"/>
          <w:highlight w:val="none"/>
        </w:rPr>
        <w:t>。</w:t>
      </w:r>
    </w:p>
    <w:p w14:paraId="20D9035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承包人需要提交的竣工资料套数：</w:t>
      </w:r>
      <w:r>
        <w:rPr>
          <w:rFonts w:hint="eastAsia" w:cs="宋体"/>
          <w:color w:val="auto"/>
          <w:sz w:val="21"/>
          <w:szCs w:val="21"/>
          <w:highlight w:val="none"/>
          <w:u w:val="single"/>
        </w:rPr>
        <w:t>按档案馆要求执行</w:t>
      </w:r>
      <w:r>
        <w:rPr>
          <w:rFonts w:hint="eastAsia" w:cs="宋体"/>
          <w:color w:val="auto"/>
          <w:sz w:val="21"/>
          <w:szCs w:val="21"/>
          <w:highlight w:val="none"/>
        </w:rPr>
        <w:t>。</w:t>
      </w:r>
    </w:p>
    <w:p w14:paraId="0D0CF33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承包人提交的竣工资料的费用承担：</w:t>
      </w:r>
      <w:r>
        <w:rPr>
          <w:rFonts w:hint="eastAsia" w:cs="宋体"/>
          <w:color w:val="auto"/>
          <w:sz w:val="21"/>
          <w:szCs w:val="21"/>
          <w:highlight w:val="none"/>
          <w:u w:val="single"/>
        </w:rPr>
        <w:t>承包人承担</w:t>
      </w:r>
      <w:r>
        <w:rPr>
          <w:rFonts w:hint="eastAsia" w:cs="宋体"/>
          <w:color w:val="auto"/>
          <w:sz w:val="21"/>
          <w:szCs w:val="21"/>
          <w:highlight w:val="none"/>
        </w:rPr>
        <w:t>。</w:t>
      </w:r>
    </w:p>
    <w:p w14:paraId="75D135E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承包人提交的竣工资料移交时间：</w:t>
      </w:r>
      <w:r>
        <w:rPr>
          <w:rFonts w:hint="eastAsia" w:cs="宋体"/>
          <w:color w:val="auto"/>
          <w:sz w:val="21"/>
          <w:szCs w:val="21"/>
          <w:highlight w:val="none"/>
          <w:u w:val="single"/>
        </w:rPr>
        <w:t>工程竣工验收合格后 3 个月内</w:t>
      </w:r>
      <w:r>
        <w:rPr>
          <w:rFonts w:hint="eastAsia" w:cs="宋体"/>
          <w:color w:val="auto"/>
          <w:sz w:val="21"/>
          <w:szCs w:val="21"/>
          <w:highlight w:val="none"/>
        </w:rPr>
        <w:t>。</w:t>
      </w:r>
    </w:p>
    <w:p w14:paraId="5BA2EF7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承包人提交的竣工资料形式要求：</w:t>
      </w:r>
      <w:r>
        <w:rPr>
          <w:rFonts w:hint="eastAsia" w:cs="宋体"/>
          <w:color w:val="auto"/>
          <w:sz w:val="21"/>
          <w:szCs w:val="21"/>
          <w:highlight w:val="none"/>
          <w:u w:val="single"/>
        </w:rPr>
        <w:t>按档案馆要求执行</w:t>
      </w:r>
      <w:r>
        <w:rPr>
          <w:rFonts w:hint="eastAsia" w:cs="宋体"/>
          <w:color w:val="auto"/>
          <w:sz w:val="21"/>
          <w:szCs w:val="21"/>
          <w:highlight w:val="none"/>
        </w:rPr>
        <w:t>。</w:t>
      </w:r>
    </w:p>
    <w:p w14:paraId="6577BF8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（10）承包人应履行的其他义务：</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3C0E90D">
      <w:pPr>
        <w:keepNext/>
        <w:keepLines/>
        <w:snapToGrid w:val="0"/>
        <w:spacing w:before="120" w:after="120" w:line="360" w:lineRule="auto"/>
        <w:ind w:firstLine="420" w:firstLineChars="200"/>
        <w:outlineLvl w:val="3"/>
        <w:rPr>
          <w:rFonts w:hint="eastAsia" w:eastAsia="宋体" w:cs="宋体"/>
          <w:bCs/>
          <w:color w:val="auto"/>
          <w:sz w:val="21"/>
          <w:szCs w:val="21"/>
          <w:highlight w:val="none"/>
          <w:lang w:eastAsia="zh-CN"/>
        </w:rPr>
      </w:pPr>
      <w:r>
        <w:rPr>
          <w:rFonts w:hint="eastAsia" w:cs="宋体"/>
          <w:bCs/>
          <w:color w:val="auto"/>
          <w:sz w:val="21"/>
          <w:szCs w:val="21"/>
          <w:highlight w:val="none"/>
        </w:rPr>
        <w:t xml:space="preserve">3.2 </w:t>
      </w:r>
      <w:r>
        <w:rPr>
          <w:rFonts w:hint="eastAsia" w:cs="宋体"/>
          <w:bCs/>
          <w:color w:val="auto"/>
          <w:sz w:val="21"/>
          <w:szCs w:val="21"/>
          <w:highlight w:val="none"/>
          <w:lang w:eastAsia="zh-CN"/>
        </w:rPr>
        <w:t>项目负责人</w:t>
      </w:r>
    </w:p>
    <w:p w14:paraId="5948A8D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3.2.1 </w:t>
      </w:r>
      <w:r>
        <w:rPr>
          <w:rFonts w:hint="eastAsia" w:cs="宋体"/>
          <w:color w:val="auto"/>
          <w:sz w:val="21"/>
          <w:szCs w:val="21"/>
          <w:highlight w:val="none"/>
          <w:lang w:eastAsia="zh-CN"/>
        </w:rPr>
        <w:t>项目负责人</w:t>
      </w:r>
      <w:r>
        <w:rPr>
          <w:rFonts w:hint="eastAsia" w:cs="宋体"/>
          <w:color w:val="auto"/>
          <w:sz w:val="21"/>
          <w:szCs w:val="21"/>
          <w:highlight w:val="none"/>
        </w:rPr>
        <w:t>：</w:t>
      </w:r>
    </w:p>
    <w:p w14:paraId="775FA42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姓    名：</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4A81B2E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身份证号：</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9A119E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建造师执业资格等级：</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4B1D76E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建造师注册证书号：</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BEEC4F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建造师执业印章号：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C59444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安全生产考核合格证书号：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DAECF4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FBF0CC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60874F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B8FCEF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承包人对</w:t>
      </w:r>
      <w:r>
        <w:rPr>
          <w:rFonts w:hint="eastAsia" w:cs="宋体"/>
          <w:color w:val="auto"/>
          <w:sz w:val="21"/>
          <w:szCs w:val="21"/>
          <w:highlight w:val="none"/>
          <w:lang w:eastAsia="zh-CN"/>
        </w:rPr>
        <w:t>项目负责人</w:t>
      </w:r>
      <w:r>
        <w:rPr>
          <w:rFonts w:hint="eastAsia" w:cs="宋体"/>
          <w:color w:val="auto"/>
          <w:sz w:val="21"/>
          <w:szCs w:val="21"/>
          <w:highlight w:val="none"/>
        </w:rPr>
        <w:t>的授权范围如下：</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4D42150">
      <w:pPr>
        <w:adjustRightInd w:val="0"/>
        <w:snapToGrid w:val="0"/>
        <w:spacing w:line="360" w:lineRule="auto"/>
        <w:ind w:firstLine="420" w:firstLineChars="200"/>
        <w:rPr>
          <w:rFonts w:hint="eastAsia" w:cs="宋体"/>
          <w:color w:val="auto"/>
          <w:sz w:val="21"/>
          <w:szCs w:val="21"/>
          <w:highlight w:val="none"/>
          <w:u w:val="single"/>
        </w:rPr>
      </w:pPr>
      <w:r>
        <w:rPr>
          <w:rFonts w:hint="eastAsia" w:cs="宋体"/>
          <w:color w:val="auto"/>
          <w:sz w:val="21"/>
          <w:szCs w:val="21"/>
          <w:highlight w:val="none"/>
        </w:rPr>
        <w:t>关于</w:t>
      </w:r>
      <w:r>
        <w:rPr>
          <w:rFonts w:hint="eastAsia" w:cs="宋体"/>
          <w:color w:val="auto"/>
          <w:sz w:val="21"/>
          <w:szCs w:val="21"/>
          <w:highlight w:val="none"/>
          <w:lang w:eastAsia="zh-CN"/>
        </w:rPr>
        <w:t>项目负责人及技术负责人</w:t>
      </w:r>
      <w:r>
        <w:rPr>
          <w:rFonts w:hint="eastAsia" w:cs="宋体"/>
          <w:color w:val="auto"/>
          <w:sz w:val="21"/>
          <w:szCs w:val="21"/>
          <w:highlight w:val="none"/>
        </w:rPr>
        <w:t>每月在施工现场的时间要求：</w:t>
      </w:r>
      <w:r>
        <w:rPr>
          <w:rFonts w:hint="eastAsia" w:cs="宋体"/>
          <w:color w:val="auto"/>
          <w:sz w:val="21"/>
          <w:szCs w:val="21"/>
          <w:highlight w:val="none"/>
          <w:u w:val="single"/>
        </w:rPr>
        <w:t>见《专用合同条款数据表》。</w:t>
      </w:r>
    </w:p>
    <w:p w14:paraId="4F299E1A">
      <w:pPr>
        <w:adjustRightInd w:val="0"/>
        <w:snapToGrid w:val="0"/>
        <w:spacing w:line="360" w:lineRule="auto"/>
        <w:ind w:firstLine="420" w:firstLineChars="200"/>
        <w:rPr>
          <w:rFonts w:hint="eastAsia" w:eastAsia="宋体" w:cs="宋体"/>
          <w:color w:val="auto"/>
          <w:sz w:val="21"/>
          <w:szCs w:val="21"/>
          <w:highlight w:val="none"/>
          <w:lang w:eastAsia="zh-CN"/>
        </w:rPr>
      </w:pPr>
      <w:r>
        <w:rPr>
          <w:rFonts w:hint="eastAsia" w:cs="宋体"/>
          <w:sz w:val="21"/>
          <w:szCs w:val="21"/>
          <w:u w:val="single"/>
        </w:rPr>
        <w:t>关于</w:t>
      </w:r>
      <w:r>
        <w:rPr>
          <w:rFonts w:hint="eastAsia" w:cs="宋体"/>
          <w:sz w:val="21"/>
          <w:szCs w:val="21"/>
          <w:u w:val="single"/>
          <w:lang w:eastAsia="zh-CN"/>
        </w:rPr>
        <w:t>项目负责人</w:t>
      </w:r>
      <w:r>
        <w:rPr>
          <w:rFonts w:hint="eastAsia" w:cs="宋体"/>
          <w:sz w:val="21"/>
          <w:szCs w:val="21"/>
          <w:u w:val="single"/>
        </w:rPr>
        <w:t>每月在施工现场的时间要求：</w:t>
      </w:r>
      <w:r>
        <w:rPr>
          <w:rFonts w:hint="eastAsia" w:cs="宋体"/>
          <w:sz w:val="21"/>
          <w:szCs w:val="21"/>
          <w:u w:val="single"/>
          <w:lang w:eastAsia="zh-CN"/>
        </w:rPr>
        <w:t>项目负责人</w:t>
      </w:r>
      <w:r>
        <w:rPr>
          <w:rFonts w:hint="eastAsia" w:cs="宋体"/>
          <w:sz w:val="21"/>
          <w:szCs w:val="21"/>
          <w:u w:val="single"/>
          <w:lang w:val="en-US" w:eastAsia="zh-CN"/>
        </w:rPr>
        <w:t>及</w:t>
      </w:r>
      <w:r>
        <w:rPr>
          <w:rFonts w:hint="eastAsia" w:cs="宋体"/>
          <w:sz w:val="21"/>
          <w:szCs w:val="21"/>
          <w:u w:val="single"/>
          <w:lang w:eastAsia="zh-CN"/>
        </w:rPr>
        <w:t>技术负责人</w:t>
      </w:r>
      <w:r>
        <w:rPr>
          <w:rFonts w:hint="eastAsia" w:cs="宋体"/>
          <w:sz w:val="21"/>
          <w:szCs w:val="21"/>
          <w:u w:val="single"/>
        </w:rPr>
        <w:t>每月在岗时间不得少于22天每天不少于 8 小时，特殊情况下需离开时必须事先征得甲方和监理同意后方可离开。未按规定在岗履责的</w:t>
      </w:r>
      <w:r>
        <w:rPr>
          <w:rFonts w:hint="eastAsia" w:cs="宋体"/>
          <w:sz w:val="21"/>
          <w:szCs w:val="21"/>
          <w:u w:val="single"/>
          <w:lang w:eastAsia="zh-CN"/>
        </w:rPr>
        <w:t>，</w:t>
      </w:r>
      <w:r>
        <w:rPr>
          <w:rFonts w:hint="eastAsia" w:cs="宋体"/>
          <w:sz w:val="21"/>
          <w:szCs w:val="21"/>
          <w:u w:val="single"/>
        </w:rPr>
        <w:t>对</w:t>
      </w:r>
      <w:r>
        <w:rPr>
          <w:rFonts w:hint="eastAsia" w:cs="宋体"/>
          <w:sz w:val="21"/>
          <w:szCs w:val="21"/>
          <w:u w:val="single"/>
          <w:lang w:eastAsia="zh-CN"/>
        </w:rPr>
        <w:t>项目负责人</w:t>
      </w:r>
      <w:r>
        <w:rPr>
          <w:rFonts w:hint="eastAsia" w:cs="宋体"/>
          <w:sz w:val="21"/>
          <w:szCs w:val="21"/>
          <w:u w:val="single"/>
        </w:rPr>
        <w:t>处以</w:t>
      </w:r>
      <w:r>
        <w:rPr>
          <w:rFonts w:hint="eastAsia" w:cs="宋体"/>
          <w:sz w:val="21"/>
          <w:szCs w:val="21"/>
          <w:u w:val="single"/>
          <w:lang w:val="en-US" w:eastAsia="zh-CN"/>
        </w:rPr>
        <w:t>1000</w:t>
      </w:r>
      <w:r>
        <w:rPr>
          <w:rFonts w:hint="eastAsia" w:cs="宋体"/>
          <w:sz w:val="21"/>
          <w:szCs w:val="21"/>
          <w:u w:val="single"/>
        </w:rPr>
        <w:t xml:space="preserve"> 元/人·天的违约金</w:t>
      </w:r>
      <w:r>
        <w:rPr>
          <w:rFonts w:hint="eastAsia" w:cs="宋体"/>
          <w:sz w:val="21"/>
          <w:szCs w:val="21"/>
          <w:u w:val="single"/>
          <w:lang w:eastAsia="zh-CN"/>
        </w:rPr>
        <w:t>，</w:t>
      </w:r>
      <w:r>
        <w:rPr>
          <w:rFonts w:hint="eastAsia" w:cs="宋体"/>
          <w:sz w:val="21"/>
          <w:szCs w:val="21"/>
          <w:u w:val="single"/>
          <w:lang w:val="en-US" w:eastAsia="zh-CN"/>
        </w:rPr>
        <w:t>对</w:t>
      </w:r>
      <w:r>
        <w:rPr>
          <w:rFonts w:hint="eastAsia" w:cs="宋体"/>
          <w:sz w:val="21"/>
          <w:szCs w:val="21"/>
          <w:u w:val="single"/>
          <w:lang w:eastAsia="zh-CN"/>
        </w:rPr>
        <w:t>技术负责人</w:t>
      </w:r>
      <w:r>
        <w:rPr>
          <w:rFonts w:hint="eastAsia" w:cs="宋体"/>
          <w:sz w:val="21"/>
          <w:szCs w:val="21"/>
          <w:u w:val="single"/>
        </w:rPr>
        <w:t>处以</w:t>
      </w:r>
      <w:r>
        <w:rPr>
          <w:rFonts w:hint="eastAsia" w:cs="宋体"/>
          <w:sz w:val="21"/>
          <w:szCs w:val="21"/>
          <w:u w:val="single"/>
          <w:lang w:val="en-US" w:eastAsia="zh-CN"/>
        </w:rPr>
        <w:t>500</w:t>
      </w:r>
      <w:r>
        <w:rPr>
          <w:rFonts w:hint="eastAsia" w:cs="宋体"/>
          <w:sz w:val="21"/>
          <w:szCs w:val="21"/>
          <w:u w:val="single"/>
        </w:rPr>
        <w:t xml:space="preserve"> 元/人·天的违约金</w:t>
      </w:r>
      <w:r>
        <w:rPr>
          <w:rFonts w:hint="eastAsia" w:cs="宋体"/>
          <w:sz w:val="21"/>
          <w:szCs w:val="21"/>
          <w:u w:val="single"/>
          <w:lang w:eastAsia="zh-CN"/>
        </w:rPr>
        <w:t>。</w:t>
      </w:r>
    </w:p>
    <w:p w14:paraId="2B17A64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承包人未提交劳动合同，以及没有为项目</w:t>
      </w:r>
      <w:r>
        <w:rPr>
          <w:rFonts w:hint="eastAsia" w:cs="宋体"/>
          <w:color w:val="auto"/>
          <w:sz w:val="21"/>
          <w:szCs w:val="21"/>
          <w:highlight w:val="none"/>
          <w:lang w:val="en-US" w:eastAsia="zh-CN"/>
        </w:rPr>
        <w:t>负责人及技术负责人</w:t>
      </w:r>
      <w:r>
        <w:rPr>
          <w:rFonts w:hint="eastAsia" w:cs="宋体"/>
          <w:color w:val="auto"/>
          <w:sz w:val="21"/>
          <w:szCs w:val="21"/>
          <w:highlight w:val="none"/>
        </w:rPr>
        <w:t>缴纳社会保险证明的违约责任：</w:t>
      </w:r>
      <w:r>
        <w:rPr>
          <w:rFonts w:hint="eastAsia" w:cs="宋体"/>
          <w:color w:val="auto"/>
          <w:sz w:val="21"/>
          <w:szCs w:val="21"/>
          <w:highlight w:val="none"/>
          <w:u w:val="single"/>
        </w:rPr>
        <w:t xml:space="preserve"> 开工前，承包人应向发包人提交项目</w:t>
      </w:r>
      <w:r>
        <w:rPr>
          <w:rFonts w:hint="eastAsia" w:cs="宋体"/>
          <w:color w:val="auto"/>
          <w:sz w:val="21"/>
          <w:szCs w:val="21"/>
          <w:highlight w:val="none"/>
          <w:u w:val="single"/>
          <w:lang w:val="en-US" w:eastAsia="zh-CN"/>
        </w:rPr>
        <w:t>负责人</w:t>
      </w:r>
      <w:r>
        <w:rPr>
          <w:rFonts w:hint="eastAsia" w:cs="宋体"/>
          <w:sz w:val="21"/>
          <w:szCs w:val="21"/>
          <w:u w:val="single"/>
          <w:lang w:val="en-US" w:eastAsia="zh-CN"/>
        </w:rPr>
        <w:t>及</w:t>
      </w:r>
      <w:r>
        <w:rPr>
          <w:rFonts w:hint="eastAsia" w:cs="宋体"/>
          <w:sz w:val="21"/>
          <w:szCs w:val="21"/>
          <w:u w:val="single"/>
          <w:lang w:eastAsia="zh-CN"/>
        </w:rPr>
        <w:t>技术负责人</w:t>
      </w:r>
      <w:r>
        <w:rPr>
          <w:rFonts w:hint="eastAsia" w:cs="宋体"/>
          <w:color w:val="auto"/>
          <w:sz w:val="21"/>
          <w:szCs w:val="21"/>
          <w:highlight w:val="none"/>
          <w:u w:val="single"/>
        </w:rPr>
        <w:t>与承包人之间的劳动合同，以及承包人为项目</w:t>
      </w:r>
      <w:r>
        <w:rPr>
          <w:rFonts w:hint="eastAsia" w:cs="宋体"/>
          <w:color w:val="auto"/>
          <w:sz w:val="21"/>
          <w:szCs w:val="21"/>
          <w:highlight w:val="none"/>
          <w:u w:val="single"/>
          <w:lang w:val="en-US" w:eastAsia="zh-CN"/>
        </w:rPr>
        <w:t>负责人</w:t>
      </w:r>
      <w:r>
        <w:rPr>
          <w:rFonts w:hint="eastAsia" w:cs="宋体"/>
          <w:sz w:val="21"/>
          <w:szCs w:val="21"/>
          <w:u w:val="single"/>
          <w:lang w:val="en-US" w:eastAsia="zh-CN"/>
        </w:rPr>
        <w:t>及</w:t>
      </w:r>
      <w:r>
        <w:rPr>
          <w:rFonts w:hint="eastAsia" w:cs="宋体"/>
          <w:sz w:val="21"/>
          <w:szCs w:val="21"/>
          <w:u w:val="single"/>
          <w:lang w:eastAsia="zh-CN"/>
        </w:rPr>
        <w:t>技术负责人</w:t>
      </w:r>
      <w:r>
        <w:rPr>
          <w:rFonts w:hint="eastAsia" w:cs="宋体"/>
          <w:color w:val="auto"/>
          <w:sz w:val="21"/>
          <w:szCs w:val="21"/>
          <w:highlight w:val="none"/>
          <w:u w:val="single"/>
        </w:rPr>
        <w:t>缴纳社会保险的有效证明。承包人不提交上述文件的，项目</w:t>
      </w:r>
      <w:r>
        <w:rPr>
          <w:rFonts w:hint="eastAsia" w:cs="宋体"/>
          <w:color w:val="auto"/>
          <w:sz w:val="21"/>
          <w:szCs w:val="21"/>
          <w:highlight w:val="none"/>
          <w:u w:val="single"/>
          <w:lang w:val="en-US" w:eastAsia="zh-CN"/>
        </w:rPr>
        <w:t>负责人</w:t>
      </w:r>
      <w:r>
        <w:rPr>
          <w:rFonts w:hint="eastAsia" w:cs="宋体"/>
          <w:sz w:val="21"/>
          <w:szCs w:val="21"/>
          <w:u w:val="single"/>
          <w:lang w:val="en-US" w:eastAsia="zh-CN"/>
        </w:rPr>
        <w:t>及</w:t>
      </w:r>
      <w:r>
        <w:rPr>
          <w:rFonts w:hint="eastAsia" w:cs="宋体"/>
          <w:sz w:val="21"/>
          <w:szCs w:val="21"/>
          <w:u w:val="single"/>
          <w:lang w:eastAsia="zh-CN"/>
        </w:rPr>
        <w:t>技术负责人</w:t>
      </w:r>
      <w:r>
        <w:rPr>
          <w:rFonts w:hint="eastAsia" w:cs="宋体"/>
          <w:color w:val="auto"/>
          <w:sz w:val="21"/>
          <w:szCs w:val="21"/>
          <w:highlight w:val="none"/>
          <w:u w:val="single"/>
        </w:rPr>
        <w:t>无权履行职责，发包人有权要求更换项目</w:t>
      </w:r>
      <w:r>
        <w:rPr>
          <w:rFonts w:hint="eastAsia" w:cs="宋体"/>
          <w:color w:val="auto"/>
          <w:sz w:val="21"/>
          <w:szCs w:val="21"/>
          <w:highlight w:val="none"/>
          <w:u w:val="single"/>
          <w:lang w:val="en-US" w:eastAsia="zh-CN"/>
        </w:rPr>
        <w:t>负责人</w:t>
      </w:r>
      <w:r>
        <w:rPr>
          <w:rFonts w:hint="eastAsia" w:cs="宋体"/>
          <w:sz w:val="21"/>
          <w:szCs w:val="21"/>
          <w:u w:val="single"/>
          <w:lang w:val="en-US" w:eastAsia="zh-CN"/>
        </w:rPr>
        <w:t>及</w:t>
      </w:r>
      <w:r>
        <w:rPr>
          <w:rFonts w:hint="eastAsia" w:cs="宋体"/>
          <w:sz w:val="21"/>
          <w:szCs w:val="21"/>
          <w:u w:val="single"/>
          <w:lang w:eastAsia="zh-CN"/>
        </w:rPr>
        <w:t>技术负责人</w:t>
      </w:r>
      <w:r>
        <w:rPr>
          <w:rFonts w:hint="eastAsia" w:cs="宋体"/>
          <w:color w:val="auto"/>
          <w:sz w:val="21"/>
          <w:szCs w:val="21"/>
          <w:highlight w:val="none"/>
          <w:u w:val="single"/>
        </w:rPr>
        <w:t>，由此增加的费用和（或）延误的工期由承包人承担</w:t>
      </w:r>
      <w:r>
        <w:rPr>
          <w:rFonts w:hint="eastAsia" w:cs="宋体"/>
          <w:color w:val="auto"/>
          <w:sz w:val="21"/>
          <w:szCs w:val="21"/>
          <w:highlight w:val="none"/>
        </w:rPr>
        <w:t>。</w:t>
      </w:r>
    </w:p>
    <w:p w14:paraId="38D108FC">
      <w:pPr>
        <w:adjustRightInd w:val="0"/>
        <w:snapToGrid w:val="0"/>
        <w:spacing w:line="360" w:lineRule="auto"/>
        <w:ind w:firstLine="420" w:firstLineChars="200"/>
        <w:rPr>
          <w:rFonts w:hint="eastAsia" w:eastAsia="宋体" w:cs="宋体"/>
          <w:color w:val="auto"/>
          <w:sz w:val="21"/>
          <w:szCs w:val="21"/>
          <w:highlight w:val="none"/>
          <w:u w:val="single"/>
          <w:lang w:eastAsia="zh-CN"/>
        </w:rPr>
      </w:pPr>
      <w:r>
        <w:rPr>
          <w:rFonts w:hint="eastAsia" w:cs="宋体"/>
          <w:color w:val="auto"/>
          <w:sz w:val="21"/>
          <w:szCs w:val="21"/>
          <w:highlight w:val="none"/>
        </w:rPr>
        <w:t>项目</w:t>
      </w:r>
      <w:r>
        <w:rPr>
          <w:rFonts w:hint="eastAsia" w:cs="宋体"/>
          <w:color w:val="auto"/>
          <w:sz w:val="21"/>
          <w:szCs w:val="21"/>
          <w:highlight w:val="none"/>
          <w:lang w:val="en-US" w:eastAsia="zh-CN"/>
        </w:rPr>
        <w:t>负责人</w:t>
      </w:r>
      <w:r>
        <w:rPr>
          <w:rFonts w:hint="eastAsia" w:cs="宋体"/>
          <w:color w:val="auto"/>
          <w:sz w:val="21"/>
          <w:szCs w:val="21"/>
          <w:highlight w:val="none"/>
        </w:rPr>
        <w:t>未经批准，擅自离开施工现场的违约责任：</w:t>
      </w:r>
      <w:r>
        <w:rPr>
          <w:rFonts w:hint="eastAsia" w:cs="宋体"/>
          <w:color w:val="auto"/>
          <w:sz w:val="21"/>
          <w:szCs w:val="21"/>
          <w:highlight w:val="none"/>
          <w:u w:val="single"/>
        </w:rPr>
        <w:t>项目</w:t>
      </w:r>
      <w:r>
        <w:rPr>
          <w:rFonts w:hint="eastAsia" w:cs="宋体"/>
          <w:color w:val="auto"/>
          <w:sz w:val="21"/>
          <w:szCs w:val="21"/>
          <w:highlight w:val="none"/>
          <w:u w:val="single"/>
          <w:lang w:val="en-US" w:eastAsia="zh-CN"/>
        </w:rPr>
        <w:t>负责人</w:t>
      </w:r>
      <w:r>
        <w:rPr>
          <w:rFonts w:hint="eastAsia" w:cs="宋体"/>
          <w:color w:val="auto"/>
          <w:sz w:val="21"/>
          <w:szCs w:val="21"/>
          <w:highlight w:val="none"/>
          <w:u w:val="single"/>
        </w:rPr>
        <w:t>离开时递交临时负责人代理其职责的书面委托书，若违反规定未经书面同意擅自离开本项目工地或超假未归，将予以违约金，项目</w:t>
      </w:r>
      <w:r>
        <w:rPr>
          <w:rFonts w:hint="eastAsia" w:cs="宋体"/>
          <w:color w:val="auto"/>
          <w:sz w:val="21"/>
          <w:szCs w:val="21"/>
          <w:highlight w:val="none"/>
          <w:u w:val="single"/>
          <w:lang w:val="en-US" w:eastAsia="zh-CN"/>
        </w:rPr>
        <w:t>负责人1000</w:t>
      </w:r>
      <w:r>
        <w:rPr>
          <w:rFonts w:hint="eastAsia" w:cs="宋体"/>
          <w:color w:val="auto"/>
          <w:sz w:val="21"/>
          <w:szCs w:val="21"/>
          <w:highlight w:val="none"/>
          <w:u w:val="single"/>
        </w:rPr>
        <w:t>元/人</w:t>
      </w:r>
      <w:r>
        <w:rPr>
          <w:rFonts w:hint="eastAsia" w:cs="宋体"/>
          <w:sz w:val="21"/>
          <w:szCs w:val="21"/>
          <w:u w:val="single"/>
        </w:rPr>
        <w:t>·</w:t>
      </w:r>
      <w:r>
        <w:rPr>
          <w:rFonts w:hint="eastAsia" w:cs="宋体"/>
          <w:color w:val="auto"/>
          <w:sz w:val="21"/>
          <w:szCs w:val="21"/>
          <w:highlight w:val="none"/>
          <w:u w:val="single"/>
        </w:rPr>
        <w:t>天违约金,技术负责人</w:t>
      </w:r>
      <w:r>
        <w:rPr>
          <w:rFonts w:hint="eastAsia" w:cs="宋体"/>
          <w:color w:val="auto"/>
          <w:sz w:val="21"/>
          <w:szCs w:val="21"/>
          <w:highlight w:val="none"/>
          <w:u w:val="single"/>
          <w:lang w:val="en-US" w:eastAsia="zh-CN"/>
        </w:rPr>
        <w:t>500</w:t>
      </w:r>
      <w:r>
        <w:rPr>
          <w:rFonts w:hint="eastAsia" w:cs="宋体"/>
          <w:color w:val="auto"/>
          <w:sz w:val="21"/>
          <w:szCs w:val="21"/>
          <w:highlight w:val="none"/>
          <w:u w:val="single"/>
        </w:rPr>
        <w:t>元/人</w:t>
      </w:r>
      <w:r>
        <w:rPr>
          <w:rFonts w:hint="eastAsia" w:cs="宋体"/>
          <w:sz w:val="21"/>
          <w:szCs w:val="21"/>
          <w:u w:val="single"/>
        </w:rPr>
        <w:t>·</w:t>
      </w:r>
      <w:r>
        <w:rPr>
          <w:rFonts w:hint="eastAsia" w:cs="宋体"/>
          <w:color w:val="auto"/>
          <w:sz w:val="21"/>
          <w:szCs w:val="21"/>
          <w:highlight w:val="none"/>
          <w:u w:val="single"/>
        </w:rPr>
        <w:t>天违约金</w:t>
      </w:r>
      <w:r>
        <w:rPr>
          <w:rFonts w:hint="eastAsia" w:cs="宋体"/>
          <w:color w:val="auto"/>
          <w:sz w:val="21"/>
          <w:szCs w:val="21"/>
          <w:highlight w:val="none"/>
          <w:u w:val="single"/>
          <w:lang w:eastAsia="zh-CN"/>
        </w:rPr>
        <w:t>。</w:t>
      </w:r>
    </w:p>
    <w:p w14:paraId="5610330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3.2.3 承包人擅自更换</w:t>
      </w:r>
      <w:r>
        <w:rPr>
          <w:rFonts w:hint="eastAsia" w:cs="宋体"/>
          <w:color w:val="auto"/>
          <w:sz w:val="21"/>
          <w:szCs w:val="21"/>
          <w:highlight w:val="none"/>
          <w:lang w:eastAsia="zh-CN"/>
        </w:rPr>
        <w:t>项目负责人</w:t>
      </w:r>
      <w:r>
        <w:rPr>
          <w:rFonts w:hint="eastAsia" w:cs="宋体"/>
          <w:color w:val="auto"/>
          <w:sz w:val="21"/>
          <w:szCs w:val="21"/>
          <w:highlight w:val="none"/>
        </w:rPr>
        <w:t>的违约责任：</w:t>
      </w:r>
    </w:p>
    <w:p w14:paraId="661769F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u w:val="single"/>
        </w:rPr>
        <w:t>承包人不得擅自更换投标时所报</w:t>
      </w:r>
      <w:r>
        <w:rPr>
          <w:rFonts w:hint="eastAsia" w:cs="宋体"/>
          <w:color w:val="auto"/>
          <w:sz w:val="21"/>
          <w:szCs w:val="21"/>
          <w:highlight w:val="none"/>
          <w:u w:val="single"/>
          <w:lang w:eastAsia="zh-CN"/>
        </w:rPr>
        <w:t>项目负责人</w:t>
      </w:r>
      <w:r>
        <w:rPr>
          <w:rFonts w:hint="eastAsia"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若</w:t>
      </w:r>
      <w:r>
        <w:rPr>
          <w:rFonts w:hint="eastAsia" w:cs="宋体"/>
          <w:color w:val="auto"/>
          <w:sz w:val="21"/>
          <w:szCs w:val="21"/>
          <w:highlight w:val="none"/>
          <w:u w:val="single"/>
        </w:rPr>
        <w:t>承包人</w:t>
      </w:r>
      <w:r>
        <w:rPr>
          <w:rFonts w:hint="eastAsia" w:ascii="宋体" w:hAnsi="宋体" w:eastAsia="宋体" w:cs="宋体"/>
          <w:color w:val="auto"/>
          <w:sz w:val="21"/>
          <w:szCs w:val="21"/>
          <w:highlight w:val="none"/>
          <w:u w:val="single"/>
          <w:lang w:val="en-US" w:eastAsia="zh-CN"/>
        </w:rPr>
        <w:t>因工作安排或其他原因，需要更换派驻到项目所在地履行施工的主要施工人员时，更换人员的资质不应低于原人员的资质，并应提前14天书面申请得到业主的批准，且及时补办上岗证。施工人员更换需向业主交纳资质审查费，项目负责人</w:t>
      </w:r>
      <w:r>
        <w:rPr>
          <w:rFonts w:hint="eastAsia" w:cs="宋体"/>
          <w:color w:val="auto"/>
          <w:sz w:val="21"/>
          <w:szCs w:val="21"/>
          <w:highlight w:val="none"/>
          <w:u w:val="single"/>
          <w:lang w:val="en-US" w:eastAsia="zh-CN"/>
        </w:rPr>
        <w:t>20000</w:t>
      </w:r>
      <w:r>
        <w:rPr>
          <w:rFonts w:hint="eastAsia" w:ascii="宋体" w:hAnsi="宋体" w:eastAsia="宋体" w:cs="宋体"/>
          <w:color w:val="auto"/>
          <w:sz w:val="21"/>
          <w:szCs w:val="21"/>
          <w:highlight w:val="none"/>
          <w:u w:val="single"/>
          <w:lang w:val="en-US" w:eastAsia="zh-CN"/>
        </w:rPr>
        <w:t>元/每次违约金，技术负责人</w:t>
      </w:r>
      <w:r>
        <w:rPr>
          <w:rFonts w:hint="eastAsia" w:cs="宋体"/>
          <w:color w:val="auto"/>
          <w:sz w:val="21"/>
          <w:szCs w:val="21"/>
          <w:highlight w:val="none"/>
          <w:u w:val="single"/>
          <w:lang w:val="en-US" w:eastAsia="zh-CN"/>
        </w:rPr>
        <w:t>10000</w:t>
      </w:r>
      <w:r>
        <w:rPr>
          <w:rFonts w:hint="eastAsia" w:ascii="宋体" w:hAnsi="宋体" w:eastAsia="宋体" w:cs="宋体"/>
          <w:color w:val="auto"/>
          <w:sz w:val="21"/>
          <w:szCs w:val="21"/>
          <w:highlight w:val="none"/>
          <w:u w:val="single"/>
          <w:lang w:val="en-US" w:eastAsia="zh-CN"/>
        </w:rPr>
        <w:t>元/每次违约金。</w:t>
      </w:r>
    </w:p>
    <w:p w14:paraId="5069535C">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3.2.4 承包人无正当理由拒绝更换项目</w:t>
      </w:r>
      <w:r>
        <w:rPr>
          <w:rFonts w:hint="eastAsia" w:cs="宋体"/>
          <w:color w:val="auto"/>
          <w:sz w:val="21"/>
          <w:szCs w:val="21"/>
          <w:highlight w:val="none"/>
          <w:lang w:val="en-US" w:eastAsia="zh-CN"/>
        </w:rPr>
        <w:t>负责人</w:t>
      </w:r>
      <w:r>
        <w:rPr>
          <w:rFonts w:hint="eastAsia" w:cs="宋体"/>
          <w:color w:val="auto"/>
          <w:sz w:val="21"/>
          <w:szCs w:val="21"/>
          <w:highlight w:val="none"/>
        </w:rPr>
        <w:t>的违约责任：</w:t>
      </w:r>
      <w:r>
        <w:rPr>
          <w:rFonts w:hint="eastAsia" w:cs="宋体"/>
          <w:color w:val="auto"/>
          <w:sz w:val="21"/>
          <w:szCs w:val="21"/>
          <w:highlight w:val="none"/>
          <w:u w:val="single"/>
        </w:rPr>
        <w:t>承包方项目</w:t>
      </w:r>
      <w:r>
        <w:rPr>
          <w:rFonts w:hint="eastAsia" w:cs="宋体"/>
          <w:color w:val="auto"/>
          <w:sz w:val="21"/>
          <w:szCs w:val="21"/>
          <w:highlight w:val="none"/>
          <w:u w:val="single"/>
          <w:lang w:val="en-US" w:eastAsia="zh-CN"/>
        </w:rPr>
        <w:t>负责人</w:t>
      </w:r>
      <w:r>
        <w:rPr>
          <w:rFonts w:hint="eastAsia" w:cs="宋体"/>
          <w:color w:val="auto"/>
          <w:sz w:val="21"/>
          <w:szCs w:val="21"/>
          <w:highlight w:val="none"/>
          <w:u w:val="single"/>
        </w:rPr>
        <w:t xml:space="preserve">、项目技术负责人不满足岗位管理水平及技术水平等原因要求时，发包人和监理人可要求承包方更换，更换后人员不得低于承包人投标时所报人员资质和技术水平，并经发包人书面认可，同时发包人对承包人处以人民币 </w:t>
      </w:r>
      <w:r>
        <w:rPr>
          <w:rFonts w:hint="eastAsia" w:cs="宋体"/>
          <w:color w:val="auto"/>
          <w:sz w:val="21"/>
          <w:szCs w:val="21"/>
          <w:highlight w:val="none"/>
          <w:u w:val="single"/>
          <w:lang w:val="en-US" w:eastAsia="zh-CN"/>
        </w:rPr>
        <w:t>2</w:t>
      </w:r>
      <w:r>
        <w:rPr>
          <w:rFonts w:hint="eastAsia" w:cs="宋体"/>
          <w:color w:val="auto"/>
          <w:sz w:val="21"/>
          <w:szCs w:val="21"/>
          <w:highlight w:val="none"/>
          <w:u w:val="single"/>
        </w:rPr>
        <w:t>万元违约金/ 人·次。如承包人拒不更换</w:t>
      </w:r>
      <w:r>
        <w:rPr>
          <w:rFonts w:hint="eastAsia" w:cs="宋体"/>
          <w:color w:val="auto"/>
          <w:sz w:val="21"/>
          <w:szCs w:val="21"/>
          <w:highlight w:val="none"/>
          <w:u w:val="single"/>
          <w:lang w:eastAsia="zh-CN"/>
        </w:rPr>
        <w:t>项目负责人</w:t>
      </w:r>
      <w:r>
        <w:rPr>
          <w:rFonts w:hint="eastAsia" w:cs="宋体"/>
          <w:color w:val="auto"/>
          <w:sz w:val="21"/>
          <w:szCs w:val="21"/>
          <w:highlight w:val="none"/>
          <w:u w:val="single"/>
        </w:rPr>
        <w:t>，发包人有权</w:t>
      </w:r>
      <w:r>
        <w:rPr>
          <w:rFonts w:hint="eastAsia" w:cs="宋体"/>
          <w:color w:val="auto"/>
          <w:sz w:val="21"/>
          <w:szCs w:val="21"/>
          <w:highlight w:val="none"/>
          <w:u w:val="single"/>
          <w:lang w:val="en-US" w:eastAsia="zh-CN"/>
        </w:rPr>
        <w:t>上报监管部门进行处理</w:t>
      </w:r>
      <w:r>
        <w:rPr>
          <w:rFonts w:hint="eastAsia" w:cs="宋体"/>
          <w:color w:val="auto"/>
          <w:sz w:val="21"/>
          <w:szCs w:val="21"/>
          <w:highlight w:val="none"/>
          <w:u w:val="single"/>
        </w:rPr>
        <w:t>，同时有权要求承包人补偿因此给发包人造成的损失。</w:t>
      </w:r>
    </w:p>
    <w:p w14:paraId="2DD4FC9C">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3.3 承包人人员</w:t>
      </w:r>
    </w:p>
    <w:p w14:paraId="563BF8D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3.3.1 承包人提交项目管理机构及施工现场管理人员安排报告的期限：</w:t>
      </w:r>
      <w:r>
        <w:rPr>
          <w:rFonts w:hint="eastAsia" w:cs="宋体"/>
          <w:color w:val="auto"/>
          <w:sz w:val="21"/>
          <w:szCs w:val="21"/>
          <w:highlight w:val="none"/>
          <w:u w:val="single"/>
        </w:rPr>
        <w:t xml:space="preserve"> 承包人应在合同签订后 7 日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施工现场管理人员应当为承包人缴纳社保人员 </w:t>
      </w:r>
      <w:r>
        <w:rPr>
          <w:rFonts w:hint="eastAsia" w:cs="宋体"/>
          <w:color w:val="auto"/>
          <w:sz w:val="21"/>
          <w:szCs w:val="21"/>
          <w:highlight w:val="none"/>
        </w:rPr>
        <w:t>。</w:t>
      </w:r>
    </w:p>
    <w:p w14:paraId="7D63869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3.3.3 承包人无正当理由拒绝撤换主要施工管理人员的违约责任：</w:t>
      </w:r>
      <w:r>
        <w:rPr>
          <w:rFonts w:hint="eastAsia" w:cs="宋体"/>
          <w:color w:val="auto"/>
          <w:sz w:val="21"/>
          <w:szCs w:val="21"/>
          <w:highlight w:val="none"/>
          <w:u w:val="single"/>
        </w:rPr>
        <w:t xml:space="preserve"> 发包人可以要求承包人更换其认为不称职或不符合要求的项目施工管理人员，承包人应予以执行。对未按</w:t>
      </w:r>
      <w:r>
        <w:rPr>
          <w:rFonts w:hint="eastAsia" w:cs="宋体"/>
          <w:color w:val="auto"/>
          <w:sz w:val="21"/>
          <w:szCs w:val="21"/>
          <w:highlight w:val="none"/>
          <w:u w:val="single"/>
          <w:lang w:eastAsia="zh-CN"/>
        </w:rPr>
        <w:t>响应文件</w:t>
      </w:r>
      <w:r>
        <w:rPr>
          <w:rFonts w:hint="eastAsia" w:cs="宋体"/>
          <w:color w:val="auto"/>
          <w:sz w:val="21"/>
          <w:szCs w:val="21"/>
          <w:highlight w:val="none"/>
          <w:u w:val="single"/>
        </w:rPr>
        <w:t>配备或经考核不合格要求更换人员的，承包人 7 日内必须整改调整到位。否则，对于</w:t>
      </w:r>
      <w:r>
        <w:rPr>
          <w:rFonts w:hint="eastAsia" w:cs="宋体"/>
          <w:color w:val="auto"/>
          <w:sz w:val="21"/>
          <w:szCs w:val="21"/>
          <w:highlight w:val="none"/>
          <w:u w:val="single"/>
          <w:lang w:eastAsia="zh-CN"/>
        </w:rPr>
        <w:t>项目负责人</w:t>
      </w:r>
      <w:r>
        <w:rPr>
          <w:rFonts w:hint="eastAsia" w:cs="宋体"/>
          <w:color w:val="auto"/>
          <w:sz w:val="21"/>
          <w:szCs w:val="21"/>
          <w:highlight w:val="none"/>
          <w:u w:val="single"/>
        </w:rPr>
        <w:t xml:space="preserve">和技术负责人，按照 </w:t>
      </w:r>
      <w:r>
        <w:rPr>
          <w:rFonts w:hint="eastAsia" w:cs="宋体"/>
          <w:color w:val="auto"/>
          <w:sz w:val="21"/>
          <w:szCs w:val="21"/>
          <w:highlight w:val="none"/>
          <w:u w:val="single"/>
          <w:lang w:val="en-US" w:eastAsia="zh-CN"/>
        </w:rPr>
        <w:t>1000</w:t>
      </w:r>
      <w:r>
        <w:rPr>
          <w:rFonts w:hint="eastAsia" w:cs="宋体"/>
          <w:color w:val="auto"/>
          <w:sz w:val="21"/>
          <w:szCs w:val="21"/>
          <w:highlight w:val="none"/>
          <w:u w:val="single"/>
        </w:rPr>
        <w:t xml:space="preserve"> 元/人·天的违约金进行处罚，对于施工现场其他管理人员按照</w:t>
      </w:r>
      <w:r>
        <w:rPr>
          <w:rFonts w:hint="eastAsia" w:cs="宋体"/>
          <w:color w:val="auto"/>
          <w:sz w:val="21"/>
          <w:szCs w:val="21"/>
          <w:highlight w:val="none"/>
          <w:u w:val="single"/>
          <w:lang w:val="en-US" w:eastAsia="zh-CN"/>
        </w:rPr>
        <w:t>5</w:t>
      </w:r>
      <w:r>
        <w:rPr>
          <w:rFonts w:hint="eastAsia" w:cs="宋体"/>
          <w:color w:val="auto"/>
          <w:sz w:val="21"/>
          <w:szCs w:val="21"/>
          <w:highlight w:val="none"/>
          <w:u w:val="single"/>
        </w:rPr>
        <w:t>00 元/人·天的违约金进行处罚。15 日内未整改调整到位的，发包人有权</w:t>
      </w:r>
      <w:r>
        <w:rPr>
          <w:rFonts w:hint="eastAsia" w:cs="宋体"/>
          <w:color w:val="auto"/>
          <w:sz w:val="21"/>
          <w:szCs w:val="21"/>
          <w:highlight w:val="none"/>
          <w:u w:val="single"/>
          <w:lang w:val="en-US" w:eastAsia="zh-CN"/>
        </w:rPr>
        <w:t>上报监管部门进行处理</w:t>
      </w:r>
      <w:r>
        <w:rPr>
          <w:rFonts w:hint="eastAsia" w:cs="宋体"/>
          <w:color w:val="auto"/>
          <w:sz w:val="21"/>
          <w:szCs w:val="21"/>
          <w:highlight w:val="none"/>
          <w:u w:val="single"/>
        </w:rPr>
        <w:t xml:space="preserve">，并提请相关行政主管部门对企业和人员进行处罚 </w:t>
      </w:r>
      <w:r>
        <w:rPr>
          <w:rFonts w:hint="eastAsia" w:cs="宋体"/>
          <w:color w:val="auto"/>
          <w:sz w:val="21"/>
          <w:szCs w:val="21"/>
          <w:highlight w:val="none"/>
        </w:rPr>
        <w:t>。</w:t>
      </w:r>
    </w:p>
    <w:p w14:paraId="6208E5D3">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3.3.4 承包人主要施工管理人员离开施工现场的批准要求：</w:t>
      </w:r>
      <w:r>
        <w:rPr>
          <w:rFonts w:hint="eastAsia" w:cs="宋体"/>
          <w:color w:val="auto"/>
          <w:sz w:val="21"/>
          <w:szCs w:val="21"/>
          <w:highlight w:val="none"/>
          <w:u w:val="single"/>
        </w:rPr>
        <w:t xml:space="preserve"> 需离开时必须事先征得发包人和监理人同意后方可离开 </w:t>
      </w:r>
      <w:r>
        <w:rPr>
          <w:rFonts w:hint="eastAsia" w:cs="宋体"/>
          <w:color w:val="auto"/>
          <w:sz w:val="21"/>
          <w:szCs w:val="21"/>
          <w:highlight w:val="none"/>
        </w:rPr>
        <w:t>。</w:t>
      </w:r>
    </w:p>
    <w:p w14:paraId="3DC87F9C">
      <w:pPr>
        <w:adjustRightInd w:val="0"/>
        <w:snapToGrid w:val="0"/>
        <w:spacing w:line="360" w:lineRule="auto"/>
        <w:ind w:firstLine="424" w:firstLineChars="202"/>
        <w:rPr>
          <w:rFonts w:cs="宋体"/>
          <w:color w:val="auto"/>
          <w:sz w:val="21"/>
          <w:szCs w:val="21"/>
          <w:highlight w:val="none"/>
        </w:rPr>
      </w:pPr>
      <w:r>
        <w:rPr>
          <w:rFonts w:hint="eastAsia" w:cs="宋体"/>
          <w:color w:val="auto"/>
          <w:sz w:val="21"/>
          <w:szCs w:val="21"/>
          <w:highlight w:val="none"/>
        </w:rPr>
        <w:t>3.3.5 承包人擅自更换主要施工管理人员的违约责任：</w:t>
      </w:r>
      <w:r>
        <w:rPr>
          <w:rFonts w:hint="eastAsia" w:cs="宋体"/>
          <w:color w:val="auto"/>
          <w:sz w:val="21"/>
          <w:szCs w:val="21"/>
          <w:highlight w:val="none"/>
          <w:u w:val="single"/>
        </w:rPr>
        <w:t>承包人不得擅自更换主要管理人员，否则发包人有权</w:t>
      </w:r>
      <w:r>
        <w:rPr>
          <w:rFonts w:hint="eastAsia" w:cs="宋体"/>
          <w:color w:val="auto"/>
          <w:sz w:val="21"/>
          <w:szCs w:val="21"/>
          <w:highlight w:val="none"/>
          <w:u w:val="single"/>
          <w:lang w:val="en-US" w:eastAsia="zh-CN"/>
        </w:rPr>
        <w:t>上报监管部门进行处理</w:t>
      </w:r>
      <w:r>
        <w:rPr>
          <w:rFonts w:hint="eastAsia" w:cs="宋体"/>
          <w:color w:val="auto"/>
          <w:sz w:val="21"/>
          <w:szCs w:val="21"/>
          <w:highlight w:val="none"/>
          <w:u w:val="single"/>
        </w:rPr>
        <w:t>，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人员作出更好的调整。</w:t>
      </w:r>
    </w:p>
    <w:p w14:paraId="6556554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承包人主要施工管理人员擅自离开施工现场的违约责任：</w:t>
      </w:r>
      <w:r>
        <w:rPr>
          <w:rFonts w:hint="eastAsia" w:cs="宋体"/>
          <w:color w:val="auto"/>
          <w:sz w:val="21"/>
          <w:szCs w:val="21"/>
          <w:highlight w:val="none"/>
          <w:u w:val="single"/>
        </w:rPr>
        <w:t xml:space="preserve">擅自离开施工现场的，从当期工程款中扣除，每人每次 </w:t>
      </w:r>
      <w:r>
        <w:rPr>
          <w:rFonts w:hint="eastAsia" w:cs="宋体"/>
          <w:color w:val="auto"/>
          <w:sz w:val="21"/>
          <w:szCs w:val="21"/>
          <w:highlight w:val="none"/>
          <w:u w:val="single"/>
          <w:lang w:val="en-US" w:eastAsia="zh-CN"/>
        </w:rPr>
        <w:t>1</w:t>
      </w:r>
      <w:r>
        <w:rPr>
          <w:rFonts w:hint="eastAsia" w:cs="宋体"/>
          <w:color w:val="auto"/>
          <w:sz w:val="21"/>
          <w:szCs w:val="21"/>
          <w:highlight w:val="none"/>
          <w:u w:val="single"/>
        </w:rPr>
        <w:t xml:space="preserve">000 元违约金  </w:t>
      </w:r>
      <w:r>
        <w:rPr>
          <w:rFonts w:hint="eastAsia" w:cs="宋体"/>
          <w:color w:val="auto"/>
          <w:sz w:val="21"/>
          <w:szCs w:val="21"/>
          <w:highlight w:val="none"/>
        </w:rPr>
        <w:t>。</w:t>
      </w:r>
    </w:p>
    <w:p w14:paraId="1883F6EF">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3</w:t>
      </w:r>
      <w:bookmarkStart w:id="109" w:name="_Toc296944498"/>
      <w:bookmarkStart w:id="110" w:name="_Toc303539102"/>
      <w:bookmarkStart w:id="111" w:name="_Toc297048345"/>
      <w:bookmarkStart w:id="112" w:name="_Toc297120459"/>
      <w:bookmarkStart w:id="113" w:name="_Toc304295523"/>
      <w:bookmarkStart w:id="114" w:name="_Toc292559364"/>
      <w:bookmarkStart w:id="115" w:name="_Toc300934945"/>
      <w:bookmarkStart w:id="116" w:name="_Toc297216151"/>
      <w:bookmarkStart w:id="117" w:name="_Toc297123492"/>
      <w:bookmarkStart w:id="118" w:name="_Toc292559869"/>
      <w:bookmarkStart w:id="119" w:name="_Toc296891199"/>
      <w:bookmarkStart w:id="120" w:name="_Toc296347158"/>
      <w:bookmarkStart w:id="121" w:name="_Toc296503159"/>
      <w:bookmarkStart w:id="122" w:name="_Toc296890987"/>
      <w:bookmarkStart w:id="123" w:name="_Toc312677988"/>
      <w:bookmarkStart w:id="124" w:name="_Toc296346660"/>
      <w:r>
        <w:rPr>
          <w:rFonts w:hint="eastAsia" w:cs="宋体"/>
          <w:bCs/>
          <w:color w:val="auto"/>
          <w:sz w:val="21"/>
          <w:szCs w:val="21"/>
          <w:highlight w:val="none"/>
        </w:rPr>
        <w:t>.5 分包</w:t>
      </w:r>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14:paraId="5540BFF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w:t>
      </w:r>
      <w:bookmarkStart w:id="125" w:name="_Toc296347159"/>
      <w:bookmarkStart w:id="126" w:name="_Toc292559870"/>
      <w:bookmarkStart w:id="127" w:name="_Toc296891200"/>
      <w:bookmarkStart w:id="128" w:name="_Toc292559365"/>
      <w:bookmarkStart w:id="129" w:name="_Toc297216152"/>
      <w:bookmarkStart w:id="130" w:name="_Toc297123493"/>
      <w:bookmarkStart w:id="131" w:name="_Toc296503160"/>
      <w:bookmarkStart w:id="132" w:name="_Toc303539103"/>
      <w:bookmarkStart w:id="133" w:name="_Toc300934946"/>
      <w:bookmarkStart w:id="134" w:name="_Toc297120460"/>
      <w:bookmarkStart w:id="135" w:name="_Toc296944499"/>
      <w:bookmarkStart w:id="136" w:name="_Toc296890988"/>
      <w:bookmarkStart w:id="137" w:name="_Toc297048346"/>
      <w:bookmarkStart w:id="138" w:name="_Toc304295524"/>
      <w:bookmarkStart w:id="139" w:name="_Toc296346661"/>
      <w:bookmarkStart w:id="140" w:name="_Toc312677989"/>
      <w:bookmarkStart w:id="141" w:name="_Toc318581158"/>
      <w:r>
        <w:rPr>
          <w:rFonts w:hint="eastAsia" w:cs="宋体"/>
          <w:color w:val="auto"/>
          <w:sz w:val="21"/>
          <w:szCs w:val="21"/>
          <w:highlight w:val="none"/>
        </w:rPr>
        <w:t>.5.1 分包的一般约定</w:t>
      </w:r>
    </w:p>
    <w:p w14:paraId="2E6ED63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禁止分包的工程包括：</w:t>
      </w:r>
      <w:r>
        <w:rPr>
          <w:rFonts w:hint="eastAsia" w:cs="宋体"/>
          <w:color w:val="auto"/>
          <w:sz w:val="21"/>
          <w:szCs w:val="21"/>
          <w:highlight w:val="none"/>
          <w:u w:val="single"/>
        </w:rPr>
        <w:t>主体结构、关键性工作</w:t>
      </w:r>
      <w:r>
        <w:rPr>
          <w:rFonts w:hint="eastAsia" w:cs="宋体"/>
          <w:color w:val="auto"/>
          <w:sz w:val="21"/>
          <w:szCs w:val="21"/>
          <w:highlight w:val="none"/>
        </w:rPr>
        <w:t>。</w:t>
      </w:r>
    </w:p>
    <w:p w14:paraId="1B1AA006">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主体结构、关键性工作的范围：</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Start w:id="142" w:name="_Toc297123494"/>
      <w:bookmarkStart w:id="143" w:name="_Toc297120461"/>
      <w:bookmarkStart w:id="144" w:name="_Toc296944500"/>
      <w:bookmarkStart w:id="145" w:name="_Toc303539104"/>
      <w:bookmarkStart w:id="146" w:name="_Toc297048347"/>
      <w:bookmarkStart w:id="147" w:name="_Toc297216153"/>
      <w:bookmarkStart w:id="148" w:name="_Toc296347160"/>
      <w:bookmarkStart w:id="149" w:name="_Toc304295525"/>
      <w:bookmarkStart w:id="150" w:name="_Toc296503161"/>
      <w:bookmarkStart w:id="151" w:name="_Toc300934947"/>
      <w:bookmarkStart w:id="152" w:name="_Toc296890989"/>
      <w:bookmarkStart w:id="153" w:name="_Toc296891201"/>
      <w:bookmarkStart w:id="154" w:name="_Toc296346662"/>
      <w:r>
        <w:rPr>
          <w:rFonts w:hint="eastAsia" w:cs="宋体"/>
          <w:color w:val="auto"/>
          <w:sz w:val="21"/>
          <w:szCs w:val="21"/>
          <w:highlight w:val="none"/>
          <w:u w:val="single"/>
        </w:rPr>
        <w:t xml:space="preserve"> 主体结构，具体执行法律法规相关规定并满足发包人要求 </w:t>
      </w:r>
      <w:r>
        <w:rPr>
          <w:rFonts w:hint="eastAsia" w:cs="宋体"/>
          <w:color w:val="auto"/>
          <w:sz w:val="21"/>
          <w:szCs w:val="21"/>
          <w:highlight w:val="none"/>
        </w:rPr>
        <w:t>。</w:t>
      </w: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3EB6E39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w:t>
      </w:r>
      <w:bookmarkStart w:id="155" w:name="_Toc312677990"/>
      <w:bookmarkStart w:id="156" w:name="_Toc318581159"/>
      <w:r>
        <w:rPr>
          <w:rFonts w:hint="eastAsia" w:cs="宋体"/>
          <w:color w:val="auto"/>
          <w:sz w:val="21"/>
          <w:szCs w:val="21"/>
          <w:highlight w:val="none"/>
        </w:rPr>
        <w:t>.5.2 分包的确定</w:t>
      </w:r>
    </w:p>
    <w:p w14:paraId="05F6B236">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允许分包的专业工程包括：</w:t>
      </w:r>
      <w:r>
        <w:rPr>
          <w:rFonts w:hint="eastAsia" w:cs="宋体"/>
          <w:color w:val="auto"/>
          <w:sz w:val="21"/>
          <w:szCs w:val="21"/>
          <w:highlight w:val="none"/>
          <w:u w:val="single"/>
        </w:rPr>
        <w:t xml:space="preserve"> 除主体结构及关键性工作以外的其他工作，具体以发包人要求为准 </w:t>
      </w:r>
      <w:r>
        <w:rPr>
          <w:rFonts w:hint="eastAsia" w:cs="宋体"/>
          <w:color w:val="auto"/>
          <w:sz w:val="21"/>
          <w:szCs w:val="21"/>
          <w:highlight w:val="none"/>
        </w:rPr>
        <w:t>。</w:t>
      </w:r>
    </w:p>
    <w:p w14:paraId="23000FDB">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其他关于分包的约定：</w:t>
      </w:r>
      <w:r>
        <w:rPr>
          <w:rFonts w:hint="eastAsia" w:cs="宋体"/>
          <w:color w:val="auto"/>
          <w:sz w:val="21"/>
          <w:szCs w:val="21"/>
          <w:highlight w:val="none"/>
          <w:u w:val="single"/>
        </w:rPr>
        <w:t xml:space="preserve"> 经招标人同意，中标人可以将中标项目的部分非主体、非关键性工作（如部分专业工程施工、劳务分包等）分包给他人完成，但必须符合国家相关法律法规的规定；未经招标人认可，不得分包 </w:t>
      </w:r>
      <w:r>
        <w:rPr>
          <w:rFonts w:hint="eastAsia" w:cs="宋体"/>
          <w:color w:val="auto"/>
          <w:sz w:val="21"/>
          <w:szCs w:val="21"/>
          <w:highlight w:val="none"/>
        </w:rPr>
        <w:t>。</w:t>
      </w:r>
    </w:p>
    <w:p w14:paraId="4C33069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3.5.4 分包合同价款</w:t>
      </w:r>
    </w:p>
    <w:p w14:paraId="274F045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关于分包合同价款支付的约定：</w:t>
      </w:r>
      <w:r>
        <w:rPr>
          <w:rFonts w:hint="eastAsia" w:cs="宋体"/>
          <w:color w:val="auto"/>
          <w:sz w:val="21"/>
          <w:szCs w:val="21"/>
          <w:highlight w:val="none"/>
          <w:u w:val="single"/>
        </w:rPr>
        <w:t xml:space="preserve"> 由承包人与分包人结算 </w:t>
      </w:r>
      <w:r>
        <w:rPr>
          <w:rFonts w:hint="eastAsia" w:cs="宋体"/>
          <w:color w:val="auto"/>
          <w:sz w:val="21"/>
          <w:szCs w:val="21"/>
          <w:highlight w:val="none"/>
        </w:rPr>
        <w:t>。</w:t>
      </w:r>
    </w:p>
    <w:bookmarkEnd w:id="155"/>
    <w:bookmarkEnd w:id="156"/>
    <w:p w14:paraId="734E6A02">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3.6 工程照管与成品、半成品保护</w:t>
      </w:r>
    </w:p>
    <w:p w14:paraId="7CB2DE2A">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承包人负责照管工程及工程相关的材料、工程设备的起始时间：</w:t>
      </w:r>
      <w:r>
        <w:rPr>
          <w:rFonts w:hint="eastAsia" w:cs="宋体"/>
          <w:color w:val="auto"/>
          <w:sz w:val="21"/>
          <w:szCs w:val="21"/>
          <w:highlight w:val="none"/>
          <w:u w:val="single"/>
        </w:rPr>
        <w:t>自发包人向承包人移交施工现场之日起，承包人应负责照管工程及工程相关的材料、工程设备，直到颁发工程接收证书之日止。</w:t>
      </w:r>
    </w:p>
    <w:p w14:paraId="05A8F375">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3.7 履约保证金</w:t>
      </w:r>
    </w:p>
    <w:p w14:paraId="0A497C7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承包人是否提供履约保证金：</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DF9C58D">
      <w:pPr>
        <w:adjustRightInd w:val="0"/>
        <w:snapToGrid w:val="0"/>
        <w:spacing w:line="360" w:lineRule="auto"/>
        <w:ind w:left="-70" w:leftChars="-35" w:firstLine="497" w:firstLineChars="237"/>
        <w:rPr>
          <w:rFonts w:cs="宋体"/>
          <w:b/>
          <w:color w:val="auto"/>
          <w:sz w:val="21"/>
          <w:szCs w:val="21"/>
          <w:highlight w:val="none"/>
        </w:rPr>
      </w:pPr>
      <w:r>
        <w:rPr>
          <w:rFonts w:hint="eastAsia" w:cs="宋体"/>
          <w:color w:val="auto"/>
          <w:sz w:val="21"/>
          <w:szCs w:val="21"/>
          <w:highlight w:val="none"/>
        </w:rPr>
        <w:t>承包人提供履约保证金的形式：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638F38D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履约保证金的金额：</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D597FC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履约保证金提交期限的要求：</w:t>
      </w:r>
      <w:r>
        <w:rPr>
          <w:rFonts w:hint="eastAsia" w:cs="宋体"/>
          <w:color w:val="auto"/>
          <w:sz w:val="21"/>
          <w:szCs w:val="21"/>
          <w:highlight w:val="none"/>
          <w:u w:val="single"/>
        </w:rPr>
        <w:t>见《专用合同条款数据表》。</w:t>
      </w:r>
    </w:p>
    <w:p w14:paraId="13BA80C8">
      <w:pPr>
        <w:adjustRightInd w:val="0"/>
        <w:snapToGrid w:val="0"/>
        <w:spacing w:line="360" w:lineRule="auto"/>
        <w:ind w:firstLine="420" w:firstLineChars="200"/>
        <w:rPr>
          <w:rFonts w:cs="宋体"/>
          <w:strike/>
          <w:color w:val="auto"/>
          <w:sz w:val="21"/>
          <w:szCs w:val="21"/>
          <w:highlight w:val="none"/>
        </w:rPr>
      </w:pPr>
      <w:r>
        <w:rPr>
          <w:rFonts w:hint="eastAsia" w:cs="宋体"/>
          <w:bCs/>
          <w:snapToGrid w:val="0"/>
          <w:color w:val="auto"/>
          <w:sz w:val="21"/>
          <w:szCs w:val="21"/>
          <w:highlight w:val="none"/>
        </w:rPr>
        <w:t>履约保证金退还时限：</w:t>
      </w:r>
      <w:r>
        <w:rPr>
          <w:rFonts w:hint="eastAsia" w:cs="宋体"/>
          <w:color w:val="auto"/>
          <w:sz w:val="21"/>
          <w:szCs w:val="21"/>
          <w:highlight w:val="none"/>
          <w:u w:val="single"/>
        </w:rPr>
        <w:t>见《专用合同条款数据表》。</w:t>
      </w:r>
    </w:p>
    <w:p w14:paraId="6E672EFD">
      <w:pPr>
        <w:snapToGrid w:val="0"/>
        <w:spacing w:before="312" w:beforeLines="100" w:after="312" w:afterLines="100" w:line="360" w:lineRule="auto"/>
        <w:outlineLvl w:val="2"/>
        <w:rPr>
          <w:rFonts w:cs="宋体"/>
          <w:color w:val="auto"/>
          <w:sz w:val="21"/>
          <w:szCs w:val="21"/>
          <w:highlight w:val="none"/>
        </w:rPr>
      </w:pPr>
      <w:bookmarkStart w:id="157" w:name="_Toc351203636"/>
      <w:r>
        <w:rPr>
          <w:rFonts w:hint="eastAsia" w:cs="宋体"/>
          <w:color w:val="auto"/>
          <w:sz w:val="21"/>
          <w:szCs w:val="21"/>
          <w:highlight w:val="none"/>
        </w:rPr>
        <w:t>4</w:t>
      </w:r>
      <w:bookmarkStart w:id="158" w:name="_Toc297048348"/>
      <w:bookmarkStart w:id="159" w:name="_Toc292559366"/>
      <w:bookmarkStart w:id="160" w:name="_Toc292559871"/>
      <w:bookmarkStart w:id="161" w:name="_Toc296890990"/>
      <w:bookmarkStart w:id="162" w:name="_Toc297120462"/>
      <w:bookmarkStart w:id="163" w:name="_Toc296944501"/>
      <w:bookmarkStart w:id="164" w:name="_Toc296347161"/>
      <w:bookmarkStart w:id="165" w:name="_Toc296503162"/>
      <w:bookmarkStart w:id="166" w:name="_Toc267251413"/>
      <w:bookmarkStart w:id="167" w:name="_Toc296346663"/>
      <w:bookmarkStart w:id="168" w:name="_Toc296891202"/>
      <w:r>
        <w:rPr>
          <w:rFonts w:hint="eastAsia" w:cs="宋体"/>
          <w:color w:val="auto"/>
          <w:sz w:val="21"/>
          <w:szCs w:val="21"/>
          <w:highlight w:val="none"/>
        </w:rPr>
        <w:t>. 监</w:t>
      </w:r>
      <w:bookmarkEnd w:id="158"/>
      <w:bookmarkEnd w:id="159"/>
      <w:bookmarkEnd w:id="160"/>
      <w:bookmarkEnd w:id="161"/>
      <w:bookmarkEnd w:id="162"/>
      <w:bookmarkEnd w:id="163"/>
      <w:bookmarkEnd w:id="164"/>
      <w:bookmarkEnd w:id="165"/>
      <w:bookmarkEnd w:id="166"/>
      <w:bookmarkEnd w:id="167"/>
      <w:bookmarkEnd w:id="168"/>
      <w:r>
        <w:rPr>
          <w:rFonts w:hint="eastAsia" w:cs="宋体"/>
          <w:color w:val="auto"/>
          <w:sz w:val="21"/>
          <w:szCs w:val="21"/>
          <w:highlight w:val="none"/>
        </w:rPr>
        <w:t>理人</w:t>
      </w:r>
      <w:bookmarkEnd w:id="157"/>
    </w:p>
    <w:p w14:paraId="0507ECD1">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4.1 监理人的一般规定</w:t>
      </w:r>
    </w:p>
    <w:p w14:paraId="70B41048">
      <w:pPr>
        <w:adjustRightInd w:val="0"/>
        <w:snapToGrid w:val="0"/>
        <w:spacing w:line="384" w:lineRule="auto"/>
        <w:ind w:firstLine="420" w:firstLineChars="200"/>
        <w:rPr>
          <w:rFonts w:hint="eastAsia" w:ascii="宋体" w:hAnsi="宋体" w:cs="宋体"/>
          <w:b/>
          <w:color w:val="auto"/>
          <w:sz w:val="21"/>
          <w:szCs w:val="21"/>
          <w:highlight w:val="none"/>
          <w:u w:val="single"/>
        </w:rPr>
      </w:pPr>
      <w:r>
        <w:rPr>
          <w:rFonts w:hint="eastAsia" w:cs="宋体"/>
          <w:color w:val="auto"/>
          <w:sz w:val="21"/>
          <w:szCs w:val="21"/>
          <w:highlight w:val="none"/>
        </w:rPr>
        <w:t>关于监理人的监理内容：</w:t>
      </w:r>
      <w:r>
        <w:rPr>
          <w:rFonts w:hint="eastAsia" w:ascii="宋体" w:hAnsi="宋体" w:cs="宋体"/>
          <w:color w:val="auto"/>
          <w:sz w:val="21"/>
          <w:szCs w:val="21"/>
          <w:highlight w:val="none"/>
          <w:u w:val="single"/>
        </w:rPr>
        <w:t xml:space="preserve">详见监理合同 </w:t>
      </w:r>
      <w:r>
        <w:rPr>
          <w:rFonts w:hint="eastAsia" w:ascii="宋体" w:hAnsi="宋体" w:cs="宋体"/>
          <w:color w:val="auto"/>
          <w:sz w:val="21"/>
          <w:szCs w:val="21"/>
          <w:highlight w:val="none"/>
        </w:rPr>
        <w:t>。</w:t>
      </w:r>
    </w:p>
    <w:p w14:paraId="35078DDF">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关于监理人的监理权限：</w:t>
      </w:r>
      <w:r>
        <w:rPr>
          <w:rFonts w:hint="eastAsia" w:ascii="宋体" w:hAnsi="宋体" w:cs="宋体"/>
          <w:color w:val="auto"/>
          <w:sz w:val="21"/>
          <w:szCs w:val="21"/>
          <w:highlight w:val="none"/>
          <w:u w:val="single"/>
        </w:rPr>
        <w:t xml:space="preserve">督权；工程款支付的审核权；向承包人提出施工组织设计和技术方案的建议权；发包人和承包人间分歧或异议的组织协调的主持权；撤换不合格的工程施工（含分包）单位和注册建造师及有关人员的建议权；分包单位资质及能力的审查权及《建设工程监理规范》规定的法定职权等等  </w:t>
      </w:r>
      <w:r>
        <w:rPr>
          <w:rFonts w:hint="eastAsia" w:ascii="宋体" w:hAnsi="宋体" w:cs="宋体"/>
          <w:color w:val="auto"/>
          <w:sz w:val="21"/>
          <w:szCs w:val="21"/>
          <w:highlight w:val="none"/>
        </w:rPr>
        <w:t xml:space="preserve">。 </w:t>
      </w:r>
    </w:p>
    <w:p w14:paraId="649DE829">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关于监理人在施工现场的办公场所、生活场所的提供和费用承担的约定：</w:t>
      </w:r>
      <w:r>
        <w:rPr>
          <w:rFonts w:hint="eastAsia" w:cs="宋体"/>
          <w:color w:val="auto"/>
          <w:sz w:val="21"/>
          <w:szCs w:val="21"/>
          <w:highlight w:val="none"/>
          <w:u w:val="single"/>
        </w:rPr>
        <w:t xml:space="preserve"> 详见监理合同 </w:t>
      </w:r>
      <w:r>
        <w:rPr>
          <w:rFonts w:hint="eastAsia" w:cs="宋体"/>
          <w:color w:val="auto"/>
          <w:sz w:val="21"/>
          <w:szCs w:val="21"/>
          <w:highlight w:val="none"/>
        </w:rPr>
        <w:t>。</w:t>
      </w:r>
    </w:p>
    <w:p w14:paraId="7A3C8BB2">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4.2 监理人员</w:t>
      </w:r>
    </w:p>
    <w:p w14:paraId="696E576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总监理工程师：</w:t>
      </w:r>
    </w:p>
    <w:p w14:paraId="16D801E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姓    名：</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81D2C9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职    务：</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89A1A5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监理工程师执业资格证书号：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B7ECD1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4CDEF6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1312D7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7B5CD8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关于监理人的其他约定：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40E084E">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4.4 商定或确定</w:t>
      </w:r>
    </w:p>
    <w:p w14:paraId="3AD399A6">
      <w:pPr>
        <w:adjustRightInd w:val="0"/>
        <w:snapToGrid w:val="0"/>
        <w:spacing w:line="360" w:lineRule="auto"/>
        <w:ind w:firstLine="420" w:firstLineChars="200"/>
        <w:rPr>
          <w:rFonts w:cs="宋体"/>
          <w:color w:val="auto"/>
          <w:sz w:val="21"/>
          <w:szCs w:val="21"/>
          <w:highlight w:val="none"/>
        </w:rPr>
      </w:pPr>
      <w:bookmarkStart w:id="169" w:name="_Toc267251418"/>
      <w:r>
        <w:rPr>
          <w:rFonts w:hint="eastAsia" w:cs="宋体"/>
          <w:color w:val="auto"/>
          <w:sz w:val="21"/>
          <w:szCs w:val="21"/>
          <w:highlight w:val="none"/>
        </w:rPr>
        <w:t>在发包人和承包人不能通过协商达成一致意见时，发包人授权监理人对以下事项进行确定：</w:t>
      </w:r>
    </w:p>
    <w:p w14:paraId="6987BC7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667320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6447D9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44AC312">
      <w:pPr>
        <w:snapToGrid w:val="0"/>
        <w:spacing w:before="312" w:beforeLines="100" w:after="312" w:afterLines="100" w:line="360" w:lineRule="auto"/>
        <w:outlineLvl w:val="2"/>
        <w:rPr>
          <w:rFonts w:cs="宋体"/>
          <w:color w:val="auto"/>
          <w:sz w:val="21"/>
          <w:szCs w:val="21"/>
          <w:highlight w:val="none"/>
        </w:rPr>
      </w:pPr>
      <w:bookmarkStart w:id="170" w:name="_Toc351203637"/>
      <w:r>
        <w:rPr>
          <w:rFonts w:hint="eastAsia" w:cs="宋体"/>
          <w:color w:val="auto"/>
          <w:sz w:val="21"/>
          <w:szCs w:val="21"/>
          <w:highlight w:val="none"/>
        </w:rPr>
        <w:t>5</w:t>
      </w:r>
      <w:bookmarkEnd w:id="169"/>
      <w:bookmarkStart w:id="171" w:name="_Toc296346664"/>
      <w:bookmarkStart w:id="172" w:name="_Toc292559367"/>
      <w:bookmarkStart w:id="173" w:name="_Toc296944502"/>
      <w:bookmarkStart w:id="174" w:name="_Toc297048349"/>
      <w:bookmarkStart w:id="175" w:name="_Toc296347162"/>
      <w:bookmarkStart w:id="176" w:name="_Toc297120463"/>
      <w:bookmarkStart w:id="177" w:name="_Toc296503163"/>
      <w:bookmarkStart w:id="178" w:name="_Toc296890991"/>
      <w:bookmarkStart w:id="179" w:name="_Toc292559872"/>
      <w:bookmarkStart w:id="180" w:name="_Toc296891203"/>
      <w:r>
        <w:rPr>
          <w:rFonts w:hint="eastAsia" w:cs="宋体"/>
          <w:color w:val="auto"/>
          <w:sz w:val="21"/>
          <w:szCs w:val="21"/>
          <w:highlight w:val="none"/>
        </w:rPr>
        <w:t>. 工程质量</w:t>
      </w:r>
      <w:bookmarkEnd w:id="170"/>
    </w:p>
    <w:p w14:paraId="16D9EE3A">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5.1 质量要求</w:t>
      </w:r>
    </w:p>
    <w:p w14:paraId="6D7CB1CE">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5</w:t>
      </w:r>
      <w:bookmarkStart w:id="181" w:name="_Toc297216155"/>
      <w:bookmarkStart w:id="182" w:name="_Toc304295527"/>
      <w:bookmarkStart w:id="183" w:name="_Toc297123496"/>
      <w:bookmarkStart w:id="184" w:name="_Toc312677997"/>
      <w:bookmarkStart w:id="185" w:name="_Toc303539106"/>
      <w:bookmarkStart w:id="186" w:name="_Toc300934949"/>
      <w:bookmarkStart w:id="187" w:name="_Toc318581164"/>
      <w:r>
        <w:rPr>
          <w:rFonts w:hint="eastAsia" w:cs="宋体"/>
          <w:color w:val="auto"/>
          <w:sz w:val="21"/>
          <w:szCs w:val="21"/>
          <w:highlight w:val="none"/>
        </w:rPr>
        <w:t>.1.1 特殊质量标准和要求：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3E77AE6">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关于工程奖项的约定：</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09EF9EE">
      <w:pPr>
        <w:snapToGrid w:val="0"/>
        <w:spacing w:line="360" w:lineRule="auto"/>
        <w:ind w:firstLine="420" w:firstLineChars="200"/>
        <w:jc w:val="left"/>
        <w:rPr>
          <w:rFonts w:cs="宋体"/>
          <w:color w:val="auto"/>
          <w:sz w:val="21"/>
          <w:szCs w:val="21"/>
          <w:highlight w:val="none"/>
        </w:rPr>
      </w:pPr>
      <w:bookmarkStart w:id="188" w:name="_Toc351203638"/>
      <w:r>
        <w:rPr>
          <w:rFonts w:hint="eastAsia" w:cs="宋体"/>
          <w:color w:val="auto"/>
          <w:sz w:val="21"/>
          <w:szCs w:val="21"/>
          <w:highlight w:val="none"/>
        </w:rPr>
        <w:t>关于建造要求：</w:t>
      </w:r>
    </w:p>
    <w:p w14:paraId="109F51FE">
      <w:pPr>
        <w:pStyle w:val="16"/>
        <w:snapToGrid w:val="0"/>
        <w:spacing w:line="360" w:lineRule="auto"/>
        <w:ind w:firstLine="480"/>
        <w:rPr>
          <w:rFonts w:hAnsi="宋体" w:cs="宋体"/>
          <w:color w:val="auto"/>
          <w:sz w:val="21"/>
          <w:szCs w:val="21"/>
          <w:highlight w:val="none"/>
        </w:rPr>
      </w:pPr>
      <w:r>
        <w:rPr>
          <w:rFonts w:hint="eastAsia" w:hAnsi="宋体" w:cs="宋体"/>
          <w:color w:val="auto"/>
          <w:sz w:val="21"/>
          <w:szCs w:val="21"/>
          <w:highlight w:val="none"/>
        </w:rPr>
        <w:t>（1）绿色建筑等级要求：</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2913F3D9">
      <w:pPr>
        <w:pStyle w:val="16"/>
        <w:snapToGrid w:val="0"/>
        <w:spacing w:line="360" w:lineRule="auto"/>
        <w:ind w:firstLine="480"/>
        <w:rPr>
          <w:rFonts w:hAnsi="宋体" w:cs="宋体"/>
          <w:color w:val="auto"/>
          <w:sz w:val="21"/>
          <w:szCs w:val="21"/>
          <w:highlight w:val="none"/>
        </w:rPr>
      </w:pPr>
      <w:r>
        <w:rPr>
          <w:rFonts w:hint="eastAsia" w:hAnsi="宋体" w:cs="宋体"/>
          <w:color w:val="auto"/>
          <w:sz w:val="21"/>
          <w:szCs w:val="21"/>
          <w:highlight w:val="none"/>
        </w:rPr>
        <w:t>（2）智慧工地管理要求：</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4FFCC841">
      <w:pPr>
        <w:pStyle w:val="16"/>
        <w:snapToGrid w:val="0"/>
        <w:spacing w:line="360" w:lineRule="auto"/>
        <w:ind w:firstLine="480"/>
        <w:rPr>
          <w:rFonts w:hAnsi="宋体" w:cs="宋体"/>
          <w:color w:val="auto"/>
          <w:sz w:val="21"/>
          <w:szCs w:val="21"/>
          <w:highlight w:val="none"/>
        </w:rPr>
      </w:pPr>
      <w:r>
        <w:rPr>
          <w:rFonts w:hint="eastAsia" w:hAnsi="宋体" w:cs="宋体"/>
          <w:color w:val="auto"/>
          <w:sz w:val="21"/>
          <w:szCs w:val="21"/>
          <w:highlight w:val="none"/>
        </w:rPr>
        <w:t>（3）建筑垃圾减量化目标：</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07F4E099">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（4）装配式建筑装配率要求：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7B855BA">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（5）</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6CB61CB">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5.3 隐蔽工程检查</w:t>
      </w:r>
    </w:p>
    <w:p w14:paraId="3971E272">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5.3.2 承包人提前通知监理人隐蔽工程检查的期限的约定：</w:t>
      </w:r>
      <w:r>
        <w:rPr>
          <w:rFonts w:hint="eastAsia" w:cs="宋体"/>
          <w:color w:val="auto"/>
          <w:sz w:val="21"/>
          <w:szCs w:val="21"/>
          <w:highlight w:val="none"/>
          <w:u w:val="single"/>
        </w:rPr>
        <w:t xml:space="preserve"> 工程具备隐蔽条件或达到中间验收部位时，承包人自检合格后，在隐蔽和中间验收 48 小时前书面通知甲方代表和监理工程师参加。通知应包含承包人自检记录、隐蔽和中间验收的内容、时间和地点。承包人准备验收记录，验收合格，甲方代表及监理工程师在验收记录上签字后，方可进行隐蔽和继续施工。验收不合格，承包人在限定时间内重新验收。承包人不服从质量管理的，发包人有权清退其出场，并赔偿因此而造成的一切损失 </w:t>
      </w:r>
      <w:r>
        <w:rPr>
          <w:rFonts w:hint="eastAsia" w:cs="宋体"/>
          <w:color w:val="auto"/>
          <w:sz w:val="21"/>
          <w:szCs w:val="21"/>
          <w:highlight w:val="none"/>
        </w:rPr>
        <w:t>。</w:t>
      </w:r>
    </w:p>
    <w:p w14:paraId="4DFD116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监理人不能按时进行检查时，应提前</w:t>
      </w:r>
      <w:r>
        <w:rPr>
          <w:rFonts w:hint="eastAsia" w:cs="宋体"/>
          <w:color w:val="auto"/>
          <w:sz w:val="21"/>
          <w:szCs w:val="21"/>
          <w:highlight w:val="none"/>
          <w:u w:val="single"/>
          <w:lang w:val="en-US" w:eastAsia="zh-CN"/>
        </w:rPr>
        <w:t>24</w:t>
      </w:r>
      <w:r>
        <w:rPr>
          <w:rFonts w:hint="eastAsia" w:cs="宋体"/>
          <w:color w:val="auto"/>
          <w:sz w:val="21"/>
          <w:szCs w:val="21"/>
          <w:highlight w:val="none"/>
          <w:u w:val="single"/>
        </w:rPr>
        <w:t xml:space="preserve"> </w:t>
      </w:r>
      <w:r>
        <w:rPr>
          <w:rFonts w:hint="eastAsia" w:cs="宋体"/>
          <w:color w:val="auto"/>
          <w:sz w:val="21"/>
          <w:szCs w:val="21"/>
          <w:highlight w:val="none"/>
        </w:rPr>
        <w:t>小时提交书面延期要求。</w:t>
      </w:r>
    </w:p>
    <w:p w14:paraId="4B44658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关于延期最长不得超过：</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48</w:t>
      </w:r>
      <w:r>
        <w:rPr>
          <w:rFonts w:hint="eastAsia" w:cs="宋体"/>
          <w:color w:val="auto"/>
          <w:sz w:val="21"/>
          <w:szCs w:val="21"/>
          <w:highlight w:val="none"/>
        </w:rPr>
        <w:t>小时。</w:t>
      </w:r>
    </w:p>
    <w:p w14:paraId="6FB6D589">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5</w:t>
      </w:r>
      <w:bookmarkStart w:id="189" w:name="_Toc337558762"/>
      <w:r>
        <w:rPr>
          <w:rFonts w:hint="eastAsia" w:cs="宋体"/>
          <w:bCs/>
          <w:color w:val="auto"/>
          <w:sz w:val="21"/>
          <w:szCs w:val="21"/>
          <w:highlight w:val="none"/>
        </w:rPr>
        <w:t>.4 不合格工程的处理</w:t>
      </w:r>
    </w:p>
    <w:bookmarkEnd w:id="189"/>
    <w:p w14:paraId="3EE0B82A">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本款补充5.4.3项：</w:t>
      </w:r>
    </w:p>
    <w:p w14:paraId="49C37AD6">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5.4.3 承包人在收到监理人发出的《不合格分项报告》或监理通知单后，必须在监理人规定时间内按要求完成整改，未能在限定时间内完成整改的，须承担相应违约责任。</w:t>
      </w:r>
    </w:p>
    <w:p w14:paraId="662AD1BF">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本条补充5.6款：</w:t>
      </w:r>
    </w:p>
    <w:p w14:paraId="0B95AB81">
      <w:pPr>
        <w:keepNext/>
        <w:keepLines/>
        <w:snapToGrid w:val="0"/>
        <w:spacing w:before="120" w:after="120" w:line="360" w:lineRule="auto"/>
        <w:ind w:firstLine="420" w:firstLineChars="200"/>
        <w:outlineLvl w:val="3"/>
        <w:rPr>
          <w:rFonts w:cs="宋体"/>
          <w:bCs/>
          <w:color w:val="auto"/>
          <w:sz w:val="21"/>
          <w:szCs w:val="21"/>
          <w:highlight w:val="none"/>
        </w:rPr>
      </w:pPr>
      <w:bookmarkStart w:id="190" w:name="_Toc532377348"/>
      <w:r>
        <w:rPr>
          <w:rFonts w:hint="eastAsia" w:cs="宋体"/>
          <w:bCs/>
          <w:color w:val="auto"/>
          <w:sz w:val="21"/>
          <w:szCs w:val="21"/>
          <w:highlight w:val="none"/>
        </w:rPr>
        <w:t>5.6 质量事故的处理</w:t>
      </w:r>
      <w:bookmarkEnd w:id="190"/>
    </w:p>
    <w:p w14:paraId="4F6017B4">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5.6.1 合同履行过程中，发生工程质量事故的调查处理按照国家现行规定处理。</w:t>
      </w:r>
    </w:p>
    <w:p w14:paraId="41D8948F">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0C570231">
      <w:pPr>
        <w:snapToGrid w:val="0"/>
        <w:spacing w:before="312" w:beforeLines="100" w:after="312" w:afterLines="100" w:line="360" w:lineRule="auto"/>
        <w:outlineLvl w:val="2"/>
        <w:rPr>
          <w:rFonts w:cs="宋体"/>
          <w:color w:val="auto"/>
          <w:sz w:val="21"/>
          <w:szCs w:val="21"/>
          <w:highlight w:val="none"/>
        </w:rPr>
      </w:pPr>
      <w:r>
        <w:rPr>
          <w:rFonts w:hint="eastAsia" w:cs="宋体"/>
          <w:color w:val="auto"/>
          <w:sz w:val="21"/>
          <w:szCs w:val="21"/>
          <w:highlight w:val="none"/>
        </w:rPr>
        <w:t>6. 安全文明施工与环境保护</w:t>
      </w:r>
      <w:bookmarkEnd w:id="188"/>
    </w:p>
    <w:p w14:paraId="5B6A84BC">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6.1 安全文明施工</w:t>
      </w:r>
    </w:p>
    <w:p w14:paraId="2F1AF587">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6.1.1 项目安全生产的达标目标及相应事项的约定：</w:t>
      </w:r>
      <w:r>
        <w:rPr>
          <w:rFonts w:hint="eastAsia" w:cs="宋体"/>
          <w:color w:val="auto"/>
          <w:sz w:val="21"/>
          <w:szCs w:val="21"/>
          <w:highlight w:val="none"/>
          <w:u w:val="single"/>
        </w:rPr>
        <w:t>执行通用条款</w:t>
      </w:r>
      <w:r>
        <w:rPr>
          <w:rFonts w:hint="eastAsia" w:cs="宋体"/>
          <w:color w:val="auto"/>
          <w:sz w:val="21"/>
          <w:szCs w:val="21"/>
          <w:highlight w:val="none"/>
        </w:rPr>
        <w:t>。</w:t>
      </w:r>
    </w:p>
    <w:p w14:paraId="66B17CEE">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6.1.4 关于治安保卫的特别约定：</w:t>
      </w:r>
      <w:r>
        <w:rPr>
          <w:rFonts w:hint="eastAsia" w:cs="宋体"/>
          <w:color w:val="auto"/>
          <w:sz w:val="21"/>
          <w:szCs w:val="21"/>
          <w:highlight w:val="none"/>
          <w:u w:val="single"/>
        </w:rPr>
        <w:t xml:space="preserve"> ①贯彻执行当地安监、公安部门相关要求。②承包人负责现场的施工安全、保卫、夜间照明及场内外交口交通疏导，按发包人要求标准搞好施工现场管理，费用由承包人全部承担。③积极配合建筑业管理部门、当地卫生防疫部门、派出所等相关部门做好施工人员的卫生防疫、办理暂住证等相关手续，费用由承包人全部承担 </w:t>
      </w:r>
      <w:r>
        <w:rPr>
          <w:rFonts w:hint="eastAsia" w:cs="宋体"/>
          <w:color w:val="auto"/>
          <w:sz w:val="21"/>
          <w:szCs w:val="21"/>
          <w:highlight w:val="none"/>
        </w:rPr>
        <w:t>。</w:t>
      </w:r>
    </w:p>
    <w:p w14:paraId="247BCF3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关于编制施工场地治安管理计划的约定：</w:t>
      </w:r>
      <w:r>
        <w:rPr>
          <w:rFonts w:hint="eastAsia" w:cs="宋体"/>
          <w:color w:val="auto"/>
          <w:sz w:val="21"/>
          <w:szCs w:val="21"/>
          <w:highlight w:val="none"/>
          <w:u w:val="single"/>
        </w:rPr>
        <w:t>执行通用条款和滁州市有关部门颁发的施工场地治安管理规定，承包人负责，费用已包含在合同价款内，发包人不再另行计取支付。承包人要根据现场特点，加强现场安全管理，做好安全生产、文明施工工作，制定详细的安全施工方案和保证工程施工安全的管理体系</w:t>
      </w:r>
      <w:r>
        <w:rPr>
          <w:rFonts w:hint="eastAsia" w:cs="宋体"/>
          <w:color w:val="auto"/>
          <w:sz w:val="21"/>
          <w:szCs w:val="21"/>
          <w:highlight w:val="none"/>
        </w:rPr>
        <w:t>。</w:t>
      </w:r>
    </w:p>
    <w:p w14:paraId="73B5076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6.1.5 文明施工</w:t>
      </w:r>
    </w:p>
    <w:p w14:paraId="42DD547E">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合同当事人对文明施工的要求：</w:t>
      </w:r>
      <w:r>
        <w:rPr>
          <w:rFonts w:hint="eastAsia" w:cs="宋体"/>
          <w:color w:val="auto"/>
          <w:sz w:val="21"/>
          <w:szCs w:val="21"/>
          <w:highlight w:val="none"/>
          <w:u w:val="single"/>
        </w:rPr>
        <w:t xml:space="preserve">  执行通用条款 </w:t>
      </w:r>
      <w:r>
        <w:rPr>
          <w:rFonts w:hint="eastAsia" w:cs="宋体"/>
          <w:color w:val="auto"/>
          <w:sz w:val="21"/>
          <w:szCs w:val="21"/>
          <w:highlight w:val="none"/>
        </w:rPr>
        <w:t>。</w:t>
      </w:r>
    </w:p>
    <w:p w14:paraId="7DB26F5A">
      <w:pPr>
        <w:adjustRightInd w:val="0"/>
        <w:snapToGrid w:val="0"/>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6.1.6 关于安全文明施工费支付比例和支付期限的约定：</w:t>
      </w:r>
      <w:r>
        <w:rPr>
          <w:rFonts w:hint="eastAsia" w:cs="宋体"/>
          <w:color w:val="auto"/>
          <w:sz w:val="21"/>
          <w:szCs w:val="21"/>
          <w:highlight w:val="none"/>
          <w:u w:val="single"/>
        </w:rPr>
        <w:t xml:space="preserve"> 同价款中已包括此费用，安全文明施工费随工程进度款同比例支付 </w:t>
      </w:r>
      <w:r>
        <w:rPr>
          <w:rFonts w:hint="eastAsia" w:cs="宋体"/>
          <w:color w:val="auto"/>
          <w:sz w:val="21"/>
          <w:szCs w:val="21"/>
          <w:highlight w:val="none"/>
        </w:rPr>
        <w:t>。</w:t>
      </w:r>
    </w:p>
    <w:p w14:paraId="7BB56799">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6.1.7 发生安全事故，承包人应按照有关规定立即上报有关部门并通知工程师，同时按照政府有关要求处理 ，由事故责任方承担发生的费用。发包人根据事故的分类对承包人进行处以违约：</w:t>
      </w:r>
    </w:p>
    <w:p w14:paraId="75524953">
      <w:pPr>
        <w:adjustRightInd w:val="0"/>
        <w:snapToGrid w:val="0"/>
        <w:spacing w:line="384" w:lineRule="auto"/>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 ）特别重大事故，发包人对承包人处以 40 万元的人民币违约金；（2 ）重大事故，发包人对承包人处以 30 万元的人民币违约金；（3 ）较大事故，发包人对承包人处以 20 万元的人民币违约金；（4 ）一般事故，发包人对承包人处以 10 万元的人民币违约金；并承担因施工安全事故给本工程建设单位、项目管理单位和监理人带来的经济损失。</w:t>
      </w:r>
    </w:p>
    <w:p w14:paraId="155B4E84">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6.1.8 发生质量事故，承包人应按照有关规定立即上报有关部门并通知工程师，同时按照政府有关要求处理，由事故责任 方承担发生的费用。发包人根据事故的分类对承包人进行处以违约：</w:t>
      </w:r>
    </w:p>
    <w:p w14:paraId="78C6AC9F">
      <w:pPr>
        <w:adjustRightInd w:val="0"/>
        <w:snapToGrid w:val="0"/>
        <w:spacing w:line="384" w:lineRule="auto"/>
        <w:ind w:firstLine="0" w:firstLineChars="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（1）特别重大质量事故，发包人对承包人处以 40 万元的人民币违约金；（2 ）重大质量事故，发包人对承包人处以 30 万元的人民币违约金；（3）严重质量事故，发包人对承包人处以 20 万元人民币违约金；（4 ）一般质量事故，发包人对承包人处以 10 万元的人民币违约金；并承担因施工质量事故给本工程建设单位、项目管理单位和监理人带来的经济损失。</w:t>
      </w:r>
    </w:p>
    <w:bookmarkEnd w:id="181"/>
    <w:bookmarkEnd w:id="182"/>
    <w:bookmarkEnd w:id="183"/>
    <w:bookmarkEnd w:id="184"/>
    <w:bookmarkEnd w:id="185"/>
    <w:bookmarkEnd w:id="186"/>
    <w:bookmarkEnd w:id="187"/>
    <w:p w14:paraId="37FF8EB3">
      <w:pPr>
        <w:snapToGrid w:val="0"/>
        <w:spacing w:before="312" w:beforeLines="100" w:after="312" w:afterLines="100" w:line="360" w:lineRule="auto"/>
        <w:outlineLvl w:val="2"/>
        <w:rPr>
          <w:rFonts w:cs="宋体"/>
          <w:color w:val="auto"/>
          <w:sz w:val="21"/>
          <w:szCs w:val="21"/>
          <w:highlight w:val="none"/>
        </w:rPr>
      </w:pPr>
      <w:bookmarkStart w:id="191" w:name="_Toc351203639"/>
      <w:r>
        <w:rPr>
          <w:rFonts w:hint="eastAsia" w:cs="宋体"/>
          <w:color w:val="auto"/>
          <w:sz w:val="21"/>
          <w:szCs w:val="21"/>
          <w:highlight w:val="none"/>
        </w:rPr>
        <w:t>7. 工期和进度</w:t>
      </w:r>
      <w:bookmarkEnd w:id="191"/>
    </w:p>
    <w:p w14:paraId="02621114">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7.1 施工组织设计</w:t>
      </w:r>
    </w:p>
    <w:p w14:paraId="761E9D64">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7.1.1 合同当事人约定的施工组织设计应包括的其他内容：</w:t>
      </w:r>
      <w:r>
        <w:rPr>
          <w:rFonts w:hint="eastAsia" w:cs="宋体"/>
          <w:color w:val="auto"/>
          <w:sz w:val="21"/>
          <w:szCs w:val="21"/>
          <w:highlight w:val="none"/>
          <w:u w:val="single"/>
        </w:rPr>
        <w:t>总进度计划须含网络图、横道图。</w:t>
      </w:r>
    </w:p>
    <w:p w14:paraId="4F601AA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7.1.2 施工组织设计的提交和修改</w:t>
      </w:r>
    </w:p>
    <w:p w14:paraId="54793292">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承包人提交详细施工组织设计的期限的约定：</w:t>
      </w:r>
      <w:r>
        <w:rPr>
          <w:rFonts w:hint="eastAsia" w:cs="宋体"/>
          <w:color w:val="auto"/>
          <w:sz w:val="21"/>
          <w:szCs w:val="21"/>
          <w:highlight w:val="none"/>
          <w:u w:val="single"/>
        </w:rPr>
        <w:t xml:space="preserve"> 图纸会审及设计交底后 10 天内提供标后施工组织设计 </w:t>
      </w:r>
      <w:r>
        <w:rPr>
          <w:rFonts w:hint="eastAsia" w:cs="宋体"/>
          <w:color w:val="auto"/>
          <w:sz w:val="21"/>
          <w:szCs w:val="21"/>
          <w:highlight w:val="none"/>
        </w:rPr>
        <w:t>。</w:t>
      </w:r>
    </w:p>
    <w:p w14:paraId="52CF6FB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发包人和监理人在收到详细的施工组织设计后确认或提出修改意见的期限：</w:t>
      </w:r>
      <w:r>
        <w:rPr>
          <w:rFonts w:hint="eastAsia" w:cs="宋体"/>
          <w:color w:val="auto"/>
          <w:sz w:val="21"/>
          <w:szCs w:val="21"/>
          <w:highlight w:val="none"/>
          <w:u w:val="single"/>
        </w:rPr>
        <w:t xml:space="preserve"> 甲方代表和监理工程师应于收到承包人资料一周内予以确认，逾期不批复，可视为该施工组织设计（施工方案）和进度计划已经批准 </w:t>
      </w:r>
      <w:r>
        <w:rPr>
          <w:rFonts w:hint="eastAsia" w:cs="宋体"/>
          <w:color w:val="auto"/>
          <w:sz w:val="21"/>
          <w:szCs w:val="21"/>
          <w:highlight w:val="none"/>
        </w:rPr>
        <w:t>。</w:t>
      </w:r>
    </w:p>
    <w:p w14:paraId="7C3509A8">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192" w:name="_Toc312677479"/>
      <w:bookmarkStart w:id="193" w:name="_Toc300934966"/>
      <w:bookmarkStart w:id="194" w:name="_Toc297216173"/>
      <w:bookmarkStart w:id="195" w:name="_Toc297123514"/>
      <w:bookmarkStart w:id="196" w:name="_Toc304295541"/>
      <w:bookmarkStart w:id="197" w:name="_Toc303539123"/>
      <w:bookmarkStart w:id="198" w:name="_Toc312678005"/>
      <w:r>
        <w:rPr>
          <w:rFonts w:hint="eastAsia" w:cs="宋体"/>
          <w:bCs/>
          <w:color w:val="auto"/>
          <w:sz w:val="21"/>
          <w:szCs w:val="21"/>
          <w:highlight w:val="none"/>
        </w:rPr>
        <w:t>.2 施工进度计划</w:t>
      </w:r>
    </w:p>
    <w:p w14:paraId="305D75A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7.2.2 施工进度计划的修订</w:t>
      </w:r>
    </w:p>
    <w:p w14:paraId="1533542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发包人和监理人在收到修订的施工进度计划后确认或提出修改意见的期限：</w:t>
      </w:r>
      <w:r>
        <w:rPr>
          <w:rFonts w:hint="eastAsia" w:cs="宋体"/>
          <w:color w:val="auto"/>
          <w:sz w:val="21"/>
          <w:szCs w:val="21"/>
          <w:highlight w:val="none"/>
          <w:u w:val="single"/>
        </w:rPr>
        <w:t xml:space="preserve"> 甲方代表和监理工程师应于收到承包人资料一周内予以确认，逾期不批复，可视为该施工组织设计（施工方案）已经批准。乙方必须按照批准的进度计划组织施工，接受甲方代表对进度的检查、监督。工程实际进展与进度计划不符时，承包人应立即修改进度计划和采取赶工措施，调整后的进度计划及相应的措施报告上报监理、甲方代表批准后执行 </w:t>
      </w:r>
      <w:r>
        <w:rPr>
          <w:rFonts w:hint="eastAsia" w:cs="宋体"/>
          <w:color w:val="auto"/>
          <w:sz w:val="21"/>
          <w:szCs w:val="21"/>
          <w:highlight w:val="none"/>
        </w:rPr>
        <w:t>。</w:t>
      </w:r>
    </w:p>
    <w:p w14:paraId="4304A970">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7.3 开工</w:t>
      </w:r>
    </w:p>
    <w:p w14:paraId="5173C43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7.3.1 开工准备</w:t>
      </w:r>
    </w:p>
    <w:p w14:paraId="2F08BDDA">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关于承包人提交工程开工报审表的期限：</w:t>
      </w:r>
      <w:r>
        <w:rPr>
          <w:rFonts w:hint="eastAsia" w:cs="宋体"/>
          <w:color w:val="auto"/>
          <w:sz w:val="21"/>
          <w:szCs w:val="21"/>
          <w:highlight w:val="none"/>
          <w:u w:val="single"/>
        </w:rPr>
        <w:t xml:space="preserve"> 以发包人要求为准 </w:t>
      </w:r>
      <w:r>
        <w:rPr>
          <w:rFonts w:hint="eastAsia" w:cs="宋体"/>
          <w:color w:val="auto"/>
          <w:sz w:val="21"/>
          <w:szCs w:val="21"/>
          <w:highlight w:val="none"/>
        </w:rPr>
        <w:t>。</w:t>
      </w:r>
    </w:p>
    <w:p w14:paraId="25B55038">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关于发包人应完成的其他开工准备工作及期限：</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59B579A">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关于承包人应完成的其他开工准备工作及期限：</w:t>
      </w:r>
      <w:r>
        <w:rPr>
          <w:rFonts w:hint="eastAsia" w:cs="宋体"/>
          <w:color w:val="auto"/>
          <w:sz w:val="21"/>
          <w:szCs w:val="21"/>
          <w:highlight w:val="none"/>
          <w:u w:val="single"/>
        </w:rPr>
        <w:t xml:space="preserve"> 开工所需的材料、工程设备、劳动力安排，完成其施工道路、临时设施等，时间以以发包人要求为准 </w:t>
      </w:r>
      <w:r>
        <w:rPr>
          <w:rFonts w:hint="eastAsia" w:cs="宋体"/>
          <w:color w:val="auto"/>
          <w:sz w:val="21"/>
          <w:szCs w:val="21"/>
          <w:highlight w:val="none"/>
        </w:rPr>
        <w:t>。</w:t>
      </w:r>
    </w:p>
    <w:p w14:paraId="4420496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7.3.2 开工通知</w:t>
      </w:r>
    </w:p>
    <w:p w14:paraId="3F11D6F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因发包人原因造成监理人未能在计划开工日期之日起</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rPr>
        <w:t>天内发出开工通知的，承包人有权提出价格调整要求，或者解除合同。</w:t>
      </w:r>
    </w:p>
    <w:bookmarkEnd w:id="192"/>
    <w:bookmarkEnd w:id="193"/>
    <w:bookmarkEnd w:id="194"/>
    <w:bookmarkEnd w:id="195"/>
    <w:bookmarkEnd w:id="196"/>
    <w:bookmarkEnd w:id="197"/>
    <w:bookmarkEnd w:id="198"/>
    <w:p w14:paraId="52BB28A6">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7.4 测量放线</w:t>
      </w:r>
    </w:p>
    <w:p w14:paraId="42D34C65">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7.4.1 发包人通过监理人向承包人提供测量基准点、基准线和水准点及其书面资料的期限：</w:t>
      </w:r>
      <w:r>
        <w:rPr>
          <w:rFonts w:hint="eastAsia" w:cs="宋体"/>
          <w:color w:val="auto"/>
          <w:sz w:val="21"/>
          <w:szCs w:val="21"/>
          <w:highlight w:val="none"/>
          <w:u w:val="single"/>
        </w:rPr>
        <w:t xml:space="preserve">  开工前提供水准点与坐标控制点，按施工图由发包人、承包人、监理现场交验，交验后，承包人应妥善保护场内水准点与控制点，任意破坏或遗失应由承包人负责恢复的费用 </w:t>
      </w:r>
      <w:r>
        <w:rPr>
          <w:rFonts w:hint="eastAsia" w:cs="宋体"/>
          <w:color w:val="auto"/>
          <w:sz w:val="21"/>
          <w:szCs w:val="21"/>
          <w:highlight w:val="none"/>
        </w:rPr>
        <w:t>。</w:t>
      </w:r>
    </w:p>
    <w:p w14:paraId="39492019">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199" w:name="_Toc300934968"/>
      <w:bookmarkStart w:id="200" w:name="_Toc297123516"/>
      <w:bookmarkStart w:id="201" w:name="_Toc304295546"/>
      <w:bookmarkStart w:id="202" w:name="_Toc312677484"/>
      <w:bookmarkStart w:id="203" w:name="_Toc312678010"/>
      <w:bookmarkStart w:id="204" w:name="_Toc297216175"/>
      <w:bookmarkStart w:id="205" w:name="_Toc303539125"/>
      <w:r>
        <w:rPr>
          <w:rFonts w:hint="eastAsia" w:cs="宋体"/>
          <w:bCs/>
          <w:color w:val="auto"/>
          <w:sz w:val="21"/>
          <w:szCs w:val="21"/>
          <w:highlight w:val="none"/>
        </w:rPr>
        <w:t>.5 工期延误</w:t>
      </w:r>
    </w:p>
    <w:bookmarkEnd w:id="199"/>
    <w:bookmarkEnd w:id="200"/>
    <w:bookmarkEnd w:id="201"/>
    <w:bookmarkEnd w:id="202"/>
    <w:bookmarkEnd w:id="203"/>
    <w:bookmarkEnd w:id="204"/>
    <w:bookmarkEnd w:id="205"/>
    <w:p w14:paraId="79D9A7A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7.5.1 因发包人原因导致工期延误</w:t>
      </w:r>
    </w:p>
    <w:p w14:paraId="31CEE8B9">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（7）因发包人原因导致工期延误的其他情形：</w:t>
      </w:r>
      <w:r>
        <w:rPr>
          <w:rFonts w:hint="eastAsia" w:cs="宋体"/>
          <w:color w:val="auto"/>
          <w:sz w:val="21"/>
          <w:szCs w:val="21"/>
          <w:highlight w:val="none"/>
          <w:u w:val="single"/>
        </w:rPr>
        <w:t xml:space="preserve"> 由于发包人的原因和非承包人的责任停工的，工期顺延，由此产生的任何费用发包人不予补偿。局部因发包人拆迁等原因造成延期开工或部分延期施工的，发包人只顺延工期，由此产生的任何费用发包人不予补偿。发生不可抗力及非承包人原因造成的工期延误，承包人应办理签证，承包人须以书面形式经确认后方可顺延工期 </w:t>
      </w:r>
      <w:r>
        <w:rPr>
          <w:rFonts w:hint="eastAsia" w:cs="宋体"/>
          <w:color w:val="auto"/>
          <w:sz w:val="21"/>
          <w:szCs w:val="21"/>
          <w:highlight w:val="none"/>
        </w:rPr>
        <w:t>。</w:t>
      </w:r>
    </w:p>
    <w:p w14:paraId="5718505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w:t>
      </w:r>
      <w:bookmarkStart w:id="206" w:name="_Toc318581169"/>
      <w:bookmarkStart w:id="207" w:name="_Toc312678012"/>
      <w:bookmarkStart w:id="208" w:name="_Toc312677486"/>
      <w:bookmarkStart w:id="209" w:name="_Toc300934970"/>
      <w:bookmarkStart w:id="210" w:name="_Toc297216177"/>
      <w:bookmarkStart w:id="211" w:name="_Toc303539127"/>
      <w:bookmarkStart w:id="212" w:name="_Toc304295548"/>
      <w:bookmarkStart w:id="213" w:name="_Toc297123518"/>
      <w:r>
        <w:rPr>
          <w:rFonts w:hint="eastAsia" w:cs="宋体"/>
          <w:color w:val="auto"/>
          <w:sz w:val="21"/>
          <w:szCs w:val="21"/>
          <w:highlight w:val="none"/>
        </w:rPr>
        <w:t>.5.2 因承包人原因导致工期延误</w:t>
      </w:r>
    </w:p>
    <w:bookmarkEnd w:id="206"/>
    <w:bookmarkEnd w:id="207"/>
    <w:bookmarkEnd w:id="208"/>
    <w:p w14:paraId="0659147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因</w:t>
      </w:r>
      <w:bookmarkStart w:id="214" w:name="_Toc312678013"/>
      <w:bookmarkStart w:id="215" w:name="_Toc312677487"/>
      <w:bookmarkStart w:id="216" w:name="_Toc318581170"/>
      <w:r>
        <w:rPr>
          <w:rFonts w:hint="eastAsia" w:cs="宋体"/>
          <w:color w:val="auto"/>
          <w:sz w:val="21"/>
          <w:szCs w:val="21"/>
          <w:highlight w:val="none"/>
        </w:rPr>
        <w:t>承包人原因造成工期延误，逾期竣工违约金的计算方法为：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bookmarkEnd w:id="209"/>
      <w:bookmarkEnd w:id="210"/>
      <w:bookmarkEnd w:id="211"/>
      <w:bookmarkEnd w:id="212"/>
      <w:bookmarkEnd w:id="213"/>
      <w:bookmarkEnd w:id="214"/>
      <w:bookmarkEnd w:id="215"/>
    </w:p>
    <w:bookmarkEnd w:id="216"/>
    <w:p w14:paraId="0FAF8593">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因承包人原因造成工期延误，逾</w:t>
      </w:r>
      <w:bookmarkStart w:id="217" w:name="_Toc312678014"/>
      <w:bookmarkStart w:id="218" w:name="_Toc318581171"/>
      <w:r>
        <w:rPr>
          <w:rFonts w:hint="eastAsia" w:cs="宋体"/>
          <w:color w:val="auto"/>
          <w:sz w:val="21"/>
          <w:szCs w:val="21"/>
          <w:highlight w:val="none"/>
        </w:rPr>
        <w:t>期竣工违约金的上限：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bookmarkEnd w:id="217"/>
    <w:bookmarkEnd w:id="218"/>
    <w:p w14:paraId="5831AB91">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219" w:name="_Toc297123519"/>
      <w:bookmarkStart w:id="220" w:name="_Toc300934971"/>
      <w:bookmarkStart w:id="221" w:name="_Toc297216178"/>
      <w:bookmarkStart w:id="222" w:name="_Toc303539128"/>
      <w:bookmarkStart w:id="223" w:name="_Toc312678015"/>
      <w:bookmarkStart w:id="224" w:name="_Toc304295549"/>
      <w:r>
        <w:rPr>
          <w:rFonts w:hint="eastAsia" w:cs="宋体"/>
          <w:bCs/>
          <w:color w:val="auto"/>
          <w:sz w:val="21"/>
          <w:szCs w:val="21"/>
          <w:highlight w:val="none"/>
        </w:rPr>
        <w:t>.6 不</w:t>
      </w:r>
      <w:bookmarkEnd w:id="219"/>
      <w:bookmarkEnd w:id="220"/>
      <w:bookmarkEnd w:id="221"/>
      <w:bookmarkEnd w:id="222"/>
      <w:bookmarkEnd w:id="223"/>
      <w:bookmarkEnd w:id="224"/>
      <w:r>
        <w:rPr>
          <w:rFonts w:hint="eastAsia" w:cs="宋体"/>
          <w:bCs/>
          <w:color w:val="auto"/>
          <w:sz w:val="21"/>
          <w:szCs w:val="21"/>
          <w:highlight w:val="none"/>
        </w:rPr>
        <w:t>利物质条件</w:t>
      </w:r>
    </w:p>
    <w:p w14:paraId="664CC708">
      <w:pPr>
        <w:adjustRightInd w:val="0"/>
        <w:snapToGrid w:val="0"/>
        <w:spacing w:line="360" w:lineRule="auto"/>
        <w:ind w:firstLine="420" w:firstLineChars="200"/>
        <w:rPr>
          <w:rFonts w:cs="宋体"/>
          <w:b/>
          <w:color w:val="auto"/>
          <w:sz w:val="21"/>
          <w:szCs w:val="21"/>
          <w:highlight w:val="none"/>
          <w:u w:val="single"/>
        </w:rPr>
      </w:pPr>
      <w:bookmarkStart w:id="225" w:name="_Toc303539129"/>
      <w:bookmarkStart w:id="226" w:name="_Toc300934972"/>
      <w:bookmarkStart w:id="227" w:name="_Toc297216179"/>
      <w:bookmarkStart w:id="228" w:name="_Toc318581172"/>
      <w:bookmarkStart w:id="229" w:name="_Toc297123520"/>
      <w:bookmarkStart w:id="230" w:name="_Toc304295550"/>
      <w:bookmarkStart w:id="231" w:name="_Toc312678016"/>
      <w:r>
        <w:rPr>
          <w:rFonts w:hint="eastAsia" w:cs="宋体"/>
          <w:color w:val="auto"/>
          <w:sz w:val="21"/>
          <w:szCs w:val="21"/>
          <w:highlight w:val="none"/>
        </w:rPr>
        <w:t>不利物质条件的其他情形和有关约定：</w:t>
      </w:r>
      <w:r>
        <w:rPr>
          <w:rFonts w:hint="eastAsia" w:cs="宋体"/>
          <w:color w:val="auto"/>
          <w:sz w:val="21"/>
          <w:szCs w:val="21"/>
          <w:highlight w:val="none"/>
          <w:u w:val="single"/>
        </w:rPr>
        <w:t xml:space="preserve">  执行通用条款  </w:t>
      </w:r>
      <w:r>
        <w:rPr>
          <w:rFonts w:hint="eastAsia" w:cs="宋体"/>
          <w:color w:val="auto"/>
          <w:sz w:val="21"/>
          <w:szCs w:val="21"/>
          <w:highlight w:val="none"/>
        </w:rPr>
        <w:t>。</w:t>
      </w:r>
    </w:p>
    <w:bookmarkEnd w:id="225"/>
    <w:bookmarkEnd w:id="226"/>
    <w:bookmarkEnd w:id="227"/>
    <w:bookmarkEnd w:id="228"/>
    <w:bookmarkEnd w:id="229"/>
    <w:bookmarkEnd w:id="230"/>
    <w:bookmarkEnd w:id="231"/>
    <w:p w14:paraId="2E054865">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232" w:name="_Toc312678017"/>
      <w:bookmarkStart w:id="233" w:name="_Toc297123521"/>
      <w:bookmarkStart w:id="234" w:name="_Toc304295551"/>
      <w:bookmarkStart w:id="235" w:name="_Toc303539130"/>
      <w:bookmarkStart w:id="236" w:name="_Toc297216180"/>
      <w:bookmarkStart w:id="237" w:name="_Toc300934973"/>
      <w:r>
        <w:rPr>
          <w:rFonts w:hint="eastAsia" w:cs="宋体"/>
          <w:bCs/>
          <w:color w:val="auto"/>
          <w:sz w:val="21"/>
          <w:szCs w:val="21"/>
          <w:highlight w:val="none"/>
        </w:rPr>
        <w:t>.7 异常恶劣的气候条件</w:t>
      </w:r>
    </w:p>
    <w:bookmarkEnd w:id="232"/>
    <w:bookmarkEnd w:id="233"/>
    <w:bookmarkEnd w:id="234"/>
    <w:bookmarkEnd w:id="235"/>
    <w:bookmarkEnd w:id="236"/>
    <w:bookmarkEnd w:id="237"/>
    <w:p w14:paraId="3892236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发包人和承包人同意以下情形视为异常恶劣的气候条件：</w:t>
      </w:r>
    </w:p>
    <w:p w14:paraId="5CEA5F38">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 xml:space="preserve"> 50 年一遇暴雨、洪水、暴雪等极端恶劣天气  </w:t>
      </w:r>
      <w:r>
        <w:rPr>
          <w:rFonts w:hint="eastAsia" w:ascii="宋体" w:hAnsi="宋体" w:cs="宋体"/>
          <w:color w:val="auto"/>
          <w:sz w:val="21"/>
          <w:szCs w:val="21"/>
          <w:highlight w:val="none"/>
        </w:rPr>
        <w:t>；</w:t>
      </w:r>
    </w:p>
    <w:p w14:paraId="3F9A2E3F">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u w:val="single"/>
        </w:rPr>
        <w:t xml:space="preserve"> 最高气温连续 3 天超过 38 摄氏度，且当地政府强制不得户外作业的   </w:t>
      </w:r>
      <w:r>
        <w:rPr>
          <w:rFonts w:hint="eastAsia" w:ascii="宋体" w:hAnsi="宋体" w:cs="宋体"/>
          <w:color w:val="auto"/>
          <w:sz w:val="21"/>
          <w:szCs w:val="21"/>
          <w:highlight w:val="none"/>
        </w:rPr>
        <w:t>；</w:t>
      </w:r>
    </w:p>
    <w:p w14:paraId="374618C3">
      <w:pPr>
        <w:adjustRightInd w:val="0"/>
        <w:snapToGrid w:val="0"/>
        <w:spacing w:line="384"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u w:val="single"/>
        </w:rPr>
        <w:t xml:space="preserve"> 其他极端恶劣天气</w:t>
      </w:r>
      <w:r>
        <w:rPr>
          <w:rFonts w:hint="eastAsia" w:ascii="宋体" w:hAnsi="宋体" w:cs="宋体"/>
          <w:color w:val="auto"/>
          <w:sz w:val="21"/>
          <w:szCs w:val="21"/>
          <w:highlight w:val="none"/>
          <w:u w:val="single"/>
          <w:lang w:eastAsia="zh-CN"/>
        </w:rPr>
        <w:t>。</w:t>
      </w:r>
    </w:p>
    <w:p w14:paraId="7F28D193">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7.9 提前竣工</w:t>
      </w:r>
    </w:p>
    <w:p w14:paraId="2BAD8DB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7.9.2 提前竣工的奖励：</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B62207D">
      <w:pPr>
        <w:snapToGrid w:val="0"/>
        <w:spacing w:before="312" w:beforeLines="100" w:after="312" w:afterLines="100" w:line="360" w:lineRule="auto"/>
        <w:outlineLvl w:val="2"/>
        <w:rPr>
          <w:rFonts w:cs="宋体"/>
          <w:color w:val="auto"/>
          <w:sz w:val="21"/>
          <w:szCs w:val="21"/>
          <w:highlight w:val="none"/>
        </w:rPr>
      </w:pPr>
      <w:bookmarkStart w:id="238" w:name="_Toc351203640"/>
      <w:r>
        <w:rPr>
          <w:rFonts w:hint="eastAsia" w:cs="宋体"/>
          <w:color w:val="auto"/>
          <w:sz w:val="21"/>
          <w:szCs w:val="21"/>
          <w:highlight w:val="none"/>
        </w:rPr>
        <w:t>8. 材料与设备</w:t>
      </w:r>
      <w:bookmarkEnd w:id="238"/>
    </w:p>
    <w:bookmarkEnd w:id="171"/>
    <w:bookmarkEnd w:id="172"/>
    <w:bookmarkEnd w:id="173"/>
    <w:bookmarkEnd w:id="174"/>
    <w:bookmarkEnd w:id="175"/>
    <w:bookmarkEnd w:id="176"/>
    <w:bookmarkEnd w:id="177"/>
    <w:bookmarkEnd w:id="178"/>
    <w:bookmarkEnd w:id="179"/>
    <w:bookmarkEnd w:id="180"/>
    <w:p w14:paraId="51CB7AB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8</w:t>
      </w:r>
      <w:bookmarkStart w:id="239" w:name="_Toc296944506"/>
      <w:bookmarkStart w:id="240" w:name="_Toc296503167"/>
      <w:bookmarkStart w:id="241" w:name="_Toc296891207"/>
      <w:bookmarkStart w:id="242" w:name="_Toc300934979"/>
      <w:bookmarkStart w:id="243" w:name="_Toc292559372"/>
      <w:bookmarkStart w:id="244" w:name="_Toc304295556"/>
      <w:bookmarkStart w:id="245" w:name="_Toc296890995"/>
      <w:bookmarkStart w:id="246" w:name="_Toc312677493"/>
      <w:bookmarkStart w:id="247" w:name="_Toc297120467"/>
      <w:bookmarkStart w:id="248" w:name="_Toc303539136"/>
      <w:bookmarkStart w:id="249" w:name="_Toc292559877"/>
      <w:bookmarkStart w:id="250" w:name="_Toc312678019"/>
      <w:bookmarkStart w:id="251" w:name="_Toc280868654"/>
      <w:bookmarkStart w:id="252" w:name="_Toc297048353"/>
      <w:bookmarkStart w:id="253" w:name="_Toc296347166"/>
      <w:bookmarkStart w:id="254" w:name="_Toc296346668"/>
      <w:bookmarkStart w:id="255" w:name="_Toc297216186"/>
      <w:bookmarkStart w:id="256" w:name="_Toc297123527"/>
      <w:bookmarkStart w:id="257" w:name="_Toc267251424"/>
      <w:bookmarkStart w:id="258" w:name="_Toc280868656"/>
      <w:bookmarkStart w:id="259" w:name="_Toc280868655"/>
      <w:r>
        <w:rPr>
          <w:rFonts w:hint="eastAsia" w:cs="宋体"/>
          <w:color w:val="auto"/>
          <w:sz w:val="21"/>
          <w:szCs w:val="21"/>
          <w:highlight w:val="none"/>
        </w:rPr>
        <w:t>.4 材料与工程设备的保管与使用</w:t>
      </w:r>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14:paraId="60254B79">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8</w:t>
      </w:r>
      <w:bookmarkStart w:id="260" w:name="_Toc292559878"/>
      <w:bookmarkStart w:id="261" w:name="_Toc292559373"/>
      <w:bookmarkStart w:id="262" w:name="_Toc297120468"/>
      <w:bookmarkStart w:id="263" w:name="_Toc296891208"/>
      <w:bookmarkStart w:id="264" w:name="_Toc303539137"/>
      <w:bookmarkStart w:id="265" w:name="_Toc296346669"/>
      <w:bookmarkStart w:id="266" w:name="_Toc297048354"/>
      <w:bookmarkStart w:id="267" w:name="_Toc312678020"/>
      <w:bookmarkStart w:id="268" w:name="_Toc296944507"/>
      <w:bookmarkStart w:id="269" w:name="_Toc312677494"/>
      <w:bookmarkStart w:id="270" w:name="_Toc318581173"/>
      <w:bookmarkStart w:id="271" w:name="_Toc297123528"/>
      <w:bookmarkStart w:id="272" w:name="_Toc300934980"/>
      <w:bookmarkStart w:id="273" w:name="_Toc297216187"/>
      <w:bookmarkStart w:id="274" w:name="_Toc304295557"/>
      <w:bookmarkStart w:id="275" w:name="_Toc296890996"/>
      <w:bookmarkStart w:id="276" w:name="_Toc296503168"/>
      <w:bookmarkStart w:id="277" w:name="_Toc296347167"/>
      <w:r>
        <w:rPr>
          <w:rFonts w:hint="eastAsia" w:cs="宋体"/>
          <w:color w:val="auto"/>
          <w:sz w:val="21"/>
          <w:szCs w:val="21"/>
          <w:highlight w:val="none"/>
        </w:rPr>
        <w:t>.4.1 发包人供应的材料设备的保管费用的承担：</w:t>
      </w:r>
      <w:r>
        <w:rPr>
          <w:rFonts w:hint="eastAsia" w:cs="宋体"/>
          <w:color w:val="auto"/>
          <w:sz w:val="21"/>
          <w:szCs w:val="21"/>
          <w:highlight w:val="none"/>
          <w:u w:val="single"/>
        </w:rPr>
        <w:t xml:space="preserve"> 承包人承担 </w:t>
      </w:r>
      <w:r>
        <w:rPr>
          <w:rFonts w:hint="eastAsia" w:cs="宋体"/>
          <w:color w:val="auto"/>
          <w:sz w:val="21"/>
          <w:szCs w:val="21"/>
          <w:highlight w:val="none"/>
        </w:rPr>
        <w:t>。</w:t>
      </w:r>
      <w:bookmarkEnd w:id="260"/>
      <w:bookmarkEnd w:id="261"/>
    </w:p>
    <w:p w14:paraId="3910C4B0">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8.6 样品</w:t>
      </w:r>
    </w:p>
    <w:p w14:paraId="741A54B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8.6.1 样品的报送与封存</w:t>
      </w:r>
    </w:p>
    <w:p w14:paraId="6B5E8986">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需要承包人报送样品的材料或工程设备，样品的种类、名称、规格、数量要求：</w:t>
      </w:r>
      <w:r>
        <w:rPr>
          <w:rFonts w:hint="eastAsia" w:cs="宋体"/>
          <w:color w:val="auto"/>
          <w:sz w:val="21"/>
          <w:szCs w:val="21"/>
          <w:highlight w:val="none"/>
          <w:u w:val="single"/>
        </w:rPr>
        <w:t xml:space="preserve"> 所有样品均需要报送，具体以发包人要求为准  </w:t>
      </w:r>
      <w:r>
        <w:rPr>
          <w:rFonts w:hint="eastAsia" w:cs="宋体"/>
          <w:color w:val="auto"/>
          <w:sz w:val="21"/>
          <w:szCs w:val="21"/>
          <w:highlight w:val="none"/>
        </w:rPr>
        <w:t>。</w:t>
      </w:r>
    </w:p>
    <w:p w14:paraId="27F760A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8.8 施工设备和临时设施</w:t>
      </w:r>
    </w:p>
    <w:p w14:paraId="139227A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8.8.1 承包人提供的施工设备和临时设施</w:t>
      </w:r>
    </w:p>
    <w:p w14:paraId="414E788E">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关于修建临时设施费用承担的约定：</w:t>
      </w:r>
      <w:r>
        <w:rPr>
          <w:rFonts w:hint="eastAsia" w:cs="宋体"/>
          <w:color w:val="auto"/>
          <w:sz w:val="21"/>
          <w:szCs w:val="21"/>
          <w:highlight w:val="none"/>
          <w:u w:val="single"/>
        </w:rPr>
        <w:t xml:space="preserve"> 由承包人自行承担费用  </w:t>
      </w:r>
      <w:r>
        <w:rPr>
          <w:rFonts w:hint="eastAsia" w:cs="宋体"/>
          <w:color w:val="auto"/>
          <w:sz w:val="21"/>
          <w:szCs w:val="21"/>
          <w:highlight w:val="none"/>
        </w:rPr>
        <w:t>。</w:t>
      </w:r>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14:paraId="56727364">
      <w:pPr>
        <w:snapToGrid w:val="0"/>
        <w:spacing w:before="312" w:beforeLines="100" w:after="312" w:afterLines="100" w:line="360" w:lineRule="auto"/>
        <w:outlineLvl w:val="2"/>
        <w:rPr>
          <w:rFonts w:cs="宋体"/>
          <w:color w:val="auto"/>
          <w:sz w:val="21"/>
          <w:szCs w:val="21"/>
          <w:highlight w:val="none"/>
        </w:rPr>
      </w:pPr>
      <w:bookmarkStart w:id="278" w:name="_Toc351203641"/>
      <w:r>
        <w:rPr>
          <w:rFonts w:hint="eastAsia" w:cs="宋体"/>
          <w:color w:val="auto"/>
          <w:sz w:val="21"/>
          <w:szCs w:val="21"/>
          <w:highlight w:val="none"/>
        </w:rPr>
        <w:t>9</w:t>
      </w:r>
      <w:bookmarkEnd w:id="257"/>
      <w:bookmarkEnd w:id="258"/>
      <w:bookmarkEnd w:id="259"/>
      <w:bookmarkStart w:id="279" w:name="_Toc304295559"/>
      <w:bookmarkStart w:id="280" w:name="_Toc300934982"/>
      <w:bookmarkStart w:id="281" w:name="_Toc303539139"/>
      <w:bookmarkStart w:id="282" w:name="_Toc297123533"/>
      <w:bookmarkStart w:id="283" w:name="_Toc312677495"/>
      <w:bookmarkStart w:id="284" w:name="_Toc297216192"/>
      <w:bookmarkStart w:id="285" w:name="_Toc312678021"/>
      <w:bookmarkStart w:id="286" w:name="_Toc267251428"/>
      <w:bookmarkStart w:id="287" w:name="_Toc267251427"/>
      <w:bookmarkStart w:id="288" w:name="_Toc297120473"/>
      <w:bookmarkStart w:id="289" w:name="_Toc297048359"/>
      <w:bookmarkStart w:id="290" w:name="_Toc296346674"/>
      <w:bookmarkStart w:id="291" w:name="_Toc292559378"/>
      <w:bookmarkStart w:id="292" w:name="_Toc296891213"/>
      <w:bookmarkStart w:id="293" w:name="_Toc296503173"/>
      <w:bookmarkStart w:id="294" w:name="_Toc296347172"/>
      <w:bookmarkStart w:id="295" w:name="_Toc296891001"/>
      <w:bookmarkStart w:id="296" w:name="_Toc292559883"/>
      <w:bookmarkStart w:id="297" w:name="_Toc296944512"/>
      <w:r>
        <w:rPr>
          <w:rFonts w:hint="eastAsia" w:cs="宋体"/>
          <w:color w:val="auto"/>
          <w:sz w:val="21"/>
          <w:szCs w:val="21"/>
          <w:highlight w:val="none"/>
        </w:rPr>
        <w:t>. 试验与检验</w:t>
      </w:r>
      <w:bookmarkEnd w:id="278"/>
    </w:p>
    <w:bookmarkEnd w:id="279"/>
    <w:bookmarkEnd w:id="280"/>
    <w:bookmarkEnd w:id="281"/>
    <w:bookmarkEnd w:id="282"/>
    <w:bookmarkEnd w:id="283"/>
    <w:bookmarkEnd w:id="284"/>
    <w:bookmarkEnd w:id="285"/>
    <w:p w14:paraId="59191021">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9</w:t>
      </w:r>
      <w:bookmarkStart w:id="298" w:name="_Toc312677496"/>
      <w:bookmarkStart w:id="299" w:name="_Toc303539140"/>
      <w:bookmarkStart w:id="300" w:name="_Toc304295560"/>
      <w:bookmarkStart w:id="301" w:name="_Toc300934983"/>
      <w:bookmarkStart w:id="302" w:name="_Toc312678022"/>
      <w:bookmarkStart w:id="303" w:name="_Toc297123534"/>
      <w:bookmarkStart w:id="304" w:name="_Toc297216193"/>
      <w:r>
        <w:rPr>
          <w:rFonts w:hint="eastAsia" w:cs="宋体"/>
          <w:bCs/>
          <w:color w:val="auto"/>
          <w:sz w:val="21"/>
          <w:szCs w:val="21"/>
          <w:highlight w:val="none"/>
        </w:rPr>
        <w:t>.1 试验设备与试验人员</w:t>
      </w:r>
    </w:p>
    <w:bookmarkEnd w:id="298"/>
    <w:bookmarkEnd w:id="299"/>
    <w:bookmarkEnd w:id="300"/>
    <w:bookmarkEnd w:id="301"/>
    <w:bookmarkEnd w:id="302"/>
    <w:bookmarkEnd w:id="303"/>
    <w:bookmarkEnd w:id="304"/>
    <w:p w14:paraId="325C457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9</w:t>
      </w:r>
      <w:bookmarkStart w:id="305" w:name="_Toc300934984"/>
      <w:bookmarkStart w:id="306" w:name="_Toc303539141"/>
      <w:bookmarkStart w:id="307" w:name="_Toc312677497"/>
      <w:bookmarkStart w:id="308" w:name="_Toc312678023"/>
      <w:bookmarkStart w:id="309" w:name="_Toc297123535"/>
      <w:bookmarkStart w:id="310" w:name="_Toc304295561"/>
      <w:bookmarkStart w:id="311" w:name="_Toc297216194"/>
      <w:bookmarkStart w:id="312" w:name="_Toc318581174"/>
      <w:r>
        <w:rPr>
          <w:rFonts w:hint="eastAsia" w:cs="宋体"/>
          <w:color w:val="auto"/>
          <w:sz w:val="21"/>
          <w:szCs w:val="21"/>
          <w:highlight w:val="none"/>
        </w:rPr>
        <w:t>.1.2 试验设备</w:t>
      </w:r>
    </w:p>
    <w:p w14:paraId="3159A685">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施工现场需要配置的试验场所</w:t>
      </w:r>
      <w:bookmarkEnd w:id="305"/>
      <w:bookmarkEnd w:id="306"/>
      <w:bookmarkEnd w:id="307"/>
      <w:bookmarkEnd w:id="308"/>
      <w:bookmarkEnd w:id="309"/>
      <w:bookmarkEnd w:id="310"/>
      <w:bookmarkEnd w:id="311"/>
      <w:bookmarkStart w:id="313" w:name="_Toc297216195"/>
      <w:bookmarkStart w:id="314" w:name="_Toc304295562"/>
      <w:bookmarkStart w:id="315" w:name="_Toc303539142"/>
      <w:bookmarkStart w:id="316" w:name="_Toc312677498"/>
      <w:bookmarkStart w:id="317" w:name="_Toc300934985"/>
      <w:bookmarkStart w:id="318" w:name="_Toc312678024"/>
      <w:bookmarkStart w:id="319" w:name="_Toc297123536"/>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26B9E0D">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施工现场需要配备的试验设备：</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727FD78">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施工现场需要具备的其他试验条件：</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470A53D">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 xml:space="preserve">9.4 现场工艺试验 </w:t>
      </w:r>
    </w:p>
    <w:p w14:paraId="740F64AB">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现场工艺试验的有关约定：</w:t>
      </w:r>
      <w:r>
        <w:rPr>
          <w:rFonts w:hint="eastAsia" w:cs="宋体"/>
          <w:color w:val="auto"/>
          <w:sz w:val="21"/>
          <w:szCs w:val="21"/>
          <w:highlight w:val="none"/>
          <w:u w:val="single"/>
        </w:rPr>
        <w:t xml:space="preserve"> 执行通用条款  </w:t>
      </w:r>
      <w:r>
        <w:rPr>
          <w:rFonts w:hint="eastAsia" w:cs="宋体"/>
          <w:color w:val="auto"/>
          <w:sz w:val="21"/>
          <w:szCs w:val="21"/>
          <w:highlight w:val="none"/>
        </w:rPr>
        <w:t>。</w:t>
      </w:r>
    </w:p>
    <w:bookmarkEnd w:id="312"/>
    <w:bookmarkEnd w:id="313"/>
    <w:bookmarkEnd w:id="314"/>
    <w:bookmarkEnd w:id="315"/>
    <w:bookmarkEnd w:id="316"/>
    <w:bookmarkEnd w:id="317"/>
    <w:bookmarkEnd w:id="318"/>
    <w:bookmarkEnd w:id="319"/>
    <w:p w14:paraId="147BC929">
      <w:pPr>
        <w:snapToGrid w:val="0"/>
        <w:spacing w:before="312" w:beforeLines="100" w:after="312" w:afterLines="100" w:line="360" w:lineRule="auto"/>
        <w:outlineLvl w:val="2"/>
        <w:rPr>
          <w:rFonts w:cs="宋体"/>
          <w:color w:val="auto"/>
          <w:sz w:val="21"/>
          <w:szCs w:val="21"/>
          <w:highlight w:val="none"/>
        </w:rPr>
      </w:pPr>
      <w:bookmarkStart w:id="320" w:name="_Toc351203642"/>
      <w:r>
        <w:rPr>
          <w:rFonts w:hint="eastAsia" w:cs="宋体"/>
          <w:color w:val="auto"/>
          <w:sz w:val="21"/>
          <w:szCs w:val="21"/>
          <w:highlight w:val="none"/>
        </w:rPr>
        <w:t>1</w:t>
      </w:r>
      <w:bookmarkEnd w:id="286"/>
      <w:bookmarkEnd w:id="287"/>
      <w:bookmarkEnd w:id="288"/>
      <w:bookmarkEnd w:id="289"/>
      <w:bookmarkEnd w:id="290"/>
      <w:bookmarkEnd w:id="291"/>
      <w:bookmarkEnd w:id="292"/>
      <w:bookmarkEnd w:id="293"/>
      <w:bookmarkEnd w:id="294"/>
      <w:bookmarkEnd w:id="295"/>
      <w:bookmarkEnd w:id="296"/>
      <w:bookmarkEnd w:id="297"/>
      <w:bookmarkStart w:id="321" w:name="_Toc296346694"/>
      <w:bookmarkStart w:id="322" w:name="_Toc304295566"/>
      <w:bookmarkStart w:id="323" w:name="_Toc296944532"/>
      <w:bookmarkStart w:id="324" w:name="_Toc303539146"/>
      <w:bookmarkStart w:id="325" w:name="_Toc297048379"/>
      <w:bookmarkStart w:id="326" w:name="_Toc292559398"/>
      <w:bookmarkStart w:id="327" w:name="_Toc292559903"/>
      <w:bookmarkStart w:id="328" w:name="_Toc296891233"/>
      <w:bookmarkStart w:id="329" w:name="_Toc297123540"/>
      <w:bookmarkStart w:id="330" w:name="_Toc296891021"/>
      <w:bookmarkStart w:id="331" w:name="_Toc297120493"/>
      <w:bookmarkStart w:id="332" w:name="_Toc296347192"/>
      <w:bookmarkStart w:id="333" w:name="_Toc297216199"/>
      <w:bookmarkStart w:id="334" w:name="_Toc296503193"/>
      <w:bookmarkStart w:id="335" w:name="_Toc300934989"/>
      <w:bookmarkStart w:id="336" w:name="_Toc312678025"/>
      <w:bookmarkStart w:id="337" w:name="_Toc312677499"/>
      <w:bookmarkStart w:id="338" w:name="_Toc267251433"/>
      <w:bookmarkStart w:id="339" w:name="_Toc267251440"/>
      <w:bookmarkStart w:id="340" w:name="_Toc267251437"/>
      <w:bookmarkStart w:id="341" w:name="_Toc267251441"/>
      <w:bookmarkStart w:id="342" w:name="_Toc267251435"/>
      <w:bookmarkStart w:id="343" w:name="_Toc267251439"/>
      <w:bookmarkStart w:id="344" w:name="_Toc267251442"/>
      <w:r>
        <w:rPr>
          <w:rFonts w:hint="eastAsia" w:cs="宋体"/>
          <w:color w:val="auto"/>
          <w:sz w:val="21"/>
          <w:szCs w:val="21"/>
          <w:highlight w:val="none"/>
        </w:rPr>
        <w:t>0. 变更</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bookmarkEnd w:id="336"/>
    <w:bookmarkEnd w:id="337"/>
    <w:p w14:paraId="479001E1">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w:t>
      </w:r>
      <w:bookmarkStart w:id="345" w:name="_Toc297048380"/>
      <w:bookmarkStart w:id="346" w:name="_Toc312678026"/>
      <w:bookmarkStart w:id="347" w:name="_Toc303539147"/>
      <w:bookmarkStart w:id="348" w:name="_Toc296891234"/>
      <w:bookmarkStart w:id="349" w:name="_Toc296347193"/>
      <w:bookmarkStart w:id="350" w:name="_Toc292559399"/>
      <w:bookmarkStart w:id="351" w:name="_Toc292559904"/>
      <w:bookmarkStart w:id="352" w:name="_Toc296891022"/>
      <w:bookmarkStart w:id="353" w:name="_Toc296346695"/>
      <w:bookmarkStart w:id="354" w:name="_Toc297216200"/>
      <w:bookmarkStart w:id="355" w:name="_Toc297123541"/>
      <w:bookmarkStart w:id="356" w:name="_Toc304295567"/>
      <w:bookmarkStart w:id="357" w:name="_Toc312677500"/>
      <w:bookmarkStart w:id="358" w:name="_Toc297120494"/>
      <w:bookmarkStart w:id="359" w:name="_Toc296944533"/>
      <w:bookmarkStart w:id="360" w:name="_Toc300934990"/>
      <w:bookmarkStart w:id="361" w:name="_Toc296503194"/>
      <w:r>
        <w:rPr>
          <w:rFonts w:hint="eastAsia" w:cs="宋体"/>
          <w:bCs/>
          <w:color w:val="auto"/>
          <w:sz w:val="21"/>
          <w:szCs w:val="21"/>
          <w:highlight w:val="none"/>
        </w:rPr>
        <w:t>0.1 变更的范围</w:t>
      </w:r>
    </w:p>
    <w:p w14:paraId="29B532F2">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关于变更的范围的约定：</w:t>
      </w:r>
      <w:r>
        <w:rPr>
          <w:rFonts w:hint="eastAsia" w:cs="宋体"/>
          <w:color w:val="auto"/>
          <w:sz w:val="21"/>
          <w:szCs w:val="21"/>
          <w:highlight w:val="none"/>
          <w:u w:val="single"/>
        </w:rPr>
        <w:t xml:space="preserve"> 合同履行过程中发生以下情形的，应按照本条约定进行变更：（1 ）设计图纸的修改；（2 ）增加或减少合同中任何工作，或追加额外的工作；（3 ）取消合同中任何工作，但转由他人实施的工作除外；（4 ）改变合同中任何工作的质量标准或其他特性；（5 ）改变工程的基线、标高、位置和尺寸；（6 ）改变工程的时间安排或实施顺序；（7 ）发包人提出的变更 </w:t>
      </w:r>
      <w:r>
        <w:rPr>
          <w:rFonts w:hint="eastAsia" w:cs="宋体"/>
          <w:color w:val="auto"/>
          <w:sz w:val="21"/>
          <w:szCs w:val="21"/>
          <w:highlight w:val="none"/>
        </w:rPr>
        <w:t>。</w:t>
      </w:r>
    </w:p>
    <w:p w14:paraId="5960DFA5">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10.4 变更估价</w:t>
      </w:r>
    </w:p>
    <w:p w14:paraId="071DA68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10.4.1 变更估价原则</w:t>
      </w:r>
    </w:p>
    <w:p w14:paraId="3E1A0F4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关于变更估价的约定：</w:t>
      </w:r>
    </w:p>
    <w:p w14:paraId="7AE47289">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10.4.1.1 因工程变更引起已标价工程量清单项目或其工程数量发生变化时，按下列规定调整：</w:t>
      </w:r>
    </w:p>
    <w:p w14:paraId="1F4B4905">
      <w:pPr>
        <w:adjustRightInd w:val="0"/>
        <w:snapToGrid w:val="0"/>
        <w:spacing w:line="360" w:lineRule="auto"/>
        <w:ind w:firstLine="422" w:firstLineChars="200"/>
        <w:rPr>
          <w:rFonts w:cs="宋体"/>
          <w:b/>
          <w:color w:val="auto"/>
          <w:sz w:val="21"/>
          <w:szCs w:val="21"/>
          <w:highlight w:val="none"/>
          <w:u w:val="single"/>
        </w:rPr>
      </w:pPr>
      <w:r>
        <w:rPr>
          <w:rFonts w:hint="eastAsia" w:cs="宋体"/>
          <w:b/>
          <w:color w:val="auto"/>
          <w:sz w:val="21"/>
          <w:szCs w:val="21"/>
          <w:highlight w:val="none"/>
          <w:u w:val="single"/>
        </w:rPr>
        <w:t>(1)已标价工程量清单中有适用于变更工程项目的，采用该项目的单价，除外情形：①对于投标报价中分部分项工程项目单价高于最高投标限价相应子目单价的清单项目，工程量增加幅度超过本项目工程数量15%的，超过15%的增加部分工程量的单价按最高投标限价相应子目单价与承包人报价浮动率</w:t>
      </w:r>
      <w:r>
        <w:rPr>
          <w:rFonts w:hint="eastAsia" w:cs="宋体"/>
          <w:b/>
          <w:bCs/>
          <w:color w:val="auto"/>
          <w:sz w:val="21"/>
          <w:szCs w:val="21"/>
          <w:highlight w:val="none"/>
          <w:u w:val="single"/>
        </w:rPr>
        <w:t>【承包人报价浮动率L=（1—中标价/最高投标限价）×100%，下同】</w:t>
      </w:r>
      <w:r>
        <w:rPr>
          <w:rFonts w:hint="eastAsia" w:cs="宋体"/>
          <w:b/>
          <w:color w:val="auto"/>
          <w:sz w:val="21"/>
          <w:szCs w:val="21"/>
          <w:highlight w:val="none"/>
          <w:u w:val="single"/>
        </w:rPr>
        <w:t>同比下浮，确定工程变更单价，作为结算的依据，但最高投标限价相应子目单价有明显错误的除外；②对于投标报价中分部分项工程项目单价低于最高投标限价相应子目单价的幅度超过承包人报价浮动率的，工程量减少幅度超过本项目工程数量15%的，超过15%的减少部分工程量的单价按最高投标限价相应子目单价与承包人报价浮动率同比下浮，确定工程变更单价，作为结算的依据，但最高投标限价相应子目单价有明显错误的除外；</w:t>
      </w:r>
    </w:p>
    <w:p w14:paraId="06D8B16D">
      <w:pPr>
        <w:adjustRightInd w:val="0"/>
        <w:snapToGrid w:val="0"/>
        <w:spacing w:line="360" w:lineRule="auto"/>
        <w:ind w:firstLine="422" w:firstLineChars="200"/>
        <w:rPr>
          <w:rFonts w:cs="宋体"/>
          <w:b/>
          <w:color w:val="auto"/>
          <w:sz w:val="21"/>
          <w:szCs w:val="21"/>
          <w:highlight w:val="none"/>
          <w:u w:val="single"/>
        </w:rPr>
      </w:pPr>
      <w:r>
        <w:rPr>
          <w:rFonts w:hint="eastAsia" w:cs="宋体"/>
          <w:b/>
          <w:color w:val="auto"/>
          <w:sz w:val="21"/>
          <w:szCs w:val="21"/>
          <w:highlight w:val="none"/>
        </w:rPr>
        <w:t>（2）</w:t>
      </w:r>
      <w:r>
        <w:rPr>
          <w:rFonts w:hint="eastAsia" w:cs="宋体"/>
          <w:b/>
          <w:color w:val="auto"/>
          <w:sz w:val="21"/>
          <w:szCs w:val="21"/>
          <w:highlight w:val="none"/>
          <w:u w:val="single"/>
        </w:rPr>
        <w:t>已标价工程量清单中没有适用但有类似于变更工程项目的，可在合理范围内参照类似项目的单价。</w:t>
      </w:r>
    </w:p>
    <w:p w14:paraId="37B73361">
      <w:pPr>
        <w:adjustRightInd w:val="0"/>
        <w:snapToGrid w:val="0"/>
        <w:spacing w:line="360" w:lineRule="auto"/>
        <w:ind w:firstLine="422" w:firstLineChars="200"/>
        <w:rPr>
          <w:rFonts w:cs="宋体"/>
          <w:b/>
          <w:color w:val="auto"/>
          <w:sz w:val="21"/>
          <w:szCs w:val="21"/>
          <w:highlight w:val="none"/>
          <w:u w:val="single"/>
        </w:rPr>
      </w:pPr>
      <w:r>
        <w:rPr>
          <w:rFonts w:hint="eastAsia" w:cs="宋体"/>
          <w:b/>
          <w:color w:val="auto"/>
          <w:sz w:val="21"/>
          <w:szCs w:val="21"/>
          <w:highlight w:val="none"/>
          <w:u w:val="single"/>
        </w:rPr>
        <w:t xml:space="preserve">（3）已标价工程量清单中没有适用也没有类似于变更工程项目的，由承包人根据变更工程资料、招标时的计量规则和计价办法、当期的工程造价管理机构发布的信息价格和承包人报价浮动率提出变更工程项目的单价，报发包人确认后调整； </w:t>
      </w:r>
    </w:p>
    <w:p w14:paraId="4962B0E8">
      <w:pPr>
        <w:adjustRightInd w:val="0"/>
        <w:snapToGrid w:val="0"/>
        <w:spacing w:line="360" w:lineRule="auto"/>
        <w:ind w:firstLine="422" w:firstLineChars="200"/>
        <w:rPr>
          <w:rFonts w:cs="宋体"/>
          <w:b/>
          <w:color w:val="auto"/>
          <w:sz w:val="21"/>
          <w:szCs w:val="21"/>
          <w:highlight w:val="none"/>
          <w:u w:val="single"/>
        </w:rPr>
      </w:pPr>
      <w:r>
        <w:rPr>
          <w:rFonts w:hint="eastAsia" w:cs="宋体"/>
          <w:b/>
          <w:color w:val="auto"/>
          <w:sz w:val="21"/>
          <w:szCs w:val="21"/>
          <w:highlight w:val="none"/>
          <w:u w:val="single"/>
        </w:rPr>
        <w:t xml:space="preserve">（4）已标价工程量清单中没有适用也没有类似于变更工程项目的，且工程造价管理机构发布的信息价缺价的，由承包人根据变更工程资料、招标时的计量规则和计价办法和通过市场调查等取得有合法依据的市场价格和承包人报价浮动率提出变更工程项目的单价，报发包人确认后调整。 </w:t>
      </w:r>
    </w:p>
    <w:p w14:paraId="76010446">
      <w:pPr>
        <w:adjustRightInd w:val="0"/>
        <w:snapToGrid w:val="0"/>
        <w:spacing w:before="93" w:beforeLines="30" w:line="360" w:lineRule="auto"/>
        <w:ind w:firstLine="422" w:firstLineChars="200"/>
        <w:rPr>
          <w:rFonts w:cs="宋体"/>
          <w:b/>
          <w:color w:val="auto"/>
          <w:sz w:val="21"/>
          <w:szCs w:val="21"/>
          <w:highlight w:val="none"/>
        </w:rPr>
      </w:pPr>
      <w:r>
        <w:rPr>
          <w:rFonts w:hint="eastAsia" w:cs="宋体"/>
          <w:b/>
          <w:color w:val="auto"/>
          <w:sz w:val="21"/>
          <w:szCs w:val="21"/>
          <w:highlight w:val="none"/>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01C09553">
      <w:pPr>
        <w:adjustRightInd w:val="0"/>
        <w:snapToGrid w:val="0"/>
        <w:spacing w:before="93" w:beforeLines="30" w:line="360" w:lineRule="auto"/>
        <w:ind w:firstLine="422" w:firstLineChars="200"/>
        <w:rPr>
          <w:rFonts w:cs="宋体"/>
          <w:b/>
          <w:color w:val="auto"/>
          <w:sz w:val="21"/>
          <w:szCs w:val="21"/>
          <w:highlight w:val="none"/>
          <w:u w:val="single"/>
        </w:rPr>
      </w:pPr>
      <w:r>
        <w:rPr>
          <w:rFonts w:hint="eastAsia" w:cs="宋体"/>
          <w:b/>
          <w:color w:val="auto"/>
          <w:sz w:val="21"/>
          <w:szCs w:val="21"/>
          <w:highlight w:val="none"/>
          <w:u w:val="single"/>
        </w:rPr>
        <w:t>（1）按照费率计算的措施费，应按照实际发生变化的措施项目依据原</w:t>
      </w:r>
      <w:r>
        <w:rPr>
          <w:rFonts w:hint="eastAsia" w:cs="宋体"/>
          <w:b/>
          <w:color w:val="auto"/>
          <w:sz w:val="21"/>
          <w:szCs w:val="21"/>
          <w:highlight w:val="none"/>
          <w:u w:val="single"/>
          <w:lang w:eastAsia="zh-CN"/>
        </w:rPr>
        <w:t>谈判文件</w:t>
      </w:r>
      <w:r>
        <w:rPr>
          <w:rFonts w:hint="eastAsia" w:cs="宋体"/>
          <w:b/>
          <w:color w:val="auto"/>
          <w:sz w:val="21"/>
          <w:szCs w:val="21"/>
          <w:highlight w:val="none"/>
          <w:u w:val="single"/>
        </w:rPr>
        <w:t>规定的费率计算；</w:t>
      </w:r>
    </w:p>
    <w:p w14:paraId="604214D1">
      <w:pPr>
        <w:adjustRightInd w:val="0"/>
        <w:snapToGrid w:val="0"/>
        <w:spacing w:before="93" w:beforeLines="30" w:line="360" w:lineRule="auto"/>
        <w:ind w:firstLine="422" w:firstLineChars="200"/>
        <w:jc w:val="left"/>
        <w:rPr>
          <w:rFonts w:cs="宋体"/>
          <w:b/>
          <w:color w:val="auto"/>
          <w:sz w:val="21"/>
          <w:szCs w:val="21"/>
          <w:highlight w:val="none"/>
          <w:u w:val="single"/>
        </w:rPr>
      </w:pPr>
      <w:r>
        <w:rPr>
          <w:rFonts w:hint="eastAsia" w:cs="宋体"/>
          <w:b/>
          <w:color w:val="auto"/>
          <w:sz w:val="21"/>
          <w:szCs w:val="21"/>
          <w:highlight w:val="none"/>
          <w:u w:val="single"/>
        </w:rPr>
        <w:t>（2）按照单价计算的措施项目费，应按照实际发生变化的措施项目，按本合同专业条款第10.4.1.1目计算；</w:t>
      </w:r>
    </w:p>
    <w:p w14:paraId="1EC46C25">
      <w:pPr>
        <w:adjustRightInd w:val="0"/>
        <w:snapToGrid w:val="0"/>
        <w:spacing w:before="93" w:beforeLines="30" w:line="360" w:lineRule="auto"/>
        <w:ind w:firstLine="422" w:firstLineChars="200"/>
        <w:rPr>
          <w:rFonts w:cs="宋体"/>
          <w:b/>
          <w:color w:val="auto"/>
          <w:sz w:val="21"/>
          <w:szCs w:val="21"/>
          <w:highlight w:val="none"/>
          <w:u w:val="single"/>
        </w:rPr>
      </w:pPr>
      <w:r>
        <w:rPr>
          <w:rFonts w:hint="eastAsia" w:cs="宋体"/>
          <w:b/>
          <w:color w:val="auto"/>
          <w:sz w:val="21"/>
          <w:szCs w:val="21"/>
          <w:highlight w:val="none"/>
          <w:u w:val="single"/>
        </w:rPr>
        <w:t>（3）按总价（或系数）计算的措施项目费，应按照实际发生变化的措施项目和承包人报价浮动率同比下浮标准，提出新的措施项目费，作为结算的依据；</w:t>
      </w:r>
    </w:p>
    <w:p w14:paraId="3D0DC1FD">
      <w:pPr>
        <w:adjustRightInd w:val="0"/>
        <w:snapToGrid w:val="0"/>
        <w:spacing w:before="93" w:beforeLines="30" w:line="360" w:lineRule="auto"/>
        <w:ind w:firstLine="422" w:firstLineChars="200"/>
        <w:rPr>
          <w:rFonts w:cs="宋体"/>
          <w:b/>
          <w:strike/>
          <w:color w:val="auto"/>
          <w:sz w:val="21"/>
          <w:szCs w:val="21"/>
          <w:highlight w:val="none"/>
          <w:u w:val="single"/>
        </w:rPr>
      </w:pPr>
      <w:r>
        <w:rPr>
          <w:rFonts w:hint="eastAsia" w:cs="宋体"/>
          <w:b/>
          <w:color w:val="auto"/>
          <w:sz w:val="21"/>
          <w:szCs w:val="21"/>
          <w:highlight w:val="none"/>
          <w:u w:val="single"/>
        </w:rPr>
        <w:t>（4）如果承包人未事前将拟实施的方案提交给发包人确认，则应视为工程变更不引起措施项目费的调整或承包人放弃调整措施项目费的权利。</w:t>
      </w:r>
    </w:p>
    <w:p w14:paraId="30994F95">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Start w:id="362" w:name="_Toc296346698"/>
      <w:bookmarkStart w:id="363" w:name="_Toc296891025"/>
      <w:bookmarkStart w:id="364" w:name="_Toc296347196"/>
      <w:bookmarkStart w:id="365" w:name="_Toc296891237"/>
      <w:bookmarkStart w:id="366" w:name="_Toc297216203"/>
      <w:bookmarkStart w:id="367" w:name="_Toc300934993"/>
      <w:bookmarkStart w:id="368" w:name="_Toc296503197"/>
      <w:bookmarkStart w:id="369" w:name="_Toc292559402"/>
      <w:bookmarkStart w:id="370" w:name="_Toc297120497"/>
      <w:bookmarkStart w:id="371" w:name="_Toc292559907"/>
      <w:bookmarkStart w:id="372" w:name="_Toc297123544"/>
      <w:bookmarkStart w:id="373" w:name="_Toc296944536"/>
      <w:bookmarkStart w:id="374" w:name="_Toc303539150"/>
      <w:bookmarkStart w:id="375" w:name="_Toc297048383"/>
      <w:bookmarkStart w:id="376" w:name="_Toc304295570"/>
      <w:bookmarkStart w:id="377" w:name="_Toc312678029"/>
      <w:bookmarkStart w:id="378" w:name="_Toc312677503"/>
      <w:r>
        <w:rPr>
          <w:rFonts w:hint="eastAsia" w:cs="宋体"/>
          <w:bCs/>
          <w:color w:val="auto"/>
          <w:sz w:val="21"/>
          <w:szCs w:val="21"/>
          <w:highlight w:val="none"/>
        </w:rPr>
        <w:t>0.5 承</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Start w:id="379" w:name="_Toc303539151"/>
      <w:bookmarkStart w:id="380" w:name="_Toc292559913"/>
      <w:bookmarkStart w:id="381" w:name="_Toc296891243"/>
      <w:bookmarkStart w:id="382" w:name="_Toc292559408"/>
      <w:bookmarkStart w:id="383" w:name="_Toc296347202"/>
      <w:bookmarkStart w:id="384" w:name="_Toc300934994"/>
      <w:bookmarkStart w:id="385" w:name="_Toc296944542"/>
      <w:bookmarkStart w:id="386" w:name="_Toc296346704"/>
      <w:bookmarkStart w:id="387" w:name="_Toc297216204"/>
      <w:bookmarkStart w:id="388" w:name="_Toc296503203"/>
      <w:bookmarkStart w:id="389" w:name="_Toc297048389"/>
      <w:bookmarkStart w:id="390" w:name="_Toc297123545"/>
      <w:bookmarkStart w:id="391" w:name="_Toc297120503"/>
      <w:bookmarkStart w:id="392" w:name="_Toc296891031"/>
      <w:r>
        <w:rPr>
          <w:rFonts w:hint="eastAsia" w:cs="宋体"/>
          <w:bCs/>
          <w:color w:val="auto"/>
          <w:sz w:val="21"/>
          <w:szCs w:val="21"/>
          <w:highlight w:val="none"/>
        </w:rPr>
        <w:t>包人的合理化建议</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14:paraId="35387286">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监理人审查承包人合理化建议的期限：</w:t>
      </w:r>
      <w:r>
        <w:rPr>
          <w:rFonts w:hint="eastAsia" w:cs="宋体"/>
          <w:color w:val="auto"/>
          <w:sz w:val="21"/>
          <w:szCs w:val="21"/>
          <w:highlight w:val="none"/>
          <w:u w:val="single"/>
        </w:rPr>
        <w:t xml:space="preserve"> 监理人应在收到承包人提交的合理化建议后 7 天内审查完毕并报送发包人，发现其中存在技术上的缺陷，应通知承包人修改</w:t>
      </w:r>
      <w:r>
        <w:rPr>
          <w:rFonts w:hint="eastAsia" w:cs="宋体"/>
          <w:color w:val="auto"/>
          <w:sz w:val="21"/>
          <w:szCs w:val="21"/>
          <w:highlight w:val="none"/>
        </w:rPr>
        <w:t>。</w:t>
      </w:r>
    </w:p>
    <w:p w14:paraId="0500076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发包人审批承包人合理化建议的期限：</w:t>
      </w:r>
      <w:r>
        <w:rPr>
          <w:rFonts w:hint="eastAsia" w:cs="宋体"/>
          <w:color w:val="auto"/>
          <w:sz w:val="21"/>
          <w:szCs w:val="21"/>
          <w:highlight w:val="none"/>
          <w:u w:val="single"/>
        </w:rPr>
        <w:t xml:space="preserve"> 发包人应在收到监理人报送的合理化建议后 7 天内审批完毕。合理化建议经发包人批准的，监理人应及时发出变更指示，由此引起的合同价格调整按照变更估价约定执行。发包人不同意变更的，监理人应书面通知承包人 </w:t>
      </w:r>
      <w:r>
        <w:rPr>
          <w:rFonts w:hint="eastAsia" w:cs="宋体"/>
          <w:color w:val="auto"/>
          <w:sz w:val="21"/>
          <w:szCs w:val="21"/>
          <w:highlight w:val="none"/>
        </w:rPr>
        <w:t>。</w:t>
      </w:r>
    </w:p>
    <w:p w14:paraId="0CA1EC90">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w:t>
      </w:r>
      <w:bookmarkStart w:id="393" w:name="_Toc292559409"/>
      <w:bookmarkStart w:id="394" w:name="_Toc296503204"/>
      <w:bookmarkStart w:id="395" w:name="_Toc312677504"/>
      <w:bookmarkStart w:id="396" w:name="_Toc297123546"/>
      <w:bookmarkStart w:id="397" w:name="_Toc297120504"/>
      <w:bookmarkStart w:id="398" w:name="_Toc292559914"/>
      <w:bookmarkStart w:id="399" w:name="_Toc300934995"/>
      <w:bookmarkStart w:id="400" w:name="_Toc296891244"/>
      <w:bookmarkStart w:id="401" w:name="_Toc296944543"/>
      <w:bookmarkStart w:id="402" w:name="_Toc312678030"/>
      <w:bookmarkStart w:id="403" w:name="_Toc303539152"/>
      <w:bookmarkStart w:id="404" w:name="_Toc296347203"/>
      <w:bookmarkStart w:id="405" w:name="_Toc296891032"/>
      <w:bookmarkStart w:id="406" w:name="_Toc296346705"/>
      <w:bookmarkStart w:id="407" w:name="_Toc318581175"/>
      <w:bookmarkStart w:id="408" w:name="_Toc297216205"/>
      <w:bookmarkStart w:id="409" w:name="_Toc297048390"/>
      <w:bookmarkStart w:id="410" w:name="_Toc304295571"/>
      <w:r>
        <w:rPr>
          <w:rFonts w:hint="eastAsia" w:cs="宋体"/>
          <w:color w:val="auto"/>
          <w:sz w:val="21"/>
          <w:szCs w:val="21"/>
          <w:highlight w:val="none"/>
        </w:rPr>
        <w:t>包人提出的合理化建议降低了合同价格或者提高了工程经济效益的奖励的方法和金额为：</w:t>
      </w:r>
      <w:r>
        <w:rPr>
          <w:rFonts w:hint="eastAsia" w:cs="宋体"/>
          <w:color w:val="auto"/>
          <w:sz w:val="21"/>
          <w:szCs w:val="21"/>
          <w:highlight w:val="none"/>
          <w:u w:val="single"/>
        </w:rPr>
        <w:t xml:space="preserve"> 由发包人根据合同价格降低额或工程经济效益提高承担，结合项目考勤、质量、安全、进度等实际情况综合考虑 </w:t>
      </w:r>
      <w:r>
        <w:rPr>
          <w:rFonts w:hint="eastAsia" w:cs="宋体"/>
          <w:color w:val="auto"/>
          <w:sz w:val="21"/>
          <w:szCs w:val="21"/>
          <w:highlight w:val="none"/>
        </w:rPr>
        <w:t>。</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5EBF8634">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w:t>
      </w:r>
      <w:bookmarkStart w:id="411" w:name="_Toc296347198"/>
      <w:bookmarkStart w:id="412" w:name="_Toc296944538"/>
      <w:bookmarkStart w:id="413" w:name="_Toc312678033"/>
      <w:bookmarkStart w:id="414" w:name="_Toc292559404"/>
      <w:bookmarkStart w:id="415" w:name="_Toc296503199"/>
      <w:bookmarkStart w:id="416" w:name="_Toc297123548"/>
      <w:bookmarkStart w:id="417" w:name="_Toc300934997"/>
      <w:bookmarkStart w:id="418" w:name="_Toc297048385"/>
      <w:bookmarkStart w:id="419" w:name="_Toc296891239"/>
      <w:bookmarkStart w:id="420" w:name="_Toc297216207"/>
      <w:bookmarkStart w:id="421" w:name="_Toc303539154"/>
      <w:bookmarkStart w:id="422" w:name="_Toc297120499"/>
      <w:bookmarkStart w:id="423" w:name="_Toc292559909"/>
      <w:bookmarkStart w:id="424" w:name="_Toc312677507"/>
      <w:bookmarkStart w:id="425" w:name="_Toc296891027"/>
      <w:bookmarkStart w:id="426" w:name="_Toc296346700"/>
      <w:bookmarkStart w:id="427" w:name="_Toc304295574"/>
      <w:r>
        <w:rPr>
          <w:rFonts w:hint="eastAsia" w:cs="宋体"/>
          <w:bCs/>
          <w:color w:val="auto"/>
          <w:sz w:val="21"/>
          <w:szCs w:val="21"/>
          <w:highlight w:val="none"/>
        </w:rPr>
        <w:t>0.7 暂估价</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14:paraId="1E55F1C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暂</w:t>
      </w:r>
      <w:bookmarkStart w:id="428" w:name="_Toc318581176"/>
      <w:bookmarkStart w:id="429" w:name="_Toc312678034"/>
      <w:bookmarkStart w:id="430" w:name="_Toc312677508"/>
      <w:r>
        <w:rPr>
          <w:rFonts w:hint="eastAsia" w:cs="宋体"/>
          <w:color w:val="auto"/>
          <w:sz w:val="21"/>
          <w:szCs w:val="21"/>
          <w:highlight w:val="none"/>
        </w:rPr>
        <w:t>估价材料和工程设备的明细见附件12：《暂估价一览表》。</w:t>
      </w:r>
    </w:p>
    <w:bookmarkEnd w:id="428"/>
    <w:bookmarkEnd w:id="429"/>
    <w:bookmarkEnd w:id="430"/>
    <w:p w14:paraId="5D0244D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w:t>
      </w:r>
      <w:bookmarkStart w:id="431" w:name="_Toc318581177"/>
      <w:bookmarkStart w:id="432" w:name="_Toc312677509"/>
      <w:bookmarkStart w:id="433" w:name="_Toc312678035"/>
      <w:r>
        <w:rPr>
          <w:rFonts w:hint="eastAsia" w:cs="宋体"/>
          <w:color w:val="auto"/>
          <w:sz w:val="21"/>
          <w:szCs w:val="21"/>
          <w:highlight w:val="none"/>
        </w:rPr>
        <w:t>0.7.1 依法必须招标的暂估价项目</w:t>
      </w:r>
    </w:p>
    <w:bookmarkEnd w:id="431"/>
    <w:bookmarkEnd w:id="432"/>
    <w:bookmarkEnd w:id="433"/>
    <w:p w14:paraId="428C0E2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对于依法必须招标的暂估价项目的确认和批准采取第</w:t>
      </w:r>
      <w:r>
        <w:rPr>
          <w:rFonts w:hint="eastAsia" w:cs="宋体"/>
          <w:color w:val="auto"/>
          <w:sz w:val="21"/>
          <w:szCs w:val="21"/>
          <w:highlight w:val="none"/>
          <w:u w:val="single"/>
        </w:rPr>
        <w:t>2</w:t>
      </w:r>
      <w:r>
        <w:rPr>
          <w:rFonts w:hint="eastAsia" w:cs="宋体"/>
          <w:color w:val="auto"/>
          <w:sz w:val="21"/>
          <w:szCs w:val="21"/>
          <w:highlight w:val="none"/>
        </w:rPr>
        <w:t>种方式确定。</w:t>
      </w:r>
      <w:r>
        <w:rPr>
          <w:rFonts w:hint="eastAsia" w:cs="宋体"/>
          <w:b/>
          <w:color w:val="auto"/>
          <w:sz w:val="21"/>
          <w:szCs w:val="21"/>
          <w:highlight w:val="none"/>
          <w:u w:val="single"/>
        </w:rPr>
        <w:t>并应按相关规定进行二次招标</w:t>
      </w:r>
      <w:r>
        <w:rPr>
          <w:rFonts w:hint="eastAsia" w:cs="宋体"/>
          <w:color w:val="auto"/>
          <w:sz w:val="21"/>
          <w:szCs w:val="21"/>
          <w:highlight w:val="none"/>
        </w:rPr>
        <w:t>。</w:t>
      </w:r>
    </w:p>
    <w:p w14:paraId="4793E24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10.7.2 不属于依法必须招标的暂估价项目</w:t>
      </w:r>
    </w:p>
    <w:p w14:paraId="3C4C19A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对于不属于依法必须招标的暂估价项目的确认和批准采取第</w:t>
      </w:r>
      <w:r>
        <w:rPr>
          <w:rFonts w:hint="eastAsia" w:cs="宋体"/>
          <w:color w:val="auto"/>
          <w:sz w:val="21"/>
          <w:szCs w:val="21"/>
          <w:highlight w:val="none"/>
          <w:u w:val="single"/>
        </w:rPr>
        <w:t>1</w:t>
      </w:r>
      <w:r>
        <w:rPr>
          <w:rFonts w:hint="eastAsia" w:cs="宋体"/>
          <w:color w:val="auto"/>
          <w:sz w:val="21"/>
          <w:szCs w:val="21"/>
          <w:highlight w:val="none"/>
        </w:rPr>
        <w:t>种方式确定。</w:t>
      </w:r>
    </w:p>
    <w:p w14:paraId="456817D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第3种方式：承包人直接实施的暂估价项目</w:t>
      </w:r>
    </w:p>
    <w:p w14:paraId="0013FAF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承包人直接实施的暂估价项目的约定：</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419CC822">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10.8 暂列金额</w:t>
      </w:r>
    </w:p>
    <w:p w14:paraId="4E90851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合同当事人关于暂列金额使用的约定：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9CB2E57">
      <w:pPr>
        <w:snapToGrid w:val="0"/>
        <w:spacing w:before="312" w:beforeLines="100" w:after="312" w:afterLines="100" w:line="360" w:lineRule="auto"/>
        <w:outlineLvl w:val="2"/>
        <w:rPr>
          <w:rFonts w:cs="宋体"/>
          <w:color w:val="auto"/>
          <w:sz w:val="21"/>
          <w:szCs w:val="21"/>
          <w:highlight w:val="none"/>
        </w:rPr>
      </w:pPr>
      <w:bookmarkStart w:id="434" w:name="_Toc351203643"/>
      <w:r>
        <w:rPr>
          <w:rFonts w:hint="eastAsia" w:cs="宋体"/>
          <w:color w:val="auto"/>
          <w:sz w:val="21"/>
          <w:szCs w:val="21"/>
          <w:highlight w:val="none"/>
        </w:rPr>
        <w:t>11. 价格调整</w:t>
      </w:r>
      <w:bookmarkEnd w:id="434"/>
    </w:p>
    <w:p w14:paraId="719E0961">
      <w:pPr>
        <w:keepNext/>
        <w:keepLines/>
        <w:snapToGrid w:val="0"/>
        <w:spacing w:before="120" w:after="120" w:line="360" w:lineRule="auto"/>
        <w:ind w:firstLine="420" w:firstLineChars="200"/>
        <w:outlineLvl w:val="3"/>
        <w:rPr>
          <w:rFonts w:cs="宋体"/>
          <w:bCs/>
          <w:color w:val="auto"/>
          <w:sz w:val="21"/>
          <w:szCs w:val="21"/>
          <w:highlight w:val="none"/>
        </w:rPr>
      </w:pPr>
      <w:bookmarkStart w:id="435" w:name="_Toc292559911"/>
      <w:bookmarkStart w:id="436" w:name="_Toc303539157"/>
      <w:bookmarkStart w:id="437" w:name="_Toc304295577"/>
      <w:bookmarkStart w:id="438" w:name="_Toc312678039"/>
      <w:bookmarkStart w:id="439" w:name="_Toc296503201"/>
      <w:bookmarkStart w:id="440" w:name="_Toc300935000"/>
      <w:bookmarkStart w:id="441" w:name="_Toc292559406"/>
      <w:bookmarkStart w:id="442" w:name="_Toc297216209"/>
      <w:bookmarkStart w:id="443" w:name="_Toc296944540"/>
      <w:bookmarkStart w:id="444" w:name="_Toc296347200"/>
      <w:bookmarkStart w:id="445" w:name="_Toc296346702"/>
      <w:bookmarkStart w:id="446" w:name="_Toc297123550"/>
      <w:bookmarkStart w:id="447" w:name="_Toc296891029"/>
      <w:bookmarkStart w:id="448" w:name="_Toc297120501"/>
      <w:bookmarkStart w:id="449" w:name="_Toc297048387"/>
      <w:bookmarkStart w:id="450" w:name="_Toc296891241"/>
      <w:r>
        <w:rPr>
          <w:rFonts w:hint="eastAsia" w:cs="宋体"/>
          <w:bCs/>
          <w:color w:val="auto"/>
          <w:sz w:val="21"/>
          <w:szCs w:val="21"/>
          <w:highlight w:val="none"/>
        </w:rPr>
        <w:t>11.1 市场价格波动引起的调整</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14:paraId="111DF54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市场价格波动是否调整合同价格的约定：</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FBC499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因市场价格波动调整合同价格，采用以下第</w:t>
      </w:r>
      <w:r>
        <w:rPr>
          <w:rFonts w:hint="eastAsia" w:cs="宋体"/>
          <w:color w:val="auto"/>
          <w:sz w:val="21"/>
          <w:szCs w:val="21"/>
          <w:highlight w:val="none"/>
          <w:u w:val="single"/>
        </w:rPr>
        <w:t xml:space="preserve">    </w:t>
      </w:r>
      <w:r>
        <w:rPr>
          <w:rFonts w:hint="eastAsia" w:cs="宋体"/>
          <w:color w:val="auto"/>
          <w:sz w:val="21"/>
          <w:szCs w:val="21"/>
          <w:highlight w:val="none"/>
        </w:rPr>
        <w:t>种方式对合同价格进行调整：</w:t>
      </w:r>
    </w:p>
    <w:p w14:paraId="0DE00F4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第1种方式：采用价格指数进行价格调整。</w:t>
      </w:r>
    </w:p>
    <w:p w14:paraId="4BB1D8AE">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关于各可调因子、定值和变值权重，以及基本价格指数及其来源的约定：</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51B3161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第2种方式：采用造价信息进行价格调整。</w:t>
      </w:r>
    </w:p>
    <w:p w14:paraId="0E56492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（1）可调整价格的主要材料范围的约定：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31F474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（2）主要材料价差调整周期的约定：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B33FB1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（3）主要材料价差调整计算方法的约定：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2C8651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（4）主要材料价差调整时间的约定：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41AB0A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（2）关于基准价格的约定：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7DC12A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①承包人在已标价工程量清单或预算书中载明的材料单价低于基准价格的：专用合同条款合同履行期间材料单价涨幅以基准价格为基础超过</w:t>
      </w:r>
      <w:r>
        <w:rPr>
          <w:rFonts w:hint="eastAsia" w:cs="宋体"/>
          <w:color w:val="auto"/>
          <w:sz w:val="21"/>
          <w:szCs w:val="21"/>
          <w:highlight w:val="none"/>
          <w:u w:val="single"/>
        </w:rPr>
        <w:t xml:space="preserve">    </w:t>
      </w:r>
      <w:r>
        <w:rPr>
          <w:rFonts w:hint="eastAsia" w:cs="宋体"/>
          <w:color w:val="auto"/>
          <w:sz w:val="21"/>
          <w:szCs w:val="21"/>
          <w:highlight w:val="none"/>
        </w:rPr>
        <w:t>%时，或材料单价跌幅以已标价工程量清单或预算书中载明材料单价为基础超过</w:t>
      </w:r>
      <w:r>
        <w:rPr>
          <w:rFonts w:hint="eastAsia" w:cs="宋体"/>
          <w:color w:val="auto"/>
          <w:sz w:val="21"/>
          <w:szCs w:val="21"/>
          <w:highlight w:val="none"/>
          <w:u w:val="single"/>
        </w:rPr>
        <w:t xml:space="preserve">     </w:t>
      </w:r>
      <w:r>
        <w:rPr>
          <w:rFonts w:hint="eastAsia" w:cs="宋体"/>
          <w:color w:val="auto"/>
          <w:sz w:val="21"/>
          <w:szCs w:val="21"/>
          <w:highlight w:val="none"/>
        </w:rPr>
        <w:t>%时，其超过部分据实调整。</w:t>
      </w:r>
    </w:p>
    <w:p w14:paraId="02E92B9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cs="宋体"/>
          <w:color w:val="auto"/>
          <w:sz w:val="21"/>
          <w:szCs w:val="21"/>
          <w:highlight w:val="none"/>
          <w:u w:val="single"/>
        </w:rPr>
        <w:t xml:space="preserve">    </w:t>
      </w:r>
      <w:r>
        <w:rPr>
          <w:rFonts w:hint="eastAsia" w:cs="宋体"/>
          <w:color w:val="auto"/>
          <w:sz w:val="21"/>
          <w:szCs w:val="21"/>
          <w:highlight w:val="none"/>
        </w:rPr>
        <w:t>%时，材料单价涨幅以已标价工程量清单或预算书中载明材料单价为基础超过</w:t>
      </w:r>
      <w:r>
        <w:rPr>
          <w:rFonts w:hint="eastAsia" w:cs="宋体"/>
          <w:color w:val="auto"/>
          <w:sz w:val="21"/>
          <w:szCs w:val="21"/>
          <w:highlight w:val="none"/>
          <w:u w:val="single"/>
        </w:rPr>
        <w:t xml:space="preserve">     </w:t>
      </w:r>
      <w:r>
        <w:rPr>
          <w:rFonts w:hint="eastAsia" w:cs="宋体"/>
          <w:color w:val="auto"/>
          <w:sz w:val="21"/>
          <w:szCs w:val="21"/>
          <w:highlight w:val="none"/>
        </w:rPr>
        <w:t>%时，其超过部分据实调整。</w:t>
      </w:r>
    </w:p>
    <w:p w14:paraId="0773E7A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cs="宋体"/>
          <w:color w:val="auto"/>
          <w:sz w:val="21"/>
          <w:szCs w:val="21"/>
          <w:highlight w:val="none"/>
          <w:u w:val="single"/>
        </w:rPr>
        <w:t xml:space="preserve">    </w:t>
      </w:r>
      <w:r>
        <w:rPr>
          <w:rFonts w:hint="eastAsia" w:cs="宋体"/>
          <w:color w:val="auto"/>
          <w:sz w:val="21"/>
          <w:szCs w:val="21"/>
          <w:highlight w:val="none"/>
        </w:rPr>
        <w:t>%时，其超过部分据实调整。</w:t>
      </w:r>
    </w:p>
    <w:p w14:paraId="0D35F891">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第3种方式：其他价格调整方式：</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338"/>
    <w:bookmarkEnd w:id="339"/>
    <w:bookmarkEnd w:id="340"/>
    <w:bookmarkEnd w:id="341"/>
    <w:bookmarkEnd w:id="342"/>
    <w:bookmarkEnd w:id="343"/>
    <w:p w14:paraId="2F19E7AE">
      <w:pPr>
        <w:snapToGrid w:val="0"/>
        <w:spacing w:before="312" w:beforeLines="100" w:after="312" w:afterLines="100" w:line="360" w:lineRule="auto"/>
        <w:outlineLvl w:val="2"/>
        <w:rPr>
          <w:rFonts w:cs="宋体"/>
          <w:color w:val="auto"/>
          <w:sz w:val="21"/>
          <w:szCs w:val="21"/>
          <w:highlight w:val="none"/>
        </w:rPr>
      </w:pPr>
      <w:bookmarkStart w:id="451" w:name="_Toc296503205"/>
      <w:bookmarkStart w:id="452" w:name="_Toc292559915"/>
      <w:bookmarkStart w:id="453" w:name="_Toc296347204"/>
      <w:bookmarkStart w:id="454" w:name="_Toc296944544"/>
      <w:bookmarkStart w:id="455" w:name="_Toc297048391"/>
      <w:bookmarkStart w:id="456" w:name="_Toc296891245"/>
      <w:bookmarkStart w:id="457" w:name="_Toc296891033"/>
      <w:bookmarkStart w:id="458" w:name="_Toc296346706"/>
      <w:bookmarkStart w:id="459" w:name="_Toc297120505"/>
      <w:bookmarkStart w:id="460" w:name="_Toc292559410"/>
      <w:bookmarkStart w:id="461" w:name="_Toc351203644"/>
      <w:bookmarkStart w:id="462" w:name="_Toc300935002"/>
      <w:bookmarkStart w:id="463" w:name="_Toc303539159"/>
      <w:bookmarkStart w:id="464" w:name="_Toc297123552"/>
      <w:bookmarkStart w:id="465" w:name="_Toc297216211"/>
      <w:bookmarkStart w:id="466" w:name="_Toc304295579"/>
      <w:bookmarkStart w:id="467" w:name="_Toc312678040"/>
      <w:r>
        <w:rPr>
          <w:rFonts w:hint="eastAsia" w:cs="宋体"/>
          <w:color w:val="auto"/>
          <w:sz w:val="21"/>
          <w:szCs w:val="21"/>
          <w:highlight w:val="none"/>
        </w:rPr>
        <w:t xml:space="preserve">12. </w:t>
      </w:r>
      <w:bookmarkEnd w:id="451"/>
      <w:bookmarkEnd w:id="452"/>
      <w:bookmarkEnd w:id="453"/>
      <w:bookmarkEnd w:id="454"/>
      <w:bookmarkEnd w:id="455"/>
      <w:bookmarkEnd w:id="456"/>
      <w:bookmarkEnd w:id="457"/>
      <w:bookmarkEnd w:id="458"/>
      <w:bookmarkEnd w:id="459"/>
      <w:bookmarkEnd w:id="460"/>
      <w:r>
        <w:rPr>
          <w:rFonts w:hint="eastAsia" w:cs="宋体"/>
          <w:color w:val="auto"/>
          <w:sz w:val="21"/>
          <w:szCs w:val="21"/>
          <w:highlight w:val="none"/>
        </w:rPr>
        <w:t>合同价格、计量与支付</w:t>
      </w:r>
      <w:bookmarkEnd w:id="461"/>
    </w:p>
    <w:bookmarkEnd w:id="462"/>
    <w:bookmarkEnd w:id="463"/>
    <w:bookmarkEnd w:id="464"/>
    <w:bookmarkEnd w:id="465"/>
    <w:bookmarkEnd w:id="466"/>
    <w:bookmarkEnd w:id="467"/>
    <w:p w14:paraId="0FE74285">
      <w:pPr>
        <w:keepNext/>
        <w:keepLines/>
        <w:snapToGrid w:val="0"/>
        <w:spacing w:before="120" w:after="120" w:line="360" w:lineRule="auto"/>
        <w:ind w:firstLine="420" w:firstLineChars="200"/>
        <w:outlineLvl w:val="3"/>
        <w:rPr>
          <w:rFonts w:cs="宋体"/>
          <w:bCs/>
          <w:color w:val="auto"/>
          <w:sz w:val="21"/>
          <w:szCs w:val="21"/>
          <w:highlight w:val="none"/>
        </w:rPr>
      </w:pPr>
      <w:bookmarkStart w:id="468" w:name="_Toc292559916"/>
      <w:bookmarkStart w:id="469" w:name="_Toc292559411"/>
      <w:bookmarkStart w:id="470" w:name="_Toc267251461"/>
      <w:bookmarkStart w:id="471" w:name="_Toc296891246"/>
      <w:bookmarkStart w:id="472" w:name="_Toc296891034"/>
      <w:bookmarkStart w:id="473" w:name="_Toc296346707"/>
      <w:bookmarkStart w:id="474" w:name="_Toc297048392"/>
      <w:bookmarkStart w:id="475" w:name="_Toc297120506"/>
      <w:bookmarkStart w:id="476" w:name="_Toc296503206"/>
      <w:bookmarkStart w:id="477" w:name="_Toc296347205"/>
      <w:bookmarkStart w:id="478" w:name="_Toc296944545"/>
      <w:bookmarkStart w:id="479" w:name="_Toc303539160"/>
      <w:bookmarkStart w:id="480" w:name="_Toc304295580"/>
      <w:bookmarkStart w:id="481" w:name="_Toc297123553"/>
      <w:bookmarkStart w:id="482" w:name="_Toc312678041"/>
      <w:bookmarkStart w:id="483" w:name="_Toc300935003"/>
      <w:bookmarkStart w:id="484" w:name="_Toc297216212"/>
      <w:r>
        <w:rPr>
          <w:rFonts w:hint="eastAsia" w:cs="宋体"/>
          <w:bCs/>
          <w:color w:val="auto"/>
          <w:sz w:val="21"/>
          <w:szCs w:val="21"/>
          <w:highlight w:val="none"/>
        </w:rPr>
        <w:t>12.1 合</w:t>
      </w:r>
      <w:bookmarkEnd w:id="468"/>
      <w:bookmarkEnd w:id="469"/>
      <w:bookmarkEnd w:id="470"/>
      <w:r>
        <w:rPr>
          <w:rFonts w:hint="eastAsia" w:cs="宋体"/>
          <w:bCs/>
          <w:color w:val="auto"/>
          <w:sz w:val="21"/>
          <w:szCs w:val="21"/>
          <w:highlight w:val="none"/>
        </w:rPr>
        <w:t>同价</w:t>
      </w:r>
      <w:bookmarkEnd w:id="471"/>
      <w:bookmarkEnd w:id="472"/>
      <w:bookmarkEnd w:id="473"/>
      <w:bookmarkEnd w:id="474"/>
      <w:bookmarkEnd w:id="475"/>
      <w:bookmarkEnd w:id="476"/>
      <w:bookmarkEnd w:id="477"/>
      <w:bookmarkEnd w:id="478"/>
      <w:r>
        <w:rPr>
          <w:rFonts w:hint="eastAsia" w:cs="宋体"/>
          <w:bCs/>
          <w:color w:val="auto"/>
          <w:sz w:val="21"/>
          <w:szCs w:val="21"/>
          <w:highlight w:val="none"/>
        </w:rPr>
        <w:t>格形式</w:t>
      </w:r>
    </w:p>
    <w:bookmarkEnd w:id="479"/>
    <w:bookmarkEnd w:id="480"/>
    <w:bookmarkEnd w:id="481"/>
    <w:bookmarkEnd w:id="482"/>
    <w:bookmarkEnd w:id="483"/>
    <w:bookmarkEnd w:id="484"/>
    <w:p w14:paraId="51E45E8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（1）单价合同。</w:t>
      </w:r>
    </w:p>
    <w:p w14:paraId="534CF535">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综合单价包含的风险范围：</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F2FD6CC">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风险费用的计算方法：</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8947D8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风险范围以外合同价格的调整方法：</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43205A8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（2）总价合同。</w:t>
      </w:r>
    </w:p>
    <w:p w14:paraId="2D64CF0D">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总价包含的风险范围：</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4FB814CC">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风险费用的计算方法：</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BE7BAF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风险范围以外合同价格的调整方法：</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16D7B26">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（3）其他价格方式：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64DC82A">
      <w:pPr>
        <w:keepNext/>
        <w:keepLines/>
        <w:snapToGrid w:val="0"/>
        <w:spacing w:before="120" w:after="120" w:line="360" w:lineRule="auto"/>
        <w:ind w:firstLine="420" w:firstLineChars="200"/>
        <w:outlineLvl w:val="3"/>
        <w:rPr>
          <w:rFonts w:cs="宋体"/>
          <w:bCs/>
          <w:color w:val="auto"/>
          <w:sz w:val="21"/>
          <w:szCs w:val="21"/>
          <w:highlight w:val="none"/>
        </w:rPr>
      </w:pPr>
      <w:bookmarkStart w:id="485" w:name="_Toc312678042"/>
      <w:bookmarkStart w:id="486" w:name="_Toc297216213"/>
      <w:bookmarkStart w:id="487" w:name="_Toc297123554"/>
      <w:bookmarkStart w:id="488" w:name="_Toc300935004"/>
      <w:bookmarkStart w:id="489" w:name="_Toc304295581"/>
      <w:bookmarkStart w:id="490" w:name="_Toc303539161"/>
      <w:bookmarkStart w:id="491" w:name="_Toc296347206"/>
      <w:bookmarkStart w:id="492" w:name="_Toc297048393"/>
      <w:bookmarkStart w:id="493" w:name="_Toc292559412"/>
      <w:bookmarkStart w:id="494" w:name="_Toc296346708"/>
      <w:bookmarkStart w:id="495" w:name="_Toc296891247"/>
      <w:bookmarkStart w:id="496" w:name="_Toc296503207"/>
      <w:bookmarkStart w:id="497" w:name="_Toc297120507"/>
      <w:bookmarkStart w:id="498" w:name="_Toc296944546"/>
      <w:bookmarkStart w:id="499" w:name="_Toc292559917"/>
      <w:bookmarkStart w:id="500" w:name="_Toc296891035"/>
      <w:r>
        <w:rPr>
          <w:rFonts w:hint="eastAsia" w:cs="宋体"/>
          <w:bCs/>
          <w:color w:val="auto"/>
          <w:sz w:val="21"/>
          <w:szCs w:val="21"/>
          <w:highlight w:val="none"/>
        </w:rPr>
        <w:t>12.2 预付款</w:t>
      </w:r>
    </w:p>
    <w:bookmarkEnd w:id="485"/>
    <w:bookmarkEnd w:id="486"/>
    <w:bookmarkEnd w:id="487"/>
    <w:bookmarkEnd w:id="488"/>
    <w:bookmarkEnd w:id="489"/>
    <w:bookmarkEnd w:id="490"/>
    <w:p w14:paraId="4E7D0E5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12.2.1 预付款的支付</w:t>
      </w:r>
    </w:p>
    <w:p w14:paraId="33A3BBC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预付款支付比例或金额：</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EC79C9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预付款支付期限：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9586F3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预付款扣回的方式：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C1F3A1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12.2.2 预付款担保</w:t>
      </w:r>
    </w:p>
    <w:p w14:paraId="785539F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承包人提交预付款担保的期限：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6EA3B32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预付款担保的形式为：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bookmarkEnd w:id="491"/>
    <w:bookmarkEnd w:id="492"/>
    <w:bookmarkEnd w:id="493"/>
    <w:bookmarkEnd w:id="494"/>
    <w:bookmarkEnd w:id="495"/>
    <w:bookmarkEnd w:id="496"/>
    <w:bookmarkEnd w:id="497"/>
    <w:bookmarkEnd w:id="498"/>
    <w:bookmarkEnd w:id="499"/>
    <w:bookmarkEnd w:id="500"/>
    <w:p w14:paraId="3A16E2AE">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12.3 计量</w:t>
      </w:r>
    </w:p>
    <w:p w14:paraId="5BA1309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12.3.1 计量原则</w:t>
      </w:r>
    </w:p>
    <w:p w14:paraId="1C7B629E">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工程量计算规则：</w:t>
      </w:r>
      <w:r>
        <w:rPr>
          <w:rFonts w:hint="eastAsia" w:cs="宋体"/>
          <w:color w:val="auto"/>
          <w:sz w:val="21"/>
          <w:szCs w:val="21"/>
          <w:highlight w:val="none"/>
          <w:u w:val="single"/>
        </w:rPr>
        <w:t>按招标工程量清单及最高投标限价所采用的工程量清单计价规范及配套文件等</w:t>
      </w:r>
      <w:r>
        <w:rPr>
          <w:rFonts w:hint="eastAsia" w:cs="宋体"/>
          <w:b/>
          <w:color w:val="auto"/>
          <w:sz w:val="21"/>
          <w:szCs w:val="21"/>
          <w:highlight w:val="none"/>
        </w:rPr>
        <w:t>。</w:t>
      </w:r>
    </w:p>
    <w:p w14:paraId="37DD28C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12.3.2 计量周期</w:t>
      </w:r>
    </w:p>
    <w:p w14:paraId="3772A1D9">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关于计量周期的约定</w:t>
      </w:r>
      <w:r>
        <w:rPr>
          <w:rFonts w:hint="eastAsia" w:cs="宋体"/>
          <w:b/>
          <w:color w:val="auto"/>
          <w:sz w:val="21"/>
          <w:szCs w:val="21"/>
          <w:highlight w:val="none"/>
        </w:rPr>
        <w:t>：</w:t>
      </w:r>
      <w:r>
        <w:rPr>
          <w:rFonts w:hint="eastAsia" w:cs="宋体"/>
          <w:color w:val="auto"/>
          <w:sz w:val="21"/>
          <w:szCs w:val="21"/>
          <w:highlight w:val="none"/>
          <w:u w:val="single"/>
        </w:rPr>
        <w:t xml:space="preserve">      </w:t>
      </w:r>
      <w:r>
        <w:rPr>
          <w:rFonts w:hint="eastAsia" w:cs="宋体"/>
          <w:b/>
          <w:color w:val="auto"/>
          <w:sz w:val="21"/>
          <w:szCs w:val="21"/>
          <w:highlight w:val="none"/>
        </w:rPr>
        <w:t>。</w:t>
      </w:r>
    </w:p>
    <w:p w14:paraId="5947CB8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12.3.3 单价合同的计量</w:t>
      </w:r>
    </w:p>
    <w:p w14:paraId="23AF102F">
      <w:pPr>
        <w:keepNext w:val="0"/>
        <w:keepLines w:val="0"/>
        <w:widowControl/>
        <w:suppressLineNumbers w:val="0"/>
        <w:jc w:val="left"/>
        <w:rPr>
          <w:color w:val="auto"/>
          <w:highlight w:val="none"/>
          <w:u w:val="single"/>
        </w:rPr>
      </w:pPr>
      <w:r>
        <w:rPr>
          <w:rFonts w:hint="eastAsia" w:cs="宋体"/>
          <w:color w:val="auto"/>
          <w:sz w:val="21"/>
          <w:szCs w:val="21"/>
          <w:highlight w:val="none"/>
        </w:rPr>
        <w:t>关于单价合同计量的约定：</w:t>
      </w:r>
      <w:r>
        <w:rPr>
          <w:rFonts w:hint="eastAsia" w:cs="宋体"/>
          <w:color w:val="auto"/>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bidi="ar"/>
        </w:rPr>
        <w:t>综合单价包含的风险范围：隐含于已标价工程量清单综合单价中，用于化解发承包双方在工 程合同中约定内容和范围内的市场价格波动风险的费用。综合单价包括为完成本项目所需要的一切费用,包括但不限于人工费、材料费、施工机械费、管理费、利润、风险费用、相关交易费及完成本工程</w:t>
      </w:r>
      <w:r>
        <w:rPr>
          <w:rFonts w:hint="eastAsia" w:cs="宋体"/>
          <w:b/>
          <w:bCs/>
          <w:color w:val="auto"/>
          <w:kern w:val="0"/>
          <w:sz w:val="21"/>
          <w:szCs w:val="21"/>
          <w:highlight w:val="none"/>
          <w:u w:val="single"/>
          <w:lang w:val="en-US" w:eastAsia="zh-CN" w:bidi="ar"/>
        </w:rPr>
        <w:t>谈判文件</w:t>
      </w:r>
      <w:r>
        <w:rPr>
          <w:rFonts w:hint="eastAsia" w:ascii="宋体" w:hAnsi="宋体" w:eastAsia="宋体" w:cs="宋体"/>
          <w:b/>
          <w:bCs/>
          <w:color w:val="auto"/>
          <w:kern w:val="0"/>
          <w:sz w:val="21"/>
          <w:szCs w:val="21"/>
          <w:highlight w:val="none"/>
          <w:u w:val="single"/>
          <w:lang w:val="en-US" w:eastAsia="zh-CN" w:bidi="ar"/>
        </w:rPr>
        <w:t>及合同条款内容等所有费用，综合单价今后将不作任何调整。</w:t>
      </w:r>
    </w:p>
    <w:p w14:paraId="1AE56BEB">
      <w:pPr>
        <w:keepNext w:val="0"/>
        <w:keepLines w:val="0"/>
        <w:widowControl/>
        <w:suppressLineNumbers w:val="0"/>
        <w:jc w:val="left"/>
        <w:rPr>
          <w:color w:val="auto"/>
          <w:highlight w:val="none"/>
          <w:u w:val="single"/>
        </w:rPr>
      </w:pPr>
      <w:r>
        <w:rPr>
          <w:rFonts w:hint="eastAsia" w:ascii="宋体" w:hAnsi="宋体" w:eastAsia="宋体" w:cs="宋体"/>
          <w:b/>
          <w:bCs/>
          <w:color w:val="auto"/>
          <w:kern w:val="0"/>
          <w:sz w:val="21"/>
          <w:szCs w:val="21"/>
          <w:highlight w:val="none"/>
          <w:u w:val="single"/>
          <w:lang w:val="en-US" w:eastAsia="zh-CN" w:bidi="ar"/>
        </w:rPr>
        <w:t xml:space="preserve">风险费用的计算方法：承包人自行考虑，包含在报价中。 </w:t>
      </w:r>
    </w:p>
    <w:p w14:paraId="1F010434">
      <w:pPr>
        <w:keepNext w:val="0"/>
        <w:keepLines w:val="0"/>
        <w:widowControl/>
        <w:suppressLineNumbers w:val="0"/>
        <w:jc w:val="left"/>
        <w:rPr>
          <w:color w:val="auto"/>
          <w:highlight w:val="none"/>
          <w:u w:val="single"/>
        </w:rPr>
      </w:pPr>
      <w:r>
        <w:rPr>
          <w:rFonts w:hint="eastAsia" w:ascii="宋体" w:hAnsi="宋体" w:eastAsia="宋体" w:cs="宋体"/>
          <w:b/>
          <w:bCs/>
          <w:color w:val="auto"/>
          <w:kern w:val="0"/>
          <w:sz w:val="21"/>
          <w:szCs w:val="21"/>
          <w:highlight w:val="none"/>
          <w:u w:val="single"/>
          <w:lang w:val="en-US" w:eastAsia="zh-CN" w:bidi="ar"/>
        </w:rPr>
        <w:t xml:space="preserve">结算方式：结算价=中标价±工程量变更×综合单价＋（新增工程量清单项目数量×审定签证综合单价＋施工技术措施费调整）×A±人工费调整±材料差价调整-暂定金额、暂估价（未使用或未施工部分）±合理工程索赔。（A 为投标让利幅度，A=中标价/最高投标限价，比例式中的中标价、最高投标限价均不含暂定金额、暂估价部分,下同）。 </w:t>
      </w:r>
    </w:p>
    <w:p w14:paraId="488E031D">
      <w:pPr>
        <w:keepNext w:val="0"/>
        <w:keepLines w:val="0"/>
        <w:widowControl/>
        <w:suppressLineNumbers w:val="0"/>
        <w:jc w:val="left"/>
        <w:rPr>
          <w:color w:val="auto"/>
          <w:highlight w:val="none"/>
          <w:u w:val="single"/>
        </w:rPr>
      </w:pPr>
      <w:r>
        <w:rPr>
          <w:rFonts w:hint="eastAsia" w:ascii="宋体" w:hAnsi="宋体" w:eastAsia="宋体" w:cs="宋体"/>
          <w:b/>
          <w:bCs/>
          <w:color w:val="auto"/>
          <w:kern w:val="0"/>
          <w:sz w:val="21"/>
          <w:szCs w:val="21"/>
          <w:highlight w:val="none"/>
          <w:u w:val="single"/>
          <w:lang w:val="en-US" w:eastAsia="zh-CN" w:bidi="ar"/>
        </w:rPr>
        <w:t xml:space="preserve">国家法律、法规、规章和政策发生变化及由政府定价或政府指导价管理的原材料等价格风险由发包人承担。 </w:t>
      </w:r>
    </w:p>
    <w:p w14:paraId="050CF966">
      <w:pPr>
        <w:keepNext w:val="0"/>
        <w:keepLines w:val="0"/>
        <w:widowControl/>
        <w:suppressLineNumbers w:val="0"/>
        <w:jc w:val="left"/>
        <w:rPr>
          <w:color w:val="auto"/>
          <w:highlight w:val="none"/>
          <w:u w:val="single"/>
        </w:rPr>
      </w:pPr>
      <w:r>
        <w:rPr>
          <w:rFonts w:hint="eastAsia" w:ascii="宋体" w:hAnsi="宋体" w:eastAsia="宋体" w:cs="宋体"/>
          <w:b/>
          <w:bCs/>
          <w:color w:val="auto"/>
          <w:kern w:val="0"/>
          <w:sz w:val="21"/>
          <w:szCs w:val="21"/>
          <w:highlight w:val="none"/>
          <w:u w:val="single"/>
          <w:lang w:val="en-US" w:eastAsia="zh-CN" w:bidi="ar"/>
        </w:rPr>
        <w:t xml:space="preserve">人工费调整方法：按滁州市工程造价管理机构发布的人工信息价以实际施工期间平均价进行调整，人工费调整仅计取税金进总价（独立费单价中人工单价不调整）。 </w:t>
      </w:r>
    </w:p>
    <w:p w14:paraId="243A24AD">
      <w:pPr>
        <w:adjustRightInd w:val="0"/>
        <w:snapToGrid w:val="0"/>
        <w:spacing w:line="360" w:lineRule="auto"/>
        <w:ind w:firstLine="422" w:firstLineChars="200"/>
        <w:rPr>
          <w:rFonts w:cs="宋体"/>
          <w:color w:val="auto"/>
          <w:sz w:val="21"/>
          <w:szCs w:val="21"/>
          <w:highlight w:val="none"/>
        </w:rPr>
      </w:pPr>
      <w:r>
        <w:rPr>
          <w:rFonts w:hint="eastAsia" w:ascii="宋体" w:hAnsi="宋体" w:eastAsia="宋体" w:cs="宋体"/>
          <w:b/>
          <w:bCs/>
          <w:color w:val="auto"/>
          <w:kern w:val="0"/>
          <w:sz w:val="21"/>
          <w:szCs w:val="21"/>
          <w:highlight w:val="none"/>
          <w:u w:val="single"/>
          <w:lang w:val="en-US" w:eastAsia="zh-CN" w:bidi="ar"/>
        </w:rPr>
        <w:t>施工机械台班使用费的风险范围：施工机械台班使用费中燃料、水电费价格的风险由发包人承担；其他要素价格风险由承包人承担。</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F813A1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12.3.4 总价合同的计量</w:t>
      </w:r>
    </w:p>
    <w:p w14:paraId="1C729ED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关于总价合同计量的约定：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4B5A13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12.3.5 总价合同采用支付分解表计量支付的，是否适用第12.3.4项〔总价合同的计量〕约定进行计量：</w:t>
      </w:r>
      <w:r>
        <w:rPr>
          <w:rFonts w:hint="eastAsia" w:cs="宋体"/>
          <w:color w:val="auto"/>
          <w:sz w:val="21"/>
          <w:szCs w:val="21"/>
          <w:highlight w:val="none"/>
          <w:u w:val="single"/>
        </w:rPr>
        <w:t xml:space="preserve">    </w:t>
      </w:r>
      <w:r>
        <w:rPr>
          <w:rFonts w:hint="eastAsia" w:cs="宋体"/>
          <w:b/>
          <w:color w:val="auto"/>
          <w:sz w:val="21"/>
          <w:szCs w:val="21"/>
          <w:highlight w:val="none"/>
        </w:rPr>
        <w:t>。</w:t>
      </w:r>
    </w:p>
    <w:p w14:paraId="364658D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12.3.6 其他价格形式合同的计量</w:t>
      </w:r>
    </w:p>
    <w:p w14:paraId="0B5B55D8">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其他价格形式的计量方式和程序：</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0693F81">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12.4 工程进度款支付</w:t>
      </w:r>
    </w:p>
    <w:p w14:paraId="5CF20DD6">
      <w:pPr>
        <w:adjustRightInd w:val="0"/>
        <w:snapToGrid w:val="0"/>
        <w:spacing w:line="360" w:lineRule="auto"/>
        <w:ind w:firstLine="420" w:firstLineChars="200"/>
        <w:rPr>
          <w:rFonts w:cs="宋体"/>
          <w:color w:val="auto"/>
          <w:sz w:val="21"/>
          <w:szCs w:val="21"/>
          <w:highlight w:val="none"/>
        </w:rPr>
      </w:pPr>
      <w:bookmarkStart w:id="501" w:name="_Toc297123556"/>
      <w:bookmarkStart w:id="502" w:name="_Toc296891039"/>
      <w:bookmarkStart w:id="503" w:name="_Toc292559416"/>
      <w:bookmarkStart w:id="504" w:name="_Toc296346712"/>
      <w:bookmarkStart w:id="505" w:name="_Toc296891251"/>
      <w:bookmarkStart w:id="506" w:name="_Toc296503211"/>
      <w:bookmarkStart w:id="507" w:name="_Toc297120511"/>
      <w:bookmarkStart w:id="508" w:name="_Toc296944550"/>
      <w:bookmarkStart w:id="509" w:name="_Toc296347210"/>
      <w:bookmarkStart w:id="510" w:name="_Toc297216215"/>
      <w:bookmarkStart w:id="511" w:name="_Toc303539163"/>
      <w:bookmarkStart w:id="512" w:name="_Toc300935006"/>
      <w:bookmarkStart w:id="513" w:name="_Toc292559921"/>
      <w:bookmarkStart w:id="514" w:name="_Toc297048397"/>
      <w:r>
        <w:rPr>
          <w:rFonts w:hint="eastAsia" w:cs="宋体"/>
          <w:color w:val="auto"/>
          <w:sz w:val="21"/>
          <w:szCs w:val="21"/>
          <w:highlight w:val="none"/>
        </w:rPr>
        <w:t>12.4.1 付款周期</w:t>
      </w:r>
    </w:p>
    <w:p w14:paraId="3CF217C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关于付款周期的约定：</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929B70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12.4.2 进度付款申请单的编制</w:t>
      </w:r>
    </w:p>
    <w:p w14:paraId="50B20CB9">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关于进度付款申请单编制的约定：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2D9385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Fonts w:hint="eastAsia" w:cs="宋体"/>
          <w:color w:val="auto"/>
          <w:sz w:val="21"/>
          <w:szCs w:val="21"/>
          <w:highlight w:val="none"/>
        </w:rPr>
        <w:t>2.4.3 进度付款申请单的提交</w:t>
      </w:r>
    </w:p>
    <w:p w14:paraId="0EDA1CB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（1）单价合同进度付款申请单提交的约定：</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5AC0891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（2）总价合同进度付款申请单提交的约定：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3259BBC">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（3）其他价格形式合同进度付款申请单提交的约定：</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6799029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12.4.4 进度款审核和支付</w:t>
      </w:r>
    </w:p>
    <w:p w14:paraId="4E28F383">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（1）监理人审查并报送发包人的期限：</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A81D3C2">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发包人完成审批并签发进度款支付证书的期限：</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50B6A10">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（2）发包人支付进度款的期限：</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F37D81B">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发包人逾期支付进度款的违约金的计算方式</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9C20E7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12.4.6 支付分解表的编制</w:t>
      </w:r>
    </w:p>
    <w:p w14:paraId="0380FAA4">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（2）总价合同支付分解表的编制与审批：</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5800746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（3）单价合同的总价项目支付分解表的编制与审批：</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2D27D019">
      <w:pPr>
        <w:adjustRightInd w:val="0"/>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12.4.7 农民工工资管理</w:t>
      </w:r>
    </w:p>
    <w:p w14:paraId="5BFB4DC8">
      <w:pPr>
        <w:adjustRightInd w:val="0"/>
        <w:snapToGrid w:val="0"/>
        <w:spacing w:line="360" w:lineRule="auto"/>
        <w:ind w:firstLine="420" w:firstLineChars="200"/>
        <w:rPr>
          <w:rFonts w:cs="宋体"/>
          <w:bCs/>
          <w:color w:val="auto"/>
          <w:sz w:val="21"/>
          <w:szCs w:val="21"/>
          <w:highlight w:val="none"/>
        </w:rPr>
      </w:pPr>
      <w:r>
        <w:rPr>
          <w:rFonts w:hint="eastAsia" w:cs="宋体"/>
          <w:color w:val="auto"/>
          <w:sz w:val="21"/>
          <w:szCs w:val="21"/>
          <w:highlight w:val="none"/>
        </w:rPr>
        <w:t>（1）</w:t>
      </w:r>
      <w:r>
        <w:rPr>
          <w:rFonts w:hint="eastAsia" w:cs="宋体"/>
          <w:bCs/>
          <w:color w:val="auto"/>
          <w:sz w:val="21"/>
          <w:szCs w:val="21"/>
          <w:highlight w:val="none"/>
        </w:rPr>
        <w:t>本工程农民工工资实行专用账户管理，承包人设立的专用账户开户行为</w:t>
      </w:r>
      <w:r>
        <w:rPr>
          <w:rFonts w:hint="eastAsia" w:cs="宋体"/>
          <w:bCs/>
          <w:color w:val="auto"/>
          <w:sz w:val="21"/>
          <w:szCs w:val="21"/>
          <w:highlight w:val="none"/>
          <w:u w:val="single"/>
        </w:rPr>
        <w:t xml:space="preserve">：        </w:t>
      </w:r>
      <w:r>
        <w:rPr>
          <w:rFonts w:hint="eastAsia" w:cs="宋体"/>
          <w:bCs/>
          <w:color w:val="auto"/>
          <w:sz w:val="21"/>
          <w:szCs w:val="21"/>
          <w:highlight w:val="none"/>
        </w:rPr>
        <w:t>，账号：</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5605C31A">
      <w:pPr>
        <w:adjustRightInd w:val="0"/>
        <w:snapToGrid w:val="0"/>
        <w:spacing w:line="360" w:lineRule="auto"/>
        <w:ind w:firstLine="420" w:firstLineChars="200"/>
        <w:rPr>
          <w:rFonts w:cs="宋体"/>
          <w:bCs/>
          <w:color w:val="auto"/>
          <w:sz w:val="21"/>
          <w:szCs w:val="21"/>
          <w:highlight w:val="none"/>
        </w:rPr>
      </w:pPr>
      <w:r>
        <w:rPr>
          <w:rFonts w:hint="eastAsia" w:cs="宋体"/>
          <w:color w:val="auto"/>
          <w:sz w:val="21"/>
          <w:szCs w:val="21"/>
          <w:highlight w:val="none"/>
        </w:rPr>
        <w:t>（2）</w:t>
      </w:r>
      <w:r>
        <w:rPr>
          <w:rFonts w:hint="eastAsia" w:cs="宋体"/>
          <w:bCs/>
          <w:color w:val="auto"/>
          <w:sz w:val="21"/>
          <w:szCs w:val="21"/>
          <w:highlight w:val="none"/>
        </w:rPr>
        <w:t>本工程工资性工程款</w:t>
      </w:r>
      <w:r>
        <w:rPr>
          <w:rFonts w:hint="eastAsia" w:cs="宋体"/>
          <w:bCs/>
          <w:color w:val="auto"/>
          <w:sz w:val="21"/>
          <w:szCs w:val="21"/>
          <w:highlight w:val="none"/>
          <w:u w:val="single"/>
        </w:rPr>
        <w:t xml:space="preserve">         </w:t>
      </w:r>
      <w:r>
        <w:rPr>
          <w:rFonts w:hint="eastAsia" w:cs="宋体"/>
          <w:bCs/>
          <w:color w:val="auto"/>
          <w:sz w:val="21"/>
          <w:szCs w:val="21"/>
          <w:highlight w:val="none"/>
        </w:rPr>
        <w:t>元。</w:t>
      </w:r>
    </w:p>
    <w:p w14:paraId="2435241A">
      <w:pPr>
        <w:adjustRightInd w:val="0"/>
        <w:snapToGrid w:val="0"/>
        <w:spacing w:line="360" w:lineRule="auto"/>
        <w:ind w:firstLine="420" w:firstLineChars="200"/>
        <w:rPr>
          <w:rFonts w:cs="宋体"/>
          <w:bCs/>
          <w:color w:val="auto"/>
          <w:sz w:val="21"/>
          <w:szCs w:val="21"/>
          <w:highlight w:val="none"/>
        </w:rPr>
      </w:pPr>
      <w:r>
        <w:rPr>
          <w:rFonts w:hint="eastAsia" w:cs="宋体"/>
          <w:color w:val="auto"/>
          <w:sz w:val="21"/>
          <w:szCs w:val="21"/>
          <w:highlight w:val="none"/>
        </w:rPr>
        <w:t>（3）</w:t>
      </w:r>
      <w:r>
        <w:rPr>
          <w:rFonts w:hint="eastAsia" w:cs="宋体"/>
          <w:bCs/>
          <w:color w:val="auto"/>
          <w:sz w:val="21"/>
          <w:szCs w:val="21"/>
          <w:highlight w:val="none"/>
        </w:rPr>
        <w:t>发包人于每月25日前将工资性工程进度款转入农民工工资专用账户。</w:t>
      </w:r>
    </w:p>
    <w:p w14:paraId="0992F9E0">
      <w:pPr>
        <w:adjustRightInd w:val="0"/>
        <w:snapToGrid w:val="0"/>
        <w:spacing w:line="360" w:lineRule="auto"/>
        <w:ind w:firstLine="420" w:firstLineChars="200"/>
        <w:rPr>
          <w:rFonts w:cs="宋体"/>
          <w:bCs/>
          <w:color w:val="auto"/>
          <w:sz w:val="21"/>
          <w:szCs w:val="21"/>
          <w:highlight w:val="none"/>
        </w:rPr>
      </w:pPr>
      <w:r>
        <w:rPr>
          <w:rFonts w:hint="eastAsia" w:cs="宋体"/>
          <w:color w:val="auto"/>
          <w:sz w:val="21"/>
          <w:szCs w:val="21"/>
          <w:highlight w:val="none"/>
        </w:rPr>
        <w:t>（4）</w:t>
      </w:r>
      <w:r>
        <w:rPr>
          <w:rFonts w:hint="eastAsia" w:cs="宋体"/>
          <w:bCs/>
          <w:color w:val="auto"/>
          <w:sz w:val="21"/>
          <w:szCs w:val="21"/>
          <w:highlight w:val="none"/>
        </w:rPr>
        <w:t>承包人每月25日前上报本工程农民工工资清单，每月10日前委托开设农民工工资专用账户的银行支付农民工工资。</w:t>
      </w:r>
    </w:p>
    <w:p w14:paraId="28696FE7">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（5）</w:t>
      </w:r>
      <w:r>
        <w:rPr>
          <w:rFonts w:hint="eastAsia" w:cs="宋体"/>
          <w:bCs/>
          <w:color w:val="auto"/>
          <w:sz w:val="21"/>
          <w:szCs w:val="21"/>
          <w:highlight w:val="none"/>
        </w:rPr>
        <w:t>工程竣工后，经项目部农民工维权组确认无农民工工资拖欠后，发、承双方办理农民工工资专用账户撤销手续，农民工工资专用账户余额划至本合同约定的承包人账户。</w:t>
      </w:r>
    </w:p>
    <w:bookmarkEnd w:id="344"/>
    <w:p w14:paraId="77237608">
      <w:pPr>
        <w:snapToGrid w:val="0"/>
        <w:spacing w:before="312" w:beforeLines="100" w:after="312" w:afterLines="100" w:line="360" w:lineRule="auto"/>
        <w:outlineLvl w:val="2"/>
        <w:rPr>
          <w:rFonts w:cs="宋体"/>
          <w:color w:val="auto"/>
          <w:sz w:val="21"/>
          <w:szCs w:val="21"/>
          <w:highlight w:val="none"/>
        </w:rPr>
      </w:pPr>
      <w:bookmarkStart w:id="515" w:name="_Toc351203645"/>
      <w:bookmarkStart w:id="516" w:name="_Toc292559929"/>
      <w:bookmarkStart w:id="517" w:name="_Toc297123564"/>
      <w:bookmarkStart w:id="518" w:name="_Toc296891047"/>
      <w:bookmarkStart w:id="519" w:name="_Toc312678053"/>
      <w:bookmarkStart w:id="520" w:name="_Toc296503219"/>
      <w:bookmarkStart w:id="521" w:name="_Toc297048405"/>
      <w:bookmarkStart w:id="522" w:name="_Toc292559424"/>
      <w:bookmarkStart w:id="523" w:name="_Toc296346720"/>
      <w:bookmarkStart w:id="524" w:name="_Toc303539172"/>
      <w:bookmarkStart w:id="525" w:name="_Toc296347218"/>
      <w:bookmarkStart w:id="526" w:name="_Toc300935015"/>
      <w:bookmarkStart w:id="527" w:name="_Toc297216223"/>
      <w:bookmarkStart w:id="528" w:name="_Toc297120519"/>
      <w:bookmarkStart w:id="529" w:name="_Toc304295593"/>
      <w:bookmarkStart w:id="530" w:name="_Toc296944558"/>
      <w:bookmarkStart w:id="531" w:name="_Toc296891259"/>
      <w:r>
        <w:rPr>
          <w:rFonts w:hint="eastAsia" w:cs="宋体"/>
          <w:color w:val="auto"/>
          <w:sz w:val="21"/>
          <w:szCs w:val="21"/>
          <w:highlight w:val="none"/>
        </w:rPr>
        <w:t>13. 验收和工程试车</w:t>
      </w:r>
      <w:bookmarkEnd w:id="515"/>
    </w:p>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14:paraId="6D759B30">
      <w:pPr>
        <w:keepNext/>
        <w:keepLines/>
        <w:snapToGrid w:val="0"/>
        <w:spacing w:before="120" w:after="120" w:line="360" w:lineRule="auto"/>
        <w:jc w:val="left"/>
        <w:outlineLvl w:val="2"/>
        <w:rPr>
          <w:rFonts w:cs="宋体"/>
          <w:bCs/>
          <w:color w:val="auto"/>
          <w:sz w:val="21"/>
          <w:szCs w:val="21"/>
          <w:highlight w:val="none"/>
        </w:rPr>
      </w:pPr>
      <w:r>
        <w:rPr>
          <w:rFonts w:hint="eastAsia" w:cs="宋体"/>
          <w:bCs/>
          <w:color w:val="auto"/>
          <w:sz w:val="21"/>
          <w:szCs w:val="21"/>
          <w:highlight w:val="none"/>
        </w:rPr>
        <w:t>13.1 分部分项工程验收</w:t>
      </w:r>
    </w:p>
    <w:p w14:paraId="5315973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13.1.2 监理人不能按时进行验收时，应提前</w:t>
      </w:r>
      <w:r>
        <w:rPr>
          <w:rFonts w:hint="eastAsia" w:cs="宋体"/>
          <w:color w:val="auto"/>
          <w:sz w:val="21"/>
          <w:szCs w:val="21"/>
          <w:highlight w:val="none"/>
          <w:u w:val="single"/>
        </w:rPr>
        <w:t>24</w:t>
      </w:r>
      <w:r>
        <w:rPr>
          <w:rFonts w:hint="eastAsia" w:cs="宋体"/>
          <w:color w:val="auto"/>
          <w:sz w:val="21"/>
          <w:szCs w:val="21"/>
          <w:highlight w:val="none"/>
        </w:rPr>
        <w:t>小时提交书面延期要求。</w:t>
      </w:r>
    </w:p>
    <w:p w14:paraId="788CF365">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关于延期最长不得超过：</w:t>
      </w:r>
      <w:r>
        <w:rPr>
          <w:rFonts w:hint="eastAsia" w:cs="宋体"/>
          <w:color w:val="auto"/>
          <w:sz w:val="21"/>
          <w:szCs w:val="21"/>
          <w:highlight w:val="none"/>
          <w:u w:val="single"/>
        </w:rPr>
        <w:t>48</w:t>
      </w:r>
      <w:r>
        <w:rPr>
          <w:rFonts w:hint="eastAsia" w:cs="宋体"/>
          <w:color w:val="auto"/>
          <w:sz w:val="21"/>
          <w:szCs w:val="21"/>
          <w:highlight w:val="none"/>
        </w:rPr>
        <w:t>小时。</w:t>
      </w:r>
    </w:p>
    <w:p w14:paraId="02818CF6">
      <w:pPr>
        <w:keepNext/>
        <w:keepLines/>
        <w:snapToGrid w:val="0"/>
        <w:spacing w:before="120" w:after="120" w:line="360" w:lineRule="auto"/>
        <w:ind w:firstLine="420" w:firstLineChars="200"/>
        <w:outlineLvl w:val="3"/>
        <w:rPr>
          <w:rFonts w:cs="宋体"/>
          <w:bCs/>
          <w:color w:val="auto"/>
          <w:sz w:val="21"/>
          <w:szCs w:val="21"/>
          <w:highlight w:val="none"/>
        </w:rPr>
      </w:pPr>
      <w:bookmarkStart w:id="532" w:name="_Toc296891051"/>
      <w:bookmarkStart w:id="533" w:name="_Toc300935016"/>
      <w:bookmarkStart w:id="534" w:name="_Toc297048409"/>
      <w:bookmarkStart w:id="535" w:name="_Toc304295596"/>
      <w:bookmarkStart w:id="536" w:name="_Toc296944562"/>
      <w:bookmarkStart w:id="537" w:name="_Toc296347222"/>
      <w:bookmarkStart w:id="538" w:name="_Toc312678056"/>
      <w:bookmarkStart w:id="539" w:name="_Toc297120523"/>
      <w:bookmarkStart w:id="540" w:name="_Toc297216224"/>
      <w:bookmarkStart w:id="541" w:name="_Toc292559933"/>
      <w:bookmarkStart w:id="542" w:name="_Toc296503223"/>
      <w:bookmarkStart w:id="543" w:name="_Toc296891263"/>
      <w:bookmarkStart w:id="544" w:name="_Toc292559428"/>
      <w:bookmarkStart w:id="545" w:name="_Toc296346724"/>
      <w:bookmarkStart w:id="546" w:name="_Toc297123565"/>
      <w:bookmarkStart w:id="547" w:name="_Toc303539173"/>
      <w:bookmarkStart w:id="548" w:name="_Toc267251471"/>
      <w:bookmarkStart w:id="549" w:name="_Toc267251472"/>
      <w:bookmarkStart w:id="550" w:name="_Toc267251474"/>
      <w:bookmarkStart w:id="551" w:name="_Toc267251473"/>
      <w:bookmarkStart w:id="552" w:name="_Toc267251476"/>
      <w:bookmarkStart w:id="553" w:name="_Toc267251470"/>
      <w:bookmarkStart w:id="554" w:name="_Toc267251475"/>
      <w:r>
        <w:rPr>
          <w:rFonts w:hint="eastAsia" w:cs="宋体"/>
          <w:bCs/>
          <w:color w:val="auto"/>
          <w:sz w:val="21"/>
          <w:szCs w:val="21"/>
          <w:highlight w:val="none"/>
        </w:rPr>
        <w:t>13.2 竣工验收</w:t>
      </w:r>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14:paraId="6D1908BF">
      <w:pPr>
        <w:adjustRightInd w:val="0"/>
        <w:snapToGrid w:val="0"/>
        <w:spacing w:line="360" w:lineRule="auto"/>
        <w:ind w:firstLine="420" w:firstLineChars="200"/>
        <w:rPr>
          <w:rFonts w:cs="宋体"/>
          <w:color w:val="auto"/>
          <w:sz w:val="21"/>
          <w:szCs w:val="21"/>
          <w:highlight w:val="none"/>
        </w:rPr>
      </w:pPr>
      <w:bookmarkStart w:id="555" w:name="_Toc280868704"/>
      <w:bookmarkStart w:id="556" w:name="_Toc280868705"/>
      <w:bookmarkStart w:id="557" w:name="_Toc280868706"/>
      <w:bookmarkStart w:id="558" w:name="_Toc280868707"/>
      <w:bookmarkStart w:id="559" w:name="_Toc280868708"/>
      <w:bookmarkStart w:id="560" w:name="_Toc280868709"/>
      <w:r>
        <w:rPr>
          <w:rFonts w:hint="eastAsia" w:cs="宋体"/>
          <w:color w:val="auto"/>
          <w:sz w:val="21"/>
          <w:szCs w:val="21"/>
          <w:highlight w:val="none"/>
        </w:rPr>
        <w:t>13.2.2 竣工验收程序</w:t>
      </w:r>
    </w:p>
    <w:bookmarkEnd w:id="555"/>
    <w:p w14:paraId="5DA70CED">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关于竣工验收程序的约定：</w:t>
      </w:r>
      <w:r>
        <w:rPr>
          <w:rFonts w:hint="eastAsia" w:cs="宋体"/>
          <w:color w:val="auto"/>
          <w:sz w:val="21"/>
          <w:szCs w:val="21"/>
          <w:highlight w:val="none"/>
          <w:u w:val="single"/>
        </w:rPr>
        <w:t>执行通用条款</w:t>
      </w:r>
      <w:r>
        <w:rPr>
          <w:rFonts w:hint="eastAsia" w:cs="宋体"/>
          <w:color w:val="auto"/>
          <w:sz w:val="21"/>
          <w:szCs w:val="21"/>
          <w:highlight w:val="none"/>
        </w:rPr>
        <w:t>。</w:t>
      </w:r>
    </w:p>
    <w:p w14:paraId="65983F62">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发包人不按照本项约定组织竣工验收、颁发工程接收证书的违约金的计算方法：</w:t>
      </w:r>
      <w:r>
        <w:rPr>
          <w:rFonts w:hint="eastAsia" w:cs="宋体"/>
          <w:color w:val="auto"/>
          <w:sz w:val="21"/>
          <w:szCs w:val="21"/>
          <w:highlight w:val="none"/>
          <w:u w:val="single"/>
        </w:rPr>
        <w:t>执行通用条款</w:t>
      </w:r>
      <w:r>
        <w:rPr>
          <w:rFonts w:hint="eastAsia" w:cs="宋体"/>
          <w:color w:val="auto"/>
          <w:sz w:val="21"/>
          <w:szCs w:val="21"/>
          <w:highlight w:val="none"/>
        </w:rPr>
        <w:t>。</w:t>
      </w:r>
    </w:p>
    <w:bookmarkEnd w:id="556"/>
    <w:p w14:paraId="76E92B7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13.2.5 移交、接收全部与部分工程</w:t>
      </w:r>
    </w:p>
    <w:bookmarkEnd w:id="557"/>
    <w:p w14:paraId="77CBEBC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承包人向发包人移交工程的期限：</w:t>
      </w:r>
      <w:r>
        <w:rPr>
          <w:rFonts w:hint="eastAsia" w:cs="宋体"/>
          <w:color w:val="auto"/>
          <w:sz w:val="21"/>
          <w:szCs w:val="21"/>
          <w:highlight w:val="none"/>
          <w:u w:val="single"/>
        </w:rPr>
        <w:t>颁发工程接收证书后7天内完成工程的移交</w:t>
      </w:r>
      <w:r>
        <w:rPr>
          <w:rFonts w:hint="eastAsia" w:cs="宋体"/>
          <w:color w:val="auto"/>
          <w:sz w:val="21"/>
          <w:szCs w:val="21"/>
          <w:highlight w:val="none"/>
        </w:rPr>
        <w:t>。</w:t>
      </w:r>
    </w:p>
    <w:p w14:paraId="2B0EE1F3">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发包人未按本合同约定接收全部或部分工程的，违约金的计算方法为：</w:t>
      </w:r>
      <w:r>
        <w:rPr>
          <w:rFonts w:hint="eastAsia" w:cs="宋体"/>
          <w:color w:val="auto"/>
          <w:sz w:val="21"/>
          <w:szCs w:val="21"/>
          <w:highlight w:val="none"/>
          <w:u w:val="single"/>
        </w:rPr>
        <w:t>发包人自应当接收工程之日起，承担工程照管、成品保护、保管等与工程有关的各项费用</w:t>
      </w:r>
      <w:r>
        <w:rPr>
          <w:rFonts w:hint="eastAsia" w:cs="宋体"/>
          <w:color w:val="auto"/>
          <w:sz w:val="21"/>
          <w:szCs w:val="21"/>
          <w:highlight w:val="none"/>
        </w:rPr>
        <w:t>。</w:t>
      </w:r>
    </w:p>
    <w:bookmarkEnd w:id="558"/>
    <w:p w14:paraId="45A7C624">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承包人未按时移交工程的，违约金的计算方法为：</w:t>
      </w:r>
      <w:r>
        <w:rPr>
          <w:rFonts w:hint="eastAsia" w:cs="宋体"/>
          <w:color w:val="auto"/>
          <w:sz w:val="21"/>
          <w:szCs w:val="21"/>
          <w:highlight w:val="none"/>
          <w:u w:val="single"/>
        </w:rPr>
        <w:t>承包人应承担工程照管、成品保护、保管等与工程有关的各项费用</w:t>
      </w:r>
      <w:r>
        <w:rPr>
          <w:rFonts w:hint="eastAsia" w:cs="宋体"/>
          <w:color w:val="auto"/>
          <w:sz w:val="21"/>
          <w:szCs w:val="21"/>
          <w:highlight w:val="none"/>
        </w:rPr>
        <w:t>。</w:t>
      </w:r>
    </w:p>
    <w:p w14:paraId="4F5B397C">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13.3 工程试车</w:t>
      </w:r>
    </w:p>
    <w:bookmarkEnd w:id="559"/>
    <w:p w14:paraId="72E1C48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13.3.1 试车程序</w:t>
      </w:r>
    </w:p>
    <w:p w14:paraId="68C2508D">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工程试车内容：</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6E15A1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（1）单机无负荷试车费用由</w:t>
      </w:r>
      <w:r>
        <w:rPr>
          <w:rFonts w:hint="eastAsia" w:cs="宋体"/>
          <w:color w:val="auto"/>
          <w:sz w:val="21"/>
          <w:szCs w:val="21"/>
          <w:highlight w:val="none"/>
          <w:u w:val="single"/>
        </w:rPr>
        <w:t>试车消耗的生产性原材料由发包人承担；试车其他费用（包括试车所需水电油等费用）由承包人在投标报价中综合考虑并</w:t>
      </w:r>
      <w:r>
        <w:rPr>
          <w:rFonts w:hint="eastAsia" w:cs="宋体"/>
          <w:color w:val="auto"/>
          <w:sz w:val="21"/>
          <w:szCs w:val="21"/>
          <w:highlight w:val="none"/>
        </w:rPr>
        <w:t>承担；</w:t>
      </w:r>
    </w:p>
    <w:p w14:paraId="1F72D50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（2）无负荷联动试车费用由</w:t>
      </w:r>
      <w:r>
        <w:rPr>
          <w:rFonts w:hint="eastAsia" w:cs="宋体"/>
          <w:color w:val="auto"/>
          <w:sz w:val="21"/>
          <w:szCs w:val="21"/>
          <w:highlight w:val="none"/>
          <w:u w:val="single"/>
        </w:rPr>
        <w:t>试车消耗的生产性原材料由发包人承担；试车其他费用（包括试车所需水电油等费用）由承包人在投标报价中综合考虑并</w:t>
      </w:r>
      <w:r>
        <w:rPr>
          <w:rFonts w:hint="eastAsia" w:cs="宋体"/>
          <w:color w:val="auto"/>
          <w:sz w:val="21"/>
          <w:szCs w:val="21"/>
          <w:highlight w:val="none"/>
        </w:rPr>
        <w:t>承担。</w:t>
      </w:r>
    </w:p>
    <w:p w14:paraId="78EB62D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13.3.3 投料试车</w:t>
      </w:r>
    </w:p>
    <w:p w14:paraId="6879FA96">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关于投料试车相关事项的约定：</w:t>
      </w:r>
      <w:r>
        <w:rPr>
          <w:rFonts w:hint="eastAsia" w:cs="宋体"/>
          <w:color w:val="auto"/>
          <w:sz w:val="21"/>
          <w:szCs w:val="21"/>
          <w:highlight w:val="none"/>
          <w:u w:val="single"/>
        </w:rPr>
        <w:t>执行通用条款</w:t>
      </w:r>
      <w:r>
        <w:rPr>
          <w:rFonts w:hint="eastAsia" w:cs="宋体"/>
          <w:color w:val="auto"/>
          <w:sz w:val="21"/>
          <w:szCs w:val="21"/>
          <w:highlight w:val="none"/>
        </w:rPr>
        <w:t>。</w:t>
      </w:r>
    </w:p>
    <w:p w14:paraId="26F226F6">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13.6 竣工退场</w:t>
      </w:r>
    </w:p>
    <w:p w14:paraId="3DEA0AA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13.6.1 竣工退场</w:t>
      </w:r>
    </w:p>
    <w:p w14:paraId="295EB43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承包人完成竣工退场的期限：</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8A57BA1">
      <w:pPr>
        <w:snapToGrid w:val="0"/>
        <w:spacing w:before="312" w:beforeLines="100" w:after="312" w:afterLines="100" w:line="360" w:lineRule="auto"/>
        <w:outlineLvl w:val="2"/>
        <w:rPr>
          <w:rFonts w:cs="宋体"/>
          <w:color w:val="auto"/>
          <w:sz w:val="21"/>
          <w:szCs w:val="21"/>
          <w:highlight w:val="none"/>
        </w:rPr>
      </w:pPr>
      <w:bookmarkStart w:id="561" w:name="_Toc351203646"/>
      <w:r>
        <w:rPr>
          <w:rFonts w:hint="eastAsia" w:cs="宋体"/>
          <w:color w:val="auto"/>
          <w:sz w:val="21"/>
          <w:szCs w:val="21"/>
          <w:highlight w:val="none"/>
        </w:rPr>
        <w:t>14. 竣工结算</w:t>
      </w:r>
      <w:bookmarkEnd w:id="561"/>
    </w:p>
    <w:p w14:paraId="7A311850">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14.1 竣工结算申请</w:t>
      </w:r>
    </w:p>
    <w:p w14:paraId="3C4A761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承包人提交竣工结算申请单的期限：</w:t>
      </w:r>
      <w:r>
        <w:rPr>
          <w:rFonts w:hint="eastAsia" w:cs="宋体"/>
          <w:color w:val="auto"/>
          <w:sz w:val="21"/>
          <w:szCs w:val="21"/>
          <w:highlight w:val="none"/>
          <w:u w:val="single"/>
        </w:rPr>
        <w:t>承包人应在工程竣工验收合格后28天内</w:t>
      </w:r>
      <w:r>
        <w:rPr>
          <w:rFonts w:hint="eastAsia" w:cs="宋体"/>
          <w:color w:val="auto"/>
          <w:sz w:val="21"/>
          <w:szCs w:val="21"/>
          <w:highlight w:val="none"/>
        </w:rPr>
        <w:t>。</w:t>
      </w:r>
    </w:p>
    <w:p w14:paraId="77EA4BA0">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竣工结算申请单应包括的内容：</w:t>
      </w:r>
      <w:r>
        <w:rPr>
          <w:rFonts w:hint="eastAsia" w:cs="宋体"/>
          <w:color w:val="auto"/>
          <w:sz w:val="21"/>
          <w:szCs w:val="21"/>
          <w:highlight w:val="none"/>
          <w:u w:val="single"/>
        </w:rPr>
        <w:t>执行通用条款</w:t>
      </w:r>
      <w:r>
        <w:rPr>
          <w:rFonts w:hint="eastAsia" w:cs="宋体"/>
          <w:color w:val="auto"/>
          <w:sz w:val="21"/>
          <w:szCs w:val="21"/>
          <w:highlight w:val="none"/>
        </w:rPr>
        <w:t>。</w:t>
      </w:r>
    </w:p>
    <w:p w14:paraId="1EDE40A5">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14.2 竣工结算审核</w:t>
      </w:r>
    </w:p>
    <w:p w14:paraId="491713F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发包人审批竣工付款申请单的期限：</w:t>
      </w:r>
      <w:r>
        <w:rPr>
          <w:rFonts w:hint="eastAsia" w:cs="宋体"/>
          <w:color w:val="auto"/>
          <w:sz w:val="21"/>
          <w:szCs w:val="21"/>
          <w:highlight w:val="none"/>
          <w:u w:val="single"/>
        </w:rPr>
        <w:t>发包人应在收到监理人提交的经审核的竣工结算申请单后14天内完成审批</w:t>
      </w:r>
      <w:r>
        <w:rPr>
          <w:rFonts w:hint="eastAsia" w:cs="宋体"/>
          <w:color w:val="auto"/>
          <w:sz w:val="21"/>
          <w:szCs w:val="21"/>
          <w:highlight w:val="none"/>
        </w:rPr>
        <w:t>。</w:t>
      </w:r>
    </w:p>
    <w:p w14:paraId="481EAAD8">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发包人完成竣工付款的期限：</w:t>
      </w:r>
      <w:r>
        <w:rPr>
          <w:rFonts w:hint="eastAsia" w:cs="宋体"/>
          <w:color w:val="auto"/>
          <w:sz w:val="21"/>
          <w:szCs w:val="21"/>
          <w:highlight w:val="none"/>
          <w:u w:val="single"/>
        </w:rPr>
        <w:t>发包人应在签发竣工付款证书后的14 天内，完成对承包人的竣工付款</w:t>
      </w:r>
      <w:r>
        <w:rPr>
          <w:rFonts w:hint="eastAsia" w:cs="宋体"/>
          <w:color w:val="auto"/>
          <w:sz w:val="21"/>
          <w:szCs w:val="21"/>
          <w:highlight w:val="none"/>
        </w:rPr>
        <w:t>。</w:t>
      </w:r>
    </w:p>
    <w:p w14:paraId="1C62611D">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关于竣工付款证书异议部分复核的方式和程序：</w:t>
      </w:r>
      <w:r>
        <w:rPr>
          <w:rFonts w:hint="eastAsia" w:cs="宋体"/>
          <w:color w:val="auto"/>
          <w:sz w:val="21"/>
          <w:szCs w:val="21"/>
          <w:highlight w:val="none"/>
          <w:u w:val="single"/>
        </w:rPr>
        <w:t>执行通用条款</w:t>
      </w:r>
      <w:r>
        <w:rPr>
          <w:rFonts w:hint="eastAsia" w:cs="宋体"/>
          <w:color w:val="auto"/>
          <w:sz w:val="21"/>
          <w:szCs w:val="21"/>
          <w:highlight w:val="none"/>
        </w:rPr>
        <w:t>。</w:t>
      </w:r>
    </w:p>
    <w:p w14:paraId="65CFCEA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14.4 最终结清</w:t>
      </w:r>
    </w:p>
    <w:p w14:paraId="13EF510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14.4.1 最终结清申请单</w:t>
      </w:r>
    </w:p>
    <w:p w14:paraId="040B2CA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承包人提交最终结清申请单的份数：</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AC4A11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承包人提交最终结算申请单的期限：</w:t>
      </w:r>
      <w:r>
        <w:rPr>
          <w:rFonts w:hint="eastAsia" w:cs="宋体"/>
          <w:color w:val="auto"/>
          <w:sz w:val="21"/>
          <w:szCs w:val="21"/>
          <w:highlight w:val="none"/>
          <w:u w:val="single"/>
        </w:rPr>
        <w:t>缺陷责任期终止证书颁发后7天内</w:t>
      </w:r>
      <w:r>
        <w:rPr>
          <w:rFonts w:hint="eastAsia" w:cs="宋体"/>
          <w:color w:val="auto"/>
          <w:sz w:val="21"/>
          <w:szCs w:val="21"/>
          <w:highlight w:val="none"/>
        </w:rPr>
        <w:t xml:space="preserve">。 </w:t>
      </w:r>
    </w:p>
    <w:p w14:paraId="49A0803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14.4.2 最终结清证书和支付</w:t>
      </w:r>
    </w:p>
    <w:p w14:paraId="59166A4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（1）发包人完成最终结清申请单的审批并颁发最终结清证书的期限：</w:t>
      </w:r>
      <w:r>
        <w:rPr>
          <w:rFonts w:hint="eastAsia" w:cs="宋体"/>
          <w:color w:val="auto"/>
          <w:sz w:val="21"/>
          <w:szCs w:val="21"/>
          <w:highlight w:val="none"/>
          <w:u w:val="single"/>
        </w:rPr>
        <w:t>收到承包人提交的最终结清申请单后14天内</w:t>
      </w:r>
      <w:r>
        <w:rPr>
          <w:rFonts w:hint="eastAsia" w:cs="宋体"/>
          <w:color w:val="auto"/>
          <w:sz w:val="21"/>
          <w:szCs w:val="21"/>
          <w:highlight w:val="none"/>
        </w:rPr>
        <w:t>。</w:t>
      </w:r>
    </w:p>
    <w:p w14:paraId="705C952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（2）发包人完成支付的期限：</w:t>
      </w:r>
      <w:r>
        <w:rPr>
          <w:rFonts w:hint="eastAsia" w:cs="宋体"/>
          <w:color w:val="auto"/>
          <w:sz w:val="21"/>
          <w:szCs w:val="21"/>
          <w:highlight w:val="none"/>
          <w:u w:val="single"/>
        </w:rPr>
        <w:t>颁发最终结清证书后7天内完成支付</w:t>
      </w:r>
      <w:r>
        <w:rPr>
          <w:rFonts w:hint="eastAsia" w:cs="宋体"/>
          <w:color w:val="auto"/>
          <w:sz w:val="21"/>
          <w:szCs w:val="21"/>
          <w:highlight w:val="none"/>
        </w:rPr>
        <w:t>。</w:t>
      </w:r>
    </w:p>
    <w:bookmarkEnd w:id="548"/>
    <w:bookmarkEnd w:id="549"/>
    <w:bookmarkEnd w:id="550"/>
    <w:bookmarkEnd w:id="551"/>
    <w:bookmarkEnd w:id="552"/>
    <w:bookmarkEnd w:id="553"/>
    <w:bookmarkEnd w:id="554"/>
    <w:bookmarkEnd w:id="560"/>
    <w:p w14:paraId="23DB3003">
      <w:pPr>
        <w:snapToGrid w:val="0"/>
        <w:spacing w:before="312" w:beforeLines="100" w:after="312" w:afterLines="100" w:line="360" w:lineRule="auto"/>
        <w:outlineLvl w:val="2"/>
        <w:rPr>
          <w:rFonts w:cs="宋体"/>
          <w:color w:val="auto"/>
          <w:sz w:val="21"/>
          <w:szCs w:val="21"/>
          <w:highlight w:val="none"/>
        </w:rPr>
      </w:pPr>
      <w:bookmarkStart w:id="562" w:name="_Toc351203647"/>
      <w:bookmarkStart w:id="563" w:name="_Toc267251483"/>
      <w:bookmarkStart w:id="564" w:name="_Toc267251484"/>
      <w:bookmarkStart w:id="565" w:name="_Toc267251482"/>
      <w:bookmarkStart w:id="566" w:name="_Toc267251485"/>
      <w:bookmarkStart w:id="567" w:name="_Toc267251490"/>
      <w:bookmarkStart w:id="568" w:name="_Toc267251489"/>
      <w:bookmarkStart w:id="569" w:name="_Toc267251488"/>
      <w:bookmarkStart w:id="570" w:name="_Toc267251486"/>
      <w:bookmarkStart w:id="571" w:name="_Toc267251499"/>
      <w:bookmarkStart w:id="572" w:name="_Toc267251498"/>
      <w:bookmarkStart w:id="573" w:name="_Toc267251496"/>
      <w:bookmarkStart w:id="574" w:name="_Toc267251495"/>
      <w:bookmarkStart w:id="575" w:name="_Toc267251492"/>
      <w:bookmarkStart w:id="576" w:name="_Toc267251497"/>
      <w:bookmarkStart w:id="577" w:name="_Toc267251502"/>
      <w:bookmarkStart w:id="578" w:name="_Toc267251494"/>
      <w:bookmarkStart w:id="579" w:name="_Toc267251503"/>
      <w:bookmarkStart w:id="580" w:name="_Toc267251493"/>
      <w:bookmarkStart w:id="581" w:name="_Toc267251501"/>
      <w:bookmarkStart w:id="582" w:name="_Toc267251491"/>
      <w:bookmarkStart w:id="583" w:name="_Toc267251506"/>
      <w:bookmarkStart w:id="584" w:name="_Toc267251504"/>
      <w:bookmarkStart w:id="585" w:name="_Toc267251507"/>
      <w:bookmarkStart w:id="586" w:name="_Toc267251508"/>
      <w:bookmarkStart w:id="587" w:name="_Toc267251510"/>
      <w:bookmarkStart w:id="588" w:name="_Toc267251511"/>
      <w:bookmarkStart w:id="589" w:name="_Toc267251514"/>
      <w:bookmarkStart w:id="590" w:name="_Toc267251513"/>
      <w:bookmarkStart w:id="591" w:name="_Toc267251509"/>
      <w:bookmarkStart w:id="592" w:name="_Toc267251515"/>
      <w:r>
        <w:rPr>
          <w:rFonts w:hint="eastAsia" w:cs="宋体"/>
          <w:color w:val="auto"/>
          <w:sz w:val="21"/>
          <w:szCs w:val="21"/>
          <w:highlight w:val="none"/>
        </w:rPr>
        <w:t>15. 缺陷责任期与保修</w:t>
      </w:r>
      <w:bookmarkEnd w:id="562"/>
    </w:p>
    <w:p w14:paraId="6D8444F6">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15.2 缺陷责任期</w:t>
      </w:r>
      <w:bookmarkEnd w:id="563"/>
    </w:p>
    <w:p w14:paraId="51A77379">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缺陷责任期的具体期限：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14CCE34">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15.3 质量保证金</w:t>
      </w:r>
    </w:p>
    <w:p w14:paraId="5F0E480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关于是否扣留质量保证金的约定：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是</w:t>
      </w:r>
      <w:r>
        <w:rPr>
          <w:rFonts w:hint="eastAsia" w:cs="宋体"/>
          <w:color w:val="auto"/>
          <w:sz w:val="21"/>
          <w:szCs w:val="21"/>
          <w:highlight w:val="none"/>
          <w:u w:val="single"/>
        </w:rPr>
        <w:t xml:space="preserve">  </w:t>
      </w:r>
      <w:r>
        <w:rPr>
          <w:rFonts w:hint="eastAsia" w:cs="宋体"/>
          <w:color w:val="auto"/>
          <w:sz w:val="21"/>
          <w:szCs w:val="21"/>
          <w:highlight w:val="none"/>
        </w:rPr>
        <w:t>。在工程项目竣工前，承包人按专用合同条款第3.7款提供履约保证金的，发包人不得同时预留工程质量保证金。</w:t>
      </w:r>
    </w:p>
    <w:p w14:paraId="1B2CC39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15.3.1 承包人提供质量保证金的方式</w:t>
      </w:r>
    </w:p>
    <w:p w14:paraId="4B17197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质量保证金可采用以下任意一种方式：</w:t>
      </w:r>
    </w:p>
    <w:p w14:paraId="69C5B9E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（1）由银行业金融机构、工程担保公司、保险机构出具银行保函、工程质量保险等担保方式，担保/保证金额为：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9A07D5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AD9BBB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（3）其他方式：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246345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15.3.2 质量保证金的扣留 </w:t>
      </w:r>
    </w:p>
    <w:p w14:paraId="2648579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质量保证金的扣留采取以下第</w:t>
      </w:r>
      <w:r>
        <w:rPr>
          <w:rFonts w:hint="eastAsia" w:cs="宋体"/>
          <w:color w:val="auto"/>
          <w:sz w:val="21"/>
          <w:szCs w:val="21"/>
          <w:highlight w:val="none"/>
          <w:u w:val="single"/>
        </w:rPr>
        <w:t xml:space="preserve">   </w:t>
      </w:r>
      <w:r>
        <w:rPr>
          <w:rFonts w:hint="eastAsia" w:cs="宋体"/>
          <w:color w:val="auto"/>
          <w:sz w:val="21"/>
          <w:szCs w:val="21"/>
          <w:highlight w:val="none"/>
        </w:rPr>
        <w:t>种方式：</w:t>
      </w:r>
    </w:p>
    <w:p w14:paraId="3B7E256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（1）在支付工程进度款时逐次扣留，在此情形下，质量保证金的计算基数不包括预付款的支付、扣回以及价格调整的金额；</w:t>
      </w:r>
    </w:p>
    <w:p w14:paraId="33C9947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（2）工程竣工结算时一次性扣留质量保证金；</w:t>
      </w:r>
    </w:p>
    <w:p w14:paraId="142E1C6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（3）其他扣留方式：</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7B21D0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关于质量保证金的补充约定：</w:t>
      </w:r>
    </w:p>
    <w:p w14:paraId="6241DE60">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u w:val="single"/>
        </w:rPr>
        <w:t>①在工程项目竣工前，承包人按专用合同条款第3.7款提供履约保证金的，可在工程进入缺陷责任期时按照多退少补原则转为质量保证金；</w:t>
      </w:r>
    </w:p>
    <w:p w14:paraId="1C70DA3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u w:val="single"/>
        </w:rPr>
        <w:t>②质量保证金支持保函（银行保函、担保机构担保、保证保险）使用。采用保函的，保函有效期须与缺陷责任期截止时间保持一致</w:t>
      </w:r>
      <w:r>
        <w:rPr>
          <w:rFonts w:hint="eastAsia" w:cs="宋体"/>
          <w:color w:val="auto"/>
          <w:sz w:val="21"/>
          <w:szCs w:val="21"/>
          <w:highlight w:val="none"/>
        </w:rPr>
        <w:t>。</w:t>
      </w:r>
    </w:p>
    <w:bookmarkEnd w:id="564"/>
    <w:bookmarkEnd w:id="565"/>
    <w:p w14:paraId="761ECA0A">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15.4 保修</w:t>
      </w:r>
    </w:p>
    <w:bookmarkEnd w:id="566"/>
    <w:p w14:paraId="440AB5E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15.4.1 保修责任</w:t>
      </w:r>
    </w:p>
    <w:p w14:paraId="7A703591">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工程保修期为：</w:t>
      </w:r>
      <w:r>
        <w:rPr>
          <w:rFonts w:hint="eastAsia" w:cs="宋体"/>
          <w:color w:val="auto"/>
          <w:sz w:val="21"/>
          <w:szCs w:val="21"/>
          <w:highlight w:val="none"/>
          <w:u w:val="single"/>
        </w:rPr>
        <w:t>执行《工程质量保修书》规定</w:t>
      </w:r>
      <w:r>
        <w:rPr>
          <w:rFonts w:hint="eastAsia" w:cs="宋体"/>
          <w:color w:val="auto"/>
          <w:sz w:val="21"/>
          <w:szCs w:val="21"/>
          <w:highlight w:val="none"/>
        </w:rPr>
        <w:t>。</w:t>
      </w:r>
    </w:p>
    <w:p w14:paraId="0FD7684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15.4.3 修复通知</w:t>
      </w:r>
    </w:p>
    <w:p w14:paraId="4EC06E4A">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承包人收到保修通知并到达工程现场的合理时间：</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567"/>
    <w:bookmarkEnd w:id="568"/>
    <w:bookmarkEnd w:id="569"/>
    <w:bookmarkEnd w:id="570"/>
    <w:p w14:paraId="087F76A8">
      <w:pPr>
        <w:snapToGrid w:val="0"/>
        <w:spacing w:before="312" w:beforeLines="100" w:after="312" w:afterLines="100" w:line="360" w:lineRule="auto"/>
        <w:outlineLvl w:val="2"/>
        <w:rPr>
          <w:rFonts w:cs="宋体"/>
          <w:color w:val="auto"/>
          <w:sz w:val="21"/>
          <w:szCs w:val="21"/>
          <w:highlight w:val="none"/>
        </w:rPr>
      </w:pPr>
      <w:bookmarkStart w:id="593" w:name="_Toc351203648"/>
      <w:bookmarkStart w:id="594" w:name="_Toc280868717"/>
      <w:bookmarkStart w:id="595" w:name="_Toc280868718"/>
      <w:r>
        <w:rPr>
          <w:rFonts w:hint="eastAsia" w:cs="宋体"/>
          <w:color w:val="auto"/>
          <w:sz w:val="21"/>
          <w:szCs w:val="21"/>
          <w:highlight w:val="none"/>
        </w:rPr>
        <w:t>16. 违约</w:t>
      </w:r>
      <w:bookmarkEnd w:id="593"/>
    </w:p>
    <w:p w14:paraId="57CB9352">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16.1 发包人违约</w:t>
      </w:r>
    </w:p>
    <w:p w14:paraId="35BD7A3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16.1.1 发包人违约的情形</w:t>
      </w:r>
    </w:p>
    <w:p w14:paraId="3E4809AC">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发包人违约的其他情形：</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560A92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16.1.2 发包人违约的责任</w:t>
      </w:r>
    </w:p>
    <w:p w14:paraId="0CCAF65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发包人违约责任的承担方式和计算方法：</w:t>
      </w:r>
    </w:p>
    <w:p w14:paraId="7133107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（1）因发包人原因未能在计划开工日期前7天内下达开工通知的违约责任：</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793FBBA">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（2）因发包人原因未能按合同约定支付合同价款的违约责任：</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F119B4A">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（3）发包人违反第10.1款〔变更的范围〕第（2）项约定，自行实施被取消的工作或转由他人实施的违约责任：</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05FC63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01B9CAA">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（5）因发包人违反合同约定造成暂停施工的违约责任：</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E802A9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（6）发包人无正当理由没有在约定期限内发出复工指示，导致承包人无法复工的违约责任：</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FE7F6D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（7）其他：</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144C7B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16.1.3 因发包人违约解除合同</w:t>
      </w:r>
    </w:p>
    <w:p w14:paraId="360C096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承包人按16.1.1项〔发包人违约的情形〕约定暂停施工满</w:t>
      </w:r>
      <w:r>
        <w:rPr>
          <w:rFonts w:hint="eastAsia" w:cs="宋体"/>
          <w:color w:val="auto"/>
          <w:sz w:val="21"/>
          <w:szCs w:val="21"/>
          <w:highlight w:val="none"/>
          <w:u w:val="single"/>
        </w:rPr>
        <w:t>28</w:t>
      </w:r>
      <w:r>
        <w:rPr>
          <w:rFonts w:hint="eastAsia" w:cs="宋体"/>
          <w:color w:val="auto"/>
          <w:sz w:val="21"/>
          <w:szCs w:val="21"/>
          <w:highlight w:val="none"/>
        </w:rPr>
        <w:t>天后发包人仍不纠正其违约行为并致使合同目的不能实现的，承包人有权解除合同。</w:t>
      </w:r>
    </w:p>
    <w:p w14:paraId="794F81AE">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16.2 承包人违约</w:t>
      </w:r>
    </w:p>
    <w:p w14:paraId="3037FCB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16.2.1 承包人违约的情形</w:t>
      </w:r>
    </w:p>
    <w:p w14:paraId="12AB58C3">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承包人违约的其他情形：</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4F7BD8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16.2.2 承包人违约的责任</w:t>
      </w:r>
    </w:p>
    <w:p w14:paraId="43C677B7">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承包人违约责任的承担方式和计算方法：</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492BE7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16.2.3 因承包人违约解除合同</w:t>
      </w:r>
    </w:p>
    <w:p w14:paraId="0F70C8DF">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关于承包人违约解除合同的特别约定：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76B2B3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发包人继续使用承包人在施工现场的材料、设备、临时工程、承包人文件和由承包人或以其名义编制的其他文件的费用承担方式：</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6959645">
      <w:pPr>
        <w:snapToGrid w:val="0"/>
        <w:spacing w:before="312" w:beforeLines="100" w:after="312" w:afterLines="100" w:line="360" w:lineRule="auto"/>
        <w:outlineLvl w:val="2"/>
        <w:rPr>
          <w:rFonts w:cs="宋体"/>
          <w:color w:val="auto"/>
          <w:sz w:val="21"/>
          <w:szCs w:val="21"/>
          <w:highlight w:val="none"/>
        </w:rPr>
      </w:pPr>
      <w:bookmarkStart w:id="596" w:name="_Toc351203649"/>
      <w:r>
        <w:rPr>
          <w:rFonts w:hint="eastAsia" w:cs="宋体"/>
          <w:color w:val="auto"/>
          <w:sz w:val="21"/>
          <w:szCs w:val="21"/>
          <w:highlight w:val="none"/>
        </w:rPr>
        <w:t>17. 不可抗力</w:t>
      </w:r>
      <w:bookmarkEnd w:id="596"/>
      <w:r>
        <w:rPr>
          <w:rFonts w:hint="eastAsia" w:cs="宋体"/>
          <w:color w:val="auto"/>
          <w:sz w:val="21"/>
          <w:szCs w:val="21"/>
          <w:highlight w:val="none"/>
        </w:rPr>
        <w:t xml:space="preserve"> </w:t>
      </w:r>
      <w:bookmarkEnd w:id="594"/>
    </w:p>
    <w:p w14:paraId="1FCE025D">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17.1 不可抗力的确认</w:t>
      </w:r>
    </w:p>
    <w:p w14:paraId="4EC5E46C">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除通用合同条款约定的不可抗力事件之外，视为不可抗力的其他情形：</w:t>
      </w:r>
      <w:r>
        <w:rPr>
          <w:rFonts w:hint="eastAsia" w:cs="宋体"/>
          <w:color w:val="auto"/>
          <w:sz w:val="21"/>
          <w:szCs w:val="21"/>
          <w:highlight w:val="none"/>
          <w:u w:val="single"/>
        </w:rPr>
        <w:t>执行通用条款</w:t>
      </w:r>
      <w:r>
        <w:rPr>
          <w:rFonts w:hint="eastAsia" w:cs="宋体"/>
          <w:color w:val="auto"/>
          <w:sz w:val="21"/>
          <w:szCs w:val="21"/>
          <w:highlight w:val="none"/>
        </w:rPr>
        <w:t>。</w:t>
      </w:r>
    </w:p>
    <w:p w14:paraId="1ABD4885">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17.4 因不可抗力解除合同</w:t>
      </w:r>
    </w:p>
    <w:p w14:paraId="2D5AF72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合同解除后，发包人应在商定或确定发包人应支付款项后</w:t>
      </w:r>
      <w:r>
        <w:rPr>
          <w:rFonts w:hint="eastAsia" w:cs="宋体"/>
          <w:color w:val="auto"/>
          <w:sz w:val="21"/>
          <w:szCs w:val="21"/>
          <w:highlight w:val="none"/>
          <w:u w:val="single"/>
        </w:rPr>
        <w:t>28</w:t>
      </w:r>
      <w:r>
        <w:rPr>
          <w:rFonts w:hint="eastAsia" w:cs="宋体"/>
          <w:color w:val="auto"/>
          <w:sz w:val="21"/>
          <w:szCs w:val="21"/>
          <w:highlight w:val="none"/>
        </w:rPr>
        <w:t>天内完成款项的支付。</w:t>
      </w:r>
    </w:p>
    <w:p w14:paraId="766D1D72">
      <w:pPr>
        <w:snapToGrid w:val="0"/>
        <w:spacing w:before="312" w:beforeLines="100" w:after="312" w:afterLines="100" w:line="360" w:lineRule="auto"/>
        <w:outlineLvl w:val="2"/>
        <w:rPr>
          <w:rFonts w:cs="宋体"/>
          <w:color w:val="auto"/>
          <w:sz w:val="21"/>
          <w:szCs w:val="21"/>
          <w:highlight w:val="none"/>
        </w:rPr>
      </w:pPr>
      <w:bookmarkStart w:id="597" w:name="_Toc351203650"/>
      <w:r>
        <w:rPr>
          <w:rFonts w:hint="eastAsia" w:cs="宋体"/>
          <w:color w:val="auto"/>
          <w:sz w:val="21"/>
          <w:szCs w:val="21"/>
          <w:highlight w:val="none"/>
        </w:rPr>
        <w:t>18. 保险</w:t>
      </w:r>
      <w:bookmarkEnd w:id="597"/>
    </w:p>
    <w:bookmarkEnd w:id="595"/>
    <w:p w14:paraId="763BA267">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18.1 工程保险</w:t>
      </w:r>
    </w:p>
    <w:p w14:paraId="34BBB15E">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关于工程保险的特别约定：</w:t>
      </w:r>
      <w:r>
        <w:rPr>
          <w:rFonts w:hint="eastAsia" w:cs="宋体"/>
          <w:b/>
          <w:color w:val="auto"/>
          <w:sz w:val="21"/>
          <w:szCs w:val="21"/>
          <w:highlight w:val="none"/>
          <w:u w:val="single"/>
        </w:rPr>
        <w:t xml:space="preserve">        </w:t>
      </w:r>
      <w:r>
        <w:rPr>
          <w:rFonts w:hint="eastAsia" w:cs="宋体"/>
          <w:b/>
          <w:color w:val="auto"/>
          <w:sz w:val="21"/>
          <w:szCs w:val="21"/>
          <w:highlight w:val="none"/>
        </w:rPr>
        <w:t>。</w:t>
      </w:r>
    </w:p>
    <w:p w14:paraId="7603C75F">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18.3 其他保险</w:t>
      </w:r>
    </w:p>
    <w:p w14:paraId="665C5DE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关于其他保险的约定：</w:t>
      </w:r>
      <w:r>
        <w:rPr>
          <w:rFonts w:hint="eastAsia" w:cs="宋体"/>
          <w:color w:val="auto"/>
          <w:sz w:val="21"/>
          <w:szCs w:val="21"/>
          <w:highlight w:val="none"/>
          <w:u w:val="single"/>
        </w:rPr>
        <w:t>承包人须为其施工现场的全部人员办理意外伤害保险并支付保险费，包括其员工及为履行合同聘请的第三方的人员</w:t>
      </w:r>
      <w:r>
        <w:rPr>
          <w:rFonts w:hint="eastAsia" w:cs="宋体"/>
          <w:color w:val="auto"/>
          <w:sz w:val="21"/>
          <w:szCs w:val="21"/>
          <w:highlight w:val="none"/>
        </w:rPr>
        <w:t>。</w:t>
      </w:r>
    </w:p>
    <w:p w14:paraId="5BB911AA">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承包人是否应为其施工设备等办理财产保险：</w:t>
      </w:r>
      <w:r>
        <w:rPr>
          <w:rFonts w:hint="eastAsia" w:cs="宋体"/>
          <w:color w:val="auto"/>
          <w:sz w:val="21"/>
          <w:szCs w:val="21"/>
          <w:highlight w:val="none"/>
          <w:u w:val="single"/>
        </w:rPr>
        <w:t>执行通用条款</w:t>
      </w:r>
      <w:r>
        <w:rPr>
          <w:rFonts w:hint="eastAsia" w:cs="宋体"/>
          <w:color w:val="auto"/>
          <w:sz w:val="21"/>
          <w:szCs w:val="21"/>
          <w:highlight w:val="none"/>
        </w:rPr>
        <w:t>。</w:t>
      </w:r>
    </w:p>
    <w:p w14:paraId="19D978B6">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18.7 通知义务</w:t>
      </w:r>
    </w:p>
    <w:p w14:paraId="0C9865BB">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关于变更保险合同时的通知义务的约定：</w:t>
      </w:r>
      <w:r>
        <w:rPr>
          <w:rFonts w:hint="eastAsia" w:cs="宋体"/>
          <w:color w:val="auto"/>
          <w:sz w:val="21"/>
          <w:szCs w:val="21"/>
          <w:highlight w:val="none"/>
          <w:u w:val="single"/>
        </w:rPr>
        <w:t>执行通用条款</w:t>
      </w:r>
      <w:r>
        <w:rPr>
          <w:rFonts w:hint="eastAsia" w:cs="宋体"/>
          <w:color w:val="auto"/>
          <w:sz w:val="21"/>
          <w:szCs w:val="21"/>
          <w:highlight w:val="none"/>
        </w:rPr>
        <w:t>。</w:t>
      </w:r>
    </w:p>
    <w:bookmarkEnd w:id="571"/>
    <w:bookmarkEnd w:id="572"/>
    <w:bookmarkEnd w:id="573"/>
    <w:bookmarkEnd w:id="574"/>
    <w:bookmarkEnd w:id="575"/>
    <w:bookmarkEnd w:id="576"/>
    <w:bookmarkEnd w:id="577"/>
    <w:bookmarkEnd w:id="578"/>
    <w:bookmarkEnd w:id="579"/>
    <w:bookmarkEnd w:id="580"/>
    <w:bookmarkEnd w:id="581"/>
    <w:bookmarkEnd w:id="582"/>
    <w:p w14:paraId="6308008E">
      <w:pPr>
        <w:snapToGrid w:val="0"/>
        <w:spacing w:before="312" w:beforeLines="100" w:after="312" w:afterLines="100" w:line="360" w:lineRule="auto"/>
        <w:outlineLvl w:val="2"/>
        <w:rPr>
          <w:rFonts w:cs="宋体"/>
          <w:color w:val="auto"/>
          <w:sz w:val="21"/>
          <w:szCs w:val="21"/>
          <w:highlight w:val="none"/>
        </w:rPr>
      </w:pPr>
      <w:bookmarkStart w:id="598" w:name="_Toc351203651"/>
      <w:r>
        <w:rPr>
          <w:rFonts w:hint="eastAsia" w:cs="宋体"/>
          <w:color w:val="auto"/>
          <w:sz w:val="21"/>
          <w:szCs w:val="21"/>
          <w:highlight w:val="none"/>
        </w:rPr>
        <w:t>20. 争议解决</w:t>
      </w:r>
      <w:bookmarkEnd w:id="598"/>
    </w:p>
    <w:bookmarkEnd w:id="583"/>
    <w:bookmarkEnd w:id="584"/>
    <w:p w14:paraId="07C5A6D5">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20.3 争</w:t>
      </w:r>
      <w:bookmarkEnd w:id="585"/>
      <w:r>
        <w:rPr>
          <w:rFonts w:hint="eastAsia" w:cs="宋体"/>
          <w:bCs/>
          <w:color w:val="auto"/>
          <w:sz w:val="21"/>
          <w:szCs w:val="21"/>
          <w:highlight w:val="none"/>
        </w:rPr>
        <w:t>议评审</w:t>
      </w:r>
    </w:p>
    <w:p w14:paraId="28732AC3">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合同当事人是否同意将工程争议提交争议评审小组决定：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CDB2EF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20.3.1 争议评审小组的确定</w:t>
      </w:r>
    </w:p>
    <w:p w14:paraId="6767A589">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争议评审小组成员的确定：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0AB14E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选定争议评审员的期限：</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687FF1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争议评审小组成员的报酬承担方式：</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46929A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其他事项的约定：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A821E4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20.3.2 争议评审小组的决定</w:t>
      </w:r>
    </w:p>
    <w:p w14:paraId="47EB157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合同当事人关于本项的约定：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4B57A5C">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20.4 仲裁或诉讼</w:t>
      </w:r>
      <w:bookmarkEnd w:id="586"/>
    </w:p>
    <w:bookmarkEnd w:id="587"/>
    <w:bookmarkEnd w:id="588"/>
    <w:bookmarkEnd w:id="589"/>
    <w:bookmarkEnd w:id="590"/>
    <w:bookmarkEnd w:id="591"/>
    <w:bookmarkEnd w:id="592"/>
    <w:p w14:paraId="4ED759D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因合同及合同有关事项发生的争议，按下列</w:t>
      </w:r>
      <w:r>
        <w:rPr>
          <w:rFonts w:hint="eastAsia" w:cs="宋体"/>
          <w:b/>
          <w:bCs/>
          <w:color w:val="auto"/>
          <w:sz w:val="21"/>
          <w:szCs w:val="21"/>
          <w:highlight w:val="none"/>
        </w:rPr>
        <w:t>第</w:t>
      </w:r>
      <w:r>
        <w:rPr>
          <w:rFonts w:hint="eastAsia" w:cs="宋体"/>
          <w:b/>
          <w:bCs/>
          <w:color w:val="auto"/>
          <w:sz w:val="21"/>
          <w:szCs w:val="21"/>
          <w:highlight w:val="none"/>
          <w:u w:val="single"/>
        </w:rPr>
        <w:t xml:space="preserve"> 2 </w:t>
      </w:r>
      <w:r>
        <w:rPr>
          <w:rFonts w:hint="eastAsia" w:cs="宋体"/>
          <w:b/>
          <w:bCs/>
          <w:color w:val="auto"/>
          <w:sz w:val="21"/>
          <w:szCs w:val="21"/>
          <w:highlight w:val="none"/>
        </w:rPr>
        <w:t>种</w:t>
      </w:r>
      <w:r>
        <w:rPr>
          <w:rFonts w:hint="eastAsia" w:cs="宋体"/>
          <w:color w:val="auto"/>
          <w:sz w:val="21"/>
          <w:szCs w:val="21"/>
          <w:highlight w:val="none"/>
        </w:rPr>
        <w:t>方式解决：</w:t>
      </w:r>
    </w:p>
    <w:p w14:paraId="094C98EA">
      <w:pPr>
        <w:numPr>
          <w:ilvl w:val="0"/>
          <w:numId w:val="3"/>
        </w:num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向</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滁州市</w:t>
      </w:r>
      <w:r>
        <w:rPr>
          <w:rFonts w:hint="eastAsia" w:cs="宋体"/>
          <w:color w:val="auto"/>
          <w:sz w:val="21"/>
          <w:szCs w:val="21"/>
          <w:highlight w:val="none"/>
          <w:u w:val="single"/>
        </w:rPr>
        <w:t xml:space="preserve"> </w:t>
      </w:r>
      <w:r>
        <w:rPr>
          <w:rFonts w:hint="eastAsia" w:cs="宋体"/>
          <w:color w:val="auto"/>
          <w:sz w:val="21"/>
          <w:szCs w:val="21"/>
          <w:highlight w:val="none"/>
        </w:rPr>
        <w:t>仲裁委员会申请仲裁；</w:t>
      </w:r>
    </w:p>
    <w:p w14:paraId="4B199EF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（2）向</w:t>
      </w:r>
      <w:r>
        <w:rPr>
          <w:rFonts w:hint="eastAsia" w:cs="宋体"/>
          <w:color w:val="auto"/>
          <w:sz w:val="21"/>
          <w:szCs w:val="21"/>
          <w:highlight w:val="none"/>
          <w:u w:val="single"/>
        </w:rPr>
        <w:t>工程所在地</w:t>
      </w:r>
      <w:r>
        <w:rPr>
          <w:rFonts w:hint="eastAsia" w:cs="宋体"/>
          <w:color w:val="auto"/>
          <w:sz w:val="21"/>
          <w:szCs w:val="21"/>
          <w:highlight w:val="none"/>
        </w:rPr>
        <w:t>人民法院起诉。</w:t>
      </w:r>
    </w:p>
    <w:p w14:paraId="6F18A534">
      <w:pPr>
        <w:snapToGrid w:val="0"/>
        <w:spacing w:before="312" w:beforeLines="100" w:after="312" w:afterLines="100" w:line="360" w:lineRule="auto"/>
        <w:outlineLvl w:val="2"/>
        <w:rPr>
          <w:rFonts w:cs="宋体"/>
          <w:color w:val="auto"/>
          <w:sz w:val="21"/>
          <w:szCs w:val="21"/>
          <w:highlight w:val="none"/>
        </w:rPr>
      </w:pPr>
      <w:r>
        <w:rPr>
          <w:rFonts w:hint="eastAsia" w:cs="宋体"/>
          <w:color w:val="auto"/>
          <w:sz w:val="21"/>
          <w:szCs w:val="21"/>
          <w:highlight w:val="none"/>
        </w:rPr>
        <w:t xml:space="preserve">21. 补充条款 </w:t>
      </w:r>
    </w:p>
    <w:p w14:paraId="34C8924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cs="宋体"/>
          <w:b/>
          <w:color w:val="auto"/>
          <w:sz w:val="21"/>
          <w:szCs w:val="21"/>
          <w:highlight w:val="none"/>
        </w:rPr>
      </w:pPr>
      <w:r>
        <w:rPr>
          <w:rFonts w:hint="eastAsia" w:cs="宋体"/>
          <w:color w:val="auto"/>
          <w:sz w:val="21"/>
          <w:szCs w:val="21"/>
          <w:highlight w:val="none"/>
          <w:u w:val="single"/>
        </w:rPr>
        <w:t xml:space="preserve">                                     </w:t>
      </w:r>
    </w:p>
    <w:p w14:paraId="00D836C2">
      <w:pPr>
        <w:pStyle w:val="22"/>
        <w:rPr>
          <w:color w:val="auto"/>
          <w:highlight w:val="none"/>
        </w:rPr>
      </w:pPr>
    </w:p>
    <w:p w14:paraId="1A565DD5">
      <w:pPr>
        <w:snapToGrid w:val="0"/>
        <w:spacing w:line="360" w:lineRule="auto"/>
        <w:rPr>
          <w:rFonts w:cs="宋体"/>
          <w:color w:val="auto"/>
          <w:sz w:val="21"/>
          <w:szCs w:val="21"/>
          <w:highlight w:val="none"/>
        </w:rPr>
      </w:pPr>
      <w:r>
        <w:rPr>
          <w:rFonts w:hint="eastAsia" w:cs="宋体"/>
          <w:color w:val="auto"/>
          <w:sz w:val="21"/>
          <w:szCs w:val="21"/>
          <w:highlight w:val="none"/>
        </w:rPr>
        <w:t>发包人：  （公章）                           承包人：  （公章）</w:t>
      </w:r>
    </w:p>
    <w:p w14:paraId="3AD7DFF3">
      <w:pPr>
        <w:snapToGrid w:val="0"/>
        <w:spacing w:line="360" w:lineRule="auto"/>
        <w:rPr>
          <w:rFonts w:cs="宋体"/>
          <w:color w:val="auto"/>
          <w:sz w:val="21"/>
          <w:szCs w:val="21"/>
          <w:highlight w:val="none"/>
        </w:rPr>
      </w:pPr>
      <w:r>
        <w:rPr>
          <w:rFonts w:hint="eastAsia" w:cs="宋体"/>
          <w:color w:val="auto"/>
          <w:sz w:val="21"/>
          <w:szCs w:val="21"/>
          <w:highlight w:val="none"/>
        </w:rPr>
        <w:t>法定代表人或其委托代理人：                 法定代表人或其委托代理人：</w:t>
      </w:r>
    </w:p>
    <w:p w14:paraId="0F6E30CE">
      <w:pPr>
        <w:snapToGrid w:val="0"/>
        <w:spacing w:line="360" w:lineRule="auto"/>
        <w:rPr>
          <w:rFonts w:cs="宋体"/>
          <w:color w:val="auto"/>
          <w:sz w:val="21"/>
          <w:szCs w:val="21"/>
          <w:highlight w:val="none"/>
        </w:rPr>
      </w:pPr>
      <w:r>
        <w:rPr>
          <w:rFonts w:hint="eastAsia" w:cs="宋体"/>
          <w:color w:val="auto"/>
          <w:sz w:val="21"/>
          <w:szCs w:val="21"/>
          <w:highlight w:val="none"/>
        </w:rPr>
        <w:t>（签字）                                  （签字）</w:t>
      </w:r>
    </w:p>
    <w:p w14:paraId="6C305CC7">
      <w:pPr>
        <w:snapToGrid w:val="0"/>
        <w:spacing w:line="360" w:lineRule="auto"/>
        <w:rPr>
          <w:rFonts w:cs="宋体"/>
          <w:color w:val="auto"/>
          <w:sz w:val="21"/>
          <w:szCs w:val="21"/>
          <w:highlight w:val="none"/>
        </w:rPr>
      </w:pPr>
      <w:r>
        <w:rPr>
          <w:rFonts w:hint="eastAsia" w:cs="宋体"/>
          <w:color w:val="auto"/>
          <w:sz w:val="21"/>
          <w:szCs w:val="21"/>
          <w:highlight w:val="none"/>
        </w:rPr>
        <w:t>组织机构代码：</w:t>
      </w:r>
      <w:r>
        <w:rPr>
          <w:rFonts w:hint="eastAsia" w:cs="宋体"/>
          <w:color w:val="auto"/>
          <w:sz w:val="21"/>
          <w:szCs w:val="21"/>
          <w:highlight w:val="none"/>
          <w:u w:val="single"/>
        </w:rPr>
        <w:t xml:space="preserve">       </w:t>
      </w:r>
      <w:r>
        <w:rPr>
          <w:rFonts w:hint="eastAsia" w:cs="宋体"/>
          <w:color w:val="auto"/>
          <w:sz w:val="21"/>
          <w:szCs w:val="21"/>
          <w:highlight w:val="none"/>
        </w:rPr>
        <w:t xml:space="preserve">                组织机构代码：</w:t>
      </w:r>
      <w:r>
        <w:rPr>
          <w:rFonts w:hint="eastAsia" w:cs="宋体"/>
          <w:color w:val="auto"/>
          <w:sz w:val="21"/>
          <w:szCs w:val="21"/>
          <w:highlight w:val="none"/>
          <w:u w:val="single"/>
        </w:rPr>
        <w:t xml:space="preserve">          </w:t>
      </w:r>
      <w:r>
        <w:rPr>
          <w:rFonts w:hint="eastAsia" w:cs="宋体"/>
          <w:color w:val="auto"/>
          <w:sz w:val="21"/>
          <w:szCs w:val="21"/>
          <w:highlight w:val="none"/>
        </w:rPr>
        <w:t xml:space="preserve"> </w:t>
      </w:r>
    </w:p>
    <w:p w14:paraId="7D4B0403">
      <w:pPr>
        <w:snapToGrid w:val="0"/>
        <w:spacing w:line="360" w:lineRule="auto"/>
        <w:rPr>
          <w:rFonts w:cs="宋体"/>
          <w:color w:val="auto"/>
          <w:sz w:val="21"/>
          <w:szCs w:val="21"/>
          <w:highlight w:val="none"/>
        </w:rPr>
      </w:pPr>
      <w:r>
        <w:rPr>
          <w:rFonts w:hint="eastAsia" w:cs="宋体"/>
          <w:color w:val="auto"/>
          <w:sz w:val="21"/>
          <w:szCs w:val="21"/>
          <w:highlight w:val="none"/>
        </w:rPr>
        <w:t>地  址：</w:t>
      </w:r>
      <w:r>
        <w:rPr>
          <w:rFonts w:hint="eastAsia" w:cs="宋体"/>
          <w:color w:val="auto"/>
          <w:sz w:val="21"/>
          <w:szCs w:val="21"/>
          <w:highlight w:val="none"/>
          <w:u w:val="single"/>
        </w:rPr>
        <w:t xml:space="preserve">     </w:t>
      </w:r>
      <w:r>
        <w:rPr>
          <w:rFonts w:hint="eastAsia" w:cs="宋体"/>
          <w:color w:val="auto"/>
          <w:sz w:val="21"/>
          <w:szCs w:val="21"/>
          <w:highlight w:val="none"/>
        </w:rPr>
        <w:t xml:space="preserve">                地  址：</w:t>
      </w:r>
      <w:r>
        <w:rPr>
          <w:rFonts w:hint="eastAsia" w:cs="宋体"/>
          <w:color w:val="auto"/>
          <w:sz w:val="21"/>
          <w:szCs w:val="21"/>
          <w:highlight w:val="none"/>
          <w:u w:val="single"/>
        </w:rPr>
        <w:t xml:space="preserve">        </w:t>
      </w:r>
    </w:p>
    <w:p w14:paraId="38D60A10">
      <w:pPr>
        <w:snapToGrid w:val="0"/>
        <w:spacing w:line="360" w:lineRule="auto"/>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     </w:t>
      </w:r>
      <w:r>
        <w:rPr>
          <w:rFonts w:hint="eastAsia" w:cs="宋体"/>
          <w:color w:val="auto"/>
          <w:sz w:val="21"/>
          <w:szCs w:val="21"/>
          <w:highlight w:val="none"/>
        </w:rPr>
        <w:t xml:space="preserve">               邮政编码：</w:t>
      </w:r>
      <w:r>
        <w:rPr>
          <w:rFonts w:hint="eastAsia" w:cs="宋体"/>
          <w:color w:val="auto"/>
          <w:sz w:val="21"/>
          <w:szCs w:val="21"/>
          <w:highlight w:val="none"/>
          <w:u w:val="single"/>
        </w:rPr>
        <w:t xml:space="preserve">   </w:t>
      </w:r>
    </w:p>
    <w:p w14:paraId="5D4BC099">
      <w:pPr>
        <w:snapToGrid w:val="0"/>
        <w:spacing w:line="360" w:lineRule="auto"/>
        <w:rPr>
          <w:rFonts w:cs="宋体"/>
          <w:color w:val="auto"/>
          <w:sz w:val="21"/>
          <w:szCs w:val="21"/>
          <w:highlight w:val="none"/>
        </w:rPr>
      </w:pPr>
      <w:r>
        <w:rPr>
          <w:rFonts w:hint="eastAsia" w:cs="宋体"/>
          <w:color w:val="auto"/>
          <w:sz w:val="21"/>
          <w:szCs w:val="21"/>
          <w:highlight w:val="none"/>
        </w:rPr>
        <w:t>法定代表人：</w:t>
      </w:r>
      <w:r>
        <w:rPr>
          <w:rFonts w:hint="eastAsia" w:cs="宋体"/>
          <w:color w:val="auto"/>
          <w:sz w:val="21"/>
          <w:szCs w:val="21"/>
          <w:highlight w:val="none"/>
          <w:u w:val="single"/>
        </w:rPr>
        <w:t xml:space="preserve">           </w:t>
      </w:r>
      <w:r>
        <w:rPr>
          <w:rFonts w:hint="eastAsia" w:cs="宋体"/>
          <w:color w:val="auto"/>
          <w:sz w:val="21"/>
          <w:szCs w:val="21"/>
          <w:highlight w:val="none"/>
        </w:rPr>
        <w:t xml:space="preserve">                法定代表人：</w:t>
      </w:r>
      <w:r>
        <w:rPr>
          <w:rFonts w:hint="eastAsia" w:cs="宋体"/>
          <w:color w:val="auto"/>
          <w:sz w:val="21"/>
          <w:szCs w:val="21"/>
          <w:highlight w:val="none"/>
          <w:u w:val="single"/>
        </w:rPr>
        <w:t xml:space="preserve">             </w:t>
      </w:r>
    </w:p>
    <w:p w14:paraId="5B2817B7">
      <w:pPr>
        <w:snapToGrid w:val="0"/>
        <w:spacing w:line="360" w:lineRule="auto"/>
        <w:rPr>
          <w:rFonts w:cs="宋体"/>
          <w:color w:val="auto"/>
          <w:sz w:val="21"/>
          <w:szCs w:val="21"/>
          <w:highlight w:val="none"/>
        </w:rPr>
      </w:pPr>
      <w:r>
        <w:rPr>
          <w:rFonts w:hint="eastAsia" w:cs="宋体"/>
          <w:color w:val="auto"/>
          <w:sz w:val="21"/>
          <w:szCs w:val="21"/>
          <w:highlight w:val="none"/>
        </w:rPr>
        <w:t>委托代理人：</w:t>
      </w:r>
      <w:r>
        <w:rPr>
          <w:rFonts w:hint="eastAsia" w:cs="宋体"/>
          <w:color w:val="auto"/>
          <w:sz w:val="21"/>
          <w:szCs w:val="21"/>
          <w:highlight w:val="none"/>
          <w:u w:val="single"/>
        </w:rPr>
        <w:t xml:space="preserve">           </w:t>
      </w:r>
      <w:r>
        <w:rPr>
          <w:rFonts w:hint="eastAsia" w:cs="宋体"/>
          <w:color w:val="auto"/>
          <w:sz w:val="21"/>
          <w:szCs w:val="21"/>
          <w:highlight w:val="none"/>
        </w:rPr>
        <w:t xml:space="preserve">                委托代理人：</w:t>
      </w:r>
      <w:r>
        <w:rPr>
          <w:rFonts w:hint="eastAsia" w:cs="宋体"/>
          <w:color w:val="auto"/>
          <w:sz w:val="21"/>
          <w:szCs w:val="21"/>
          <w:highlight w:val="none"/>
          <w:u w:val="single"/>
        </w:rPr>
        <w:t xml:space="preserve">             </w:t>
      </w:r>
    </w:p>
    <w:p w14:paraId="69CDF3AB">
      <w:pPr>
        <w:snapToGrid w:val="0"/>
        <w:spacing w:line="360" w:lineRule="auto"/>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r>
        <w:rPr>
          <w:rFonts w:hint="eastAsia" w:cs="宋体"/>
          <w:color w:val="auto"/>
          <w:sz w:val="21"/>
          <w:szCs w:val="21"/>
          <w:highlight w:val="none"/>
        </w:rPr>
        <w:t xml:space="preserve">                电  话：</w:t>
      </w:r>
      <w:r>
        <w:rPr>
          <w:rFonts w:hint="eastAsia" w:cs="宋体"/>
          <w:color w:val="auto"/>
          <w:sz w:val="21"/>
          <w:szCs w:val="21"/>
          <w:highlight w:val="none"/>
          <w:u w:val="single"/>
        </w:rPr>
        <w:t xml:space="preserve">     </w:t>
      </w:r>
    </w:p>
    <w:p w14:paraId="07EF8740">
      <w:pPr>
        <w:snapToGrid w:val="0"/>
        <w:spacing w:line="360" w:lineRule="auto"/>
        <w:rPr>
          <w:rFonts w:cs="宋体"/>
          <w:color w:val="auto"/>
          <w:sz w:val="21"/>
          <w:szCs w:val="21"/>
          <w:highlight w:val="none"/>
        </w:rPr>
      </w:pPr>
      <w:r>
        <w:rPr>
          <w:rFonts w:hint="eastAsia" w:cs="宋体"/>
          <w:color w:val="auto"/>
          <w:sz w:val="21"/>
          <w:szCs w:val="21"/>
          <w:highlight w:val="none"/>
        </w:rPr>
        <w:t>传  真：</w:t>
      </w:r>
      <w:r>
        <w:rPr>
          <w:rFonts w:hint="eastAsia" w:cs="宋体"/>
          <w:color w:val="auto"/>
          <w:sz w:val="21"/>
          <w:szCs w:val="21"/>
          <w:highlight w:val="none"/>
          <w:u w:val="single"/>
        </w:rPr>
        <w:t xml:space="preserve">   </w:t>
      </w:r>
      <w:r>
        <w:rPr>
          <w:rFonts w:hint="eastAsia" w:cs="宋体"/>
          <w:color w:val="auto"/>
          <w:sz w:val="21"/>
          <w:szCs w:val="21"/>
          <w:highlight w:val="none"/>
        </w:rPr>
        <w:t xml:space="preserve">                传  真：</w:t>
      </w:r>
      <w:r>
        <w:rPr>
          <w:rFonts w:hint="eastAsia" w:cs="宋体"/>
          <w:color w:val="auto"/>
          <w:sz w:val="21"/>
          <w:szCs w:val="21"/>
          <w:highlight w:val="none"/>
          <w:u w:val="single"/>
        </w:rPr>
        <w:t xml:space="preserve">     </w:t>
      </w:r>
    </w:p>
    <w:p w14:paraId="3C4FA5B3">
      <w:pPr>
        <w:snapToGrid w:val="0"/>
        <w:spacing w:line="360" w:lineRule="auto"/>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 xml:space="preserve">                电子信箱：</w:t>
      </w:r>
      <w:r>
        <w:rPr>
          <w:rFonts w:hint="eastAsia" w:cs="宋体"/>
          <w:color w:val="auto"/>
          <w:sz w:val="21"/>
          <w:szCs w:val="21"/>
          <w:highlight w:val="none"/>
          <w:u w:val="single"/>
        </w:rPr>
        <w:t xml:space="preserve">   </w:t>
      </w:r>
    </w:p>
    <w:p w14:paraId="12E558B9">
      <w:pPr>
        <w:snapToGrid w:val="0"/>
        <w:spacing w:line="360" w:lineRule="auto"/>
        <w:rPr>
          <w:rFonts w:cs="宋体"/>
          <w:color w:val="auto"/>
          <w:sz w:val="21"/>
          <w:szCs w:val="21"/>
          <w:highlight w:val="none"/>
        </w:rPr>
      </w:pPr>
      <w:r>
        <w:rPr>
          <w:rFonts w:hint="eastAsia" w:cs="宋体"/>
          <w:color w:val="auto"/>
          <w:sz w:val="21"/>
          <w:szCs w:val="21"/>
          <w:highlight w:val="none"/>
        </w:rPr>
        <w:t>开户银行：</w:t>
      </w:r>
      <w:r>
        <w:rPr>
          <w:rFonts w:hint="eastAsia" w:cs="宋体"/>
          <w:color w:val="auto"/>
          <w:sz w:val="21"/>
          <w:szCs w:val="21"/>
          <w:highlight w:val="none"/>
          <w:u w:val="single"/>
        </w:rPr>
        <w:t xml:space="preserve">   </w:t>
      </w:r>
      <w:r>
        <w:rPr>
          <w:rFonts w:hint="eastAsia" w:cs="宋体"/>
          <w:color w:val="auto"/>
          <w:sz w:val="21"/>
          <w:szCs w:val="21"/>
          <w:highlight w:val="none"/>
        </w:rPr>
        <w:t xml:space="preserve">                开户银行：</w:t>
      </w:r>
      <w:r>
        <w:rPr>
          <w:rFonts w:hint="eastAsia" w:cs="宋体"/>
          <w:color w:val="auto"/>
          <w:sz w:val="21"/>
          <w:szCs w:val="21"/>
          <w:highlight w:val="none"/>
          <w:u w:val="single"/>
        </w:rPr>
        <w:t xml:space="preserve">   </w:t>
      </w:r>
    </w:p>
    <w:p w14:paraId="63080196">
      <w:pPr>
        <w:snapToGrid w:val="0"/>
        <w:spacing w:line="360" w:lineRule="auto"/>
        <w:rPr>
          <w:rFonts w:cs="宋体"/>
          <w:color w:val="auto"/>
          <w:sz w:val="21"/>
          <w:szCs w:val="21"/>
          <w:highlight w:val="none"/>
        </w:rPr>
      </w:pPr>
      <w:r>
        <w:rPr>
          <w:rFonts w:hint="eastAsia" w:cs="宋体"/>
          <w:color w:val="auto"/>
          <w:sz w:val="21"/>
          <w:szCs w:val="21"/>
          <w:highlight w:val="none"/>
        </w:rPr>
        <w:t>账  号：</w:t>
      </w:r>
      <w:r>
        <w:rPr>
          <w:rFonts w:hint="eastAsia" w:cs="宋体"/>
          <w:color w:val="auto"/>
          <w:sz w:val="21"/>
          <w:szCs w:val="21"/>
          <w:highlight w:val="none"/>
          <w:u w:val="single"/>
        </w:rPr>
        <w:t xml:space="preserve">       </w:t>
      </w:r>
      <w:r>
        <w:rPr>
          <w:rFonts w:hint="eastAsia" w:cs="宋体"/>
          <w:color w:val="auto"/>
          <w:sz w:val="21"/>
          <w:szCs w:val="21"/>
          <w:highlight w:val="none"/>
        </w:rPr>
        <w:t xml:space="preserve">                账  号：</w:t>
      </w:r>
      <w:r>
        <w:rPr>
          <w:rFonts w:hint="eastAsia" w:cs="宋体"/>
          <w:color w:val="auto"/>
          <w:sz w:val="21"/>
          <w:szCs w:val="21"/>
          <w:highlight w:val="none"/>
          <w:u w:val="single"/>
        </w:rPr>
        <w:t xml:space="preserve">     </w:t>
      </w:r>
    </w:p>
    <w:p w14:paraId="39DEB86E">
      <w:pPr>
        <w:snapToGrid w:val="0"/>
        <w:spacing w:line="360" w:lineRule="auto"/>
        <w:rPr>
          <w:rFonts w:cs="宋体"/>
          <w:b/>
          <w:color w:val="auto"/>
          <w:sz w:val="21"/>
          <w:szCs w:val="21"/>
          <w:highlight w:val="none"/>
        </w:rPr>
      </w:pPr>
      <w:r>
        <w:rPr>
          <w:rFonts w:hint="eastAsia" w:cs="宋体"/>
          <w:b/>
          <w:color w:val="auto"/>
          <w:sz w:val="21"/>
          <w:szCs w:val="21"/>
          <w:highlight w:val="none"/>
        </w:rPr>
        <w:t>附件</w:t>
      </w:r>
    </w:p>
    <w:p w14:paraId="1EAE24A7">
      <w:pPr>
        <w:snapToGrid w:val="0"/>
        <w:spacing w:line="360" w:lineRule="auto"/>
        <w:rPr>
          <w:rFonts w:cs="宋体"/>
          <w:color w:val="auto"/>
          <w:sz w:val="21"/>
          <w:szCs w:val="21"/>
          <w:highlight w:val="none"/>
        </w:rPr>
      </w:pPr>
      <w:r>
        <w:rPr>
          <w:rFonts w:hint="eastAsia" w:cs="宋体"/>
          <w:color w:val="auto"/>
          <w:sz w:val="21"/>
          <w:szCs w:val="21"/>
          <w:highlight w:val="none"/>
        </w:rPr>
        <w:t>协议书附件：</w:t>
      </w:r>
    </w:p>
    <w:p w14:paraId="3DA1C6B7">
      <w:pPr>
        <w:snapToGrid w:val="0"/>
        <w:spacing w:line="360" w:lineRule="auto"/>
        <w:rPr>
          <w:rFonts w:cs="宋体"/>
          <w:color w:val="auto"/>
          <w:sz w:val="21"/>
          <w:szCs w:val="21"/>
          <w:highlight w:val="none"/>
        </w:rPr>
      </w:pPr>
      <w:bookmarkStart w:id="599" w:name="_Toc128950221"/>
      <w:r>
        <w:rPr>
          <w:rFonts w:hint="eastAsia" w:cs="宋体"/>
          <w:color w:val="auto"/>
          <w:sz w:val="21"/>
          <w:szCs w:val="21"/>
          <w:highlight w:val="none"/>
        </w:rPr>
        <w:t>附件1：承包人承揽工程项目一览表</w:t>
      </w:r>
      <w:bookmarkEnd w:id="599"/>
    </w:p>
    <w:p w14:paraId="02A947F5">
      <w:pPr>
        <w:snapToGrid w:val="0"/>
        <w:spacing w:line="360" w:lineRule="auto"/>
        <w:rPr>
          <w:rFonts w:cs="宋体"/>
          <w:color w:val="auto"/>
          <w:sz w:val="21"/>
          <w:szCs w:val="21"/>
          <w:highlight w:val="none"/>
        </w:rPr>
      </w:pPr>
    </w:p>
    <w:p w14:paraId="503DE416">
      <w:pPr>
        <w:snapToGrid w:val="0"/>
        <w:spacing w:line="360" w:lineRule="auto"/>
        <w:rPr>
          <w:rFonts w:cs="宋体"/>
          <w:color w:val="auto"/>
          <w:sz w:val="21"/>
          <w:szCs w:val="21"/>
          <w:highlight w:val="none"/>
        </w:rPr>
      </w:pPr>
      <w:r>
        <w:rPr>
          <w:rFonts w:hint="eastAsia" w:cs="宋体"/>
          <w:color w:val="auto"/>
          <w:sz w:val="21"/>
          <w:szCs w:val="21"/>
          <w:highlight w:val="none"/>
        </w:rPr>
        <w:t>专用合同条款附件：</w:t>
      </w:r>
    </w:p>
    <w:p w14:paraId="5E51B97A">
      <w:pPr>
        <w:snapToGrid w:val="0"/>
        <w:spacing w:line="360" w:lineRule="auto"/>
        <w:rPr>
          <w:rFonts w:cs="宋体"/>
          <w:color w:val="auto"/>
          <w:sz w:val="21"/>
          <w:szCs w:val="21"/>
          <w:highlight w:val="none"/>
        </w:rPr>
      </w:pPr>
      <w:bookmarkStart w:id="600" w:name="_Toc128950222"/>
      <w:r>
        <w:rPr>
          <w:rFonts w:hint="eastAsia" w:cs="宋体"/>
          <w:color w:val="auto"/>
          <w:sz w:val="21"/>
          <w:szCs w:val="21"/>
          <w:highlight w:val="none"/>
        </w:rPr>
        <w:t>附件2：发包人供应材料设备一览表</w:t>
      </w:r>
      <w:bookmarkEnd w:id="600"/>
    </w:p>
    <w:p w14:paraId="4DC48A1B">
      <w:pPr>
        <w:snapToGrid w:val="0"/>
        <w:spacing w:line="360" w:lineRule="auto"/>
        <w:rPr>
          <w:rFonts w:cs="宋体"/>
          <w:color w:val="auto"/>
          <w:sz w:val="21"/>
          <w:szCs w:val="21"/>
          <w:highlight w:val="none"/>
        </w:rPr>
      </w:pPr>
      <w:bookmarkStart w:id="601" w:name="_Toc128950223"/>
      <w:r>
        <w:rPr>
          <w:rFonts w:hint="eastAsia" w:cs="宋体"/>
          <w:color w:val="auto"/>
          <w:sz w:val="21"/>
          <w:szCs w:val="21"/>
          <w:highlight w:val="none"/>
        </w:rPr>
        <w:t>附件3：工程质量保修书</w:t>
      </w:r>
      <w:bookmarkEnd w:id="601"/>
    </w:p>
    <w:p w14:paraId="577BD779">
      <w:pPr>
        <w:snapToGrid w:val="0"/>
        <w:spacing w:line="360" w:lineRule="auto"/>
        <w:rPr>
          <w:rFonts w:cs="宋体"/>
          <w:color w:val="auto"/>
          <w:sz w:val="21"/>
          <w:szCs w:val="21"/>
          <w:highlight w:val="none"/>
        </w:rPr>
      </w:pPr>
      <w:bookmarkStart w:id="602" w:name="_Toc128950224"/>
      <w:r>
        <w:rPr>
          <w:rFonts w:hint="eastAsia" w:cs="宋体"/>
          <w:color w:val="auto"/>
          <w:sz w:val="21"/>
          <w:szCs w:val="21"/>
          <w:highlight w:val="none"/>
        </w:rPr>
        <w:t>附件4：主要建设工程文件目录</w:t>
      </w:r>
      <w:bookmarkEnd w:id="602"/>
    </w:p>
    <w:p w14:paraId="1A956768">
      <w:pPr>
        <w:snapToGrid w:val="0"/>
        <w:spacing w:line="360" w:lineRule="auto"/>
        <w:rPr>
          <w:rFonts w:cs="宋体"/>
          <w:color w:val="auto"/>
          <w:sz w:val="21"/>
          <w:szCs w:val="21"/>
          <w:highlight w:val="none"/>
        </w:rPr>
      </w:pPr>
      <w:bookmarkStart w:id="603" w:name="_Toc128950225"/>
      <w:r>
        <w:rPr>
          <w:rFonts w:hint="eastAsia" w:cs="宋体"/>
          <w:color w:val="auto"/>
          <w:sz w:val="21"/>
          <w:szCs w:val="21"/>
          <w:highlight w:val="none"/>
        </w:rPr>
        <w:t>附件5：承包人用于本工程施工的机械设备表</w:t>
      </w:r>
      <w:bookmarkEnd w:id="603"/>
    </w:p>
    <w:p w14:paraId="38457598">
      <w:pPr>
        <w:snapToGrid w:val="0"/>
        <w:spacing w:line="360" w:lineRule="auto"/>
        <w:rPr>
          <w:rFonts w:cs="宋体"/>
          <w:color w:val="auto"/>
          <w:sz w:val="21"/>
          <w:szCs w:val="21"/>
          <w:highlight w:val="none"/>
        </w:rPr>
      </w:pPr>
      <w:bookmarkStart w:id="604" w:name="_Toc128950226"/>
      <w:r>
        <w:rPr>
          <w:rFonts w:hint="eastAsia" w:cs="宋体"/>
          <w:color w:val="auto"/>
          <w:sz w:val="21"/>
          <w:szCs w:val="21"/>
          <w:highlight w:val="none"/>
        </w:rPr>
        <w:t>附件6：承包人主要施工管理人员表</w:t>
      </w:r>
      <w:bookmarkEnd w:id="604"/>
    </w:p>
    <w:p w14:paraId="64FE5520">
      <w:pPr>
        <w:snapToGrid w:val="0"/>
        <w:spacing w:line="360" w:lineRule="auto"/>
        <w:rPr>
          <w:rFonts w:cs="宋体"/>
          <w:color w:val="auto"/>
          <w:sz w:val="21"/>
          <w:szCs w:val="21"/>
          <w:highlight w:val="none"/>
        </w:rPr>
      </w:pPr>
      <w:bookmarkStart w:id="605" w:name="_Toc128950228"/>
      <w:r>
        <w:rPr>
          <w:rFonts w:hint="eastAsia" w:cs="宋体"/>
          <w:color w:val="auto"/>
          <w:sz w:val="21"/>
          <w:szCs w:val="21"/>
          <w:highlight w:val="none"/>
        </w:rPr>
        <w:t>附件</w:t>
      </w:r>
      <w:r>
        <w:rPr>
          <w:rFonts w:hint="eastAsia" w:cs="宋体"/>
          <w:color w:val="auto"/>
          <w:sz w:val="21"/>
          <w:szCs w:val="21"/>
          <w:highlight w:val="none"/>
          <w:lang w:val="en-US" w:eastAsia="zh-CN"/>
        </w:rPr>
        <w:t>7</w:t>
      </w:r>
      <w:r>
        <w:rPr>
          <w:rFonts w:hint="eastAsia" w:cs="宋体"/>
          <w:color w:val="auto"/>
          <w:sz w:val="21"/>
          <w:szCs w:val="21"/>
          <w:highlight w:val="none"/>
        </w:rPr>
        <w:t>：廉政协议</w:t>
      </w:r>
      <w:bookmarkEnd w:id="605"/>
    </w:p>
    <w:p w14:paraId="3E12DDB4">
      <w:pPr>
        <w:snapToGrid w:val="0"/>
        <w:spacing w:line="360" w:lineRule="auto"/>
        <w:rPr>
          <w:rFonts w:cs="宋体"/>
          <w:color w:val="auto"/>
          <w:sz w:val="21"/>
          <w:szCs w:val="21"/>
          <w:highlight w:val="none"/>
        </w:rPr>
      </w:pPr>
      <w:bookmarkStart w:id="606" w:name="_Toc128950229"/>
      <w:r>
        <w:rPr>
          <w:rFonts w:hint="eastAsia" w:cs="宋体"/>
          <w:color w:val="auto"/>
          <w:sz w:val="21"/>
          <w:szCs w:val="21"/>
          <w:highlight w:val="none"/>
        </w:rPr>
        <w:t>附件</w:t>
      </w:r>
      <w:r>
        <w:rPr>
          <w:rFonts w:hint="eastAsia" w:cs="宋体"/>
          <w:color w:val="auto"/>
          <w:sz w:val="21"/>
          <w:szCs w:val="21"/>
          <w:highlight w:val="none"/>
          <w:lang w:val="en-US" w:eastAsia="zh-CN"/>
        </w:rPr>
        <w:t>8</w:t>
      </w:r>
      <w:r>
        <w:rPr>
          <w:rFonts w:hint="eastAsia" w:cs="宋体"/>
          <w:color w:val="auto"/>
          <w:sz w:val="21"/>
          <w:szCs w:val="21"/>
          <w:highlight w:val="none"/>
        </w:rPr>
        <w:t>：履约保证金格式</w:t>
      </w:r>
      <w:bookmarkEnd w:id="606"/>
    </w:p>
    <w:p w14:paraId="11A19D11">
      <w:pPr>
        <w:snapToGrid w:val="0"/>
        <w:spacing w:line="360" w:lineRule="auto"/>
        <w:rPr>
          <w:rFonts w:cs="宋体"/>
          <w:color w:val="auto"/>
          <w:sz w:val="21"/>
          <w:szCs w:val="21"/>
          <w:highlight w:val="none"/>
        </w:rPr>
      </w:pPr>
      <w:bookmarkStart w:id="607" w:name="_Toc128950230"/>
      <w:r>
        <w:rPr>
          <w:rFonts w:hint="eastAsia" w:cs="宋体"/>
          <w:color w:val="auto"/>
          <w:sz w:val="21"/>
          <w:szCs w:val="21"/>
          <w:highlight w:val="none"/>
        </w:rPr>
        <w:t>附件</w:t>
      </w:r>
      <w:r>
        <w:rPr>
          <w:rFonts w:hint="eastAsia" w:cs="宋体"/>
          <w:color w:val="auto"/>
          <w:sz w:val="21"/>
          <w:szCs w:val="21"/>
          <w:highlight w:val="none"/>
          <w:lang w:val="en-US" w:eastAsia="zh-CN"/>
        </w:rPr>
        <w:t>9</w:t>
      </w:r>
      <w:r>
        <w:rPr>
          <w:rFonts w:hint="eastAsia" w:cs="宋体"/>
          <w:color w:val="auto"/>
          <w:sz w:val="21"/>
          <w:szCs w:val="21"/>
          <w:highlight w:val="none"/>
        </w:rPr>
        <w:t>：预付款担保格式</w:t>
      </w:r>
      <w:bookmarkEnd w:id="607"/>
    </w:p>
    <w:p w14:paraId="27830F50">
      <w:pPr>
        <w:snapToGrid w:val="0"/>
        <w:spacing w:line="360" w:lineRule="auto"/>
        <w:rPr>
          <w:rFonts w:cs="宋体"/>
          <w:color w:val="auto"/>
          <w:sz w:val="21"/>
          <w:szCs w:val="21"/>
          <w:highlight w:val="none"/>
        </w:rPr>
      </w:pPr>
      <w:bookmarkStart w:id="608" w:name="_Toc128950231"/>
      <w:r>
        <w:rPr>
          <w:rFonts w:hint="eastAsia" w:cs="宋体"/>
          <w:color w:val="auto"/>
          <w:sz w:val="21"/>
          <w:szCs w:val="21"/>
          <w:highlight w:val="none"/>
        </w:rPr>
        <w:t>附件1</w:t>
      </w:r>
      <w:r>
        <w:rPr>
          <w:rFonts w:hint="eastAsia" w:cs="宋体"/>
          <w:color w:val="auto"/>
          <w:sz w:val="21"/>
          <w:szCs w:val="21"/>
          <w:highlight w:val="none"/>
          <w:lang w:val="en-US" w:eastAsia="zh-CN"/>
        </w:rPr>
        <w:t>0</w:t>
      </w:r>
      <w:r>
        <w:rPr>
          <w:rFonts w:hint="eastAsia" w:cs="宋体"/>
          <w:color w:val="auto"/>
          <w:sz w:val="21"/>
          <w:szCs w:val="21"/>
          <w:highlight w:val="none"/>
        </w:rPr>
        <w:t>：支付担保格式</w:t>
      </w:r>
      <w:bookmarkEnd w:id="608"/>
    </w:p>
    <w:p w14:paraId="455190F1">
      <w:pPr>
        <w:snapToGrid w:val="0"/>
        <w:spacing w:line="360" w:lineRule="auto"/>
        <w:rPr>
          <w:rFonts w:cs="宋体"/>
          <w:color w:val="auto"/>
          <w:sz w:val="21"/>
          <w:szCs w:val="21"/>
          <w:highlight w:val="none"/>
        </w:rPr>
      </w:pPr>
      <w:bookmarkStart w:id="609" w:name="_Toc128950232"/>
      <w:r>
        <w:rPr>
          <w:rFonts w:hint="eastAsia" w:cs="宋体"/>
          <w:color w:val="auto"/>
          <w:sz w:val="21"/>
          <w:szCs w:val="21"/>
          <w:highlight w:val="none"/>
        </w:rPr>
        <w:t>附件1</w:t>
      </w:r>
      <w:r>
        <w:rPr>
          <w:rFonts w:hint="eastAsia" w:cs="宋体"/>
          <w:color w:val="auto"/>
          <w:sz w:val="21"/>
          <w:szCs w:val="21"/>
          <w:highlight w:val="none"/>
          <w:lang w:val="en-US" w:eastAsia="zh-CN"/>
        </w:rPr>
        <w:t>1</w:t>
      </w:r>
      <w:r>
        <w:rPr>
          <w:rFonts w:hint="eastAsia" w:cs="宋体"/>
          <w:color w:val="auto"/>
          <w:sz w:val="21"/>
          <w:szCs w:val="21"/>
          <w:highlight w:val="none"/>
        </w:rPr>
        <w:t>：暂估价一览表</w:t>
      </w:r>
      <w:bookmarkEnd w:id="609"/>
    </w:p>
    <w:p w14:paraId="34EA08F5">
      <w:pPr>
        <w:snapToGrid w:val="0"/>
        <w:spacing w:line="360" w:lineRule="auto"/>
        <w:rPr>
          <w:rFonts w:cs="宋体"/>
          <w:color w:val="auto"/>
          <w:sz w:val="21"/>
          <w:szCs w:val="21"/>
          <w:highlight w:val="none"/>
        </w:rPr>
      </w:pPr>
      <w:bookmarkStart w:id="610" w:name="_Toc128950233"/>
      <w:r>
        <w:rPr>
          <w:rFonts w:hint="eastAsia" w:cs="宋体"/>
          <w:color w:val="auto"/>
          <w:sz w:val="21"/>
          <w:szCs w:val="21"/>
          <w:highlight w:val="none"/>
        </w:rPr>
        <w:t>附件1</w:t>
      </w:r>
      <w:r>
        <w:rPr>
          <w:rFonts w:hint="eastAsia" w:cs="宋体"/>
          <w:color w:val="auto"/>
          <w:sz w:val="21"/>
          <w:szCs w:val="21"/>
          <w:highlight w:val="none"/>
          <w:lang w:val="en-US" w:eastAsia="zh-CN"/>
        </w:rPr>
        <w:t>2</w:t>
      </w:r>
      <w:r>
        <w:rPr>
          <w:rFonts w:hint="eastAsia" w:cs="宋体"/>
          <w:color w:val="auto"/>
          <w:sz w:val="21"/>
          <w:szCs w:val="21"/>
          <w:highlight w:val="none"/>
        </w:rPr>
        <w:t>：安全生产合同</w:t>
      </w:r>
      <w:bookmarkEnd w:id="610"/>
    </w:p>
    <w:p w14:paraId="3B4E88D6">
      <w:pPr>
        <w:snapToGrid w:val="0"/>
        <w:spacing w:line="360" w:lineRule="auto"/>
        <w:rPr>
          <w:rFonts w:cs="宋体"/>
          <w:color w:val="auto"/>
          <w:sz w:val="21"/>
          <w:szCs w:val="21"/>
          <w:highlight w:val="none"/>
        </w:rPr>
      </w:pPr>
      <w:bookmarkStart w:id="611" w:name="_Toc128950234"/>
      <w:r>
        <w:rPr>
          <w:rFonts w:hint="eastAsia" w:cs="宋体"/>
          <w:color w:val="auto"/>
          <w:sz w:val="21"/>
          <w:szCs w:val="21"/>
          <w:highlight w:val="none"/>
        </w:rPr>
        <w:t>附件1</w:t>
      </w:r>
      <w:r>
        <w:rPr>
          <w:rFonts w:hint="eastAsia" w:cs="宋体"/>
          <w:color w:val="auto"/>
          <w:sz w:val="21"/>
          <w:szCs w:val="21"/>
          <w:highlight w:val="none"/>
          <w:lang w:val="en-US" w:eastAsia="zh-CN"/>
        </w:rPr>
        <w:t>3</w:t>
      </w:r>
      <w:r>
        <w:rPr>
          <w:rFonts w:hint="eastAsia" w:cs="宋体"/>
          <w:color w:val="auto"/>
          <w:sz w:val="21"/>
          <w:szCs w:val="21"/>
          <w:highlight w:val="none"/>
        </w:rPr>
        <w:t>：</w:t>
      </w:r>
      <w:r>
        <w:rPr>
          <w:rFonts w:hint="eastAsia" w:cs="宋体"/>
          <w:color w:val="auto"/>
          <w:sz w:val="21"/>
          <w:szCs w:val="21"/>
          <w:highlight w:val="none"/>
          <w:lang w:eastAsia="zh-CN"/>
        </w:rPr>
        <w:t>项目负责人</w:t>
      </w:r>
      <w:r>
        <w:rPr>
          <w:rFonts w:hint="eastAsia" w:cs="宋体"/>
          <w:color w:val="auto"/>
          <w:sz w:val="21"/>
          <w:szCs w:val="21"/>
          <w:highlight w:val="none"/>
        </w:rPr>
        <w:t>质量终身责任制承诺</w:t>
      </w:r>
      <w:bookmarkEnd w:id="611"/>
    </w:p>
    <w:p w14:paraId="04D8A329">
      <w:pPr>
        <w:snapToGrid w:val="0"/>
        <w:spacing w:before="312" w:beforeLines="100" w:after="312" w:afterLines="100" w:line="360" w:lineRule="auto"/>
        <w:outlineLvl w:val="2"/>
        <w:rPr>
          <w:rFonts w:ascii="Times New Roman" w:eastAsia="黑体"/>
          <w:color w:val="auto"/>
          <w:szCs w:val="24"/>
          <w:highlight w:val="none"/>
        </w:rPr>
      </w:pPr>
      <w:r>
        <w:rPr>
          <w:rFonts w:hint="eastAsia" w:cs="宋体"/>
          <w:bCs/>
          <w:color w:val="auto"/>
          <w:sz w:val="21"/>
          <w:szCs w:val="21"/>
          <w:highlight w:val="none"/>
        </w:rPr>
        <w:br w:type="page"/>
      </w:r>
      <w:bookmarkStart w:id="612" w:name="_Toc128950235"/>
      <w:r>
        <w:rPr>
          <w:rFonts w:hint="eastAsia" w:ascii="Times New Roman" w:eastAsia="黑体"/>
          <w:color w:val="auto"/>
          <w:szCs w:val="24"/>
          <w:highlight w:val="none"/>
        </w:rPr>
        <w:t>附件</w:t>
      </w:r>
      <w:r>
        <w:rPr>
          <w:rFonts w:ascii="Times New Roman" w:eastAsia="黑体"/>
          <w:color w:val="auto"/>
          <w:szCs w:val="24"/>
          <w:highlight w:val="none"/>
        </w:rPr>
        <w:t>1</w:t>
      </w:r>
      <w:r>
        <w:rPr>
          <w:rFonts w:hint="eastAsia" w:ascii="Times New Roman" w:eastAsia="黑体"/>
          <w:color w:val="auto"/>
          <w:szCs w:val="24"/>
          <w:highlight w:val="none"/>
        </w:rPr>
        <w:t>：承包人承揽工程项目一览表</w:t>
      </w:r>
      <w:bookmarkEnd w:id="612"/>
    </w:p>
    <w:p w14:paraId="5D793A71">
      <w:pPr>
        <w:spacing w:line="360" w:lineRule="auto"/>
        <w:jc w:val="center"/>
        <w:rPr>
          <w:rFonts w:cs="宋体"/>
          <w:color w:val="auto"/>
          <w:sz w:val="22"/>
          <w:szCs w:val="21"/>
          <w:highlight w:val="none"/>
        </w:rPr>
      </w:pPr>
      <w:r>
        <w:rPr>
          <w:rFonts w:hint="eastAsia" w:cs="宋体"/>
          <w:color w:val="auto"/>
          <w:sz w:val="22"/>
          <w:szCs w:val="21"/>
          <w:highlight w:val="none"/>
        </w:rPr>
        <w:t>承包人承揽工程项目一览表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79"/>
        <w:gridCol w:w="691"/>
        <w:gridCol w:w="1301"/>
        <w:gridCol w:w="691"/>
        <w:gridCol w:w="401"/>
        <w:gridCol w:w="691"/>
        <w:gridCol w:w="982"/>
        <w:gridCol w:w="1244"/>
        <w:gridCol w:w="691"/>
        <w:gridCol w:w="691"/>
      </w:tblGrid>
      <w:tr w14:paraId="4C2A7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6" w:type="pct"/>
            <w:tcBorders>
              <w:top w:val="single" w:color="auto" w:sz="12" w:space="0"/>
              <w:bottom w:val="double" w:color="auto" w:sz="6" w:space="0"/>
            </w:tcBorders>
            <w:vAlign w:val="center"/>
          </w:tcPr>
          <w:p w14:paraId="134933F5">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单位工程名称</w:t>
            </w:r>
          </w:p>
        </w:tc>
        <w:tc>
          <w:tcPr>
            <w:tcW w:w="413" w:type="pct"/>
            <w:tcBorders>
              <w:top w:val="single" w:color="auto" w:sz="12" w:space="0"/>
              <w:bottom w:val="double" w:color="auto" w:sz="6" w:space="0"/>
            </w:tcBorders>
            <w:vAlign w:val="center"/>
          </w:tcPr>
          <w:p w14:paraId="7121B842">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建设规模</w:t>
            </w:r>
          </w:p>
        </w:tc>
        <w:tc>
          <w:tcPr>
            <w:tcW w:w="778" w:type="pct"/>
            <w:tcBorders>
              <w:top w:val="single" w:color="auto" w:sz="12" w:space="0"/>
              <w:bottom w:val="double" w:color="auto" w:sz="6" w:space="0"/>
            </w:tcBorders>
            <w:vAlign w:val="center"/>
          </w:tcPr>
          <w:p w14:paraId="1F26F8AB">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建筑面积（平方米）</w:t>
            </w:r>
          </w:p>
        </w:tc>
        <w:tc>
          <w:tcPr>
            <w:tcW w:w="413" w:type="pct"/>
            <w:tcBorders>
              <w:top w:val="single" w:color="auto" w:sz="12" w:space="0"/>
              <w:bottom w:val="double" w:color="auto" w:sz="6" w:space="0"/>
            </w:tcBorders>
            <w:vAlign w:val="center"/>
          </w:tcPr>
          <w:p w14:paraId="316F1CA7">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结构形式</w:t>
            </w:r>
          </w:p>
        </w:tc>
        <w:tc>
          <w:tcPr>
            <w:tcW w:w="240" w:type="pct"/>
            <w:tcBorders>
              <w:top w:val="single" w:color="auto" w:sz="12" w:space="0"/>
              <w:bottom w:val="double" w:color="auto" w:sz="6" w:space="0"/>
            </w:tcBorders>
            <w:vAlign w:val="center"/>
          </w:tcPr>
          <w:p w14:paraId="3B9857AE">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层数</w:t>
            </w:r>
          </w:p>
        </w:tc>
        <w:tc>
          <w:tcPr>
            <w:tcW w:w="413" w:type="pct"/>
            <w:tcBorders>
              <w:top w:val="single" w:color="auto" w:sz="12" w:space="0"/>
              <w:bottom w:val="double" w:color="auto" w:sz="6" w:space="0"/>
            </w:tcBorders>
            <w:vAlign w:val="center"/>
          </w:tcPr>
          <w:p w14:paraId="01E34697">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生产能力</w:t>
            </w:r>
          </w:p>
        </w:tc>
        <w:tc>
          <w:tcPr>
            <w:tcW w:w="587" w:type="pct"/>
            <w:tcBorders>
              <w:top w:val="single" w:color="auto" w:sz="12" w:space="0"/>
              <w:bottom w:val="double" w:color="auto" w:sz="6" w:space="0"/>
            </w:tcBorders>
            <w:vAlign w:val="center"/>
          </w:tcPr>
          <w:p w14:paraId="7E3F68A8">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设备安装内容</w:t>
            </w:r>
          </w:p>
        </w:tc>
        <w:tc>
          <w:tcPr>
            <w:tcW w:w="744" w:type="pct"/>
            <w:tcBorders>
              <w:top w:val="single" w:color="auto" w:sz="12" w:space="0"/>
              <w:bottom w:val="double" w:color="auto" w:sz="6" w:space="0"/>
            </w:tcBorders>
            <w:vAlign w:val="center"/>
          </w:tcPr>
          <w:p w14:paraId="22F8BFB1">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合同价格（元）</w:t>
            </w:r>
          </w:p>
        </w:tc>
        <w:tc>
          <w:tcPr>
            <w:tcW w:w="413" w:type="pct"/>
            <w:tcBorders>
              <w:top w:val="single" w:color="auto" w:sz="12" w:space="0"/>
              <w:bottom w:val="double" w:color="auto" w:sz="6" w:space="0"/>
            </w:tcBorders>
            <w:vAlign w:val="center"/>
          </w:tcPr>
          <w:p w14:paraId="5028D1EF">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开工日期</w:t>
            </w:r>
          </w:p>
        </w:tc>
        <w:tc>
          <w:tcPr>
            <w:tcW w:w="413" w:type="pct"/>
            <w:tcBorders>
              <w:top w:val="single" w:color="auto" w:sz="12" w:space="0"/>
              <w:bottom w:val="double" w:color="auto" w:sz="6" w:space="0"/>
            </w:tcBorders>
            <w:vAlign w:val="center"/>
          </w:tcPr>
          <w:p w14:paraId="47EBD7EE">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竣工日期</w:t>
            </w:r>
          </w:p>
        </w:tc>
      </w:tr>
      <w:tr w14:paraId="10E3E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6" w:type="pct"/>
            <w:tcBorders>
              <w:top w:val="double" w:color="auto" w:sz="6" w:space="0"/>
            </w:tcBorders>
            <w:vAlign w:val="center"/>
          </w:tcPr>
          <w:p w14:paraId="32B66278">
            <w:pPr>
              <w:keepNext/>
              <w:snapToGrid w:val="0"/>
              <w:spacing w:line="360" w:lineRule="auto"/>
              <w:jc w:val="center"/>
              <w:rPr>
                <w:rFonts w:cs="宋体"/>
                <w:color w:val="auto"/>
                <w:sz w:val="22"/>
                <w:szCs w:val="21"/>
                <w:highlight w:val="none"/>
              </w:rPr>
            </w:pPr>
          </w:p>
        </w:tc>
        <w:tc>
          <w:tcPr>
            <w:tcW w:w="413" w:type="pct"/>
            <w:tcBorders>
              <w:top w:val="double" w:color="auto" w:sz="6" w:space="0"/>
            </w:tcBorders>
            <w:vAlign w:val="center"/>
          </w:tcPr>
          <w:p w14:paraId="05F1AF95">
            <w:pPr>
              <w:keepNext/>
              <w:snapToGrid w:val="0"/>
              <w:spacing w:line="360" w:lineRule="auto"/>
              <w:jc w:val="center"/>
              <w:rPr>
                <w:rFonts w:cs="宋体"/>
                <w:color w:val="auto"/>
                <w:sz w:val="22"/>
                <w:szCs w:val="21"/>
                <w:highlight w:val="none"/>
              </w:rPr>
            </w:pPr>
          </w:p>
        </w:tc>
        <w:tc>
          <w:tcPr>
            <w:tcW w:w="778" w:type="pct"/>
            <w:tcBorders>
              <w:top w:val="double" w:color="auto" w:sz="6" w:space="0"/>
            </w:tcBorders>
            <w:vAlign w:val="center"/>
          </w:tcPr>
          <w:p w14:paraId="58963B30">
            <w:pPr>
              <w:keepNext/>
              <w:snapToGrid w:val="0"/>
              <w:spacing w:line="360" w:lineRule="auto"/>
              <w:jc w:val="center"/>
              <w:rPr>
                <w:rFonts w:cs="宋体"/>
                <w:color w:val="auto"/>
                <w:sz w:val="22"/>
                <w:szCs w:val="21"/>
                <w:highlight w:val="none"/>
              </w:rPr>
            </w:pPr>
          </w:p>
        </w:tc>
        <w:tc>
          <w:tcPr>
            <w:tcW w:w="413" w:type="pct"/>
            <w:tcBorders>
              <w:top w:val="double" w:color="auto" w:sz="6" w:space="0"/>
            </w:tcBorders>
            <w:vAlign w:val="center"/>
          </w:tcPr>
          <w:p w14:paraId="2E4CB5A7">
            <w:pPr>
              <w:keepNext/>
              <w:snapToGrid w:val="0"/>
              <w:spacing w:line="360" w:lineRule="auto"/>
              <w:jc w:val="center"/>
              <w:rPr>
                <w:rFonts w:cs="宋体"/>
                <w:color w:val="auto"/>
                <w:sz w:val="22"/>
                <w:szCs w:val="21"/>
                <w:highlight w:val="none"/>
              </w:rPr>
            </w:pPr>
          </w:p>
        </w:tc>
        <w:tc>
          <w:tcPr>
            <w:tcW w:w="240" w:type="pct"/>
            <w:tcBorders>
              <w:top w:val="double" w:color="auto" w:sz="6" w:space="0"/>
            </w:tcBorders>
            <w:vAlign w:val="center"/>
          </w:tcPr>
          <w:p w14:paraId="359C3162">
            <w:pPr>
              <w:keepNext/>
              <w:snapToGrid w:val="0"/>
              <w:spacing w:line="360" w:lineRule="auto"/>
              <w:jc w:val="center"/>
              <w:rPr>
                <w:rFonts w:cs="宋体"/>
                <w:color w:val="auto"/>
                <w:sz w:val="22"/>
                <w:szCs w:val="21"/>
                <w:highlight w:val="none"/>
              </w:rPr>
            </w:pPr>
          </w:p>
        </w:tc>
        <w:tc>
          <w:tcPr>
            <w:tcW w:w="413" w:type="pct"/>
            <w:tcBorders>
              <w:top w:val="double" w:color="auto" w:sz="6" w:space="0"/>
            </w:tcBorders>
            <w:vAlign w:val="center"/>
          </w:tcPr>
          <w:p w14:paraId="41EEF930">
            <w:pPr>
              <w:keepNext/>
              <w:snapToGrid w:val="0"/>
              <w:spacing w:line="360" w:lineRule="auto"/>
              <w:jc w:val="center"/>
              <w:rPr>
                <w:rFonts w:cs="宋体"/>
                <w:color w:val="auto"/>
                <w:sz w:val="22"/>
                <w:szCs w:val="21"/>
                <w:highlight w:val="none"/>
              </w:rPr>
            </w:pPr>
          </w:p>
        </w:tc>
        <w:tc>
          <w:tcPr>
            <w:tcW w:w="587" w:type="pct"/>
            <w:tcBorders>
              <w:top w:val="double" w:color="auto" w:sz="6" w:space="0"/>
            </w:tcBorders>
            <w:vAlign w:val="center"/>
          </w:tcPr>
          <w:p w14:paraId="4A3725C3">
            <w:pPr>
              <w:keepNext/>
              <w:snapToGrid w:val="0"/>
              <w:spacing w:line="360" w:lineRule="auto"/>
              <w:jc w:val="center"/>
              <w:rPr>
                <w:rFonts w:cs="宋体"/>
                <w:color w:val="auto"/>
                <w:sz w:val="22"/>
                <w:szCs w:val="21"/>
                <w:highlight w:val="none"/>
              </w:rPr>
            </w:pPr>
          </w:p>
        </w:tc>
        <w:tc>
          <w:tcPr>
            <w:tcW w:w="744" w:type="pct"/>
            <w:tcBorders>
              <w:top w:val="double" w:color="auto" w:sz="6" w:space="0"/>
            </w:tcBorders>
            <w:vAlign w:val="center"/>
          </w:tcPr>
          <w:p w14:paraId="10EBD472">
            <w:pPr>
              <w:keepNext/>
              <w:snapToGrid w:val="0"/>
              <w:spacing w:line="360" w:lineRule="auto"/>
              <w:jc w:val="center"/>
              <w:rPr>
                <w:rFonts w:cs="宋体"/>
                <w:color w:val="auto"/>
                <w:sz w:val="22"/>
                <w:szCs w:val="21"/>
                <w:highlight w:val="none"/>
              </w:rPr>
            </w:pPr>
          </w:p>
        </w:tc>
        <w:tc>
          <w:tcPr>
            <w:tcW w:w="413" w:type="pct"/>
            <w:tcBorders>
              <w:top w:val="double" w:color="auto" w:sz="6" w:space="0"/>
            </w:tcBorders>
            <w:vAlign w:val="center"/>
          </w:tcPr>
          <w:p w14:paraId="3A3BB1C3">
            <w:pPr>
              <w:keepNext/>
              <w:snapToGrid w:val="0"/>
              <w:spacing w:line="360" w:lineRule="auto"/>
              <w:jc w:val="center"/>
              <w:rPr>
                <w:rFonts w:cs="宋体"/>
                <w:color w:val="auto"/>
                <w:sz w:val="22"/>
                <w:szCs w:val="21"/>
                <w:highlight w:val="none"/>
              </w:rPr>
            </w:pPr>
          </w:p>
        </w:tc>
        <w:tc>
          <w:tcPr>
            <w:tcW w:w="413" w:type="pct"/>
            <w:tcBorders>
              <w:top w:val="double" w:color="auto" w:sz="6" w:space="0"/>
            </w:tcBorders>
            <w:vAlign w:val="center"/>
          </w:tcPr>
          <w:p w14:paraId="574E26F8">
            <w:pPr>
              <w:keepNext/>
              <w:snapToGrid w:val="0"/>
              <w:spacing w:line="360" w:lineRule="auto"/>
              <w:jc w:val="center"/>
              <w:rPr>
                <w:rFonts w:cs="宋体"/>
                <w:color w:val="auto"/>
                <w:sz w:val="22"/>
                <w:szCs w:val="21"/>
                <w:highlight w:val="none"/>
              </w:rPr>
            </w:pPr>
          </w:p>
        </w:tc>
      </w:tr>
      <w:tr w14:paraId="77136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6" w:type="pct"/>
            <w:tcBorders>
              <w:top w:val="nil"/>
            </w:tcBorders>
            <w:vAlign w:val="center"/>
          </w:tcPr>
          <w:p w14:paraId="3B976D1B">
            <w:pPr>
              <w:keepNext/>
              <w:snapToGrid w:val="0"/>
              <w:spacing w:line="360" w:lineRule="auto"/>
              <w:jc w:val="center"/>
              <w:rPr>
                <w:rFonts w:cs="宋体"/>
                <w:color w:val="auto"/>
                <w:sz w:val="22"/>
                <w:szCs w:val="21"/>
                <w:highlight w:val="none"/>
              </w:rPr>
            </w:pPr>
          </w:p>
        </w:tc>
        <w:tc>
          <w:tcPr>
            <w:tcW w:w="413" w:type="pct"/>
            <w:tcBorders>
              <w:top w:val="nil"/>
            </w:tcBorders>
            <w:vAlign w:val="center"/>
          </w:tcPr>
          <w:p w14:paraId="6A4D2094">
            <w:pPr>
              <w:keepNext/>
              <w:snapToGrid w:val="0"/>
              <w:spacing w:line="360" w:lineRule="auto"/>
              <w:jc w:val="center"/>
              <w:rPr>
                <w:rFonts w:cs="宋体"/>
                <w:color w:val="auto"/>
                <w:sz w:val="22"/>
                <w:szCs w:val="21"/>
                <w:highlight w:val="none"/>
              </w:rPr>
            </w:pPr>
          </w:p>
        </w:tc>
        <w:tc>
          <w:tcPr>
            <w:tcW w:w="778" w:type="pct"/>
            <w:tcBorders>
              <w:top w:val="nil"/>
            </w:tcBorders>
            <w:vAlign w:val="center"/>
          </w:tcPr>
          <w:p w14:paraId="7BB61352">
            <w:pPr>
              <w:keepNext/>
              <w:snapToGrid w:val="0"/>
              <w:spacing w:line="360" w:lineRule="auto"/>
              <w:jc w:val="center"/>
              <w:rPr>
                <w:rFonts w:cs="宋体"/>
                <w:color w:val="auto"/>
                <w:sz w:val="22"/>
                <w:szCs w:val="21"/>
                <w:highlight w:val="none"/>
              </w:rPr>
            </w:pPr>
          </w:p>
        </w:tc>
        <w:tc>
          <w:tcPr>
            <w:tcW w:w="413" w:type="pct"/>
            <w:tcBorders>
              <w:top w:val="nil"/>
            </w:tcBorders>
            <w:vAlign w:val="center"/>
          </w:tcPr>
          <w:p w14:paraId="4D6DA3A4">
            <w:pPr>
              <w:keepNext/>
              <w:snapToGrid w:val="0"/>
              <w:spacing w:line="360" w:lineRule="auto"/>
              <w:jc w:val="center"/>
              <w:rPr>
                <w:rFonts w:cs="宋体"/>
                <w:color w:val="auto"/>
                <w:sz w:val="22"/>
                <w:szCs w:val="21"/>
                <w:highlight w:val="none"/>
              </w:rPr>
            </w:pPr>
          </w:p>
        </w:tc>
        <w:tc>
          <w:tcPr>
            <w:tcW w:w="240" w:type="pct"/>
            <w:tcBorders>
              <w:top w:val="nil"/>
            </w:tcBorders>
            <w:vAlign w:val="center"/>
          </w:tcPr>
          <w:p w14:paraId="4F43D996">
            <w:pPr>
              <w:keepNext/>
              <w:snapToGrid w:val="0"/>
              <w:spacing w:line="360" w:lineRule="auto"/>
              <w:jc w:val="center"/>
              <w:rPr>
                <w:rFonts w:cs="宋体"/>
                <w:color w:val="auto"/>
                <w:sz w:val="22"/>
                <w:szCs w:val="21"/>
                <w:highlight w:val="none"/>
              </w:rPr>
            </w:pPr>
          </w:p>
        </w:tc>
        <w:tc>
          <w:tcPr>
            <w:tcW w:w="413" w:type="pct"/>
            <w:tcBorders>
              <w:top w:val="nil"/>
            </w:tcBorders>
            <w:vAlign w:val="center"/>
          </w:tcPr>
          <w:p w14:paraId="71C480D1">
            <w:pPr>
              <w:keepNext/>
              <w:snapToGrid w:val="0"/>
              <w:spacing w:line="360" w:lineRule="auto"/>
              <w:jc w:val="center"/>
              <w:rPr>
                <w:rFonts w:cs="宋体"/>
                <w:color w:val="auto"/>
                <w:sz w:val="22"/>
                <w:szCs w:val="21"/>
                <w:highlight w:val="none"/>
              </w:rPr>
            </w:pPr>
          </w:p>
        </w:tc>
        <w:tc>
          <w:tcPr>
            <w:tcW w:w="587" w:type="pct"/>
            <w:tcBorders>
              <w:top w:val="nil"/>
            </w:tcBorders>
            <w:vAlign w:val="center"/>
          </w:tcPr>
          <w:p w14:paraId="30A48C69">
            <w:pPr>
              <w:keepNext/>
              <w:snapToGrid w:val="0"/>
              <w:spacing w:line="360" w:lineRule="auto"/>
              <w:jc w:val="center"/>
              <w:rPr>
                <w:rFonts w:cs="宋体"/>
                <w:color w:val="auto"/>
                <w:sz w:val="22"/>
                <w:szCs w:val="21"/>
                <w:highlight w:val="none"/>
              </w:rPr>
            </w:pPr>
          </w:p>
        </w:tc>
        <w:tc>
          <w:tcPr>
            <w:tcW w:w="744" w:type="pct"/>
            <w:tcBorders>
              <w:top w:val="nil"/>
            </w:tcBorders>
            <w:vAlign w:val="center"/>
          </w:tcPr>
          <w:p w14:paraId="1567578D">
            <w:pPr>
              <w:keepNext/>
              <w:snapToGrid w:val="0"/>
              <w:spacing w:line="360" w:lineRule="auto"/>
              <w:jc w:val="center"/>
              <w:rPr>
                <w:rFonts w:cs="宋体"/>
                <w:color w:val="auto"/>
                <w:sz w:val="22"/>
                <w:szCs w:val="21"/>
                <w:highlight w:val="none"/>
              </w:rPr>
            </w:pPr>
          </w:p>
        </w:tc>
        <w:tc>
          <w:tcPr>
            <w:tcW w:w="413" w:type="pct"/>
            <w:tcBorders>
              <w:top w:val="nil"/>
            </w:tcBorders>
            <w:vAlign w:val="center"/>
          </w:tcPr>
          <w:p w14:paraId="76290567">
            <w:pPr>
              <w:keepNext/>
              <w:snapToGrid w:val="0"/>
              <w:spacing w:line="360" w:lineRule="auto"/>
              <w:jc w:val="center"/>
              <w:rPr>
                <w:rFonts w:cs="宋体"/>
                <w:color w:val="auto"/>
                <w:sz w:val="22"/>
                <w:szCs w:val="21"/>
                <w:highlight w:val="none"/>
              </w:rPr>
            </w:pPr>
          </w:p>
        </w:tc>
        <w:tc>
          <w:tcPr>
            <w:tcW w:w="413" w:type="pct"/>
            <w:tcBorders>
              <w:top w:val="nil"/>
            </w:tcBorders>
            <w:vAlign w:val="center"/>
          </w:tcPr>
          <w:p w14:paraId="6218FFDD">
            <w:pPr>
              <w:keepNext/>
              <w:snapToGrid w:val="0"/>
              <w:spacing w:line="360" w:lineRule="auto"/>
              <w:jc w:val="center"/>
              <w:rPr>
                <w:rFonts w:cs="宋体"/>
                <w:color w:val="auto"/>
                <w:sz w:val="22"/>
                <w:szCs w:val="21"/>
                <w:highlight w:val="none"/>
              </w:rPr>
            </w:pPr>
          </w:p>
        </w:tc>
      </w:tr>
      <w:tr w14:paraId="61571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6" w:type="pct"/>
            <w:tcBorders>
              <w:top w:val="nil"/>
            </w:tcBorders>
            <w:vAlign w:val="center"/>
          </w:tcPr>
          <w:p w14:paraId="6A29B0FE">
            <w:pPr>
              <w:keepNext/>
              <w:snapToGrid w:val="0"/>
              <w:spacing w:line="360" w:lineRule="auto"/>
              <w:jc w:val="center"/>
              <w:rPr>
                <w:rFonts w:cs="宋体"/>
                <w:color w:val="auto"/>
                <w:sz w:val="22"/>
                <w:szCs w:val="21"/>
                <w:highlight w:val="none"/>
              </w:rPr>
            </w:pPr>
          </w:p>
        </w:tc>
        <w:tc>
          <w:tcPr>
            <w:tcW w:w="413" w:type="pct"/>
            <w:tcBorders>
              <w:top w:val="nil"/>
            </w:tcBorders>
            <w:vAlign w:val="center"/>
          </w:tcPr>
          <w:p w14:paraId="5ED586D7">
            <w:pPr>
              <w:keepNext/>
              <w:snapToGrid w:val="0"/>
              <w:spacing w:line="360" w:lineRule="auto"/>
              <w:jc w:val="center"/>
              <w:rPr>
                <w:rFonts w:cs="宋体"/>
                <w:color w:val="auto"/>
                <w:sz w:val="22"/>
                <w:szCs w:val="21"/>
                <w:highlight w:val="none"/>
              </w:rPr>
            </w:pPr>
          </w:p>
        </w:tc>
        <w:tc>
          <w:tcPr>
            <w:tcW w:w="778" w:type="pct"/>
            <w:tcBorders>
              <w:top w:val="nil"/>
            </w:tcBorders>
            <w:vAlign w:val="center"/>
          </w:tcPr>
          <w:p w14:paraId="3BCCDA1F">
            <w:pPr>
              <w:keepNext/>
              <w:snapToGrid w:val="0"/>
              <w:spacing w:line="360" w:lineRule="auto"/>
              <w:jc w:val="center"/>
              <w:rPr>
                <w:rFonts w:cs="宋体"/>
                <w:color w:val="auto"/>
                <w:sz w:val="22"/>
                <w:szCs w:val="21"/>
                <w:highlight w:val="none"/>
              </w:rPr>
            </w:pPr>
          </w:p>
        </w:tc>
        <w:tc>
          <w:tcPr>
            <w:tcW w:w="413" w:type="pct"/>
            <w:tcBorders>
              <w:top w:val="nil"/>
            </w:tcBorders>
            <w:vAlign w:val="center"/>
          </w:tcPr>
          <w:p w14:paraId="206D3A1E">
            <w:pPr>
              <w:keepNext/>
              <w:snapToGrid w:val="0"/>
              <w:spacing w:line="360" w:lineRule="auto"/>
              <w:jc w:val="center"/>
              <w:rPr>
                <w:rFonts w:cs="宋体"/>
                <w:color w:val="auto"/>
                <w:sz w:val="22"/>
                <w:szCs w:val="21"/>
                <w:highlight w:val="none"/>
              </w:rPr>
            </w:pPr>
          </w:p>
        </w:tc>
        <w:tc>
          <w:tcPr>
            <w:tcW w:w="240" w:type="pct"/>
            <w:tcBorders>
              <w:top w:val="nil"/>
            </w:tcBorders>
            <w:vAlign w:val="center"/>
          </w:tcPr>
          <w:p w14:paraId="6AFD6392">
            <w:pPr>
              <w:keepNext/>
              <w:snapToGrid w:val="0"/>
              <w:spacing w:line="360" w:lineRule="auto"/>
              <w:jc w:val="center"/>
              <w:rPr>
                <w:rFonts w:cs="宋体"/>
                <w:color w:val="auto"/>
                <w:sz w:val="22"/>
                <w:szCs w:val="21"/>
                <w:highlight w:val="none"/>
              </w:rPr>
            </w:pPr>
          </w:p>
        </w:tc>
        <w:tc>
          <w:tcPr>
            <w:tcW w:w="413" w:type="pct"/>
            <w:tcBorders>
              <w:top w:val="nil"/>
            </w:tcBorders>
            <w:vAlign w:val="center"/>
          </w:tcPr>
          <w:p w14:paraId="1E315D3E">
            <w:pPr>
              <w:keepNext/>
              <w:snapToGrid w:val="0"/>
              <w:spacing w:line="360" w:lineRule="auto"/>
              <w:jc w:val="center"/>
              <w:rPr>
                <w:rFonts w:cs="宋体"/>
                <w:color w:val="auto"/>
                <w:sz w:val="22"/>
                <w:szCs w:val="21"/>
                <w:highlight w:val="none"/>
              </w:rPr>
            </w:pPr>
          </w:p>
        </w:tc>
        <w:tc>
          <w:tcPr>
            <w:tcW w:w="587" w:type="pct"/>
            <w:tcBorders>
              <w:top w:val="nil"/>
            </w:tcBorders>
            <w:vAlign w:val="center"/>
          </w:tcPr>
          <w:p w14:paraId="0E7C8601">
            <w:pPr>
              <w:keepNext/>
              <w:snapToGrid w:val="0"/>
              <w:spacing w:line="360" w:lineRule="auto"/>
              <w:jc w:val="center"/>
              <w:rPr>
                <w:rFonts w:cs="宋体"/>
                <w:color w:val="auto"/>
                <w:sz w:val="22"/>
                <w:szCs w:val="21"/>
                <w:highlight w:val="none"/>
              </w:rPr>
            </w:pPr>
          </w:p>
        </w:tc>
        <w:tc>
          <w:tcPr>
            <w:tcW w:w="744" w:type="pct"/>
            <w:tcBorders>
              <w:top w:val="nil"/>
            </w:tcBorders>
            <w:vAlign w:val="center"/>
          </w:tcPr>
          <w:p w14:paraId="6CF5CEAB">
            <w:pPr>
              <w:keepNext/>
              <w:snapToGrid w:val="0"/>
              <w:spacing w:line="360" w:lineRule="auto"/>
              <w:jc w:val="center"/>
              <w:rPr>
                <w:rFonts w:cs="宋体"/>
                <w:color w:val="auto"/>
                <w:sz w:val="22"/>
                <w:szCs w:val="21"/>
                <w:highlight w:val="none"/>
              </w:rPr>
            </w:pPr>
          </w:p>
        </w:tc>
        <w:tc>
          <w:tcPr>
            <w:tcW w:w="413" w:type="pct"/>
            <w:tcBorders>
              <w:top w:val="nil"/>
            </w:tcBorders>
            <w:vAlign w:val="center"/>
          </w:tcPr>
          <w:p w14:paraId="437F99B4">
            <w:pPr>
              <w:keepNext/>
              <w:snapToGrid w:val="0"/>
              <w:spacing w:line="360" w:lineRule="auto"/>
              <w:jc w:val="center"/>
              <w:rPr>
                <w:rFonts w:cs="宋体"/>
                <w:color w:val="auto"/>
                <w:sz w:val="22"/>
                <w:szCs w:val="21"/>
                <w:highlight w:val="none"/>
              </w:rPr>
            </w:pPr>
          </w:p>
        </w:tc>
        <w:tc>
          <w:tcPr>
            <w:tcW w:w="413" w:type="pct"/>
            <w:tcBorders>
              <w:top w:val="nil"/>
            </w:tcBorders>
            <w:vAlign w:val="center"/>
          </w:tcPr>
          <w:p w14:paraId="4561A05F">
            <w:pPr>
              <w:keepNext/>
              <w:snapToGrid w:val="0"/>
              <w:spacing w:line="360" w:lineRule="auto"/>
              <w:jc w:val="center"/>
              <w:rPr>
                <w:rFonts w:cs="宋体"/>
                <w:color w:val="auto"/>
                <w:sz w:val="22"/>
                <w:szCs w:val="21"/>
                <w:highlight w:val="none"/>
              </w:rPr>
            </w:pPr>
          </w:p>
        </w:tc>
      </w:tr>
      <w:tr w14:paraId="45DBC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6" w:type="pct"/>
            <w:tcBorders>
              <w:bottom w:val="single" w:color="auto" w:sz="12" w:space="0"/>
            </w:tcBorders>
            <w:vAlign w:val="center"/>
          </w:tcPr>
          <w:p w14:paraId="0F648FE1">
            <w:pPr>
              <w:keepNext/>
              <w:snapToGrid w:val="0"/>
              <w:spacing w:line="360" w:lineRule="auto"/>
              <w:jc w:val="center"/>
              <w:rPr>
                <w:rFonts w:cs="宋体"/>
                <w:color w:val="auto"/>
                <w:sz w:val="22"/>
                <w:szCs w:val="21"/>
                <w:highlight w:val="none"/>
              </w:rPr>
            </w:pPr>
          </w:p>
        </w:tc>
        <w:tc>
          <w:tcPr>
            <w:tcW w:w="413" w:type="pct"/>
            <w:tcBorders>
              <w:bottom w:val="single" w:color="auto" w:sz="12" w:space="0"/>
            </w:tcBorders>
            <w:vAlign w:val="center"/>
          </w:tcPr>
          <w:p w14:paraId="5C87FB80">
            <w:pPr>
              <w:keepNext/>
              <w:snapToGrid w:val="0"/>
              <w:spacing w:line="360" w:lineRule="auto"/>
              <w:jc w:val="center"/>
              <w:rPr>
                <w:rFonts w:cs="宋体"/>
                <w:color w:val="auto"/>
                <w:sz w:val="22"/>
                <w:szCs w:val="21"/>
                <w:highlight w:val="none"/>
              </w:rPr>
            </w:pPr>
          </w:p>
        </w:tc>
        <w:tc>
          <w:tcPr>
            <w:tcW w:w="778" w:type="pct"/>
            <w:tcBorders>
              <w:bottom w:val="single" w:color="auto" w:sz="12" w:space="0"/>
            </w:tcBorders>
            <w:vAlign w:val="center"/>
          </w:tcPr>
          <w:p w14:paraId="58D49F00">
            <w:pPr>
              <w:keepNext/>
              <w:snapToGrid w:val="0"/>
              <w:spacing w:line="360" w:lineRule="auto"/>
              <w:jc w:val="center"/>
              <w:rPr>
                <w:rFonts w:cs="宋体"/>
                <w:color w:val="auto"/>
                <w:sz w:val="22"/>
                <w:szCs w:val="21"/>
                <w:highlight w:val="none"/>
              </w:rPr>
            </w:pPr>
          </w:p>
        </w:tc>
        <w:tc>
          <w:tcPr>
            <w:tcW w:w="413" w:type="pct"/>
            <w:tcBorders>
              <w:bottom w:val="single" w:color="auto" w:sz="12" w:space="0"/>
            </w:tcBorders>
            <w:vAlign w:val="center"/>
          </w:tcPr>
          <w:p w14:paraId="365EC515">
            <w:pPr>
              <w:keepNext/>
              <w:snapToGrid w:val="0"/>
              <w:spacing w:line="360" w:lineRule="auto"/>
              <w:jc w:val="center"/>
              <w:rPr>
                <w:rFonts w:cs="宋体"/>
                <w:color w:val="auto"/>
                <w:sz w:val="22"/>
                <w:szCs w:val="21"/>
                <w:highlight w:val="none"/>
              </w:rPr>
            </w:pPr>
          </w:p>
        </w:tc>
        <w:tc>
          <w:tcPr>
            <w:tcW w:w="240" w:type="pct"/>
            <w:tcBorders>
              <w:bottom w:val="single" w:color="auto" w:sz="12" w:space="0"/>
            </w:tcBorders>
            <w:vAlign w:val="center"/>
          </w:tcPr>
          <w:p w14:paraId="28525ACD">
            <w:pPr>
              <w:keepNext/>
              <w:snapToGrid w:val="0"/>
              <w:spacing w:line="360" w:lineRule="auto"/>
              <w:jc w:val="center"/>
              <w:rPr>
                <w:rFonts w:cs="宋体"/>
                <w:color w:val="auto"/>
                <w:sz w:val="22"/>
                <w:szCs w:val="21"/>
                <w:highlight w:val="none"/>
              </w:rPr>
            </w:pPr>
          </w:p>
        </w:tc>
        <w:tc>
          <w:tcPr>
            <w:tcW w:w="413" w:type="pct"/>
            <w:tcBorders>
              <w:bottom w:val="single" w:color="auto" w:sz="12" w:space="0"/>
            </w:tcBorders>
            <w:vAlign w:val="center"/>
          </w:tcPr>
          <w:p w14:paraId="48380294">
            <w:pPr>
              <w:keepNext/>
              <w:snapToGrid w:val="0"/>
              <w:spacing w:line="360" w:lineRule="auto"/>
              <w:jc w:val="center"/>
              <w:rPr>
                <w:rFonts w:cs="宋体"/>
                <w:color w:val="auto"/>
                <w:sz w:val="22"/>
                <w:szCs w:val="21"/>
                <w:highlight w:val="none"/>
              </w:rPr>
            </w:pPr>
          </w:p>
        </w:tc>
        <w:tc>
          <w:tcPr>
            <w:tcW w:w="587" w:type="pct"/>
            <w:tcBorders>
              <w:bottom w:val="single" w:color="auto" w:sz="12" w:space="0"/>
            </w:tcBorders>
            <w:vAlign w:val="center"/>
          </w:tcPr>
          <w:p w14:paraId="438B1F00">
            <w:pPr>
              <w:keepNext/>
              <w:snapToGrid w:val="0"/>
              <w:spacing w:line="360" w:lineRule="auto"/>
              <w:jc w:val="center"/>
              <w:rPr>
                <w:rFonts w:cs="宋体"/>
                <w:color w:val="auto"/>
                <w:sz w:val="22"/>
                <w:szCs w:val="21"/>
                <w:highlight w:val="none"/>
              </w:rPr>
            </w:pPr>
          </w:p>
        </w:tc>
        <w:tc>
          <w:tcPr>
            <w:tcW w:w="744" w:type="pct"/>
            <w:tcBorders>
              <w:bottom w:val="single" w:color="auto" w:sz="12" w:space="0"/>
            </w:tcBorders>
            <w:vAlign w:val="center"/>
          </w:tcPr>
          <w:p w14:paraId="147CD5B2">
            <w:pPr>
              <w:keepNext/>
              <w:snapToGrid w:val="0"/>
              <w:spacing w:line="360" w:lineRule="auto"/>
              <w:jc w:val="center"/>
              <w:rPr>
                <w:rFonts w:cs="宋体"/>
                <w:color w:val="auto"/>
                <w:sz w:val="22"/>
                <w:szCs w:val="21"/>
                <w:highlight w:val="none"/>
              </w:rPr>
            </w:pPr>
          </w:p>
        </w:tc>
        <w:tc>
          <w:tcPr>
            <w:tcW w:w="413" w:type="pct"/>
            <w:tcBorders>
              <w:bottom w:val="single" w:color="auto" w:sz="12" w:space="0"/>
            </w:tcBorders>
            <w:vAlign w:val="center"/>
          </w:tcPr>
          <w:p w14:paraId="5AF5B300">
            <w:pPr>
              <w:keepNext/>
              <w:snapToGrid w:val="0"/>
              <w:spacing w:line="360" w:lineRule="auto"/>
              <w:jc w:val="center"/>
              <w:rPr>
                <w:rFonts w:cs="宋体"/>
                <w:color w:val="auto"/>
                <w:sz w:val="22"/>
                <w:szCs w:val="21"/>
                <w:highlight w:val="none"/>
              </w:rPr>
            </w:pPr>
          </w:p>
        </w:tc>
        <w:tc>
          <w:tcPr>
            <w:tcW w:w="413" w:type="pct"/>
            <w:tcBorders>
              <w:bottom w:val="single" w:color="auto" w:sz="12" w:space="0"/>
            </w:tcBorders>
            <w:vAlign w:val="center"/>
          </w:tcPr>
          <w:p w14:paraId="0F6233FF">
            <w:pPr>
              <w:keepNext/>
              <w:snapToGrid w:val="0"/>
              <w:spacing w:line="360" w:lineRule="auto"/>
              <w:jc w:val="center"/>
              <w:rPr>
                <w:rFonts w:cs="宋体"/>
                <w:color w:val="auto"/>
                <w:sz w:val="22"/>
                <w:szCs w:val="21"/>
                <w:highlight w:val="none"/>
              </w:rPr>
            </w:pPr>
          </w:p>
        </w:tc>
      </w:tr>
    </w:tbl>
    <w:p w14:paraId="76F49E7B">
      <w:pPr>
        <w:spacing w:before="312" w:beforeLines="100" w:after="312" w:afterLines="100"/>
        <w:outlineLvl w:val="2"/>
        <w:rPr>
          <w:rFonts w:ascii="Times New Roman" w:eastAsia="黑体"/>
          <w:color w:val="auto"/>
          <w:szCs w:val="24"/>
          <w:highlight w:val="none"/>
        </w:rPr>
      </w:pPr>
      <w:r>
        <w:rPr>
          <w:rFonts w:hint="eastAsia" w:ascii="Times New Roman" w:eastAsia="黑体"/>
          <w:bCs/>
          <w:color w:val="auto"/>
          <w:highlight w:val="none"/>
        </w:rPr>
        <w:br w:type="page"/>
      </w:r>
      <w:bookmarkStart w:id="613" w:name="_Toc128950236"/>
      <w:r>
        <w:rPr>
          <w:rFonts w:hint="eastAsia" w:ascii="Times New Roman" w:eastAsia="黑体"/>
          <w:color w:val="auto"/>
          <w:szCs w:val="24"/>
          <w:highlight w:val="none"/>
        </w:rPr>
        <w:t>附</w:t>
      </w:r>
      <w:bookmarkStart w:id="614" w:name="_Toc296944564"/>
      <w:bookmarkStart w:id="615" w:name="_Toc296503225"/>
      <w:bookmarkStart w:id="616" w:name="_Toc296347224"/>
      <w:bookmarkStart w:id="617" w:name="_Toc296891265"/>
      <w:bookmarkStart w:id="618" w:name="_Toc296891053"/>
      <w:bookmarkStart w:id="619" w:name="_Toc296346726"/>
      <w:bookmarkStart w:id="620" w:name="_Toc267261692"/>
      <w:r>
        <w:rPr>
          <w:rFonts w:hint="eastAsia" w:ascii="Times New Roman" w:eastAsia="黑体"/>
          <w:color w:val="auto"/>
          <w:szCs w:val="24"/>
          <w:highlight w:val="none"/>
        </w:rPr>
        <w:t>件</w:t>
      </w:r>
      <w:r>
        <w:rPr>
          <w:rFonts w:ascii="Times New Roman" w:eastAsia="黑体"/>
          <w:color w:val="auto"/>
          <w:szCs w:val="24"/>
          <w:highlight w:val="none"/>
        </w:rPr>
        <w:t>2</w:t>
      </w:r>
      <w:r>
        <w:rPr>
          <w:rFonts w:hint="eastAsia" w:ascii="Times New Roman" w:eastAsia="黑体"/>
          <w:color w:val="auto"/>
          <w:szCs w:val="24"/>
          <w:highlight w:val="none"/>
        </w:rPr>
        <w:t>：发包人供应材料设备一览表</w:t>
      </w:r>
      <w:bookmarkEnd w:id="613"/>
    </w:p>
    <w:bookmarkEnd w:id="614"/>
    <w:bookmarkEnd w:id="615"/>
    <w:bookmarkEnd w:id="616"/>
    <w:bookmarkEnd w:id="617"/>
    <w:bookmarkEnd w:id="618"/>
    <w:bookmarkEnd w:id="619"/>
    <w:bookmarkEnd w:id="620"/>
    <w:p w14:paraId="2704871C">
      <w:pPr>
        <w:spacing w:line="360" w:lineRule="auto"/>
        <w:jc w:val="center"/>
        <w:rPr>
          <w:rFonts w:cs="宋体"/>
          <w:color w:val="auto"/>
          <w:sz w:val="22"/>
          <w:szCs w:val="21"/>
          <w:highlight w:val="none"/>
        </w:rPr>
      </w:pPr>
      <w:r>
        <w:rPr>
          <w:rFonts w:hint="eastAsia" w:cs="宋体"/>
          <w:color w:val="auto"/>
          <w:sz w:val="22"/>
          <w:szCs w:val="21"/>
          <w:highlight w:val="none"/>
        </w:rPr>
        <w:t>发包人供应材料设备一览表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88"/>
        <w:gridCol w:w="1574"/>
        <w:gridCol w:w="923"/>
        <w:gridCol w:w="488"/>
        <w:gridCol w:w="488"/>
        <w:gridCol w:w="1141"/>
        <w:gridCol w:w="923"/>
        <w:gridCol w:w="924"/>
        <w:gridCol w:w="924"/>
        <w:gridCol w:w="489"/>
      </w:tblGrid>
      <w:tr w14:paraId="751B9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292" w:type="pct"/>
            <w:tcBorders>
              <w:top w:val="single" w:color="auto" w:sz="12" w:space="0"/>
              <w:bottom w:val="double" w:color="auto" w:sz="6" w:space="0"/>
            </w:tcBorders>
            <w:vAlign w:val="center"/>
          </w:tcPr>
          <w:p w14:paraId="0820BD4D">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序号</w:t>
            </w:r>
          </w:p>
        </w:tc>
        <w:tc>
          <w:tcPr>
            <w:tcW w:w="941" w:type="pct"/>
            <w:tcBorders>
              <w:top w:val="single" w:color="auto" w:sz="12" w:space="0"/>
              <w:bottom w:val="double" w:color="auto" w:sz="6" w:space="0"/>
            </w:tcBorders>
            <w:vAlign w:val="center"/>
          </w:tcPr>
          <w:p w14:paraId="4516A072">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材料、设备品种</w:t>
            </w:r>
          </w:p>
        </w:tc>
        <w:tc>
          <w:tcPr>
            <w:tcW w:w="552" w:type="pct"/>
            <w:tcBorders>
              <w:top w:val="single" w:color="auto" w:sz="12" w:space="0"/>
              <w:bottom w:val="double" w:color="auto" w:sz="6" w:space="0"/>
            </w:tcBorders>
            <w:vAlign w:val="center"/>
          </w:tcPr>
          <w:p w14:paraId="1EE5FECC">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规格型号</w:t>
            </w:r>
          </w:p>
        </w:tc>
        <w:tc>
          <w:tcPr>
            <w:tcW w:w="292" w:type="pct"/>
            <w:tcBorders>
              <w:top w:val="single" w:color="auto" w:sz="12" w:space="0"/>
              <w:bottom w:val="double" w:color="auto" w:sz="6" w:space="0"/>
            </w:tcBorders>
            <w:vAlign w:val="center"/>
          </w:tcPr>
          <w:p w14:paraId="1F2D1383">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单位</w:t>
            </w:r>
          </w:p>
        </w:tc>
        <w:tc>
          <w:tcPr>
            <w:tcW w:w="292" w:type="pct"/>
            <w:tcBorders>
              <w:top w:val="single" w:color="auto" w:sz="12" w:space="0"/>
              <w:bottom w:val="double" w:color="auto" w:sz="6" w:space="0"/>
            </w:tcBorders>
            <w:vAlign w:val="center"/>
          </w:tcPr>
          <w:p w14:paraId="0BCCA169">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数量</w:t>
            </w:r>
          </w:p>
        </w:tc>
        <w:tc>
          <w:tcPr>
            <w:tcW w:w="682" w:type="pct"/>
            <w:tcBorders>
              <w:top w:val="single" w:color="auto" w:sz="12" w:space="0"/>
              <w:bottom w:val="double" w:color="auto" w:sz="6" w:space="0"/>
            </w:tcBorders>
            <w:vAlign w:val="center"/>
          </w:tcPr>
          <w:p w14:paraId="390FD9A4">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单价（元）</w:t>
            </w:r>
          </w:p>
        </w:tc>
        <w:tc>
          <w:tcPr>
            <w:tcW w:w="552" w:type="pct"/>
            <w:tcBorders>
              <w:top w:val="single" w:color="auto" w:sz="12" w:space="0"/>
              <w:bottom w:val="double" w:color="auto" w:sz="6" w:space="0"/>
            </w:tcBorders>
            <w:vAlign w:val="center"/>
          </w:tcPr>
          <w:p w14:paraId="34A67606">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质量等级</w:t>
            </w:r>
          </w:p>
        </w:tc>
        <w:tc>
          <w:tcPr>
            <w:tcW w:w="552" w:type="pct"/>
            <w:tcBorders>
              <w:top w:val="single" w:color="auto" w:sz="12" w:space="0"/>
              <w:bottom w:val="double" w:color="auto" w:sz="6" w:space="0"/>
            </w:tcBorders>
            <w:vAlign w:val="center"/>
          </w:tcPr>
          <w:p w14:paraId="6FD5FFDB">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供应时间</w:t>
            </w:r>
          </w:p>
        </w:tc>
        <w:tc>
          <w:tcPr>
            <w:tcW w:w="552" w:type="pct"/>
            <w:tcBorders>
              <w:top w:val="single" w:color="auto" w:sz="12" w:space="0"/>
              <w:bottom w:val="double" w:color="auto" w:sz="6" w:space="0"/>
            </w:tcBorders>
            <w:vAlign w:val="center"/>
          </w:tcPr>
          <w:p w14:paraId="0F75E84C">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送达地点</w:t>
            </w:r>
          </w:p>
        </w:tc>
        <w:tc>
          <w:tcPr>
            <w:tcW w:w="292" w:type="pct"/>
            <w:tcBorders>
              <w:top w:val="single" w:color="auto" w:sz="12" w:space="0"/>
              <w:bottom w:val="double" w:color="auto" w:sz="6" w:space="0"/>
            </w:tcBorders>
            <w:vAlign w:val="center"/>
          </w:tcPr>
          <w:p w14:paraId="5142D4AE">
            <w:pPr>
              <w:keepNext/>
              <w:snapToGrid w:val="0"/>
              <w:spacing w:line="360" w:lineRule="auto"/>
              <w:jc w:val="center"/>
              <w:rPr>
                <w:rFonts w:cs="宋体"/>
                <w:color w:val="auto"/>
                <w:sz w:val="22"/>
                <w:szCs w:val="21"/>
                <w:highlight w:val="none"/>
              </w:rPr>
            </w:pPr>
            <w:r>
              <w:rPr>
                <w:rFonts w:hint="eastAsia" w:cs="宋体"/>
                <w:color w:val="auto"/>
                <w:sz w:val="22"/>
                <w:szCs w:val="21"/>
                <w:highlight w:val="none"/>
              </w:rPr>
              <w:t>备注</w:t>
            </w:r>
          </w:p>
        </w:tc>
      </w:tr>
      <w:tr w14:paraId="7BD8B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92" w:type="pct"/>
            <w:tcBorders>
              <w:top w:val="double" w:color="auto" w:sz="6" w:space="0"/>
            </w:tcBorders>
            <w:vAlign w:val="center"/>
          </w:tcPr>
          <w:p w14:paraId="7EECFB5D">
            <w:pPr>
              <w:keepNext/>
              <w:snapToGrid w:val="0"/>
              <w:spacing w:line="360" w:lineRule="auto"/>
              <w:jc w:val="center"/>
              <w:rPr>
                <w:rFonts w:cs="宋体"/>
                <w:color w:val="auto"/>
                <w:sz w:val="22"/>
                <w:szCs w:val="21"/>
                <w:highlight w:val="none"/>
              </w:rPr>
            </w:pPr>
          </w:p>
        </w:tc>
        <w:tc>
          <w:tcPr>
            <w:tcW w:w="941" w:type="pct"/>
            <w:tcBorders>
              <w:top w:val="double" w:color="auto" w:sz="6" w:space="0"/>
            </w:tcBorders>
            <w:vAlign w:val="center"/>
          </w:tcPr>
          <w:p w14:paraId="56B48274">
            <w:pPr>
              <w:keepNext/>
              <w:snapToGrid w:val="0"/>
              <w:spacing w:line="360" w:lineRule="auto"/>
              <w:jc w:val="center"/>
              <w:rPr>
                <w:rFonts w:cs="宋体"/>
                <w:color w:val="auto"/>
                <w:sz w:val="22"/>
                <w:szCs w:val="21"/>
                <w:highlight w:val="none"/>
              </w:rPr>
            </w:pPr>
          </w:p>
        </w:tc>
        <w:tc>
          <w:tcPr>
            <w:tcW w:w="552" w:type="pct"/>
            <w:tcBorders>
              <w:top w:val="double" w:color="auto" w:sz="6" w:space="0"/>
            </w:tcBorders>
            <w:vAlign w:val="center"/>
          </w:tcPr>
          <w:p w14:paraId="539EDBFF">
            <w:pPr>
              <w:keepNext/>
              <w:snapToGrid w:val="0"/>
              <w:spacing w:line="360" w:lineRule="auto"/>
              <w:jc w:val="center"/>
              <w:rPr>
                <w:rFonts w:cs="宋体"/>
                <w:color w:val="auto"/>
                <w:sz w:val="22"/>
                <w:szCs w:val="21"/>
                <w:highlight w:val="none"/>
              </w:rPr>
            </w:pPr>
          </w:p>
        </w:tc>
        <w:tc>
          <w:tcPr>
            <w:tcW w:w="292" w:type="pct"/>
            <w:tcBorders>
              <w:top w:val="double" w:color="auto" w:sz="6" w:space="0"/>
            </w:tcBorders>
            <w:vAlign w:val="center"/>
          </w:tcPr>
          <w:p w14:paraId="3F60CE0E">
            <w:pPr>
              <w:keepNext/>
              <w:snapToGrid w:val="0"/>
              <w:spacing w:line="360" w:lineRule="auto"/>
              <w:jc w:val="center"/>
              <w:rPr>
                <w:rFonts w:cs="宋体"/>
                <w:color w:val="auto"/>
                <w:sz w:val="22"/>
                <w:szCs w:val="21"/>
                <w:highlight w:val="none"/>
              </w:rPr>
            </w:pPr>
          </w:p>
        </w:tc>
        <w:tc>
          <w:tcPr>
            <w:tcW w:w="292" w:type="pct"/>
            <w:tcBorders>
              <w:top w:val="double" w:color="auto" w:sz="6" w:space="0"/>
            </w:tcBorders>
            <w:vAlign w:val="center"/>
          </w:tcPr>
          <w:p w14:paraId="03D15D21">
            <w:pPr>
              <w:keepNext/>
              <w:snapToGrid w:val="0"/>
              <w:spacing w:line="360" w:lineRule="auto"/>
              <w:jc w:val="center"/>
              <w:rPr>
                <w:rFonts w:cs="宋体"/>
                <w:color w:val="auto"/>
                <w:sz w:val="22"/>
                <w:szCs w:val="21"/>
                <w:highlight w:val="none"/>
              </w:rPr>
            </w:pPr>
          </w:p>
        </w:tc>
        <w:tc>
          <w:tcPr>
            <w:tcW w:w="682" w:type="pct"/>
            <w:tcBorders>
              <w:top w:val="double" w:color="auto" w:sz="6" w:space="0"/>
            </w:tcBorders>
            <w:vAlign w:val="center"/>
          </w:tcPr>
          <w:p w14:paraId="559050BE">
            <w:pPr>
              <w:keepNext/>
              <w:snapToGrid w:val="0"/>
              <w:spacing w:line="360" w:lineRule="auto"/>
              <w:jc w:val="center"/>
              <w:rPr>
                <w:rFonts w:cs="宋体"/>
                <w:color w:val="auto"/>
                <w:sz w:val="22"/>
                <w:szCs w:val="21"/>
                <w:highlight w:val="none"/>
              </w:rPr>
            </w:pPr>
          </w:p>
        </w:tc>
        <w:tc>
          <w:tcPr>
            <w:tcW w:w="552" w:type="pct"/>
            <w:tcBorders>
              <w:top w:val="double" w:color="auto" w:sz="6" w:space="0"/>
            </w:tcBorders>
            <w:vAlign w:val="center"/>
          </w:tcPr>
          <w:p w14:paraId="55F9269B">
            <w:pPr>
              <w:keepNext/>
              <w:snapToGrid w:val="0"/>
              <w:spacing w:line="360" w:lineRule="auto"/>
              <w:jc w:val="center"/>
              <w:rPr>
                <w:rFonts w:cs="宋体"/>
                <w:color w:val="auto"/>
                <w:sz w:val="22"/>
                <w:szCs w:val="21"/>
                <w:highlight w:val="none"/>
              </w:rPr>
            </w:pPr>
          </w:p>
        </w:tc>
        <w:tc>
          <w:tcPr>
            <w:tcW w:w="552" w:type="pct"/>
            <w:tcBorders>
              <w:top w:val="double" w:color="auto" w:sz="6" w:space="0"/>
            </w:tcBorders>
            <w:vAlign w:val="center"/>
          </w:tcPr>
          <w:p w14:paraId="18532ACA">
            <w:pPr>
              <w:keepNext/>
              <w:snapToGrid w:val="0"/>
              <w:spacing w:line="360" w:lineRule="auto"/>
              <w:jc w:val="center"/>
              <w:rPr>
                <w:rFonts w:cs="宋体"/>
                <w:color w:val="auto"/>
                <w:sz w:val="22"/>
                <w:szCs w:val="21"/>
                <w:highlight w:val="none"/>
              </w:rPr>
            </w:pPr>
          </w:p>
        </w:tc>
        <w:tc>
          <w:tcPr>
            <w:tcW w:w="552" w:type="pct"/>
            <w:tcBorders>
              <w:top w:val="double" w:color="auto" w:sz="6" w:space="0"/>
            </w:tcBorders>
            <w:vAlign w:val="center"/>
          </w:tcPr>
          <w:p w14:paraId="13DAE83B">
            <w:pPr>
              <w:keepNext/>
              <w:snapToGrid w:val="0"/>
              <w:spacing w:line="360" w:lineRule="auto"/>
              <w:jc w:val="center"/>
              <w:rPr>
                <w:rFonts w:cs="宋体"/>
                <w:color w:val="auto"/>
                <w:sz w:val="22"/>
                <w:szCs w:val="21"/>
                <w:highlight w:val="none"/>
              </w:rPr>
            </w:pPr>
          </w:p>
        </w:tc>
        <w:tc>
          <w:tcPr>
            <w:tcW w:w="292" w:type="pct"/>
            <w:tcBorders>
              <w:top w:val="double" w:color="auto" w:sz="6" w:space="0"/>
            </w:tcBorders>
            <w:vAlign w:val="center"/>
          </w:tcPr>
          <w:p w14:paraId="1B522653">
            <w:pPr>
              <w:keepNext/>
              <w:snapToGrid w:val="0"/>
              <w:spacing w:line="360" w:lineRule="auto"/>
              <w:jc w:val="center"/>
              <w:rPr>
                <w:rFonts w:cs="宋体"/>
                <w:color w:val="auto"/>
                <w:sz w:val="22"/>
                <w:szCs w:val="21"/>
                <w:highlight w:val="none"/>
              </w:rPr>
            </w:pPr>
          </w:p>
        </w:tc>
      </w:tr>
      <w:tr w14:paraId="1828F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92" w:type="pct"/>
            <w:vAlign w:val="center"/>
          </w:tcPr>
          <w:p w14:paraId="658DED73">
            <w:pPr>
              <w:snapToGrid w:val="0"/>
              <w:spacing w:line="360" w:lineRule="auto"/>
              <w:jc w:val="center"/>
              <w:rPr>
                <w:rFonts w:cs="宋体"/>
                <w:color w:val="auto"/>
                <w:sz w:val="22"/>
                <w:szCs w:val="21"/>
                <w:highlight w:val="none"/>
              </w:rPr>
            </w:pPr>
          </w:p>
        </w:tc>
        <w:tc>
          <w:tcPr>
            <w:tcW w:w="941" w:type="pct"/>
            <w:vAlign w:val="center"/>
          </w:tcPr>
          <w:p w14:paraId="25DCCC65">
            <w:pPr>
              <w:snapToGrid w:val="0"/>
              <w:spacing w:line="360" w:lineRule="auto"/>
              <w:jc w:val="center"/>
              <w:rPr>
                <w:rFonts w:cs="宋体"/>
                <w:color w:val="auto"/>
                <w:sz w:val="22"/>
                <w:szCs w:val="21"/>
                <w:highlight w:val="none"/>
              </w:rPr>
            </w:pPr>
          </w:p>
        </w:tc>
        <w:tc>
          <w:tcPr>
            <w:tcW w:w="552" w:type="pct"/>
            <w:vAlign w:val="center"/>
          </w:tcPr>
          <w:p w14:paraId="3A31F599">
            <w:pPr>
              <w:snapToGrid w:val="0"/>
              <w:spacing w:line="360" w:lineRule="auto"/>
              <w:jc w:val="center"/>
              <w:rPr>
                <w:rFonts w:cs="宋体"/>
                <w:color w:val="auto"/>
                <w:sz w:val="22"/>
                <w:szCs w:val="21"/>
                <w:highlight w:val="none"/>
              </w:rPr>
            </w:pPr>
          </w:p>
        </w:tc>
        <w:tc>
          <w:tcPr>
            <w:tcW w:w="292" w:type="pct"/>
            <w:vAlign w:val="center"/>
          </w:tcPr>
          <w:p w14:paraId="5F75EA7D">
            <w:pPr>
              <w:snapToGrid w:val="0"/>
              <w:spacing w:line="360" w:lineRule="auto"/>
              <w:jc w:val="center"/>
              <w:rPr>
                <w:rFonts w:cs="宋体"/>
                <w:color w:val="auto"/>
                <w:sz w:val="22"/>
                <w:szCs w:val="21"/>
                <w:highlight w:val="none"/>
              </w:rPr>
            </w:pPr>
          </w:p>
        </w:tc>
        <w:tc>
          <w:tcPr>
            <w:tcW w:w="292" w:type="pct"/>
            <w:vAlign w:val="center"/>
          </w:tcPr>
          <w:p w14:paraId="72063C24">
            <w:pPr>
              <w:snapToGrid w:val="0"/>
              <w:spacing w:line="360" w:lineRule="auto"/>
              <w:jc w:val="center"/>
              <w:rPr>
                <w:rFonts w:cs="宋体"/>
                <w:color w:val="auto"/>
                <w:sz w:val="22"/>
                <w:szCs w:val="21"/>
                <w:highlight w:val="none"/>
              </w:rPr>
            </w:pPr>
          </w:p>
        </w:tc>
        <w:tc>
          <w:tcPr>
            <w:tcW w:w="682" w:type="pct"/>
            <w:vAlign w:val="center"/>
          </w:tcPr>
          <w:p w14:paraId="61AA9324">
            <w:pPr>
              <w:snapToGrid w:val="0"/>
              <w:spacing w:line="360" w:lineRule="auto"/>
              <w:jc w:val="center"/>
              <w:rPr>
                <w:rFonts w:cs="宋体"/>
                <w:color w:val="auto"/>
                <w:sz w:val="22"/>
                <w:szCs w:val="21"/>
                <w:highlight w:val="none"/>
              </w:rPr>
            </w:pPr>
          </w:p>
        </w:tc>
        <w:tc>
          <w:tcPr>
            <w:tcW w:w="552" w:type="pct"/>
            <w:vAlign w:val="center"/>
          </w:tcPr>
          <w:p w14:paraId="483457A2">
            <w:pPr>
              <w:snapToGrid w:val="0"/>
              <w:spacing w:line="360" w:lineRule="auto"/>
              <w:jc w:val="center"/>
              <w:rPr>
                <w:rFonts w:cs="宋体"/>
                <w:color w:val="auto"/>
                <w:sz w:val="22"/>
                <w:szCs w:val="21"/>
                <w:highlight w:val="none"/>
              </w:rPr>
            </w:pPr>
          </w:p>
        </w:tc>
        <w:tc>
          <w:tcPr>
            <w:tcW w:w="552" w:type="pct"/>
            <w:vAlign w:val="center"/>
          </w:tcPr>
          <w:p w14:paraId="3EB96AF7">
            <w:pPr>
              <w:snapToGrid w:val="0"/>
              <w:spacing w:line="360" w:lineRule="auto"/>
              <w:jc w:val="center"/>
              <w:rPr>
                <w:rFonts w:cs="宋体"/>
                <w:color w:val="auto"/>
                <w:sz w:val="22"/>
                <w:szCs w:val="21"/>
                <w:highlight w:val="none"/>
              </w:rPr>
            </w:pPr>
          </w:p>
        </w:tc>
        <w:tc>
          <w:tcPr>
            <w:tcW w:w="552" w:type="pct"/>
            <w:vAlign w:val="center"/>
          </w:tcPr>
          <w:p w14:paraId="2D757CBD">
            <w:pPr>
              <w:snapToGrid w:val="0"/>
              <w:spacing w:line="360" w:lineRule="auto"/>
              <w:jc w:val="center"/>
              <w:rPr>
                <w:rFonts w:cs="宋体"/>
                <w:color w:val="auto"/>
                <w:sz w:val="22"/>
                <w:szCs w:val="21"/>
                <w:highlight w:val="none"/>
              </w:rPr>
            </w:pPr>
          </w:p>
        </w:tc>
        <w:tc>
          <w:tcPr>
            <w:tcW w:w="292" w:type="pct"/>
            <w:vAlign w:val="center"/>
          </w:tcPr>
          <w:p w14:paraId="6C831865">
            <w:pPr>
              <w:snapToGrid w:val="0"/>
              <w:spacing w:line="360" w:lineRule="auto"/>
              <w:jc w:val="center"/>
              <w:rPr>
                <w:rFonts w:cs="宋体"/>
                <w:color w:val="auto"/>
                <w:sz w:val="22"/>
                <w:szCs w:val="21"/>
                <w:highlight w:val="none"/>
              </w:rPr>
            </w:pPr>
          </w:p>
        </w:tc>
      </w:tr>
      <w:tr w14:paraId="11E7C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92" w:type="pct"/>
            <w:tcBorders>
              <w:bottom w:val="single" w:color="auto" w:sz="12" w:space="0"/>
            </w:tcBorders>
            <w:vAlign w:val="center"/>
          </w:tcPr>
          <w:p w14:paraId="7B07493F">
            <w:pPr>
              <w:snapToGrid w:val="0"/>
              <w:spacing w:line="360" w:lineRule="auto"/>
              <w:jc w:val="center"/>
              <w:rPr>
                <w:rFonts w:cs="宋体"/>
                <w:color w:val="auto"/>
                <w:sz w:val="22"/>
                <w:szCs w:val="21"/>
                <w:highlight w:val="none"/>
              </w:rPr>
            </w:pPr>
          </w:p>
        </w:tc>
        <w:tc>
          <w:tcPr>
            <w:tcW w:w="941" w:type="pct"/>
            <w:tcBorders>
              <w:bottom w:val="single" w:color="auto" w:sz="12" w:space="0"/>
            </w:tcBorders>
            <w:vAlign w:val="center"/>
          </w:tcPr>
          <w:p w14:paraId="7B9B3651">
            <w:pPr>
              <w:snapToGrid w:val="0"/>
              <w:spacing w:line="360" w:lineRule="auto"/>
              <w:jc w:val="center"/>
              <w:rPr>
                <w:rFonts w:cs="宋体"/>
                <w:color w:val="auto"/>
                <w:sz w:val="22"/>
                <w:szCs w:val="21"/>
                <w:highlight w:val="none"/>
              </w:rPr>
            </w:pPr>
          </w:p>
        </w:tc>
        <w:tc>
          <w:tcPr>
            <w:tcW w:w="552" w:type="pct"/>
            <w:tcBorders>
              <w:bottom w:val="single" w:color="auto" w:sz="12" w:space="0"/>
            </w:tcBorders>
            <w:vAlign w:val="center"/>
          </w:tcPr>
          <w:p w14:paraId="3169E63C">
            <w:pPr>
              <w:snapToGrid w:val="0"/>
              <w:spacing w:line="360" w:lineRule="auto"/>
              <w:jc w:val="center"/>
              <w:rPr>
                <w:rFonts w:cs="宋体"/>
                <w:color w:val="auto"/>
                <w:sz w:val="22"/>
                <w:szCs w:val="21"/>
                <w:highlight w:val="none"/>
              </w:rPr>
            </w:pPr>
          </w:p>
        </w:tc>
        <w:tc>
          <w:tcPr>
            <w:tcW w:w="292" w:type="pct"/>
            <w:tcBorders>
              <w:bottom w:val="single" w:color="auto" w:sz="12" w:space="0"/>
            </w:tcBorders>
            <w:vAlign w:val="center"/>
          </w:tcPr>
          <w:p w14:paraId="1A291B1B">
            <w:pPr>
              <w:snapToGrid w:val="0"/>
              <w:spacing w:line="360" w:lineRule="auto"/>
              <w:jc w:val="center"/>
              <w:rPr>
                <w:rFonts w:cs="宋体"/>
                <w:color w:val="auto"/>
                <w:sz w:val="22"/>
                <w:szCs w:val="21"/>
                <w:highlight w:val="none"/>
              </w:rPr>
            </w:pPr>
          </w:p>
        </w:tc>
        <w:tc>
          <w:tcPr>
            <w:tcW w:w="292" w:type="pct"/>
            <w:tcBorders>
              <w:bottom w:val="single" w:color="auto" w:sz="12" w:space="0"/>
            </w:tcBorders>
            <w:vAlign w:val="center"/>
          </w:tcPr>
          <w:p w14:paraId="659A0217">
            <w:pPr>
              <w:snapToGrid w:val="0"/>
              <w:spacing w:line="360" w:lineRule="auto"/>
              <w:jc w:val="center"/>
              <w:rPr>
                <w:rFonts w:cs="宋体"/>
                <w:color w:val="auto"/>
                <w:sz w:val="22"/>
                <w:szCs w:val="21"/>
                <w:highlight w:val="none"/>
              </w:rPr>
            </w:pPr>
          </w:p>
        </w:tc>
        <w:tc>
          <w:tcPr>
            <w:tcW w:w="682" w:type="pct"/>
            <w:tcBorders>
              <w:bottom w:val="single" w:color="auto" w:sz="12" w:space="0"/>
            </w:tcBorders>
            <w:vAlign w:val="center"/>
          </w:tcPr>
          <w:p w14:paraId="2C14D360">
            <w:pPr>
              <w:snapToGrid w:val="0"/>
              <w:spacing w:line="360" w:lineRule="auto"/>
              <w:jc w:val="center"/>
              <w:rPr>
                <w:rFonts w:cs="宋体"/>
                <w:color w:val="auto"/>
                <w:sz w:val="22"/>
                <w:szCs w:val="21"/>
                <w:highlight w:val="none"/>
              </w:rPr>
            </w:pPr>
          </w:p>
        </w:tc>
        <w:tc>
          <w:tcPr>
            <w:tcW w:w="552" w:type="pct"/>
            <w:tcBorders>
              <w:bottom w:val="single" w:color="auto" w:sz="12" w:space="0"/>
            </w:tcBorders>
            <w:vAlign w:val="center"/>
          </w:tcPr>
          <w:p w14:paraId="3A4EADB4">
            <w:pPr>
              <w:snapToGrid w:val="0"/>
              <w:spacing w:line="360" w:lineRule="auto"/>
              <w:jc w:val="center"/>
              <w:rPr>
                <w:rFonts w:cs="宋体"/>
                <w:color w:val="auto"/>
                <w:sz w:val="22"/>
                <w:szCs w:val="21"/>
                <w:highlight w:val="none"/>
              </w:rPr>
            </w:pPr>
          </w:p>
        </w:tc>
        <w:tc>
          <w:tcPr>
            <w:tcW w:w="552" w:type="pct"/>
            <w:tcBorders>
              <w:bottom w:val="single" w:color="auto" w:sz="12" w:space="0"/>
            </w:tcBorders>
            <w:vAlign w:val="center"/>
          </w:tcPr>
          <w:p w14:paraId="5D65C0F5">
            <w:pPr>
              <w:snapToGrid w:val="0"/>
              <w:spacing w:line="360" w:lineRule="auto"/>
              <w:jc w:val="center"/>
              <w:rPr>
                <w:rFonts w:cs="宋体"/>
                <w:color w:val="auto"/>
                <w:sz w:val="22"/>
                <w:szCs w:val="21"/>
                <w:highlight w:val="none"/>
              </w:rPr>
            </w:pPr>
          </w:p>
        </w:tc>
        <w:tc>
          <w:tcPr>
            <w:tcW w:w="552" w:type="pct"/>
            <w:tcBorders>
              <w:bottom w:val="single" w:color="auto" w:sz="12" w:space="0"/>
            </w:tcBorders>
            <w:vAlign w:val="center"/>
          </w:tcPr>
          <w:p w14:paraId="299E1555">
            <w:pPr>
              <w:snapToGrid w:val="0"/>
              <w:spacing w:line="360" w:lineRule="auto"/>
              <w:jc w:val="center"/>
              <w:rPr>
                <w:rFonts w:cs="宋体"/>
                <w:color w:val="auto"/>
                <w:sz w:val="22"/>
                <w:szCs w:val="21"/>
                <w:highlight w:val="none"/>
              </w:rPr>
            </w:pPr>
          </w:p>
        </w:tc>
        <w:tc>
          <w:tcPr>
            <w:tcW w:w="292" w:type="pct"/>
            <w:tcBorders>
              <w:bottom w:val="single" w:color="auto" w:sz="12" w:space="0"/>
            </w:tcBorders>
            <w:vAlign w:val="center"/>
          </w:tcPr>
          <w:p w14:paraId="30A51A4D">
            <w:pPr>
              <w:snapToGrid w:val="0"/>
              <w:spacing w:line="360" w:lineRule="auto"/>
              <w:jc w:val="center"/>
              <w:rPr>
                <w:rFonts w:cs="宋体"/>
                <w:color w:val="auto"/>
                <w:sz w:val="22"/>
                <w:szCs w:val="21"/>
                <w:highlight w:val="none"/>
              </w:rPr>
            </w:pPr>
          </w:p>
        </w:tc>
      </w:tr>
    </w:tbl>
    <w:p w14:paraId="35FB3409">
      <w:pPr>
        <w:spacing w:before="312" w:beforeLines="100" w:after="312" w:afterLines="100"/>
        <w:outlineLvl w:val="2"/>
        <w:rPr>
          <w:rFonts w:ascii="Times New Roman" w:eastAsia="黑体"/>
          <w:color w:val="auto"/>
          <w:szCs w:val="24"/>
          <w:highlight w:val="none"/>
        </w:rPr>
      </w:pPr>
      <w:r>
        <w:rPr>
          <w:rFonts w:hint="eastAsia" w:cs="宋体"/>
          <w:bCs/>
          <w:color w:val="auto"/>
          <w:highlight w:val="none"/>
        </w:rPr>
        <w:br w:type="page"/>
      </w:r>
      <w:bookmarkStart w:id="621" w:name="_Toc128950237"/>
      <w:r>
        <w:rPr>
          <w:rFonts w:hint="eastAsia" w:ascii="Times New Roman" w:eastAsia="黑体"/>
          <w:color w:val="auto"/>
          <w:szCs w:val="24"/>
          <w:highlight w:val="none"/>
        </w:rPr>
        <w:t>附件3：工程质量保修书（房屋建筑工程）</w:t>
      </w:r>
      <w:bookmarkEnd w:id="621"/>
    </w:p>
    <w:p w14:paraId="7F3214E2">
      <w:pPr>
        <w:adjustRightInd w:val="0"/>
        <w:snapToGrid w:val="0"/>
        <w:spacing w:before="156" w:beforeLines="50" w:after="156" w:afterLines="50" w:line="360" w:lineRule="auto"/>
        <w:jc w:val="center"/>
        <w:rPr>
          <w:rFonts w:cs="宋体"/>
          <w:b/>
          <w:color w:val="auto"/>
          <w:highlight w:val="none"/>
        </w:rPr>
      </w:pPr>
      <w:r>
        <w:rPr>
          <w:rFonts w:hint="eastAsia" w:cs="宋体"/>
          <w:b/>
          <w:color w:val="auto"/>
          <w:highlight w:val="none"/>
        </w:rPr>
        <w:t>工程质量保修书</w:t>
      </w:r>
    </w:p>
    <w:p w14:paraId="3A87F23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发包人（全称）：</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619520A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承包人（全称）：</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015857C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发包人和承包人根据《中华人民共和国建筑法》和《建设工程质量管理条例》，经协商一致就_______________（工程全称）签订工程质量保修书。</w:t>
      </w:r>
    </w:p>
    <w:p w14:paraId="6F7EB3C6">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一、工程质量保修范围和内容</w:t>
      </w:r>
    </w:p>
    <w:p w14:paraId="5486233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承包人在质量保修期内，按照有关法律规定和合同约定，承担工程质量保修责任。</w:t>
      </w:r>
    </w:p>
    <w:p w14:paraId="1D8A603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56CA946">
      <w:pPr>
        <w:adjustRightInd w:val="0"/>
        <w:snapToGrid w:val="0"/>
        <w:spacing w:line="360" w:lineRule="auto"/>
        <w:ind w:firstLine="413" w:firstLineChars="196"/>
        <w:rPr>
          <w:rFonts w:cs="宋体"/>
          <w:b/>
          <w:color w:val="auto"/>
          <w:sz w:val="21"/>
          <w:szCs w:val="21"/>
          <w:highlight w:val="none"/>
        </w:rPr>
      </w:pPr>
      <w:r>
        <w:rPr>
          <w:rFonts w:hint="eastAsia" w:cs="宋体"/>
          <w:b/>
          <w:color w:val="auto"/>
          <w:sz w:val="21"/>
          <w:szCs w:val="21"/>
          <w:highlight w:val="none"/>
        </w:rPr>
        <w:t>二、质量保修期</w:t>
      </w:r>
    </w:p>
    <w:p w14:paraId="1A3253D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根据《建设工程质量管理条例》及有关规定，工程的质量保修期如下：</w:t>
      </w:r>
    </w:p>
    <w:p w14:paraId="075566E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 地基基础工程和主体结构工程为设计文件规定的工程合理使用年限；</w:t>
      </w:r>
    </w:p>
    <w:p w14:paraId="5C8BAAC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 屋面防水工程、有防水要求的卫生间、房间和外墙面的防渗为</w:t>
      </w:r>
      <w:r>
        <w:rPr>
          <w:rFonts w:hint="eastAsia" w:cs="宋体"/>
          <w:color w:val="auto"/>
          <w:sz w:val="21"/>
          <w:szCs w:val="21"/>
          <w:highlight w:val="none"/>
          <w:u w:val="single"/>
        </w:rPr>
        <w:t>5</w:t>
      </w:r>
      <w:r>
        <w:rPr>
          <w:rFonts w:hint="eastAsia" w:cs="宋体"/>
          <w:color w:val="auto"/>
          <w:sz w:val="21"/>
          <w:szCs w:val="21"/>
          <w:highlight w:val="none"/>
        </w:rPr>
        <w:t>年；</w:t>
      </w:r>
    </w:p>
    <w:p w14:paraId="7E4E62D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 装修工程为</w:t>
      </w:r>
      <w:r>
        <w:rPr>
          <w:rFonts w:hint="eastAsia" w:cs="宋体"/>
          <w:color w:val="auto"/>
          <w:sz w:val="21"/>
          <w:szCs w:val="21"/>
          <w:highlight w:val="none"/>
          <w:u w:val="single"/>
        </w:rPr>
        <w:t>2</w:t>
      </w:r>
      <w:r>
        <w:rPr>
          <w:rFonts w:hint="eastAsia" w:cs="宋体"/>
          <w:color w:val="auto"/>
          <w:sz w:val="21"/>
          <w:szCs w:val="21"/>
          <w:highlight w:val="none"/>
        </w:rPr>
        <w:t>年；</w:t>
      </w:r>
    </w:p>
    <w:p w14:paraId="718DCD2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4. 电气管线、给排水管道、设备安装工程为</w:t>
      </w:r>
      <w:r>
        <w:rPr>
          <w:rFonts w:hint="eastAsia" w:cs="宋体"/>
          <w:color w:val="auto"/>
          <w:sz w:val="21"/>
          <w:szCs w:val="21"/>
          <w:highlight w:val="none"/>
          <w:u w:val="single"/>
        </w:rPr>
        <w:t>2</w:t>
      </w:r>
      <w:r>
        <w:rPr>
          <w:rFonts w:hint="eastAsia" w:cs="宋体"/>
          <w:color w:val="auto"/>
          <w:sz w:val="21"/>
          <w:szCs w:val="21"/>
          <w:highlight w:val="none"/>
        </w:rPr>
        <w:t>年；</w:t>
      </w:r>
    </w:p>
    <w:p w14:paraId="166D584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5. 供热与供冷系统为</w:t>
      </w:r>
      <w:r>
        <w:rPr>
          <w:rFonts w:hint="eastAsia" w:cs="宋体"/>
          <w:color w:val="auto"/>
          <w:sz w:val="21"/>
          <w:szCs w:val="21"/>
          <w:highlight w:val="none"/>
          <w:u w:val="single"/>
        </w:rPr>
        <w:t>2</w:t>
      </w:r>
      <w:r>
        <w:rPr>
          <w:rFonts w:hint="eastAsia" w:cs="宋体"/>
          <w:color w:val="auto"/>
          <w:sz w:val="21"/>
          <w:szCs w:val="21"/>
          <w:highlight w:val="none"/>
        </w:rPr>
        <w:t>个采暖期、供冷期；</w:t>
      </w:r>
    </w:p>
    <w:p w14:paraId="559FB13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6. 住宅小区内的给排水设施、道路等配套工程为</w:t>
      </w:r>
      <w:r>
        <w:rPr>
          <w:rFonts w:hint="eastAsia" w:cs="宋体"/>
          <w:color w:val="auto"/>
          <w:sz w:val="21"/>
          <w:szCs w:val="21"/>
          <w:highlight w:val="none"/>
          <w:u w:val="single"/>
        </w:rPr>
        <w:t>2</w:t>
      </w:r>
      <w:r>
        <w:rPr>
          <w:rFonts w:hint="eastAsia" w:cs="宋体"/>
          <w:color w:val="auto"/>
          <w:sz w:val="21"/>
          <w:szCs w:val="21"/>
          <w:highlight w:val="none"/>
        </w:rPr>
        <w:t>年；</w:t>
      </w:r>
    </w:p>
    <w:p w14:paraId="48FC5CF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 其他项目保修期限约定如下：</w:t>
      </w:r>
      <w:r>
        <w:rPr>
          <w:rFonts w:hint="eastAsia" w:cs="宋体"/>
          <w:color w:val="auto"/>
          <w:sz w:val="21"/>
          <w:szCs w:val="21"/>
          <w:highlight w:val="none"/>
          <w:u w:val="single"/>
        </w:rPr>
        <w:t>保温工程5年</w:t>
      </w:r>
      <w:r>
        <w:rPr>
          <w:rFonts w:hint="eastAsia" w:cs="宋体"/>
          <w:color w:val="auto"/>
          <w:sz w:val="21"/>
          <w:szCs w:val="21"/>
          <w:highlight w:val="none"/>
        </w:rPr>
        <w:t>。</w:t>
      </w:r>
    </w:p>
    <w:p w14:paraId="6FF0629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质量保修期自工程竣工验收合格之日起计算。</w:t>
      </w:r>
    </w:p>
    <w:p w14:paraId="4E1970A2">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三、缺陷责任期</w:t>
      </w:r>
    </w:p>
    <w:p w14:paraId="188DA44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工程缺陷责任期为</w:t>
      </w:r>
      <w:r>
        <w:rPr>
          <w:rFonts w:hint="eastAsia" w:cs="宋体"/>
          <w:color w:val="auto"/>
          <w:sz w:val="21"/>
          <w:szCs w:val="21"/>
          <w:highlight w:val="none"/>
          <w:u w:val="single"/>
        </w:rPr>
        <w:t xml:space="preserve">          </w:t>
      </w:r>
      <w:r>
        <w:rPr>
          <w:rFonts w:hint="eastAsia" w:cs="宋体"/>
          <w:color w:val="auto"/>
          <w:sz w:val="21"/>
          <w:szCs w:val="21"/>
          <w:highlight w:val="none"/>
        </w:rPr>
        <w:t>，缺陷责任期自工程竣工验收合格之日起计算。单位工程先于全部工程进行验收，单位工程缺陷责任期自单位工程验收合格之日起算。</w:t>
      </w:r>
    </w:p>
    <w:p w14:paraId="78229CCB">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缺陷责任期终止后，发包人应退还剩余的质量保证金。</w:t>
      </w:r>
    </w:p>
    <w:p w14:paraId="02ED9169">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四、质量保修责任</w:t>
      </w:r>
    </w:p>
    <w:p w14:paraId="6DC839D1">
      <w:pPr>
        <w:adjustRightInd w:val="0"/>
        <w:snapToGrid w:val="0"/>
        <w:spacing w:line="360" w:lineRule="auto"/>
        <w:ind w:firstLine="430" w:firstLineChars="205"/>
        <w:rPr>
          <w:rFonts w:cs="宋体"/>
          <w:color w:val="auto"/>
          <w:sz w:val="21"/>
          <w:szCs w:val="21"/>
          <w:highlight w:val="none"/>
        </w:rPr>
      </w:pPr>
      <w:r>
        <w:rPr>
          <w:rFonts w:hint="eastAsia" w:cs="宋体"/>
          <w:color w:val="auto"/>
          <w:sz w:val="21"/>
          <w:szCs w:val="21"/>
          <w:highlight w:val="none"/>
        </w:rPr>
        <w:t>1. 属于保修范围、内容的项目，承包人应当在接到保修通知之日起7天内派人保修。承包人不在约定期限内派人保修的，发包人可以委托他人修理。</w:t>
      </w:r>
    </w:p>
    <w:p w14:paraId="360F0CD9">
      <w:pPr>
        <w:adjustRightInd w:val="0"/>
        <w:snapToGrid w:val="0"/>
        <w:spacing w:line="360" w:lineRule="auto"/>
        <w:ind w:firstLine="430" w:firstLineChars="205"/>
        <w:rPr>
          <w:rFonts w:cs="宋体"/>
          <w:color w:val="auto"/>
          <w:sz w:val="21"/>
          <w:szCs w:val="21"/>
          <w:highlight w:val="none"/>
        </w:rPr>
      </w:pPr>
      <w:r>
        <w:rPr>
          <w:rFonts w:hint="eastAsia" w:cs="宋体"/>
          <w:color w:val="auto"/>
          <w:sz w:val="21"/>
          <w:szCs w:val="21"/>
          <w:highlight w:val="none"/>
        </w:rPr>
        <w:t>2. 发生紧急事故需抢修的，承包人在接到事故通知后，应当立即到达事故现场抢修。</w:t>
      </w:r>
    </w:p>
    <w:p w14:paraId="15BCFC95">
      <w:pPr>
        <w:adjustRightInd w:val="0"/>
        <w:snapToGrid w:val="0"/>
        <w:spacing w:line="360" w:lineRule="auto"/>
        <w:ind w:firstLine="430" w:firstLineChars="205"/>
        <w:rPr>
          <w:rFonts w:cs="宋体"/>
          <w:color w:val="auto"/>
          <w:sz w:val="21"/>
          <w:szCs w:val="21"/>
          <w:highlight w:val="none"/>
        </w:rPr>
      </w:pPr>
      <w:r>
        <w:rPr>
          <w:rFonts w:hint="eastAsia" w:cs="宋体"/>
          <w:color w:val="auto"/>
          <w:sz w:val="21"/>
          <w:szCs w:val="21"/>
          <w:highlight w:val="none"/>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899679">
      <w:pPr>
        <w:adjustRightInd w:val="0"/>
        <w:snapToGrid w:val="0"/>
        <w:spacing w:line="360" w:lineRule="auto"/>
        <w:ind w:firstLine="430" w:firstLineChars="205"/>
        <w:rPr>
          <w:rFonts w:cs="宋体"/>
          <w:color w:val="auto"/>
          <w:sz w:val="21"/>
          <w:szCs w:val="21"/>
          <w:highlight w:val="none"/>
        </w:rPr>
      </w:pPr>
      <w:r>
        <w:rPr>
          <w:rFonts w:hint="eastAsia" w:cs="宋体"/>
          <w:color w:val="auto"/>
          <w:sz w:val="21"/>
          <w:szCs w:val="21"/>
          <w:highlight w:val="none"/>
        </w:rPr>
        <w:t>4. 质量保修完成后，由发包人组织验收。</w:t>
      </w:r>
    </w:p>
    <w:p w14:paraId="615B46C9">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五、保修费用</w:t>
      </w:r>
    </w:p>
    <w:p w14:paraId="3EF181A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保修费用由造成质量缺陷的责任方承担。</w:t>
      </w:r>
    </w:p>
    <w:p w14:paraId="76431066">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六、双方约定的其他工程质量保修事项：</w:t>
      </w:r>
      <w:r>
        <w:rPr>
          <w:rFonts w:hint="eastAsia" w:cs="宋体"/>
          <w:b/>
          <w:color w:val="auto"/>
          <w:sz w:val="21"/>
          <w:szCs w:val="21"/>
          <w:highlight w:val="none"/>
          <w:u w:val="single"/>
        </w:rPr>
        <w:t xml:space="preserve">             </w:t>
      </w:r>
      <w:r>
        <w:rPr>
          <w:rFonts w:hint="eastAsia" w:cs="宋体"/>
          <w:b/>
          <w:color w:val="auto"/>
          <w:sz w:val="21"/>
          <w:szCs w:val="21"/>
          <w:highlight w:val="none"/>
        </w:rPr>
        <w:t>。</w:t>
      </w:r>
    </w:p>
    <w:p w14:paraId="48D560F5">
      <w:pPr>
        <w:adjustRightInd w:val="0"/>
        <w:snapToGrid w:val="0"/>
        <w:spacing w:line="360" w:lineRule="auto"/>
        <w:ind w:firstLine="399" w:firstLineChars="190"/>
        <w:rPr>
          <w:rFonts w:cs="宋体"/>
          <w:color w:val="auto"/>
          <w:sz w:val="21"/>
          <w:szCs w:val="21"/>
          <w:highlight w:val="none"/>
        </w:rPr>
      </w:pPr>
      <w:r>
        <w:rPr>
          <w:rFonts w:hint="eastAsia" w:cs="宋体"/>
          <w:color w:val="auto"/>
          <w:sz w:val="21"/>
          <w:szCs w:val="21"/>
          <w:highlight w:val="none"/>
        </w:rPr>
        <w:t>工程质量保修书由发包人、承包人在工程竣工验收前共同签署，作为施工合同附件，其有效期限至保修期满。</w:t>
      </w:r>
    </w:p>
    <w:p w14:paraId="6D743DB2">
      <w:pPr>
        <w:adjustRightInd w:val="0"/>
        <w:snapToGrid w:val="0"/>
        <w:spacing w:line="360" w:lineRule="auto"/>
        <w:ind w:firstLine="420"/>
        <w:rPr>
          <w:rFonts w:cs="宋体"/>
          <w:color w:val="auto"/>
          <w:sz w:val="21"/>
          <w:szCs w:val="21"/>
          <w:highlight w:val="none"/>
        </w:rPr>
      </w:pPr>
    </w:p>
    <w:p w14:paraId="04B73B52">
      <w:pPr>
        <w:adjustRightInd w:val="0"/>
        <w:snapToGrid w:val="0"/>
        <w:spacing w:line="360" w:lineRule="auto"/>
        <w:ind w:firstLine="420"/>
        <w:rPr>
          <w:rFonts w:cs="宋体"/>
          <w:color w:val="auto"/>
          <w:sz w:val="21"/>
          <w:szCs w:val="21"/>
          <w:highlight w:val="none"/>
        </w:rPr>
      </w:pPr>
    </w:p>
    <w:p w14:paraId="0E16FA32">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发包人（公章）：</w:t>
      </w:r>
      <w:r>
        <w:rPr>
          <w:rFonts w:hint="eastAsia" w:cs="宋体"/>
          <w:color w:val="auto"/>
          <w:sz w:val="21"/>
          <w:szCs w:val="21"/>
          <w:highlight w:val="none"/>
          <w:u w:val="single"/>
        </w:rPr>
        <w:t xml:space="preserve">      </w:t>
      </w:r>
      <w:r>
        <w:rPr>
          <w:rFonts w:hint="eastAsia" w:cs="宋体"/>
          <w:color w:val="auto"/>
          <w:sz w:val="21"/>
          <w:szCs w:val="21"/>
          <w:highlight w:val="none"/>
        </w:rPr>
        <w:t xml:space="preserve">           承包人（公章）：</w:t>
      </w:r>
      <w:r>
        <w:rPr>
          <w:rFonts w:hint="eastAsia" w:cs="宋体"/>
          <w:color w:val="auto"/>
          <w:sz w:val="21"/>
          <w:szCs w:val="21"/>
          <w:highlight w:val="none"/>
          <w:u w:val="single"/>
        </w:rPr>
        <w:t>          </w:t>
      </w:r>
    </w:p>
    <w:p w14:paraId="1202FF63">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地  址：</w:t>
      </w:r>
      <w:r>
        <w:rPr>
          <w:rFonts w:hint="eastAsia" w:cs="宋体"/>
          <w:color w:val="auto"/>
          <w:sz w:val="21"/>
          <w:szCs w:val="21"/>
          <w:highlight w:val="none"/>
          <w:u w:val="single"/>
        </w:rPr>
        <w:t xml:space="preserve">     </w:t>
      </w:r>
      <w:r>
        <w:rPr>
          <w:rFonts w:hint="eastAsia" w:cs="宋体"/>
          <w:color w:val="auto"/>
          <w:sz w:val="21"/>
          <w:szCs w:val="21"/>
          <w:highlight w:val="none"/>
        </w:rPr>
        <w:t xml:space="preserve">            地  址：</w:t>
      </w:r>
      <w:r>
        <w:rPr>
          <w:rFonts w:hint="eastAsia" w:cs="宋体"/>
          <w:color w:val="auto"/>
          <w:sz w:val="21"/>
          <w:szCs w:val="21"/>
          <w:highlight w:val="none"/>
          <w:u w:val="single"/>
        </w:rPr>
        <w:t xml:space="preserve">    </w:t>
      </w:r>
    </w:p>
    <w:p w14:paraId="5DCE1ACF">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法定代表人（签字）：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法定代表人（签字）：</w:t>
      </w:r>
      <w:r>
        <w:rPr>
          <w:rFonts w:hint="eastAsia" w:cs="宋体"/>
          <w:color w:val="auto"/>
          <w:sz w:val="21"/>
          <w:szCs w:val="21"/>
          <w:highlight w:val="none"/>
          <w:u w:val="single"/>
        </w:rPr>
        <w:t xml:space="preserve">    </w:t>
      </w:r>
    </w:p>
    <w:p w14:paraId="4B5578F7">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委托代理人（签字）：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委托代理人（签字）：</w:t>
      </w:r>
      <w:r>
        <w:rPr>
          <w:rFonts w:hint="eastAsia" w:cs="宋体"/>
          <w:color w:val="auto"/>
          <w:sz w:val="21"/>
          <w:szCs w:val="21"/>
          <w:highlight w:val="none"/>
          <w:u w:val="single"/>
        </w:rPr>
        <w:t xml:space="preserve">    </w:t>
      </w:r>
    </w:p>
    <w:p w14:paraId="3CA03204">
      <w:pPr>
        <w:adjustRightInd w:val="0"/>
        <w:snapToGrid w:val="0"/>
        <w:spacing w:line="360" w:lineRule="auto"/>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r>
        <w:rPr>
          <w:rFonts w:hint="eastAsia" w:cs="宋体"/>
          <w:color w:val="auto"/>
          <w:sz w:val="21"/>
          <w:szCs w:val="21"/>
          <w:highlight w:val="none"/>
        </w:rPr>
        <w:t xml:space="preserve">            电  话：</w:t>
      </w:r>
      <w:r>
        <w:rPr>
          <w:rFonts w:hint="eastAsia" w:cs="宋体"/>
          <w:color w:val="auto"/>
          <w:sz w:val="21"/>
          <w:szCs w:val="21"/>
          <w:highlight w:val="none"/>
          <w:u w:val="single"/>
        </w:rPr>
        <w:t xml:space="preserve">  </w:t>
      </w:r>
    </w:p>
    <w:p w14:paraId="2B9FD965">
      <w:pPr>
        <w:adjustRightInd w:val="0"/>
        <w:snapToGrid w:val="0"/>
        <w:spacing w:line="360" w:lineRule="auto"/>
        <w:rPr>
          <w:rFonts w:cs="宋体"/>
          <w:color w:val="auto"/>
          <w:sz w:val="21"/>
          <w:szCs w:val="21"/>
          <w:highlight w:val="none"/>
        </w:rPr>
      </w:pPr>
      <w:r>
        <w:rPr>
          <w:rFonts w:hint="eastAsia" w:cs="宋体"/>
          <w:color w:val="auto"/>
          <w:sz w:val="21"/>
          <w:szCs w:val="21"/>
          <w:highlight w:val="none"/>
        </w:rPr>
        <w:t>传  真：</w:t>
      </w:r>
      <w:r>
        <w:rPr>
          <w:rFonts w:hint="eastAsia" w:cs="宋体"/>
          <w:color w:val="auto"/>
          <w:sz w:val="21"/>
          <w:szCs w:val="21"/>
          <w:highlight w:val="none"/>
          <w:u w:val="single"/>
        </w:rPr>
        <w:t xml:space="preserve">   </w:t>
      </w:r>
      <w:r>
        <w:rPr>
          <w:rFonts w:hint="eastAsia" w:cs="宋体"/>
          <w:color w:val="auto"/>
          <w:sz w:val="21"/>
          <w:szCs w:val="21"/>
          <w:highlight w:val="none"/>
        </w:rPr>
        <w:t xml:space="preserve">            传  真：</w:t>
      </w:r>
      <w:r>
        <w:rPr>
          <w:rFonts w:hint="eastAsia" w:cs="宋体"/>
          <w:color w:val="auto"/>
          <w:sz w:val="21"/>
          <w:szCs w:val="21"/>
          <w:highlight w:val="none"/>
          <w:u w:val="single"/>
        </w:rPr>
        <w:t>  </w:t>
      </w:r>
    </w:p>
    <w:p w14:paraId="18C282DD">
      <w:pPr>
        <w:adjustRightInd w:val="0"/>
        <w:snapToGrid w:val="0"/>
        <w:spacing w:line="360" w:lineRule="auto"/>
        <w:rPr>
          <w:rFonts w:cs="宋体"/>
          <w:color w:val="auto"/>
          <w:sz w:val="21"/>
          <w:szCs w:val="21"/>
          <w:highlight w:val="none"/>
        </w:rPr>
      </w:pPr>
      <w:r>
        <w:rPr>
          <w:rFonts w:hint="eastAsia" w:cs="宋体"/>
          <w:color w:val="auto"/>
          <w:sz w:val="21"/>
          <w:szCs w:val="21"/>
          <w:highlight w:val="none"/>
        </w:rPr>
        <w:t>开户银行：</w:t>
      </w:r>
      <w:r>
        <w:rPr>
          <w:rFonts w:hint="eastAsia" w:cs="宋体"/>
          <w:color w:val="auto"/>
          <w:sz w:val="21"/>
          <w:szCs w:val="21"/>
          <w:highlight w:val="none"/>
          <w:u w:val="single"/>
        </w:rPr>
        <w:t xml:space="preserve">   </w:t>
      </w:r>
      <w:r>
        <w:rPr>
          <w:rFonts w:hint="eastAsia" w:cs="宋体"/>
          <w:color w:val="auto"/>
          <w:sz w:val="21"/>
          <w:szCs w:val="21"/>
          <w:highlight w:val="none"/>
        </w:rPr>
        <w:t xml:space="preserve">            开户银行：</w:t>
      </w:r>
      <w:r>
        <w:rPr>
          <w:rFonts w:hint="eastAsia" w:cs="宋体"/>
          <w:color w:val="auto"/>
          <w:sz w:val="21"/>
          <w:szCs w:val="21"/>
          <w:highlight w:val="none"/>
          <w:u w:val="single"/>
        </w:rPr>
        <w:t></w:t>
      </w:r>
    </w:p>
    <w:p w14:paraId="0F3DDB02">
      <w:pPr>
        <w:adjustRightInd w:val="0"/>
        <w:snapToGrid w:val="0"/>
        <w:spacing w:line="360" w:lineRule="auto"/>
        <w:rPr>
          <w:rFonts w:cs="宋体"/>
          <w:color w:val="auto"/>
          <w:sz w:val="21"/>
          <w:szCs w:val="21"/>
          <w:highlight w:val="none"/>
        </w:rPr>
      </w:pPr>
      <w:r>
        <w:rPr>
          <w:rFonts w:hint="eastAsia" w:cs="宋体"/>
          <w:color w:val="auto"/>
          <w:sz w:val="21"/>
          <w:szCs w:val="21"/>
          <w:highlight w:val="none"/>
        </w:rPr>
        <w:t>账  号：</w:t>
      </w:r>
      <w:r>
        <w:rPr>
          <w:rFonts w:hint="eastAsia" w:cs="宋体"/>
          <w:color w:val="auto"/>
          <w:sz w:val="21"/>
          <w:szCs w:val="21"/>
          <w:highlight w:val="none"/>
          <w:u w:val="single"/>
        </w:rPr>
        <w:t xml:space="preserve">       </w:t>
      </w:r>
      <w:r>
        <w:rPr>
          <w:rFonts w:hint="eastAsia" w:cs="宋体"/>
          <w:color w:val="auto"/>
          <w:sz w:val="21"/>
          <w:szCs w:val="21"/>
          <w:highlight w:val="none"/>
        </w:rPr>
        <w:t xml:space="preserve">            账  号：</w:t>
      </w:r>
      <w:r>
        <w:rPr>
          <w:rFonts w:hint="eastAsia" w:cs="宋体"/>
          <w:color w:val="auto"/>
          <w:sz w:val="21"/>
          <w:szCs w:val="21"/>
          <w:highlight w:val="none"/>
          <w:u w:val="single"/>
        </w:rPr>
        <w:t xml:space="preserve">  </w:t>
      </w:r>
    </w:p>
    <w:p w14:paraId="7B7461CB">
      <w:pPr>
        <w:adjustRightInd w:val="0"/>
        <w:snapToGrid w:val="0"/>
        <w:spacing w:line="360" w:lineRule="auto"/>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    </w:t>
      </w:r>
      <w:r>
        <w:rPr>
          <w:rFonts w:hint="eastAsia" w:cs="宋体"/>
          <w:color w:val="auto"/>
          <w:sz w:val="21"/>
          <w:szCs w:val="21"/>
          <w:highlight w:val="none"/>
        </w:rPr>
        <w:t xml:space="preserve">            邮政编码：</w:t>
      </w:r>
      <w:r>
        <w:rPr>
          <w:rFonts w:hint="eastAsia" w:cs="宋体"/>
          <w:color w:val="auto"/>
          <w:sz w:val="21"/>
          <w:szCs w:val="21"/>
          <w:highlight w:val="none"/>
          <w:u w:val="single"/>
        </w:rPr>
        <w:t></w:t>
      </w:r>
    </w:p>
    <w:p w14:paraId="14E9268B">
      <w:pPr>
        <w:spacing w:before="312" w:beforeLines="100" w:after="312" w:afterLines="100"/>
        <w:outlineLvl w:val="2"/>
        <w:rPr>
          <w:rFonts w:ascii="Times New Roman" w:eastAsia="黑体"/>
          <w:color w:val="auto"/>
          <w:szCs w:val="24"/>
          <w:highlight w:val="none"/>
        </w:rPr>
      </w:pPr>
      <w:r>
        <w:rPr>
          <w:rFonts w:hint="eastAsia" w:ascii="Times New Roman" w:eastAsia="黑体"/>
          <w:bCs/>
          <w:color w:val="auto"/>
          <w:highlight w:val="none"/>
        </w:rPr>
        <w:br w:type="page"/>
      </w:r>
      <w:bookmarkStart w:id="622" w:name="_Toc128950238"/>
      <w:r>
        <w:rPr>
          <w:rFonts w:hint="eastAsia" w:ascii="Times New Roman" w:eastAsia="黑体"/>
          <w:color w:val="auto"/>
          <w:szCs w:val="24"/>
          <w:highlight w:val="none"/>
        </w:rPr>
        <w:t>附</w:t>
      </w:r>
      <w:bookmarkStart w:id="623" w:name="_Toc296346727"/>
      <w:bookmarkStart w:id="624" w:name="_Toc296944565"/>
      <w:bookmarkStart w:id="625" w:name="_Toc296347225"/>
      <w:bookmarkStart w:id="626" w:name="_Toc296891054"/>
      <w:bookmarkStart w:id="627" w:name="_Toc296503226"/>
      <w:bookmarkStart w:id="628" w:name="_Toc296891266"/>
      <w:bookmarkStart w:id="629" w:name="_Toc267261693"/>
      <w:r>
        <w:rPr>
          <w:rFonts w:hint="eastAsia" w:ascii="Times New Roman" w:eastAsia="黑体"/>
          <w:color w:val="auto"/>
          <w:szCs w:val="24"/>
          <w:highlight w:val="none"/>
        </w:rPr>
        <w:t>件</w:t>
      </w:r>
      <w:r>
        <w:rPr>
          <w:rFonts w:ascii="Times New Roman" w:eastAsia="黑体"/>
          <w:color w:val="auto"/>
          <w:szCs w:val="24"/>
          <w:highlight w:val="none"/>
        </w:rPr>
        <w:t>3</w:t>
      </w:r>
      <w:r>
        <w:rPr>
          <w:rFonts w:hint="eastAsia" w:ascii="Times New Roman" w:eastAsia="黑体"/>
          <w:color w:val="auto"/>
          <w:szCs w:val="24"/>
          <w:highlight w:val="none"/>
        </w:rPr>
        <w:t>：</w:t>
      </w:r>
      <w:bookmarkEnd w:id="623"/>
      <w:bookmarkEnd w:id="624"/>
      <w:bookmarkEnd w:id="625"/>
      <w:bookmarkEnd w:id="626"/>
      <w:bookmarkEnd w:id="627"/>
      <w:bookmarkEnd w:id="628"/>
      <w:bookmarkEnd w:id="629"/>
      <w:r>
        <w:rPr>
          <w:rFonts w:hint="eastAsia" w:ascii="Times New Roman" w:eastAsia="黑体"/>
          <w:color w:val="auto"/>
          <w:szCs w:val="24"/>
          <w:highlight w:val="none"/>
        </w:rPr>
        <w:t>工程质量保修书</w:t>
      </w:r>
      <w:bookmarkEnd w:id="622"/>
      <w:r>
        <w:rPr>
          <w:rFonts w:hint="eastAsia" w:ascii="Times New Roman" w:eastAsia="黑体"/>
          <w:szCs w:val="24"/>
        </w:rPr>
        <w:t>（市政公用工程）</w:t>
      </w:r>
    </w:p>
    <w:p w14:paraId="685964C9">
      <w:pPr>
        <w:adjustRightInd w:val="0"/>
        <w:snapToGrid w:val="0"/>
        <w:spacing w:line="360" w:lineRule="auto"/>
        <w:jc w:val="center"/>
        <w:rPr>
          <w:rFonts w:cs="宋体"/>
          <w:color w:val="auto"/>
          <w:sz w:val="28"/>
          <w:szCs w:val="28"/>
          <w:highlight w:val="none"/>
        </w:rPr>
      </w:pPr>
      <w:r>
        <w:rPr>
          <w:rFonts w:hint="eastAsia" w:cs="宋体"/>
          <w:color w:val="auto"/>
          <w:sz w:val="28"/>
          <w:szCs w:val="28"/>
          <w:highlight w:val="none"/>
        </w:rPr>
        <w:t>工程质量保修书</w:t>
      </w:r>
    </w:p>
    <w:p w14:paraId="3C9AB1D8">
      <w:pPr>
        <w:adjustRightInd w:val="0"/>
        <w:snapToGrid w:val="0"/>
        <w:spacing w:line="360" w:lineRule="auto"/>
        <w:ind w:firstLine="420" w:firstLineChars="200"/>
        <w:rPr>
          <w:rFonts w:cs="宋体"/>
          <w:color w:val="auto"/>
          <w:position w:val="14"/>
          <w:sz w:val="21"/>
          <w:szCs w:val="21"/>
          <w:highlight w:val="none"/>
        </w:rPr>
      </w:pPr>
      <w:r>
        <w:rPr>
          <w:rFonts w:hint="eastAsia" w:cs="宋体"/>
          <w:bCs/>
          <w:color w:val="auto"/>
          <w:position w:val="14"/>
          <w:sz w:val="21"/>
          <w:szCs w:val="21"/>
          <w:highlight w:val="none"/>
        </w:rPr>
        <w:t>发包人</w:t>
      </w:r>
      <w:r>
        <w:rPr>
          <w:rFonts w:hint="eastAsia" w:cs="宋体"/>
          <w:color w:val="auto"/>
          <w:position w:val="14"/>
          <w:sz w:val="21"/>
          <w:szCs w:val="21"/>
          <w:highlight w:val="none"/>
        </w:rPr>
        <w:t>：_______________________________</w:t>
      </w:r>
    </w:p>
    <w:p w14:paraId="42CC35DE">
      <w:pPr>
        <w:widowControl/>
        <w:adjustRightInd w:val="0"/>
        <w:snapToGrid w:val="0"/>
        <w:spacing w:line="360" w:lineRule="auto"/>
        <w:ind w:firstLine="420" w:firstLineChars="200"/>
        <w:jc w:val="left"/>
        <w:rPr>
          <w:rFonts w:cs="宋体"/>
          <w:color w:val="auto"/>
          <w:position w:val="14"/>
          <w:sz w:val="21"/>
          <w:szCs w:val="21"/>
          <w:highlight w:val="none"/>
        </w:rPr>
      </w:pPr>
      <w:r>
        <w:rPr>
          <w:rFonts w:hint="eastAsia" w:cs="宋体"/>
          <w:bCs/>
          <w:color w:val="auto"/>
          <w:position w:val="14"/>
          <w:sz w:val="21"/>
          <w:szCs w:val="21"/>
          <w:highlight w:val="none"/>
        </w:rPr>
        <w:t>承包人</w:t>
      </w:r>
      <w:r>
        <w:rPr>
          <w:rFonts w:hint="eastAsia" w:cs="宋体"/>
          <w:color w:val="auto"/>
          <w:position w:val="14"/>
          <w:sz w:val="21"/>
          <w:szCs w:val="21"/>
          <w:highlight w:val="none"/>
        </w:rPr>
        <w:t>：_______________________________</w:t>
      </w:r>
    </w:p>
    <w:p w14:paraId="17A196F2">
      <w:pPr>
        <w:widowControl/>
        <w:adjustRightInd w:val="0"/>
        <w:snapToGrid w:val="0"/>
        <w:spacing w:line="360" w:lineRule="auto"/>
        <w:ind w:firstLine="420" w:firstLineChars="200"/>
        <w:jc w:val="left"/>
        <w:rPr>
          <w:rFonts w:cs="宋体"/>
          <w:color w:val="auto"/>
          <w:position w:val="6"/>
          <w:sz w:val="21"/>
          <w:szCs w:val="21"/>
          <w:highlight w:val="none"/>
        </w:rPr>
      </w:pPr>
      <w:r>
        <w:rPr>
          <w:rFonts w:hint="eastAsia" w:cs="宋体"/>
          <w:color w:val="auto"/>
          <w:position w:val="6"/>
          <w:sz w:val="21"/>
          <w:szCs w:val="21"/>
          <w:highlight w:val="none"/>
        </w:rPr>
        <w:t>发包人、承包人根据《中华人民共和国建筑法》《建设工程质量管理条例》，参照《房屋建筑工程质量保修办法》，经协商一致，对______________________工程签订工程质量保修书。</w:t>
      </w:r>
    </w:p>
    <w:p w14:paraId="1BEA23B6">
      <w:pPr>
        <w:widowControl/>
        <w:adjustRightInd w:val="0"/>
        <w:snapToGrid w:val="0"/>
        <w:spacing w:line="360" w:lineRule="auto"/>
        <w:ind w:firstLine="422" w:firstLineChars="200"/>
        <w:jc w:val="left"/>
        <w:rPr>
          <w:rFonts w:cs="宋体"/>
          <w:b/>
          <w:bCs/>
          <w:color w:val="auto"/>
          <w:position w:val="6"/>
          <w:sz w:val="21"/>
          <w:szCs w:val="21"/>
          <w:highlight w:val="none"/>
        </w:rPr>
      </w:pPr>
      <w:r>
        <w:rPr>
          <w:rFonts w:hint="eastAsia" w:cs="宋体"/>
          <w:b/>
          <w:bCs/>
          <w:color w:val="auto"/>
          <w:position w:val="6"/>
          <w:sz w:val="21"/>
          <w:szCs w:val="21"/>
          <w:highlight w:val="none"/>
        </w:rPr>
        <w:t>一、工程质量保修范围和内容</w:t>
      </w:r>
    </w:p>
    <w:p w14:paraId="48248BA0">
      <w:pPr>
        <w:adjustRightInd w:val="0"/>
        <w:snapToGrid w:val="0"/>
        <w:spacing w:line="360" w:lineRule="auto"/>
        <w:ind w:firstLine="420" w:firstLineChars="200"/>
        <w:jc w:val="left"/>
        <w:rPr>
          <w:rFonts w:cs="宋体"/>
          <w:color w:val="auto"/>
          <w:position w:val="6"/>
          <w:sz w:val="21"/>
          <w:szCs w:val="21"/>
          <w:highlight w:val="none"/>
        </w:rPr>
      </w:pPr>
      <w:r>
        <w:rPr>
          <w:rFonts w:hint="eastAsia" w:cs="宋体"/>
          <w:color w:val="auto"/>
          <w:position w:val="6"/>
          <w:sz w:val="21"/>
          <w:szCs w:val="21"/>
          <w:highlight w:val="none"/>
        </w:rPr>
        <w:t>按照《建设工程质量管理条例》及有关法律、法规、规章的管理规定，双方约定由施工单位在质量保修期内，承担本工程的质量保修责任。</w:t>
      </w:r>
    </w:p>
    <w:p w14:paraId="198644EB">
      <w:pPr>
        <w:adjustRightInd w:val="0"/>
        <w:snapToGrid w:val="0"/>
        <w:spacing w:line="360" w:lineRule="auto"/>
        <w:ind w:firstLine="420" w:firstLineChars="200"/>
        <w:jc w:val="left"/>
        <w:rPr>
          <w:rFonts w:cs="宋体"/>
          <w:color w:val="auto"/>
          <w:position w:val="6"/>
          <w:sz w:val="21"/>
          <w:szCs w:val="21"/>
          <w:highlight w:val="none"/>
        </w:rPr>
      </w:pPr>
      <w:r>
        <w:rPr>
          <w:rFonts w:hint="eastAsia" w:cs="宋体"/>
          <w:color w:val="auto"/>
          <w:position w:val="6"/>
          <w:sz w:val="21"/>
          <w:szCs w:val="21"/>
          <w:highlight w:val="none"/>
        </w:rPr>
        <w:t>质量保修范围和内容：______________________。</w:t>
      </w:r>
      <w:r>
        <w:rPr>
          <w:rFonts w:hint="eastAsia" w:cs="宋体"/>
          <w:bCs/>
          <w:color w:val="auto"/>
          <w:position w:val="6"/>
          <w:sz w:val="21"/>
          <w:szCs w:val="21"/>
          <w:highlight w:val="none"/>
        </w:rPr>
        <w:t>因不可抗力或使用不当造成的质量缺陷，不属保修范围。</w:t>
      </w:r>
    </w:p>
    <w:p w14:paraId="7E6D6393">
      <w:pPr>
        <w:widowControl/>
        <w:adjustRightInd w:val="0"/>
        <w:snapToGrid w:val="0"/>
        <w:spacing w:line="360" w:lineRule="auto"/>
        <w:ind w:firstLine="422" w:firstLineChars="200"/>
        <w:jc w:val="left"/>
        <w:rPr>
          <w:rFonts w:cs="宋体"/>
          <w:b/>
          <w:bCs/>
          <w:color w:val="auto"/>
          <w:position w:val="6"/>
          <w:sz w:val="21"/>
          <w:szCs w:val="21"/>
          <w:highlight w:val="none"/>
        </w:rPr>
      </w:pPr>
      <w:r>
        <w:rPr>
          <w:rFonts w:hint="eastAsia" w:cs="宋体"/>
          <w:b/>
          <w:bCs/>
          <w:color w:val="auto"/>
          <w:position w:val="6"/>
          <w:sz w:val="21"/>
          <w:szCs w:val="21"/>
          <w:highlight w:val="none"/>
        </w:rPr>
        <w:t>二、质量保修期</w:t>
      </w:r>
    </w:p>
    <w:p w14:paraId="727956ED">
      <w:pPr>
        <w:adjustRightInd w:val="0"/>
        <w:snapToGrid w:val="0"/>
        <w:spacing w:line="360" w:lineRule="auto"/>
        <w:ind w:firstLine="420" w:firstLineChars="200"/>
        <w:jc w:val="left"/>
        <w:rPr>
          <w:rFonts w:cs="宋体"/>
          <w:color w:val="auto"/>
          <w:position w:val="6"/>
          <w:sz w:val="21"/>
          <w:szCs w:val="21"/>
          <w:highlight w:val="none"/>
        </w:rPr>
      </w:pPr>
      <w:r>
        <w:rPr>
          <w:rFonts w:hint="eastAsia" w:cs="宋体"/>
          <w:color w:val="auto"/>
          <w:position w:val="6"/>
          <w:sz w:val="21"/>
          <w:szCs w:val="21"/>
          <w:highlight w:val="none"/>
        </w:rPr>
        <w:t>双方根据《建设工程质量管理条例》及有关规定，约定本工程的质量保修期如下：</w:t>
      </w:r>
    </w:p>
    <w:p w14:paraId="1B42261C">
      <w:pPr>
        <w:widowControl/>
        <w:adjustRightInd w:val="0"/>
        <w:snapToGrid w:val="0"/>
        <w:spacing w:line="360" w:lineRule="auto"/>
        <w:ind w:left="400" w:leftChars="200" w:firstLine="58" w:firstLineChars="28"/>
        <w:jc w:val="left"/>
        <w:rPr>
          <w:rFonts w:cs="宋体"/>
          <w:color w:val="auto"/>
          <w:position w:val="6"/>
          <w:sz w:val="21"/>
          <w:szCs w:val="21"/>
          <w:highlight w:val="none"/>
        </w:rPr>
      </w:pPr>
      <w:r>
        <w:rPr>
          <w:rFonts w:hint="eastAsia" w:cs="宋体"/>
          <w:color w:val="auto"/>
          <w:position w:val="6"/>
          <w:sz w:val="21"/>
          <w:szCs w:val="21"/>
          <w:highlight w:val="none"/>
        </w:rPr>
        <w:t>1. 主体结构和基础工程，为</w:t>
      </w:r>
      <w:r>
        <w:rPr>
          <w:rFonts w:hint="eastAsia" w:cs="宋体"/>
          <w:color w:val="auto"/>
          <w:position w:val="6"/>
          <w:sz w:val="21"/>
          <w:szCs w:val="21"/>
          <w:highlight w:val="none"/>
          <w:u w:val="single"/>
        </w:rPr>
        <w:t xml:space="preserve">     </w:t>
      </w:r>
      <w:r>
        <w:rPr>
          <w:rFonts w:hint="eastAsia" w:cs="宋体"/>
          <w:color w:val="auto"/>
          <w:position w:val="6"/>
          <w:sz w:val="21"/>
          <w:szCs w:val="21"/>
          <w:highlight w:val="none"/>
        </w:rPr>
        <w:t>年；</w:t>
      </w:r>
    </w:p>
    <w:p w14:paraId="376E3FA9">
      <w:pPr>
        <w:widowControl/>
        <w:adjustRightInd w:val="0"/>
        <w:snapToGrid w:val="0"/>
        <w:spacing w:line="360" w:lineRule="auto"/>
        <w:ind w:left="400" w:leftChars="200" w:firstLine="58" w:firstLineChars="28"/>
        <w:jc w:val="left"/>
        <w:rPr>
          <w:rFonts w:cs="宋体"/>
          <w:color w:val="auto"/>
          <w:position w:val="6"/>
          <w:sz w:val="21"/>
          <w:szCs w:val="21"/>
          <w:highlight w:val="none"/>
        </w:rPr>
      </w:pPr>
      <w:r>
        <w:rPr>
          <w:rFonts w:hint="eastAsia" w:cs="宋体"/>
          <w:color w:val="auto"/>
          <w:position w:val="6"/>
          <w:sz w:val="21"/>
          <w:szCs w:val="21"/>
          <w:highlight w:val="none"/>
        </w:rPr>
        <w:t>2. _____________工程，为</w:t>
      </w:r>
      <w:r>
        <w:rPr>
          <w:rFonts w:hint="eastAsia" w:cs="宋体"/>
          <w:color w:val="auto"/>
          <w:position w:val="6"/>
          <w:sz w:val="21"/>
          <w:szCs w:val="21"/>
          <w:highlight w:val="none"/>
          <w:u w:val="single"/>
        </w:rPr>
        <w:t xml:space="preserve">     </w:t>
      </w:r>
      <w:r>
        <w:rPr>
          <w:rFonts w:hint="eastAsia" w:cs="宋体"/>
          <w:color w:val="auto"/>
          <w:position w:val="6"/>
          <w:sz w:val="21"/>
          <w:szCs w:val="21"/>
          <w:highlight w:val="none"/>
        </w:rPr>
        <w:t>年；</w:t>
      </w:r>
    </w:p>
    <w:p w14:paraId="202D7129">
      <w:pPr>
        <w:widowControl/>
        <w:adjustRightInd w:val="0"/>
        <w:snapToGrid w:val="0"/>
        <w:spacing w:line="360" w:lineRule="auto"/>
        <w:ind w:left="400" w:leftChars="200" w:firstLine="58" w:firstLineChars="28"/>
        <w:jc w:val="left"/>
        <w:rPr>
          <w:rFonts w:cs="宋体"/>
          <w:color w:val="auto"/>
          <w:position w:val="6"/>
          <w:sz w:val="21"/>
          <w:szCs w:val="21"/>
          <w:highlight w:val="none"/>
        </w:rPr>
      </w:pPr>
      <w:r>
        <w:rPr>
          <w:rFonts w:hint="eastAsia" w:cs="宋体"/>
          <w:color w:val="auto"/>
          <w:position w:val="6"/>
          <w:sz w:val="21"/>
          <w:szCs w:val="21"/>
          <w:highlight w:val="none"/>
        </w:rPr>
        <w:t>3. _____________工程，为</w:t>
      </w:r>
      <w:r>
        <w:rPr>
          <w:rFonts w:hint="eastAsia" w:cs="宋体"/>
          <w:color w:val="auto"/>
          <w:position w:val="6"/>
          <w:sz w:val="21"/>
          <w:szCs w:val="21"/>
          <w:highlight w:val="none"/>
          <w:u w:val="single"/>
        </w:rPr>
        <w:t xml:space="preserve">     </w:t>
      </w:r>
      <w:r>
        <w:rPr>
          <w:rFonts w:hint="eastAsia" w:cs="宋体"/>
          <w:color w:val="auto"/>
          <w:position w:val="6"/>
          <w:sz w:val="21"/>
          <w:szCs w:val="21"/>
          <w:highlight w:val="none"/>
        </w:rPr>
        <w:t>年；</w:t>
      </w:r>
    </w:p>
    <w:p w14:paraId="3499764E">
      <w:pPr>
        <w:adjustRightInd w:val="0"/>
        <w:snapToGrid w:val="0"/>
        <w:spacing w:line="360" w:lineRule="auto"/>
        <w:ind w:left="342" w:leftChars="171" w:firstLine="105" w:firstLineChars="50"/>
        <w:rPr>
          <w:rFonts w:cs="宋体"/>
          <w:color w:val="auto"/>
          <w:position w:val="6"/>
          <w:sz w:val="21"/>
          <w:szCs w:val="21"/>
          <w:highlight w:val="none"/>
        </w:rPr>
      </w:pPr>
      <w:r>
        <w:rPr>
          <w:rFonts w:hint="eastAsia" w:cs="宋体"/>
          <w:color w:val="auto"/>
          <w:position w:val="6"/>
          <w:sz w:val="21"/>
          <w:szCs w:val="21"/>
          <w:highlight w:val="none"/>
        </w:rPr>
        <w:t xml:space="preserve">4. _____________工程，为 </w:t>
      </w:r>
      <w:r>
        <w:rPr>
          <w:rFonts w:hint="eastAsia" w:cs="宋体"/>
          <w:color w:val="auto"/>
          <w:position w:val="6"/>
          <w:sz w:val="21"/>
          <w:szCs w:val="21"/>
          <w:highlight w:val="none"/>
          <w:u w:val="single"/>
        </w:rPr>
        <w:t xml:space="preserve">     </w:t>
      </w:r>
      <w:r>
        <w:rPr>
          <w:rFonts w:hint="eastAsia" w:cs="宋体"/>
          <w:color w:val="auto"/>
          <w:position w:val="6"/>
          <w:sz w:val="21"/>
          <w:szCs w:val="21"/>
          <w:highlight w:val="none"/>
        </w:rPr>
        <w:t>年；</w:t>
      </w:r>
    </w:p>
    <w:p w14:paraId="0CC83D57">
      <w:pPr>
        <w:adjustRightInd w:val="0"/>
        <w:snapToGrid w:val="0"/>
        <w:spacing w:line="360" w:lineRule="auto"/>
        <w:ind w:left="342" w:leftChars="171" w:firstLine="105" w:firstLineChars="50"/>
        <w:rPr>
          <w:rFonts w:cs="宋体"/>
          <w:color w:val="auto"/>
          <w:position w:val="6"/>
          <w:sz w:val="21"/>
          <w:szCs w:val="21"/>
          <w:highlight w:val="none"/>
        </w:rPr>
      </w:pPr>
      <w:r>
        <w:rPr>
          <w:rFonts w:hint="eastAsia" w:cs="宋体"/>
          <w:color w:val="auto"/>
          <w:position w:val="6"/>
          <w:sz w:val="21"/>
          <w:szCs w:val="21"/>
          <w:highlight w:val="none"/>
        </w:rPr>
        <w:t>质量保修期自工程竣工验收合格之日起计算。</w:t>
      </w:r>
    </w:p>
    <w:p w14:paraId="133CF341">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三、缺陷责任期</w:t>
      </w:r>
    </w:p>
    <w:p w14:paraId="0F1EB83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工程缺陷责任期为</w:t>
      </w:r>
      <w:r>
        <w:rPr>
          <w:rFonts w:hint="eastAsia" w:cs="宋体"/>
          <w:color w:val="auto"/>
          <w:sz w:val="21"/>
          <w:szCs w:val="21"/>
          <w:highlight w:val="none"/>
          <w:u w:val="single"/>
          <w:lang w:val="en-US" w:eastAsia="zh-CN"/>
        </w:rPr>
        <w:t>一年</w:t>
      </w:r>
      <w:r>
        <w:rPr>
          <w:rFonts w:hint="eastAsia" w:cs="宋体"/>
          <w:color w:val="auto"/>
          <w:sz w:val="21"/>
          <w:szCs w:val="21"/>
          <w:highlight w:val="none"/>
        </w:rPr>
        <w:t>，缺陷责任期自工程竣工验收合格之日起计算。单位工程先于全部工程进行验收，单位工程缺陷责任期自单位工程验收合格之日起算。</w:t>
      </w:r>
    </w:p>
    <w:p w14:paraId="7F737D9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缺陷责任期终止后，发包人应退还剩余的质量保证金。</w:t>
      </w:r>
    </w:p>
    <w:p w14:paraId="42A62739">
      <w:pPr>
        <w:widowControl/>
        <w:adjustRightInd w:val="0"/>
        <w:snapToGrid w:val="0"/>
        <w:spacing w:line="360" w:lineRule="auto"/>
        <w:ind w:firstLine="422" w:firstLineChars="200"/>
        <w:jc w:val="left"/>
        <w:rPr>
          <w:rFonts w:cs="宋体"/>
          <w:b/>
          <w:bCs/>
          <w:color w:val="auto"/>
          <w:position w:val="6"/>
          <w:sz w:val="21"/>
          <w:szCs w:val="21"/>
          <w:highlight w:val="none"/>
        </w:rPr>
      </w:pPr>
      <w:r>
        <w:rPr>
          <w:rFonts w:hint="eastAsia" w:cs="宋体"/>
          <w:b/>
          <w:color w:val="auto"/>
          <w:sz w:val="21"/>
          <w:szCs w:val="21"/>
          <w:highlight w:val="none"/>
        </w:rPr>
        <w:t>四、质量保修责任</w:t>
      </w:r>
    </w:p>
    <w:p w14:paraId="219E543E">
      <w:pPr>
        <w:widowControl/>
        <w:adjustRightInd w:val="0"/>
        <w:snapToGrid w:val="0"/>
        <w:spacing w:line="360" w:lineRule="auto"/>
        <w:ind w:firstLine="420" w:firstLineChars="200"/>
        <w:jc w:val="left"/>
        <w:rPr>
          <w:rFonts w:cs="宋体"/>
          <w:color w:val="auto"/>
          <w:position w:val="6"/>
          <w:sz w:val="21"/>
          <w:szCs w:val="21"/>
          <w:highlight w:val="none"/>
        </w:rPr>
      </w:pPr>
      <w:r>
        <w:rPr>
          <w:rFonts w:hint="eastAsia" w:cs="宋体"/>
          <w:color w:val="auto"/>
          <w:position w:val="6"/>
          <w:sz w:val="21"/>
          <w:szCs w:val="21"/>
          <w:highlight w:val="none"/>
        </w:rPr>
        <w:t>1. 属于保修范围、内容的项目，承包人应当在接到保修通知之日起7天内派人保修。承包人不在约定期限内派人保修的，发包人可以委托他人修理。</w:t>
      </w:r>
    </w:p>
    <w:p w14:paraId="3A5F0676">
      <w:pPr>
        <w:widowControl/>
        <w:adjustRightInd w:val="0"/>
        <w:snapToGrid w:val="0"/>
        <w:spacing w:line="360" w:lineRule="auto"/>
        <w:ind w:firstLine="420" w:firstLineChars="200"/>
        <w:jc w:val="left"/>
        <w:rPr>
          <w:rFonts w:cs="宋体"/>
          <w:color w:val="auto"/>
          <w:position w:val="6"/>
          <w:sz w:val="21"/>
          <w:szCs w:val="21"/>
          <w:highlight w:val="none"/>
        </w:rPr>
      </w:pPr>
      <w:r>
        <w:rPr>
          <w:rFonts w:hint="eastAsia" w:cs="宋体"/>
          <w:color w:val="auto"/>
          <w:position w:val="6"/>
          <w:sz w:val="21"/>
          <w:szCs w:val="21"/>
          <w:highlight w:val="none"/>
        </w:rPr>
        <w:t>2. 发生紧急抢修事故的，承包人在接到事故通知后，应当立即到达事故现场抢修。</w:t>
      </w:r>
    </w:p>
    <w:p w14:paraId="77DF9BE2">
      <w:pPr>
        <w:widowControl/>
        <w:adjustRightInd w:val="0"/>
        <w:snapToGrid w:val="0"/>
        <w:spacing w:line="360" w:lineRule="auto"/>
        <w:ind w:firstLine="420" w:firstLineChars="200"/>
        <w:jc w:val="left"/>
        <w:rPr>
          <w:rFonts w:cs="宋体"/>
          <w:color w:val="auto"/>
          <w:position w:val="6"/>
          <w:sz w:val="21"/>
          <w:szCs w:val="21"/>
          <w:highlight w:val="none"/>
        </w:rPr>
      </w:pPr>
      <w:r>
        <w:rPr>
          <w:rFonts w:hint="eastAsia" w:cs="宋体"/>
          <w:color w:val="auto"/>
          <w:position w:val="6"/>
          <w:sz w:val="21"/>
          <w:szCs w:val="21"/>
          <w:highlight w:val="none"/>
        </w:rPr>
        <w:t>3. 对于涉及结构安全的质量问题，应当立即向当地建设行政主管部门报告，采取安全防范措施；由原设计单位或者具有相应资质等级的设计单位提出保修方案，承包人实施保修。</w:t>
      </w:r>
    </w:p>
    <w:p w14:paraId="07BCB8B1">
      <w:pPr>
        <w:widowControl/>
        <w:adjustRightInd w:val="0"/>
        <w:snapToGrid w:val="0"/>
        <w:spacing w:line="360" w:lineRule="auto"/>
        <w:ind w:firstLine="420" w:firstLineChars="200"/>
        <w:jc w:val="left"/>
        <w:rPr>
          <w:rFonts w:cs="宋体"/>
          <w:color w:val="auto"/>
          <w:position w:val="6"/>
          <w:sz w:val="21"/>
          <w:szCs w:val="21"/>
          <w:highlight w:val="none"/>
        </w:rPr>
      </w:pPr>
      <w:r>
        <w:rPr>
          <w:rFonts w:hint="eastAsia" w:cs="宋体"/>
          <w:color w:val="auto"/>
          <w:position w:val="6"/>
          <w:sz w:val="21"/>
          <w:szCs w:val="21"/>
          <w:highlight w:val="none"/>
        </w:rPr>
        <w:t>4. 质量保修完成后，由发包人组织验收。</w:t>
      </w:r>
    </w:p>
    <w:p w14:paraId="180899AF">
      <w:pPr>
        <w:widowControl/>
        <w:adjustRightInd w:val="0"/>
        <w:snapToGrid w:val="0"/>
        <w:spacing w:line="360" w:lineRule="auto"/>
        <w:ind w:firstLine="422" w:firstLineChars="200"/>
        <w:jc w:val="left"/>
        <w:rPr>
          <w:rFonts w:cs="宋体"/>
          <w:b/>
          <w:bCs/>
          <w:color w:val="auto"/>
          <w:position w:val="6"/>
          <w:sz w:val="21"/>
          <w:szCs w:val="21"/>
          <w:highlight w:val="none"/>
        </w:rPr>
      </w:pPr>
      <w:r>
        <w:rPr>
          <w:rFonts w:hint="eastAsia" w:cs="宋体"/>
          <w:b/>
          <w:bCs/>
          <w:color w:val="auto"/>
          <w:position w:val="6"/>
          <w:sz w:val="21"/>
          <w:szCs w:val="21"/>
          <w:highlight w:val="none"/>
        </w:rPr>
        <w:t>五、保修费用</w:t>
      </w:r>
    </w:p>
    <w:p w14:paraId="5EE2AE9D">
      <w:pPr>
        <w:widowControl/>
        <w:adjustRightInd w:val="0"/>
        <w:snapToGrid w:val="0"/>
        <w:spacing w:line="360" w:lineRule="auto"/>
        <w:ind w:firstLine="420" w:firstLineChars="200"/>
        <w:jc w:val="left"/>
        <w:rPr>
          <w:rFonts w:cs="宋体"/>
          <w:color w:val="auto"/>
          <w:position w:val="6"/>
          <w:sz w:val="21"/>
          <w:szCs w:val="21"/>
          <w:highlight w:val="none"/>
        </w:rPr>
      </w:pPr>
      <w:r>
        <w:rPr>
          <w:rFonts w:hint="eastAsia" w:cs="宋体"/>
          <w:color w:val="auto"/>
          <w:position w:val="6"/>
          <w:sz w:val="21"/>
          <w:szCs w:val="21"/>
          <w:highlight w:val="none"/>
        </w:rPr>
        <w:t>保修费用由造成质量缺陷的责任方承担。</w:t>
      </w:r>
    </w:p>
    <w:p w14:paraId="74F84E05">
      <w:pPr>
        <w:widowControl/>
        <w:adjustRightInd w:val="0"/>
        <w:snapToGrid w:val="0"/>
        <w:spacing w:line="360" w:lineRule="auto"/>
        <w:ind w:firstLine="420" w:firstLineChars="200"/>
        <w:jc w:val="left"/>
        <w:rPr>
          <w:rFonts w:cs="宋体"/>
          <w:b/>
          <w:color w:val="auto"/>
          <w:sz w:val="21"/>
          <w:szCs w:val="21"/>
          <w:highlight w:val="none"/>
        </w:rPr>
      </w:pPr>
      <w:r>
        <w:rPr>
          <w:rFonts w:hint="eastAsia" w:cs="宋体"/>
          <w:bCs/>
          <w:color w:val="auto"/>
          <w:position w:val="6"/>
          <w:sz w:val="21"/>
          <w:szCs w:val="21"/>
          <w:highlight w:val="none"/>
        </w:rPr>
        <w:t>六、</w:t>
      </w:r>
      <w:r>
        <w:rPr>
          <w:rFonts w:hint="eastAsia" w:cs="宋体"/>
          <w:b/>
          <w:color w:val="auto"/>
          <w:sz w:val="21"/>
          <w:szCs w:val="21"/>
          <w:highlight w:val="none"/>
        </w:rPr>
        <w:t>双方约定的其他工程质量保修事项：</w:t>
      </w:r>
      <w:r>
        <w:rPr>
          <w:rFonts w:hint="eastAsia" w:cs="宋体"/>
          <w:b/>
          <w:color w:val="auto"/>
          <w:sz w:val="21"/>
          <w:szCs w:val="21"/>
          <w:highlight w:val="none"/>
          <w:u w:val="single"/>
        </w:rPr>
        <w:t xml:space="preserve">             </w:t>
      </w:r>
      <w:r>
        <w:rPr>
          <w:rFonts w:hint="eastAsia" w:cs="宋体"/>
          <w:b/>
          <w:color w:val="auto"/>
          <w:sz w:val="21"/>
          <w:szCs w:val="21"/>
          <w:highlight w:val="none"/>
        </w:rPr>
        <w:t>。</w:t>
      </w:r>
    </w:p>
    <w:p w14:paraId="5A2ED1EC">
      <w:pPr>
        <w:widowControl/>
        <w:adjustRightInd w:val="0"/>
        <w:snapToGrid w:val="0"/>
        <w:spacing w:line="360" w:lineRule="auto"/>
        <w:ind w:firstLine="420" w:firstLineChars="200"/>
        <w:jc w:val="left"/>
        <w:rPr>
          <w:rFonts w:cs="宋体"/>
          <w:bCs/>
          <w:color w:val="auto"/>
          <w:sz w:val="21"/>
          <w:szCs w:val="21"/>
          <w:highlight w:val="none"/>
        </w:rPr>
      </w:pPr>
      <w:r>
        <w:rPr>
          <w:rFonts w:hint="eastAsia" w:cs="宋体"/>
          <w:bCs/>
          <w:color w:val="auto"/>
          <w:position w:val="6"/>
          <w:sz w:val="21"/>
          <w:szCs w:val="21"/>
          <w:highlight w:val="none"/>
        </w:rPr>
        <w:t>本工程质量保修书，由施工合同发包人、承包人双方在竣工验收前共同签署，作为施工合同附件，其有效期限至保修期满。</w:t>
      </w:r>
    </w:p>
    <w:p w14:paraId="65CD52F8">
      <w:pPr>
        <w:adjustRightInd w:val="0"/>
        <w:snapToGrid w:val="0"/>
        <w:spacing w:line="360" w:lineRule="auto"/>
        <w:ind w:firstLine="420"/>
        <w:rPr>
          <w:rFonts w:cs="宋体"/>
          <w:color w:val="auto"/>
          <w:sz w:val="21"/>
          <w:szCs w:val="21"/>
          <w:highlight w:val="none"/>
        </w:rPr>
      </w:pPr>
    </w:p>
    <w:p w14:paraId="09BC0FD9">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发包人（公章）：</w:t>
      </w:r>
      <w:r>
        <w:rPr>
          <w:rFonts w:hint="eastAsia" w:cs="宋体"/>
          <w:color w:val="auto"/>
          <w:sz w:val="21"/>
          <w:szCs w:val="21"/>
          <w:highlight w:val="none"/>
          <w:u w:val="single"/>
        </w:rPr>
        <w:t xml:space="preserve">        </w:t>
      </w:r>
      <w:r>
        <w:rPr>
          <w:rFonts w:hint="eastAsia" w:cs="宋体"/>
          <w:color w:val="auto"/>
          <w:sz w:val="21"/>
          <w:szCs w:val="21"/>
          <w:highlight w:val="none"/>
        </w:rPr>
        <w:t xml:space="preserve">           承包人（公章）：</w:t>
      </w:r>
      <w:r>
        <w:rPr>
          <w:rFonts w:hint="eastAsia" w:cs="宋体"/>
          <w:color w:val="auto"/>
          <w:sz w:val="21"/>
          <w:szCs w:val="21"/>
          <w:highlight w:val="none"/>
          <w:u w:val="single"/>
        </w:rPr>
        <w:t xml:space="preserve">        </w:t>
      </w:r>
    </w:p>
    <w:p w14:paraId="075F9844">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地  址：</w:t>
      </w:r>
      <w:r>
        <w:rPr>
          <w:rFonts w:hint="eastAsia" w:cs="宋体"/>
          <w:color w:val="auto"/>
          <w:sz w:val="21"/>
          <w:szCs w:val="21"/>
          <w:highlight w:val="none"/>
          <w:u w:val="single"/>
        </w:rPr>
        <w:t xml:space="preserve">     </w:t>
      </w:r>
      <w:r>
        <w:rPr>
          <w:rFonts w:hint="eastAsia" w:cs="宋体"/>
          <w:color w:val="auto"/>
          <w:sz w:val="21"/>
          <w:szCs w:val="21"/>
          <w:highlight w:val="none"/>
        </w:rPr>
        <w:t xml:space="preserve">              地  址：</w:t>
      </w:r>
      <w:r>
        <w:rPr>
          <w:rFonts w:hint="eastAsia" w:cs="宋体"/>
          <w:color w:val="auto"/>
          <w:sz w:val="21"/>
          <w:szCs w:val="21"/>
          <w:highlight w:val="none"/>
          <w:u w:val="single"/>
        </w:rPr>
        <w:t xml:space="preserve">       </w:t>
      </w:r>
    </w:p>
    <w:p w14:paraId="3FD4A655">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法定代表人（签字）：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法定代表人（签字）：</w:t>
      </w:r>
      <w:r>
        <w:rPr>
          <w:rFonts w:hint="eastAsia" w:cs="宋体"/>
          <w:color w:val="auto"/>
          <w:sz w:val="21"/>
          <w:szCs w:val="21"/>
          <w:highlight w:val="none"/>
          <w:u w:val="single"/>
        </w:rPr>
        <w:t xml:space="preserve">       </w:t>
      </w:r>
    </w:p>
    <w:p w14:paraId="63584A6A">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委托代理人（签字）：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委托代理人（签字）：</w:t>
      </w:r>
      <w:r>
        <w:rPr>
          <w:rFonts w:hint="eastAsia" w:cs="宋体"/>
          <w:color w:val="auto"/>
          <w:sz w:val="21"/>
          <w:szCs w:val="21"/>
          <w:highlight w:val="none"/>
          <w:u w:val="single"/>
        </w:rPr>
        <w:t xml:space="preserve">       </w:t>
      </w:r>
    </w:p>
    <w:p w14:paraId="2C5E9A2C">
      <w:pPr>
        <w:adjustRightInd w:val="0"/>
        <w:snapToGrid w:val="0"/>
        <w:spacing w:line="360" w:lineRule="auto"/>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r>
        <w:rPr>
          <w:rFonts w:hint="eastAsia" w:cs="宋体"/>
          <w:color w:val="auto"/>
          <w:sz w:val="21"/>
          <w:szCs w:val="21"/>
          <w:highlight w:val="none"/>
        </w:rPr>
        <w:t xml:space="preserve">              电  话：</w:t>
      </w:r>
      <w:r>
        <w:rPr>
          <w:rFonts w:hint="eastAsia" w:cs="宋体"/>
          <w:color w:val="auto"/>
          <w:sz w:val="21"/>
          <w:szCs w:val="21"/>
          <w:highlight w:val="none"/>
          <w:u w:val="single"/>
        </w:rPr>
        <w:t xml:space="preserve">     </w:t>
      </w:r>
    </w:p>
    <w:p w14:paraId="22B8631D">
      <w:pPr>
        <w:adjustRightInd w:val="0"/>
        <w:snapToGrid w:val="0"/>
        <w:spacing w:line="360" w:lineRule="auto"/>
        <w:rPr>
          <w:rFonts w:cs="宋体"/>
          <w:color w:val="auto"/>
          <w:sz w:val="21"/>
          <w:szCs w:val="21"/>
          <w:highlight w:val="none"/>
        </w:rPr>
      </w:pPr>
      <w:r>
        <w:rPr>
          <w:rFonts w:hint="eastAsia" w:cs="宋体"/>
          <w:color w:val="auto"/>
          <w:sz w:val="21"/>
          <w:szCs w:val="21"/>
          <w:highlight w:val="none"/>
        </w:rPr>
        <w:t>传  真：</w:t>
      </w:r>
      <w:r>
        <w:rPr>
          <w:rFonts w:hint="eastAsia" w:cs="宋体"/>
          <w:color w:val="auto"/>
          <w:sz w:val="21"/>
          <w:szCs w:val="21"/>
          <w:highlight w:val="none"/>
          <w:u w:val="single"/>
        </w:rPr>
        <w:t xml:space="preserve">   </w:t>
      </w:r>
      <w:r>
        <w:rPr>
          <w:rFonts w:hint="eastAsia" w:cs="宋体"/>
          <w:color w:val="auto"/>
          <w:sz w:val="21"/>
          <w:szCs w:val="21"/>
          <w:highlight w:val="none"/>
        </w:rPr>
        <w:t xml:space="preserve">              传  真：</w:t>
      </w:r>
      <w:r>
        <w:rPr>
          <w:rFonts w:hint="eastAsia" w:cs="宋体"/>
          <w:color w:val="auto"/>
          <w:sz w:val="21"/>
          <w:szCs w:val="21"/>
          <w:highlight w:val="none"/>
          <w:u w:val="single"/>
        </w:rPr>
        <w:t xml:space="preserve">     </w:t>
      </w:r>
    </w:p>
    <w:p w14:paraId="5532CDC8">
      <w:pPr>
        <w:adjustRightInd w:val="0"/>
        <w:snapToGrid w:val="0"/>
        <w:spacing w:line="360" w:lineRule="auto"/>
        <w:rPr>
          <w:rFonts w:cs="宋体"/>
          <w:color w:val="auto"/>
          <w:sz w:val="21"/>
          <w:szCs w:val="21"/>
          <w:highlight w:val="none"/>
        </w:rPr>
      </w:pPr>
      <w:r>
        <w:rPr>
          <w:rFonts w:hint="eastAsia" w:cs="宋体"/>
          <w:color w:val="auto"/>
          <w:sz w:val="21"/>
          <w:szCs w:val="21"/>
          <w:highlight w:val="none"/>
        </w:rPr>
        <w:t>开户银行：</w:t>
      </w:r>
      <w:r>
        <w:rPr>
          <w:rFonts w:hint="eastAsia" w:cs="宋体"/>
          <w:color w:val="auto"/>
          <w:sz w:val="21"/>
          <w:szCs w:val="21"/>
          <w:highlight w:val="none"/>
          <w:u w:val="single"/>
        </w:rPr>
        <w:t xml:space="preserve">   </w:t>
      </w:r>
      <w:r>
        <w:rPr>
          <w:rFonts w:hint="eastAsia" w:cs="宋体"/>
          <w:color w:val="auto"/>
          <w:sz w:val="21"/>
          <w:szCs w:val="21"/>
          <w:highlight w:val="none"/>
        </w:rPr>
        <w:t xml:space="preserve">              开户银行：</w:t>
      </w:r>
      <w:r>
        <w:rPr>
          <w:rFonts w:hint="eastAsia" w:cs="宋体"/>
          <w:color w:val="auto"/>
          <w:sz w:val="21"/>
          <w:szCs w:val="21"/>
          <w:highlight w:val="none"/>
          <w:u w:val="single"/>
        </w:rPr>
        <w:t xml:space="preserve">   </w:t>
      </w:r>
    </w:p>
    <w:p w14:paraId="46986127">
      <w:pPr>
        <w:adjustRightInd w:val="0"/>
        <w:snapToGrid w:val="0"/>
        <w:spacing w:line="360" w:lineRule="auto"/>
        <w:rPr>
          <w:rFonts w:cs="宋体"/>
          <w:color w:val="auto"/>
          <w:sz w:val="21"/>
          <w:szCs w:val="21"/>
          <w:highlight w:val="none"/>
        </w:rPr>
      </w:pPr>
      <w:r>
        <w:rPr>
          <w:rFonts w:hint="eastAsia" w:cs="宋体"/>
          <w:color w:val="auto"/>
          <w:sz w:val="21"/>
          <w:szCs w:val="21"/>
          <w:highlight w:val="none"/>
        </w:rPr>
        <w:t>账  号：</w:t>
      </w:r>
      <w:r>
        <w:rPr>
          <w:rFonts w:hint="eastAsia" w:cs="宋体"/>
          <w:color w:val="auto"/>
          <w:sz w:val="21"/>
          <w:szCs w:val="21"/>
          <w:highlight w:val="none"/>
          <w:u w:val="single"/>
        </w:rPr>
        <w:t xml:space="preserve">       </w:t>
      </w:r>
      <w:r>
        <w:rPr>
          <w:rFonts w:hint="eastAsia" w:cs="宋体"/>
          <w:color w:val="auto"/>
          <w:sz w:val="21"/>
          <w:szCs w:val="21"/>
          <w:highlight w:val="none"/>
        </w:rPr>
        <w:t xml:space="preserve">              账  号：</w:t>
      </w:r>
      <w:r>
        <w:rPr>
          <w:rFonts w:hint="eastAsia" w:cs="宋体"/>
          <w:color w:val="auto"/>
          <w:sz w:val="21"/>
          <w:szCs w:val="21"/>
          <w:highlight w:val="none"/>
          <w:u w:val="single"/>
        </w:rPr>
        <w:t xml:space="preserve">     </w:t>
      </w:r>
    </w:p>
    <w:p w14:paraId="26233B5E">
      <w:pPr>
        <w:adjustRightInd w:val="0"/>
        <w:snapToGrid w:val="0"/>
        <w:spacing w:line="360" w:lineRule="auto"/>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    </w:t>
      </w:r>
      <w:r>
        <w:rPr>
          <w:rFonts w:hint="eastAsia" w:cs="宋体"/>
          <w:color w:val="auto"/>
          <w:sz w:val="21"/>
          <w:szCs w:val="21"/>
          <w:highlight w:val="none"/>
        </w:rPr>
        <w:t xml:space="preserve">              邮政编码：</w:t>
      </w:r>
      <w:r>
        <w:rPr>
          <w:rFonts w:hint="eastAsia" w:cs="宋体"/>
          <w:color w:val="auto"/>
          <w:sz w:val="21"/>
          <w:szCs w:val="21"/>
          <w:highlight w:val="none"/>
          <w:u w:val="single"/>
        </w:rPr>
        <w:t xml:space="preserve">   </w:t>
      </w:r>
    </w:p>
    <w:p w14:paraId="7C9D6B5F">
      <w:pPr>
        <w:spacing w:before="312" w:beforeLines="100" w:after="312" w:afterLines="100"/>
        <w:outlineLvl w:val="2"/>
        <w:rPr>
          <w:rFonts w:ascii="Times New Roman" w:eastAsia="黑体"/>
          <w:color w:val="auto"/>
          <w:szCs w:val="24"/>
          <w:highlight w:val="none"/>
        </w:rPr>
      </w:pPr>
      <w:r>
        <w:rPr>
          <w:rFonts w:ascii="Times New Roman" w:eastAsia="黑体"/>
          <w:b/>
          <w:bCs/>
          <w:color w:val="auto"/>
          <w:highlight w:val="none"/>
        </w:rPr>
        <w:br w:type="page"/>
      </w:r>
      <w:bookmarkStart w:id="630" w:name="_Toc128950239"/>
      <w:r>
        <w:rPr>
          <w:rFonts w:hint="eastAsia" w:ascii="Times New Roman" w:eastAsia="黑体"/>
          <w:color w:val="auto"/>
          <w:szCs w:val="24"/>
          <w:highlight w:val="none"/>
        </w:rPr>
        <w:t>附件</w:t>
      </w:r>
      <w:r>
        <w:rPr>
          <w:rFonts w:ascii="Times New Roman" w:eastAsia="黑体"/>
          <w:color w:val="auto"/>
          <w:szCs w:val="24"/>
          <w:highlight w:val="none"/>
        </w:rPr>
        <w:t>4</w:t>
      </w:r>
      <w:r>
        <w:rPr>
          <w:rFonts w:hint="eastAsia" w:ascii="Times New Roman" w:eastAsia="黑体"/>
          <w:color w:val="auto"/>
          <w:szCs w:val="24"/>
          <w:highlight w:val="none"/>
        </w:rPr>
        <w:t>：主要建设工程文件目录</w:t>
      </w:r>
      <w:bookmarkEnd w:id="630"/>
    </w:p>
    <w:p w14:paraId="2F0083D5">
      <w:pPr>
        <w:spacing w:before="156" w:beforeLines="50" w:after="156" w:afterLines="50"/>
        <w:jc w:val="center"/>
        <w:rPr>
          <w:rFonts w:cs="宋体"/>
          <w:color w:val="auto"/>
          <w:szCs w:val="21"/>
          <w:highlight w:val="none"/>
        </w:rPr>
      </w:pPr>
      <w:r>
        <w:rPr>
          <w:rFonts w:hint="eastAsia" w:cs="宋体"/>
          <w:color w:val="auto"/>
          <w:szCs w:val="21"/>
          <w:highlight w:val="none"/>
        </w:rPr>
        <w:t>主要建设工程文件目录</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806"/>
        <w:gridCol w:w="1181"/>
        <w:gridCol w:w="1342"/>
        <w:gridCol w:w="1149"/>
        <w:gridCol w:w="1342"/>
        <w:gridCol w:w="1542"/>
      </w:tblGrid>
      <w:tr w14:paraId="573C7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pct"/>
            <w:tcBorders>
              <w:top w:val="single" w:color="auto" w:sz="12" w:space="0"/>
              <w:bottom w:val="double" w:color="auto" w:sz="6" w:space="0"/>
            </w:tcBorders>
            <w:vAlign w:val="center"/>
          </w:tcPr>
          <w:p w14:paraId="75546B97">
            <w:pPr>
              <w:keepNext/>
              <w:jc w:val="center"/>
              <w:rPr>
                <w:rFonts w:cs="宋体"/>
                <w:color w:val="auto"/>
                <w:szCs w:val="21"/>
                <w:highlight w:val="none"/>
              </w:rPr>
            </w:pPr>
            <w:r>
              <w:rPr>
                <w:rFonts w:hint="eastAsia" w:cs="宋体"/>
                <w:color w:val="auto"/>
                <w:szCs w:val="21"/>
                <w:highlight w:val="none"/>
              </w:rPr>
              <w:t>文件名称</w:t>
            </w:r>
          </w:p>
        </w:tc>
        <w:tc>
          <w:tcPr>
            <w:tcW w:w="706" w:type="pct"/>
            <w:tcBorders>
              <w:top w:val="single" w:color="auto" w:sz="12" w:space="0"/>
              <w:bottom w:val="double" w:color="auto" w:sz="6" w:space="0"/>
            </w:tcBorders>
            <w:vAlign w:val="center"/>
          </w:tcPr>
          <w:p w14:paraId="0B97BE9D">
            <w:pPr>
              <w:keepNext/>
              <w:jc w:val="center"/>
              <w:rPr>
                <w:rFonts w:cs="宋体"/>
                <w:color w:val="auto"/>
                <w:szCs w:val="21"/>
                <w:highlight w:val="none"/>
              </w:rPr>
            </w:pPr>
            <w:r>
              <w:rPr>
                <w:rFonts w:hint="eastAsia" w:cs="宋体"/>
                <w:color w:val="auto"/>
                <w:szCs w:val="21"/>
                <w:highlight w:val="none"/>
              </w:rPr>
              <w:t>套数</w:t>
            </w:r>
          </w:p>
        </w:tc>
        <w:tc>
          <w:tcPr>
            <w:tcW w:w="802" w:type="pct"/>
            <w:tcBorders>
              <w:top w:val="single" w:color="auto" w:sz="12" w:space="0"/>
              <w:bottom w:val="double" w:color="auto" w:sz="6" w:space="0"/>
            </w:tcBorders>
            <w:vAlign w:val="center"/>
          </w:tcPr>
          <w:p w14:paraId="5187CDD8">
            <w:pPr>
              <w:keepNext/>
              <w:jc w:val="center"/>
              <w:rPr>
                <w:rFonts w:cs="宋体"/>
                <w:color w:val="auto"/>
                <w:szCs w:val="21"/>
                <w:highlight w:val="none"/>
              </w:rPr>
            </w:pPr>
            <w:r>
              <w:rPr>
                <w:rFonts w:hint="eastAsia" w:cs="宋体"/>
                <w:color w:val="auto"/>
                <w:szCs w:val="21"/>
                <w:highlight w:val="none"/>
              </w:rPr>
              <w:t>费用（元）</w:t>
            </w:r>
          </w:p>
        </w:tc>
        <w:tc>
          <w:tcPr>
            <w:tcW w:w="687" w:type="pct"/>
            <w:tcBorders>
              <w:top w:val="single" w:color="auto" w:sz="12" w:space="0"/>
              <w:bottom w:val="double" w:color="auto" w:sz="6" w:space="0"/>
            </w:tcBorders>
            <w:vAlign w:val="center"/>
          </w:tcPr>
          <w:p w14:paraId="0B720734">
            <w:pPr>
              <w:keepNext/>
              <w:jc w:val="center"/>
              <w:rPr>
                <w:rFonts w:cs="宋体"/>
                <w:color w:val="auto"/>
                <w:szCs w:val="21"/>
                <w:highlight w:val="none"/>
              </w:rPr>
            </w:pPr>
            <w:r>
              <w:rPr>
                <w:rFonts w:hint="eastAsia" w:cs="宋体"/>
                <w:color w:val="auto"/>
                <w:szCs w:val="21"/>
                <w:highlight w:val="none"/>
              </w:rPr>
              <w:t>质量</w:t>
            </w:r>
          </w:p>
        </w:tc>
        <w:tc>
          <w:tcPr>
            <w:tcW w:w="802" w:type="pct"/>
            <w:tcBorders>
              <w:top w:val="single" w:color="auto" w:sz="12" w:space="0"/>
              <w:bottom w:val="double" w:color="auto" w:sz="6" w:space="0"/>
            </w:tcBorders>
            <w:vAlign w:val="center"/>
          </w:tcPr>
          <w:p w14:paraId="30CC90DD">
            <w:pPr>
              <w:jc w:val="center"/>
              <w:rPr>
                <w:rFonts w:cs="宋体"/>
                <w:color w:val="auto"/>
                <w:szCs w:val="21"/>
                <w:highlight w:val="none"/>
              </w:rPr>
            </w:pPr>
            <w:r>
              <w:rPr>
                <w:rFonts w:hint="eastAsia" w:cs="宋体"/>
                <w:color w:val="auto"/>
                <w:szCs w:val="21"/>
                <w:highlight w:val="none"/>
              </w:rPr>
              <w:t>移交时间</w:t>
            </w:r>
          </w:p>
        </w:tc>
        <w:tc>
          <w:tcPr>
            <w:tcW w:w="922" w:type="pct"/>
            <w:tcBorders>
              <w:top w:val="single" w:color="auto" w:sz="12" w:space="0"/>
              <w:bottom w:val="double" w:color="auto" w:sz="6" w:space="0"/>
            </w:tcBorders>
            <w:vAlign w:val="center"/>
          </w:tcPr>
          <w:p w14:paraId="2974C1DD">
            <w:pPr>
              <w:jc w:val="center"/>
              <w:rPr>
                <w:rFonts w:cs="宋体"/>
                <w:color w:val="auto"/>
                <w:szCs w:val="21"/>
                <w:highlight w:val="none"/>
              </w:rPr>
            </w:pPr>
            <w:r>
              <w:rPr>
                <w:rFonts w:hint="eastAsia" w:cs="宋体"/>
                <w:color w:val="auto"/>
                <w:szCs w:val="21"/>
                <w:highlight w:val="none"/>
              </w:rPr>
              <w:t>责任人</w:t>
            </w:r>
          </w:p>
        </w:tc>
      </w:tr>
      <w:tr w14:paraId="40BA2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top w:val="double" w:color="auto" w:sz="6" w:space="0"/>
            </w:tcBorders>
            <w:vAlign w:val="center"/>
          </w:tcPr>
          <w:p w14:paraId="63B4672C">
            <w:pPr>
              <w:keepNext/>
              <w:jc w:val="center"/>
              <w:rPr>
                <w:rFonts w:cs="宋体"/>
                <w:color w:val="auto"/>
                <w:szCs w:val="21"/>
                <w:highlight w:val="none"/>
              </w:rPr>
            </w:pPr>
          </w:p>
        </w:tc>
        <w:tc>
          <w:tcPr>
            <w:tcW w:w="706" w:type="pct"/>
            <w:tcBorders>
              <w:top w:val="double" w:color="auto" w:sz="6" w:space="0"/>
            </w:tcBorders>
            <w:vAlign w:val="center"/>
          </w:tcPr>
          <w:p w14:paraId="676C1E4E">
            <w:pPr>
              <w:keepNext/>
              <w:jc w:val="center"/>
              <w:rPr>
                <w:rFonts w:cs="宋体"/>
                <w:color w:val="auto"/>
                <w:szCs w:val="21"/>
                <w:highlight w:val="none"/>
              </w:rPr>
            </w:pPr>
          </w:p>
        </w:tc>
        <w:tc>
          <w:tcPr>
            <w:tcW w:w="802" w:type="pct"/>
            <w:tcBorders>
              <w:top w:val="double" w:color="auto" w:sz="6" w:space="0"/>
            </w:tcBorders>
            <w:vAlign w:val="center"/>
          </w:tcPr>
          <w:p w14:paraId="712C7832">
            <w:pPr>
              <w:keepNext/>
              <w:jc w:val="center"/>
              <w:rPr>
                <w:rFonts w:cs="宋体"/>
                <w:color w:val="auto"/>
                <w:szCs w:val="21"/>
                <w:highlight w:val="none"/>
              </w:rPr>
            </w:pPr>
          </w:p>
        </w:tc>
        <w:tc>
          <w:tcPr>
            <w:tcW w:w="687" w:type="pct"/>
            <w:tcBorders>
              <w:top w:val="double" w:color="auto" w:sz="6" w:space="0"/>
            </w:tcBorders>
            <w:vAlign w:val="center"/>
          </w:tcPr>
          <w:p w14:paraId="0AD687E4">
            <w:pPr>
              <w:keepNext/>
              <w:jc w:val="center"/>
              <w:rPr>
                <w:rFonts w:cs="宋体"/>
                <w:color w:val="auto"/>
                <w:szCs w:val="21"/>
                <w:highlight w:val="none"/>
              </w:rPr>
            </w:pPr>
          </w:p>
        </w:tc>
        <w:tc>
          <w:tcPr>
            <w:tcW w:w="802" w:type="pct"/>
            <w:tcBorders>
              <w:top w:val="double" w:color="auto" w:sz="6" w:space="0"/>
            </w:tcBorders>
            <w:vAlign w:val="center"/>
          </w:tcPr>
          <w:p w14:paraId="71CA03DD">
            <w:pPr>
              <w:keepNext/>
              <w:jc w:val="center"/>
              <w:rPr>
                <w:rFonts w:cs="宋体"/>
                <w:color w:val="auto"/>
                <w:szCs w:val="21"/>
                <w:highlight w:val="none"/>
              </w:rPr>
            </w:pPr>
          </w:p>
        </w:tc>
        <w:tc>
          <w:tcPr>
            <w:tcW w:w="922" w:type="pct"/>
            <w:tcBorders>
              <w:top w:val="double" w:color="auto" w:sz="6" w:space="0"/>
            </w:tcBorders>
            <w:vAlign w:val="center"/>
          </w:tcPr>
          <w:p w14:paraId="13B88D31">
            <w:pPr>
              <w:keepNext/>
              <w:jc w:val="center"/>
              <w:rPr>
                <w:rFonts w:cs="宋体"/>
                <w:color w:val="auto"/>
                <w:szCs w:val="21"/>
                <w:highlight w:val="none"/>
              </w:rPr>
            </w:pPr>
          </w:p>
        </w:tc>
      </w:tr>
      <w:tr w14:paraId="7D922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top w:val="nil"/>
            </w:tcBorders>
            <w:vAlign w:val="center"/>
          </w:tcPr>
          <w:p w14:paraId="7360CB02">
            <w:pPr>
              <w:keepNext/>
              <w:jc w:val="center"/>
              <w:rPr>
                <w:rFonts w:cs="宋体"/>
                <w:color w:val="auto"/>
                <w:szCs w:val="21"/>
                <w:highlight w:val="none"/>
              </w:rPr>
            </w:pPr>
          </w:p>
        </w:tc>
        <w:tc>
          <w:tcPr>
            <w:tcW w:w="706" w:type="pct"/>
            <w:tcBorders>
              <w:top w:val="nil"/>
            </w:tcBorders>
            <w:vAlign w:val="center"/>
          </w:tcPr>
          <w:p w14:paraId="304D5FB6">
            <w:pPr>
              <w:keepNext/>
              <w:jc w:val="center"/>
              <w:rPr>
                <w:rFonts w:cs="宋体"/>
                <w:color w:val="auto"/>
                <w:szCs w:val="21"/>
                <w:highlight w:val="none"/>
              </w:rPr>
            </w:pPr>
          </w:p>
        </w:tc>
        <w:tc>
          <w:tcPr>
            <w:tcW w:w="802" w:type="pct"/>
            <w:tcBorders>
              <w:top w:val="nil"/>
            </w:tcBorders>
            <w:vAlign w:val="center"/>
          </w:tcPr>
          <w:p w14:paraId="145FE1A1">
            <w:pPr>
              <w:keepNext/>
              <w:jc w:val="center"/>
              <w:rPr>
                <w:rFonts w:cs="宋体"/>
                <w:color w:val="auto"/>
                <w:szCs w:val="21"/>
                <w:highlight w:val="none"/>
              </w:rPr>
            </w:pPr>
          </w:p>
        </w:tc>
        <w:tc>
          <w:tcPr>
            <w:tcW w:w="687" w:type="pct"/>
            <w:tcBorders>
              <w:top w:val="nil"/>
            </w:tcBorders>
            <w:vAlign w:val="center"/>
          </w:tcPr>
          <w:p w14:paraId="7CFF0DD7">
            <w:pPr>
              <w:keepNext/>
              <w:jc w:val="center"/>
              <w:rPr>
                <w:rFonts w:cs="宋体"/>
                <w:color w:val="auto"/>
                <w:szCs w:val="21"/>
                <w:highlight w:val="none"/>
              </w:rPr>
            </w:pPr>
          </w:p>
        </w:tc>
        <w:tc>
          <w:tcPr>
            <w:tcW w:w="802" w:type="pct"/>
            <w:tcBorders>
              <w:top w:val="nil"/>
            </w:tcBorders>
            <w:vAlign w:val="center"/>
          </w:tcPr>
          <w:p w14:paraId="67B9E05E">
            <w:pPr>
              <w:keepNext/>
              <w:jc w:val="center"/>
              <w:rPr>
                <w:rFonts w:cs="宋体"/>
                <w:color w:val="auto"/>
                <w:szCs w:val="21"/>
                <w:highlight w:val="none"/>
              </w:rPr>
            </w:pPr>
          </w:p>
        </w:tc>
        <w:tc>
          <w:tcPr>
            <w:tcW w:w="922" w:type="pct"/>
            <w:tcBorders>
              <w:top w:val="nil"/>
            </w:tcBorders>
            <w:vAlign w:val="center"/>
          </w:tcPr>
          <w:p w14:paraId="79A9E7FB">
            <w:pPr>
              <w:keepNext/>
              <w:jc w:val="center"/>
              <w:rPr>
                <w:rFonts w:cs="宋体"/>
                <w:color w:val="auto"/>
                <w:szCs w:val="21"/>
                <w:highlight w:val="none"/>
              </w:rPr>
            </w:pPr>
          </w:p>
        </w:tc>
      </w:tr>
      <w:tr w14:paraId="11681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5570469C">
            <w:pPr>
              <w:jc w:val="center"/>
              <w:rPr>
                <w:rFonts w:cs="宋体"/>
                <w:color w:val="auto"/>
                <w:szCs w:val="21"/>
                <w:highlight w:val="none"/>
              </w:rPr>
            </w:pPr>
          </w:p>
        </w:tc>
        <w:tc>
          <w:tcPr>
            <w:tcW w:w="706" w:type="pct"/>
            <w:vAlign w:val="center"/>
          </w:tcPr>
          <w:p w14:paraId="2F9F2D77">
            <w:pPr>
              <w:jc w:val="center"/>
              <w:rPr>
                <w:rFonts w:cs="宋体"/>
                <w:color w:val="auto"/>
                <w:szCs w:val="21"/>
                <w:highlight w:val="none"/>
              </w:rPr>
            </w:pPr>
          </w:p>
        </w:tc>
        <w:tc>
          <w:tcPr>
            <w:tcW w:w="802" w:type="pct"/>
            <w:vAlign w:val="center"/>
          </w:tcPr>
          <w:p w14:paraId="5262A128">
            <w:pPr>
              <w:jc w:val="center"/>
              <w:rPr>
                <w:rFonts w:cs="宋体"/>
                <w:color w:val="auto"/>
                <w:szCs w:val="21"/>
                <w:highlight w:val="none"/>
              </w:rPr>
            </w:pPr>
          </w:p>
        </w:tc>
        <w:tc>
          <w:tcPr>
            <w:tcW w:w="687" w:type="pct"/>
            <w:vAlign w:val="center"/>
          </w:tcPr>
          <w:p w14:paraId="3869203F">
            <w:pPr>
              <w:jc w:val="center"/>
              <w:rPr>
                <w:rFonts w:cs="宋体"/>
                <w:color w:val="auto"/>
                <w:szCs w:val="21"/>
                <w:highlight w:val="none"/>
              </w:rPr>
            </w:pPr>
          </w:p>
        </w:tc>
        <w:tc>
          <w:tcPr>
            <w:tcW w:w="802" w:type="pct"/>
            <w:vAlign w:val="center"/>
          </w:tcPr>
          <w:p w14:paraId="0E69144A">
            <w:pPr>
              <w:jc w:val="center"/>
              <w:rPr>
                <w:rFonts w:cs="宋体"/>
                <w:color w:val="auto"/>
                <w:szCs w:val="21"/>
                <w:highlight w:val="none"/>
              </w:rPr>
            </w:pPr>
          </w:p>
        </w:tc>
        <w:tc>
          <w:tcPr>
            <w:tcW w:w="922" w:type="pct"/>
            <w:vAlign w:val="center"/>
          </w:tcPr>
          <w:p w14:paraId="62D2AE3D">
            <w:pPr>
              <w:jc w:val="center"/>
              <w:rPr>
                <w:rFonts w:cs="宋体"/>
                <w:color w:val="auto"/>
                <w:szCs w:val="21"/>
                <w:highlight w:val="none"/>
              </w:rPr>
            </w:pPr>
          </w:p>
        </w:tc>
      </w:tr>
      <w:tr w14:paraId="25A54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47FC2863">
            <w:pPr>
              <w:jc w:val="center"/>
              <w:rPr>
                <w:rFonts w:cs="宋体"/>
                <w:color w:val="auto"/>
                <w:szCs w:val="21"/>
                <w:highlight w:val="none"/>
              </w:rPr>
            </w:pPr>
          </w:p>
        </w:tc>
        <w:tc>
          <w:tcPr>
            <w:tcW w:w="706" w:type="pct"/>
            <w:vAlign w:val="center"/>
          </w:tcPr>
          <w:p w14:paraId="48E59BB9">
            <w:pPr>
              <w:jc w:val="center"/>
              <w:rPr>
                <w:rFonts w:cs="宋体"/>
                <w:color w:val="auto"/>
                <w:szCs w:val="21"/>
                <w:highlight w:val="none"/>
              </w:rPr>
            </w:pPr>
          </w:p>
        </w:tc>
        <w:tc>
          <w:tcPr>
            <w:tcW w:w="802" w:type="pct"/>
            <w:vAlign w:val="center"/>
          </w:tcPr>
          <w:p w14:paraId="368EDEFF">
            <w:pPr>
              <w:jc w:val="center"/>
              <w:rPr>
                <w:rFonts w:cs="宋体"/>
                <w:color w:val="auto"/>
                <w:szCs w:val="21"/>
                <w:highlight w:val="none"/>
              </w:rPr>
            </w:pPr>
          </w:p>
        </w:tc>
        <w:tc>
          <w:tcPr>
            <w:tcW w:w="687" w:type="pct"/>
            <w:vAlign w:val="center"/>
          </w:tcPr>
          <w:p w14:paraId="7207E39D">
            <w:pPr>
              <w:jc w:val="center"/>
              <w:rPr>
                <w:rFonts w:cs="宋体"/>
                <w:color w:val="auto"/>
                <w:szCs w:val="21"/>
                <w:highlight w:val="none"/>
              </w:rPr>
            </w:pPr>
          </w:p>
        </w:tc>
        <w:tc>
          <w:tcPr>
            <w:tcW w:w="802" w:type="pct"/>
            <w:vAlign w:val="center"/>
          </w:tcPr>
          <w:p w14:paraId="643DEE7B">
            <w:pPr>
              <w:jc w:val="center"/>
              <w:rPr>
                <w:rFonts w:cs="宋体"/>
                <w:color w:val="auto"/>
                <w:szCs w:val="21"/>
                <w:highlight w:val="none"/>
              </w:rPr>
            </w:pPr>
          </w:p>
        </w:tc>
        <w:tc>
          <w:tcPr>
            <w:tcW w:w="922" w:type="pct"/>
            <w:vAlign w:val="center"/>
          </w:tcPr>
          <w:p w14:paraId="7F52EA93">
            <w:pPr>
              <w:jc w:val="center"/>
              <w:rPr>
                <w:rFonts w:cs="宋体"/>
                <w:color w:val="auto"/>
                <w:szCs w:val="21"/>
                <w:highlight w:val="none"/>
              </w:rPr>
            </w:pPr>
          </w:p>
        </w:tc>
      </w:tr>
      <w:tr w14:paraId="11ADA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bottom w:val="single" w:color="auto" w:sz="12" w:space="0"/>
            </w:tcBorders>
            <w:vAlign w:val="center"/>
          </w:tcPr>
          <w:p w14:paraId="233A380B">
            <w:pPr>
              <w:jc w:val="center"/>
              <w:rPr>
                <w:rFonts w:cs="宋体"/>
                <w:color w:val="auto"/>
                <w:szCs w:val="21"/>
                <w:highlight w:val="none"/>
              </w:rPr>
            </w:pPr>
          </w:p>
        </w:tc>
        <w:tc>
          <w:tcPr>
            <w:tcW w:w="706" w:type="pct"/>
            <w:tcBorders>
              <w:bottom w:val="single" w:color="auto" w:sz="12" w:space="0"/>
            </w:tcBorders>
            <w:vAlign w:val="center"/>
          </w:tcPr>
          <w:p w14:paraId="36A9DD53">
            <w:pPr>
              <w:jc w:val="center"/>
              <w:rPr>
                <w:rFonts w:cs="宋体"/>
                <w:color w:val="auto"/>
                <w:szCs w:val="21"/>
                <w:highlight w:val="none"/>
              </w:rPr>
            </w:pPr>
          </w:p>
        </w:tc>
        <w:tc>
          <w:tcPr>
            <w:tcW w:w="802" w:type="pct"/>
            <w:tcBorders>
              <w:bottom w:val="single" w:color="auto" w:sz="12" w:space="0"/>
            </w:tcBorders>
            <w:vAlign w:val="center"/>
          </w:tcPr>
          <w:p w14:paraId="347E7E6D">
            <w:pPr>
              <w:jc w:val="center"/>
              <w:rPr>
                <w:rFonts w:cs="宋体"/>
                <w:color w:val="auto"/>
                <w:szCs w:val="21"/>
                <w:highlight w:val="none"/>
              </w:rPr>
            </w:pPr>
          </w:p>
        </w:tc>
        <w:tc>
          <w:tcPr>
            <w:tcW w:w="687" w:type="pct"/>
            <w:tcBorders>
              <w:bottom w:val="single" w:color="auto" w:sz="12" w:space="0"/>
            </w:tcBorders>
            <w:vAlign w:val="center"/>
          </w:tcPr>
          <w:p w14:paraId="6E3221DE">
            <w:pPr>
              <w:jc w:val="center"/>
              <w:rPr>
                <w:rFonts w:cs="宋体"/>
                <w:color w:val="auto"/>
                <w:szCs w:val="21"/>
                <w:highlight w:val="none"/>
              </w:rPr>
            </w:pPr>
          </w:p>
        </w:tc>
        <w:tc>
          <w:tcPr>
            <w:tcW w:w="802" w:type="pct"/>
            <w:tcBorders>
              <w:bottom w:val="single" w:color="auto" w:sz="12" w:space="0"/>
            </w:tcBorders>
            <w:vAlign w:val="center"/>
          </w:tcPr>
          <w:p w14:paraId="73437504">
            <w:pPr>
              <w:jc w:val="center"/>
              <w:rPr>
                <w:rFonts w:cs="宋体"/>
                <w:color w:val="auto"/>
                <w:szCs w:val="21"/>
                <w:highlight w:val="none"/>
              </w:rPr>
            </w:pPr>
          </w:p>
        </w:tc>
        <w:tc>
          <w:tcPr>
            <w:tcW w:w="922" w:type="pct"/>
            <w:tcBorders>
              <w:bottom w:val="single" w:color="auto" w:sz="12" w:space="0"/>
            </w:tcBorders>
            <w:vAlign w:val="center"/>
          </w:tcPr>
          <w:p w14:paraId="440B1B2F">
            <w:pPr>
              <w:jc w:val="center"/>
              <w:rPr>
                <w:rFonts w:cs="宋体"/>
                <w:color w:val="auto"/>
                <w:szCs w:val="21"/>
                <w:highlight w:val="none"/>
              </w:rPr>
            </w:pPr>
          </w:p>
        </w:tc>
      </w:tr>
    </w:tbl>
    <w:p w14:paraId="3CB75CED">
      <w:pPr>
        <w:spacing w:before="312" w:beforeLines="100" w:after="312" w:afterLines="100"/>
        <w:outlineLvl w:val="2"/>
        <w:rPr>
          <w:rFonts w:ascii="Times New Roman" w:eastAsia="黑体"/>
          <w:color w:val="auto"/>
          <w:szCs w:val="24"/>
          <w:highlight w:val="none"/>
        </w:rPr>
      </w:pPr>
      <w:r>
        <w:rPr>
          <w:rFonts w:hint="eastAsia" w:ascii="Times New Roman" w:eastAsia="黑体"/>
          <w:bCs/>
          <w:color w:val="auto"/>
          <w:highlight w:val="none"/>
        </w:rPr>
        <w:br w:type="page"/>
      </w:r>
      <w:bookmarkStart w:id="631" w:name="_Toc128950240"/>
      <w:r>
        <w:rPr>
          <w:rFonts w:hint="eastAsia" w:ascii="Times New Roman" w:eastAsia="黑体"/>
          <w:color w:val="auto"/>
          <w:szCs w:val="24"/>
          <w:highlight w:val="none"/>
        </w:rPr>
        <w:t>附</w:t>
      </w:r>
      <w:bookmarkStart w:id="632" w:name="_Toc296944566"/>
      <w:bookmarkStart w:id="633" w:name="_Toc296346728"/>
      <w:bookmarkStart w:id="634" w:name="_Toc267261698"/>
      <w:bookmarkStart w:id="635" w:name="_Toc296347226"/>
      <w:bookmarkStart w:id="636" w:name="_Toc296891055"/>
      <w:bookmarkStart w:id="637" w:name="_Toc296503227"/>
      <w:bookmarkStart w:id="638" w:name="_Toc296891267"/>
      <w:r>
        <w:rPr>
          <w:rFonts w:hint="eastAsia" w:ascii="Times New Roman" w:eastAsia="黑体"/>
          <w:color w:val="auto"/>
          <w:szCs w:val="24"/>
          <w:highlight w:val="none"/>
        </w:rPr>
        <w:t>件</w:t>
      </w:r>
      <w:r>
        <w:rPr>
          <w:rFonts w:ascii="Times New Roman" w:eastAsia="黑体"/>
          <w:color w:val="auto"/>
          <w:szCs w:val="24"/>
          <w:highlight w:val="none"/>
        </w:rPr>
        <w:t>5</w:t>
      </w:r>
      <w:r>
        <w:rPr>
          <w:rFonts w:hint="eastAsia" w:ascii="Times New Roman" w:eastAsia="黑体"/>
          <w:color w:val="auto"/>
          <w:szCs w:val="24"/>
          <w:highlight w:val="none"/>
        </w:rPr>
        <w:t>：承包人用于本工程施工的机械设备表</w:t>
      </w:r>
      <w:bookmarkEnd w:id="631"/>
    </w:p>
    <w:bookmarkEnd w:id="632"/>
    <w:bookmarkEnd w:id="633"/>
    <w:bookmarkEnd w:id="634"/>
    <w:bookmarkEnd w:id="635"/>
    <w:bookmarkEnd w:id="636"/>
    <w:bookmarkEnd w:id="637"/>
    <w:bookmarkEnd w:id="638"/>
    <w:p w14:paraId="08846399">
      <w:pPr>
        <w:spacing w:before="156" w:beforeLines="50" w:after="156" w:afterLines="50"/>
        <w:jc w:val="center"/>
        <w:rPr>
          <w:rFonts w:cs="宋体"/>
          <w:color w:val="auto"/>
          <w:szCs w:val="21"/>
          <w:highlight w:val="none"/>
        </w:rPr>
      </w:pPr>
      <w:r>
        <w:rPr>
          <w:rFonts w:hint="eastAsia" w:cs="宋体"/>
          <w:color w:val="auto"/>
          <w:szCs w:val="21"/>
          <w:highlight w:val="none"/>
        </w:rPr>
        <w:t>承包人用于本工程施工的机械设备表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88"/>
        <w:gridCol w:w="1325"/>
        <w:gridCol w:w="793"/>
        <w:gridCol w:w="662"/>
        <w:gridCol w:w="793"/>
        <w:gridCol w:w="898"/>
        <w:gridCol w:w="1383"/>
        <w:gridCol w:w="952"/>
        <w:gridCol w:w="868"/>
      </w:tblGrid>
      <w:tr w14:paraId="58616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2" w:type="pct"/>
            <w:tcBorders>
              <w:top w:val="single" w:color="auto" w:sz="12" w:space="0"/>
              <w:bottom w:val="double" w:color="auto" w:sz="6" w:space="0"/>
            </w:tcBorders>
            <w:vAlign w:val="center"/>
          </w:tcPr>
          <w:p w14:paraId="52F2E862">
            <w:pPr>
              <w:keepNext/>
              <w:jc w:val="center"/>
              <w:rPr>
                <w:rFonts w:cs="宋体"/>
                <w:color w:val="auto"/>
                <w:szCs w:val="21"/>
                <w:highlight w:val="none"/>
              </w:rPr>
            </w:pPr>
            <w:r>
              <w:rPr>
                <w:rFonts w:hint="eastAsia" w:cs="宋体"/>
                <w:color w:val="auto"/>
                <w:szCs w:val="21"/>
                <w:highlight w:val="none"/>
              </w:rPr>
              <w:t>序号</w:t>
            </w:r>
          </w:p>
        </w:tc>
        <w:tc>
          <w:tcPr>
            <w:tcW w:w="792" w:type="pct"/>
            <w:tcBorders>
              <w:top w:val="single" w:color="auto" w:sz="12" w:space="0"/>
              <w:bottom w:val="double" w:color="auto" w:sz="6" w:space="0"/>
            </w:tcBorders>
            <w:vAlign w:val="center"/>
          </w:tcPr>
          <w:p w14:paraId="43832990">
            <w:pPr>
              <w:keepNext/>
              <w:jc w:val="center"/>
              <w:rPr>
                <w:rFonts w:cs="宋体"/>
                <w:color w:val="auto"/>
                <w:szCs w:val="21"/>
                <w:highlight w:val="none"/>
              </w:rPr>
            </w:pPr>
            <w:r>
              <w:rPr>
                <w:rFonts w:hint="eastAsia" w:cs="宋体"/>
                <w:color w:val="auto"/>
                <w:szCs w:val="21"/>
                <w:highlight w:val="none"/>
              </w:rPr>
              <w:t>机械或设备名称</w:t>
            </w:r>
          </w:p>
        </w:tc>
        <w:tc>
          <w:tcPr>
            <w:tcW w:w="474" w:type="pct"/>
            <w:tcBorders>
              <w:top w:val="single" w:color="auto" w:sz="12" w:space="0"/>
              <w:bottom w:val="double" w:color="auto" w:sz="6" w:space="0"/>
            </w:tcBorders>
            <w:vAlign w:val="center"/>
          </w:tcPr>
          <w:p w14:paraId="0EDF8DE4">
            <w:pPr>
              <w:keepNext/>
              <w:jc w:val="center"/>
              <w:rPr>
                <w:rFonts w:cs="宋体"/>
                <w:color w:val="auto"/>
                <w:szCs w:val="21"/>
                <w:highlight w:val="none"/>
              </w:rPr>
            </w:pPr>
            <w:r>
              <w:rPr>
                <w:rFonts w:hint="eastAsia" w:cs="宋体"/>
                <w:color w:val="auto"/>
                <w:szCs w:val="21"/>
                <w:highlight w:val="none"/>
              </w:rPr>
              <w:t>规格型号</w:t>
            </w:r>
          </w:p>
        </w:tc>
        <w:tc>
          <w:tcPr>
            <w:tcW w:w="396" w:type="pct"/>
            <w:tcBorders>
              <w:top w:val="single" w:color="auto" w:sz="12" w:space="0"/>
              <w:bottom w:val="double" w:color="auto" w:sz="6" w:space="0"/>
            </w:tcBorders>
            <w:vAlign w:val="center"/>
          </w:tcPr>
          <w:p w14:paraId="49D6A6D1">
            <w:pPr>
              <w:keepNext/>
              <w:jc w:val="center"/>
              <w:rPr>
                <w:rFonts w:cs="宋体"/>
                <w:color w:val="auto"/>
                <w:szCs w:val="21"/>
                <w:highlight w:val="none"/>
              </w:rPr>
            </w:pPr>
            <w:r>
              <w:rPr>
                <w:rFonts w:hint="eastAsia" w:cs="宋体"/>
                <w:color w:val="auto"/>
                <w:szCs w:val="21"/>
                <w:highlight w:val="none"/>
              </w:rPr>
              <w:t>数量</w:t>
            </w:r>
          </w:p>
        </w:tc>
        <w:tc>
          <w:tcPr>
            <w:tcW w:w="474" w:type="pct"/>
            <w:tcBorders>
              <w:top w:val="single" w:color="auto" w:sz="12" w:space="0"/>
              <w:bottom w:val="double" w:color="auto" w:sz="6" w:space="0"/>
            </w:tcBorders>
            <w:vAlign w:val="center"/>
          </w:tcPr>
          <w:p w14:paraId="6D7D3D8C">
            <w:pPr>
              <w:keepNext/>
              <w:jc w:val="center"/>
              <w:rPr>
                <w:rFonts w:cs="宋体"/>
                <w:color w:val="auto"/>
                <w:szCs w:val="21"/>
                <w:highlight w:val="none"/>
              </w:rPr>
            </w:pPr>
            <w:r>
              <w:rPr>
                <w:rFonts w:hint="eastAsia" w:cs="宋体"/>
                <w:color w:val="auto"/>
                <w:szCs w:val="21"/>
                <w:highlight w:val="none"/>
              </w:rPr>
              <w:t>产地</w:t>
            </w:r>
          </w:p>
        </w:tc>
        <w:tc>
          <w:tcPr>
            <w:tcW w:w="537" w:type="pct"/>
            <w:tcBorders>
              <w:top w:val="single" w:color="auto" w:sz="12" w:space="0"/>
              <w:bottom w:val="double" w:color="auto" w:sz="6" w:space="0"/>
            </w:tcBorders>
            <w:vAlign w:val="center"/>
          </w:tcPr>
          <w:p w14:paraId="64CAA479">
            <w:pPr>
              <w:keepNext/>
              <w:jc w:val="center"/>
              <w:rPr>
                <w:rFonts w:cs="宋体"/>
                <w:color w:val="auto"/>
                <w:szCs w:val="21"/>
                <w:highlight w:val="none"/>
              </w:rPr>
            </w:pPr>
            <w:r>
              <w:rPr>
                <w:rFonts w:hint="eastAsia" w:cs="宋体"/>
                <w:color w:val="auto"/>
                <w:szCs w:val="21"/>
                <w:highlight w:val="none"/>
              </w:rPr>
              <w:t>制造年份</w:t>
            </w:r>
          </w:p>
        </w:tc>
        <w:tc>
          <w:tcPr>
            <w:tcW w:w="827" w:type="pct"/>
            <w:tcBorders>
              <w:top w:val="single" w:color="auto" w:sz="12" w:space="0"/>
              <w:bottom w:val="double" w:color="auto" w:sz="6" w:space="0"/>
            </w:tcBorders>
            <w:vAlign w:val="center"/>
          </w:tcPr>
          <w:p w14:paraId="013E4CA9">
            <w:pPr>
              <w:keepNext/>
              <w:jc w:val="center"/>
              <w:rPr>
                <w:rFonts w:cs="宋体"/>
                <w:color w:val="auto"/>
                <w:szCs w:val="21"/>
                <w:highlight w:val="none"/>
              </w:rPr>
            </w:pPr>
            <w:r>
              <w:rPr>
                <w:rFonts w:hint="eastAsia" w:cs="宋体"/>
                <w:color w:val="auto"/>
                <w:szCs w:val="21"/>
                <w:highlight w:val="none"/>
              </w:rPr>
              <w:t>额定功率（kW)</w:t>
            </w:r>
          </w:p>
        </w:tc>
        <w:tc>
          <w:tcPr>
            <w:tcW w:w="569" w:type="pct"/>
            <w:tcBorders>
              <w:top w:val="single" w:color="auto" w:sz="12" w:space="0"/>
              <w:bottom w:val="double" w:color="auto" w:sz="6" w:space="0"/>
            </w:tcBorders>
            <w:vAlign w:val="center"/>
          </w:tcPr>
          <w:p w14:paraId="3E6B44E9">
            <w:pPr>
              <w:keepNext/>
              <w:jc w:val="center"/>
              <w:rPr>
                <w:rFonts w:cs="宋体"/>
                <w:color w:val="auto"/>
                <w:szCs w:val="21"/>
                <w:highlight w:val="none"/>
              </w:rPr>
            </w:pPr>
            <w:r>
              <w:rPr>
                <w:rFonts w:hint="eastAsia" w:cs="宋体"/>
                <w:color w:val="auto"/>
                <w:szCs w:val="21"/>
                <w:highlight w:val="none"/>
              </w:rPr>
              <w:t>生产能力</w:t>
            </w:r>
          </w:p>
        </w:tc>
        <w:tc>
          <w:tcPr>
            <w:tcW w:w="519" w:type="pct"/>
            <w:tcBorders>
              <w:top w:val="single" w:color="auto" w:sz="12" w:space="0"/>
              <w:bottom w:val="double" w:color="auto" w:sz="6" w:space="0"/>
            </w:tcBorders>
            <w:vAlign w:val="center"/>
          </w:tcPr>
          <w:p w14:paraId="0195D0E1">
            <w:pPr>
              <w:keepNext/>
              <w:jc w:val="center"/>
              <w:rPr>
                <w:rFonts w:cs="宋体"/>
                <w:color w:val="auto"/>
                <w:szCs w:val="21"/>
                <w:highlight w:val="none"/>
              </w:rPr>
            </w:pPr>
            <w:r>
              <w:rPr>
                <w:rFonts w:hint="eastAsia" w:cs="宋体"/>
                <w:color w:val="auto"/>
                <w:szCs w:val="21"/>
                <w:highlight w:val="none"/>
              </w:rPr>
              <w:t>备注</w:t>
            </w:r>
          </w:p>
        </w:tc>
      </w:tr>
      <w:tr w14:paraId="2A1C3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double" w:color="auto" w:sz="6" w:space="0"/>
            </w:tcBorders>
            <w:vAlign w:val="center"/>
          </w:tcPr>
          <w:p w14:paraId="7D489B68">
            <w:pPr>
              <w:keepNext/>
              <w:jc w:val="center"/>
              <w:rPr>
                <w:rFonts w:cs="宋体"/>
                <w:color w:val="auto"/>
                <w:szCs w:val="21"/>
                <w:highlight w:val="none"/>
              </w:rPr>
            </w:pPr>
          </w:p>
        </w:tc>
        <w:tc>
          <w:tcPr>
            <w:tcW w:w="792" w:type="pct"/>
            <w:tcBorders>
              <w:top w:val="double" w:color="auto" w:sz="6" w:space="0"/>
            </w:tcBorders>
            <w:vAlign w:val="center"/>
          </w:tcPr>
          <w:p w14:paraId="6FDA2A98">
            <w:pPr>
              <w:keepNext/>
              <w:jc w:val="center"/>
              <w:rPr>
                <w:rFonts w:cs="宋体"/>
                <w:color w:val="auto"/>
                <w:szCs w:val="21"/>
                <w:highlight w:val="none"/>
              </w:rPr>
            </w:pPr>
          </w:p>
        </w:tc>
        <w:tc>
          <w:tcPr>
            <w:tcW w:w="474" w:type="pct"/>
            <w:tcBorders>
              <w:top w:val="double" w:color="auto" w:sz="6" w:space="0"/>
            </w:tcBorders>
            <w:vAlign w:val="center"/>
          </w:tcPr>
          <w:p w14:paraId="04A3B9E5">
            <w:pPr>
              <w:keepNext/>
              <w:jc w:val="center"/>
              <w:rPr>
                <w:rFonts w:cs="宋体"/>
                <w:color w:val="auto"/>
                <w:szCs w:val="21"/>
                <w:highlight w:val="none"/>
              </w:rPr>
            </w:pPr>
          </w:p>
        </w:tc>
        <w:tc>
          <w:tcPr>
            <w:tcW w:w="396" w:type="pct"/>
            <w:tcBorders>
              <w:top w:val="double" w:color="auto" w:sz="6" w:space="0"/>
            </w:tcBorders>
            <w:vAlign w:val="center"/>
          </w:tcPr>
          <w:p w14:paraId="30E86B22">
            <w:pPr>
              <w:keepNext/>
              <w:jc w:val="center"/>
              <w:rPr>
                <w:rFonts w:cs="宋体"/>
                <w:color w:val="auto"/>
                <w:szCs w:val="21"/>
                <w:highlight w:val="none"/>
              </w:rPr>
            </w:pPr>
          </w:p>
        </w:tc>
        <w:tc>
          <w:tcPr>
            <w:tcW w:w="474" w:type="pct"/>
            <w:tcBorders>
              <w:top w:val="double" w:color="auto" w:sz="6" w:space="0"/>
            </w:tcBorders>
            <w:vAlign w:val="center"/>
          </w:tcPr>
          <w:p w14:paraId="4D5700E3">
            <w:pPr>
              <w:keepNext/>
              <w:jc w:val="center"/>
              <w:rPr>
                <w:rFonts w:cs="宋体"/>
                <w:color w:val="auto"/>
                <w:szCs w:val="21"/>
                <w:highlight w:val="none"/>
              </w:rPr>
            </w:pPr>
          </w:p>
        </w:tc>
        <w:tc>
          <w:tcPr>
            <w:tcW w:w="537" w:type="pct"/>
            <w:tcBorders>
              <w:top w:val="double" w:color="auto" w:sz="6" w:space="0"/>
            </w:tcBorders>
            <w:vAlign w:val="center"/>
          </w:tcPr>
          <w:p w14:paraId="572A66B2">
            <w:pPr>
              <w:keepNext/>
              <w:jc w:val="center"/>
              <w:rPr>
                <w:rFonts w:cs="宋体"/>
                <w:color w:val="auto"/>
                <w:szCs w:val="21"/>
                <w:highlight w:val="none"/>
              </w:rPr>
            </w:pPr>
          </w:p>
        </w:tc>
        <w:tc>
          <w:tcPr>
            <w:tcW w:w="827" w:type="pct"/>
            <w:tcBorders>
              <w:top w:val="double" w:color="auto" w:sz="6" w:space="0"/>
            </w:tcBorders>
            <w:vAlign w:val="center"/>
          </w:tcPr>
          <w:p w14:paraId="3552639F">
            <w:pPr>
              <w:keepNext/>
              <w:jc w:val="center"/>
              <w:rPr>
                <w:rFonts w:cs="宋体"/>
                <w:color w:val="auto"/>
                <w:szCs w:val="21"/>
                <w:highlight w:val="none"/>
              </w:rPr>
            </w:pPr>
          </w:p>
        </w:tc>
        <w:tc>
          <w:tcPr>
            <w:tcW w:w="569" w:type="pct"/>
            <w:tcBorders>
              <w:top w:val="double" w:color="auto" w:sz="6" w:space="0"/>
            </w:tcBorders>
            <w:vAlign w:val="center"/>
          </w:tcPr>
          <w:p w14:paraId="72F1AA71">
            <w:pPr>
              <w:keepNext/>
              <w:jc w:val="center"/>
              <w:rPr>
                <w:rFonts w:cs="宋体"/>
                <w:color w:val="auto"/>
                <w:szCs w:val="21"/>
                <w:highlight w:val="none"/>
              </w:rPr>
            </w:pPr>
          </w:p>
        </w:tc>
        <w:tc>
          <w:tcPr>
            <w:tcW w:w="519" w:type="pct"/>
            <w:tcBorders>
              <w:top w:val="double" w:color="auto" w:sz="6" w:space="0"/>
            </w:tcBorders>
            <w:vAlign w:val="center"/>
          </w:tcPr>
          <w:p w14:paraId="6D83F230">
            <w:pPr>
              <w:keepNext/>
              <w:jc w:val="center"/>
              <w:rPr>
                <w:rFonts w:cs="宋体"/>
                <w:color w:val="auto"/>
                <w:szCs w:val="21"/>
                <w:highlight w:val="none"/>
              </w:rPr>
            </w:pPr>
          </w:p>
        </w:tc>
      </w:tr>
      <w:tr w14:paraId="52DF1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nil"/>
            </w:tcBorders>
            <w:vAlign w:val="center"/>
          </w:tcPr>
          <w:p w14:paraId="31F7E048">
            <w:pPr>
              <w:keepNext/>
              <w:jc w:val="center"/>
              <w:rPr>
                <w:rFonts w:cs="宋体"/>
                <w:color w:val="auto"/>
                <w:szCs w:val="21"/>
                <w:highlight w:val="none"/>
              </w:rPr>
            </w:pPr>
          </w:p>
        </w:tc>
        <w:tc>
          <w:tcPr>
            <w:tcW w:w="792" w:type="pct"/>
            <w:tcBorders>
              <w:top w:val="nil"/>
            </w:tcBorders>
            <w:vAlign w:val="center"/>
          </w:tcPr>
          <w:p w14:paraId="326C6ECA">
            <w:pPr>
              <w:keepNext/>
              <w:jc w:val="center"/>
              <w:rPr>
                <w:rFonts w:cs="宋体"/>
                <w:color w:val="auto"/>
                <w:szCs w:val="21"/>
                <w:highlight w:val="none"/>
              </w:rPr>
            </w:pPr>
          </w:p>
        </w:tc>
        <w:tc>
          <w:tcPr>
            <w:tcW w:w="474" w:type="pct"/>
            <w:tcBorders>
              <w:top w:val="nil"/>
            </w:tcBorders>
            <w:vAlign w:val="center"/>
          </w:tcPr>
          <w:p w14:paraId="3A4F865A">
            <w:pPr>
              <w:keepNext/>
              <w:jc w:val="center"/>
              <w:rPr>
                <w:rFonts w:cs="宋体"/>
                <w:color w:val="auto"/>
                <w:szCs w:val="21"/>
                <w:highlight w:val="none"/>
              </w:rPr>
            </w:pPr>
          </w:p>
        </w:tc>
        <w:tc>
          <w:tcPr>
            <w:tcW w:w="396" w:type="pct"/>
            <w:tcBorders>
              <w:top w:val="nil"/>
            </w:tcBorders>
            <w:vAlign w:val="center"/>
          </w:tcPr>
          <w:p w14:paraId="7F277CA5">
            <w:pPr>
              <w:keepNext/>
              <w:jc w:val="center"/>
              <w:rPr>
                <w:rFonts w:cs="宋体"/>
                <w:color w:val="auto"/>
                <w:szCs w:val="21"/>
                <w:highlight w:val="none"/>
              </w:rPr>
            </w:pPr>
          </w:p>
        </w:tc>
        <w:tc>
          <w:tcPr>
            <w:tcW w:w="474" w:type="pct"/>
            <w:tcBorders>
              <w:top w:val="nil"/>
            </w:tcBorders>
            <w:vAlign w:val="center"/>
          </w:tcPr>
          <w:p w14:paraId="7CC09FA2">
            <w:pPr>
              <w:keepNext/>
              <w:jc w:val="center"/>
              <w:rPr>
                <w:rFonts w:cs="宋体"/>
                <w:color w:val="auto"/>
                <w:szCs w:val="21"/>
                <w:highlight w:val="none"/>
              </w:rPr>
            </w:pPr>
          </w:p>
        </w:tc>
        <w:tc>
          <w:tcPr>
            <w:tcW w:w="537" w:type="pct"/>
            <w:tcBorders>
              <w:top w:val="nil"/>
            </w:tcBorders>
            <w:vAlign w:val="center"/>
          </w:tcPr>
          <w:p w14:paraId="0109D71A">
            <w:pPr>
              <w:keepNext/>
              <w:jc w:val="center"/>
              <w:rPr>
                <w:rFonts w:cs="宋体"/>
                <w:color w:val="auto"/>
                <w:szCs w:val="21"/>
                <w:highlight w:val="none"/>
              </w:rPr>
            </w:pPr>
          </w:p>
        </w:tc>
        <w:tc>
          <w:tcPr>
            <w:tcW w:w="827" w:type="pct"/>
            <w:tcBorders>
              <w:top w:val="nil"/>
            </w:tcBorders>
            <w:vAlign w:val="center"/>
          </w:tcPr>
          <w:p w14:paraId="32B2D9F5">
            <w:pPr>
              <w:keepNext/>
              <w:jc w:val="center"/>
              <w:rPr>
                <w:rFonts w:cs="宋体"/>
                <w:color w:val="auto"/>
                <w:szCs w:val="21"/>
                <w:highlight w:val="none"/>
              </w:rPr>
            </w:pPr>
          </w:p>
        </w:tc>
        <w:tc>
          <w:tcPr>
            <w:tcW w:w="569" w:type="pct"/>
            <w:tcBorders>
              <w:top w:val="nil"/>
            </w:tcBorders>
            <w:vAlign w:val="center"/>
          </w:tcPr>
          <w:p w14:paraId="0600C3F6">
            <w:pPr>
              <w:keepNext/>
              <w:jc w:val="center"/>
              <w:rPr>
                <w:rFonts w:cs="宋体"/>
                <w:color w:val="auto"/>
                <w:szCs w:val="21"/>
                <w:highlight w:val="none"/>
              </w:rPr>
            </w:pPr>
          </w:p>
        </w:tc>
        <w:tc>
          <w:tcPr>
            <w:tcW w:w="519" w:type="pct"/>
            <w:tcBorders>
              <w:top w:val="nil"/>
            </w:tcBorders>
            <w:vAlign w:val="center"/>
          </w:tcPr>
          <w:p w14:paraId="4D443AD1">
            <w:pPr>
              <w:keepNext/>
              <w:jc w:val="center"/>
              <w:rPr>
                <w:rFonts w:cs="宋体"/>
                <w:color w:val="auto"/>
                <w:szCs w:val="21"/>
                <w:highlight w:val="none"/>
              </w:rPr>
            </w:pPr>
          </w:p>
        </w:tc>
      </w:tr>
      <w:tr w14:paraId="73023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78AF7E1C">
            <w:pPr>
              <w:jc w:val="center"/>
              <w:rPr>
                <w:rFonts w:cs="宋体"/>
                <w:color w:val="auto"/>
                <w:szCs w:val="21"/>
                <w:highlight w:val="none"/>
              </w:rPr>
            </w:pPr>
          </w:p>
        </w:tc>
        <w:tc>
          <w:tcPr>
            <w:tcW w:w="792" w:type="pct"/>
            <w:vAlign w:val="center"/>
          </w:tcPr>
          <w:p w14:paraId="3296085A">
            <w:pPr>
              <w:jc w:val="center"/>
              <w:rPr>
                <w:rFonts w:cs="宋体"/>
                <w:color w:val="auto"/>
                <w:szCs w:val="21"/>
                <w:highlight w:val="none"/>
              </w:rPr>
            </w:pPr>
          </w:p>
        </w:tc>
        <w:tc>
          <w:tcPr>
            <w:tcW w:w="474" w:type="pct"/>
            <w:vAlign w:val="center"/>
          </w:tcPr>
          <w:p w14:paraId="3915BA49">
            <w:pPr>
              <w:jc w:val="center"/>
              <w:rPr>
                <w:rFonts w:cs="宋体"/>
                <w:color w:val="auto"/>
                <w:szCs w:val="21"/>
                <w:highlight w:val="none"/>
              </w:rPr>
            </w:pPr>
          </w:p>
        </w:tc>
        <w:tc>
          <w:tcPr>
            <w:tcW w:w="396" w:type="pct"/>
            <w:vAlign w:val="center"/>
          </w:tcPr>
          <w:p w14:paraId="046DF831">
            <w:pPr>
              <w:jc w:val="center"/>
              <w:rPr>
                <w:rFonts w:cs="宋体"/>
                <w:color w:val="auto"/>
                <w:szCs w:val="21"/>
                <w:highlight w:val="none"/>
              </w:rPr>
            </w:pPr>
          </w:p>
        </w:tc>
        <w:tc>
          <w:tcPr>
            <w:tcW w:w="474" w:type="pct"/>
            <w:vAlign w:val="center"/>
          </w:tcPr>
          <w:p w14:paraId="70AB3714">
            <w:pPr>
              <w:jc w:val="center"/>
              <w:rPr>
                <w:rFonts w:cs="宋体"/>
                <w:color w:val="auto"/>
                <w:szCs w:val="21"/>
                <w:highlight w:val="none"/>
              </w:rPr>
            </w:pPr>
          </w:p>
        </w:tc>
        <w:tc>
          <w:tcPr>
            <w:tcW w:w="537" w:type="pct"/>
            <w:vAlign w:val="center"/>
          </w:tcPr>
          <w:p w14:paraId="0C2F69B3">
            <w:pPr>
              <w:jc w:val="center"/>
              <w:rPr>
                <w:rFonts w:cs="宋体"/>
                <w:color w:val="auto"/>
                <w:szCs w:val="21"/>
                <w:highlight w:val="none"/>
              </w:rPr>
            </w:pPr>
          </w:p>
        </w:tc>
        <w:tc>
          <w:tcPr>
            <w:tcW w:w="827" w:type="pct"/>
            <w:vAlign w:val="center"/>
          </w:tcPr>
          <w:p w14:paraId="22C63168">
            <w:pPr>
              <w:jc w:val="center"/>
              <w:rPr>
                <w:rFonts w:cs="宋体"/>
                <w:color w:val="auto"/>
                <w:szCs w:val="21"/>
                <w:highlight w:val="none"/>
              </w:rPr>
            </w:pPr>
          </w:p>
        </w:tc>
        <w:tc>
          <w:tcPr>
            <w:tcW w:w="569" w:type="pct"/>
            <w:vAlign w:val="center"/>
          </w:tcPr>
          <w:p w14:paraId="66C8D0E4">
            <w:pPr>
              <w:jc w:val="center"/>
              <w:rPr>
                <w:rFonts w:cs="宋体"/>
                <w:color w:val="auto"/>
                <w:szCs w:val="21"/>
                <w:highlight w:val="none"/>
              </w:rPr>
            </w:pPr>
          </w:p>
        </w:tc>
        <w:tc>
          <w:tcPr>
            <w:tcW w:w="519" w:type="pct"/>
            <w:vAlign w:val="center"/>
          </w:tcPr>
          <w:p w14:paraId="0EB12D58">
            <w:pPr>
              <w:jc w:val="center"/>
              <w:rPr>
                <w:rFonts w:cs="宋体"/>
                <w:color w:val="auto"/>
                <w:szCs w:val="21"/>
                <w:highlight w:val="none"/>
              </w:rPr>
            </w:pPr>
          </w:p>
        </w:tc>
      </w:tr>
      <w:tr w14:paraId="6D0E8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3A624C45">
            <w:pPr>
              <w:jc w:val="center"/>
              <w:rPr>
                <w:rFonts w:cs="宋体"/>
                <w:color w:val="auto"/>
                <w:szCs w:val="21"/>
                <w:highlight w:val="none"/>
              </w:rPr>
            </w:pPr>
          </w:p>
        </w:tc>
        <w:tc>
          <w:tcPr>
            <w:tcW w:w="792" w:type="pct"/>
            <w:vAlign w:val="center"/>
          </w:tcPr>
          <w:p w14:paraId="24F349A8">
            <w:pPr>
              <w:jc w:val="center"/>
              <w:rPr>
                <w:rFonts w:cs="宋体"/>
                <w:color w:val="auto"/>
                <w:szCs w:val="21"/>
                <w:highlight w:val="none"/>
              </w:rPr>
            </w:pPr>
          </w:p>
        </w:tc>
        <w:tc>
          <w:tcPr>
            <w:tcW w:w="474" w:type="pct"/>
            <w:vAlign w:val="center"/>
          </w:tcPr>
          <w:p w14:paraId="44B6C8FD">
            <w:pPr>
              <w:jc w:val="center"/>
              <w:rPr>
                <w:rFonts w:cs="宋体"/>
                <w:color w:val="auto"/>
                <w:szCs w:val="21"/>
                <w:highlight w:val="none"/>
              </w:rPr>
            </w:pPr>
          </w:p>
        </w:tc>
        <w:tc>
          <w:tcPr>
            <w:tcW w:w="396" w:type="pct"/>
            <w:vAlign w:val="center"/>
          </w:tcPr>
          <w:p w14:paraId="4E04BD65">
            <w:pPr>
              <w:jc w:val="center"/>
              <w:rPr>
                <w:rFonts w:cs="宋体"/>
                <w:color w:val="auto"/>
                <w:szCs w:val="21"/>
                <w:highlight w:val="none"/>
              </w:rPr>
            </w:pPr>
          </w:p>
        </w:tc>
        <w:tc>
          <w:tcPr>
            <w:tcW w:w="474" w:type="pct"/>
            <w:vAlign w:val="center"/>
          </w:tcPr>
          <w:p w14:paraId="6FC663A3">
            <w:pPr>
              <w:jc w:val="center"/>
              <w:rPr>
                <w:rFonts w:cs="宋体"/>
                <w:color w:val="auto"/>
                <w:szCs w:val="21"/>
                <w:highlight w:val="none"/>
              </w:rPr>
            </w:pPr>
          </w:p>
        </w:tc>
        <w:tc>
          <w:tcPr>
            <w:tcW w:w="537" w:type="pct"/>
            <w:vAlign w:val="center"/>
          </w:tcPr>
          <w:p w14:paraId="2680DA87">
            <w:pPr>
              <w:jc w:val="center"/>
              <w:rPr>
                <w:rFonts w:cs="宋体"/>
                <w:color w:val="auto"/>
                <w:szCs w:val="21"/>
                <w:highlight w:val="none"/>
              </w:rPr>
            </w:pPr>
          </w:p>
        </w:tc>
        <w:tc>
          <w:tcPr>
            <w:tcW w:w="827" w:type="pct"/>
            <w:vAlign w:val="center"/>
          </w:tcPr>
          <w:p w14:paraId="731C6600">
            <w:pPr>
              <w:jc w:val="center"/>
              <w:rPr>
                <w:rFonts w:cs="宋体"/>
                <w:color w:val="auto"/>
                <w:szCs w:val="21"/>
                <w:highlight w:val="none"/>
              </w:rPr>
            </w:pPr>
          </w:p>
        </w:tc>
        <w:tc>
          <w:tcPr>
            <w:tcW w:w="569" w:type="pct"/>
            <w:vAlign w:val="center"/>
          </w:tcPr>
          <w:p w14:paraId="246A6C1D">
            <w:pPr>
              <w:jc w:val="center"/>
              <w:rPr>
                <w:rFonts w:cs="宋体"/>
                <w:color w:val="auto"/>
                <w:szCs w:val="21"/>
                <w:highlight w:val="none"/>
              </w:rPr>
            </w:pPr>
          </w:p>
        </w:tc>
        <w:tc>
          <w:tcPr>
            <w:tcW w:w="519" w:type="pct"/>
            <w:vAlign w:val="center"/>
          </w:tcPr>
          <w:p w14:paraId="093C012D">
            <w:pPr>
              <w:jc w:val="center"/>
              <w:rPr>
                <w:rFonts w:cs="宋体"/>
                <w:color w:val="auto"/>
                <w:szCs w:val="21"/>
                <w:highlight w:val="none"/>
              </w:rPr>
            </w:pPr>
          </w:p>
        </w:tc>
      </w:tr>
      <w:tr w14:paraId="7ED94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bottom w:val="single" w:color="auto" w:sz="12" w:space="0"/>
            </w:tcBorders>
            <w:vAlign w:val="center"/>
          </w:tcPr>
          <w:p w14:paraId="12516971">
            <w:pPr>
              <w:jc w:val="center"/>
              <w:rPr>
                <w:rFonts w:cs="宋体"/>
                <w:color w:val="auto"/>
                <w:szCs w:val="21"/>
                <w:highlight w:val="none"/>
              </w:rPr>
            </w:pPr>
          </w:p>
        </w:tc>
        <w:tc>
          <w:tcPr>
            <w:tcW w:w="792" w:type="pct"/>
            <w:tcBorders>
              <w:bottom w:val="single" w:color="auto" w:sz="12" w:space="0"/>
            </w:tcBorders>
            <w:vAlign w:val="center"/>
          </w:tcPr>
          <w:p w14:paraId="4E1765CC">
            <w:pPr>
              <w:jc w:val="center"/>
              <w:rPr>
                <w:rFonts w:cs="宋体"/>
                <w:color w:val="auto"/>
                <w:szCs w:val="21"/>
                <w:highlight w:val="none"/>
              </w:rPr>
            </w:pPr>
          </w:p>
        </w:tc>
        <w:tc>
          <w:tcPr>
            <w:tcW w:w="474" w:type="pct"/>
            <w:tcBorders>
              <w:bottom w:val="single" w:color="auto" w:sz="12" w:space="0"/>
            </w:tcBorders>
            <w:vAlign w:val="center"/>
          </w:tcPr>
          <w:p w14:paraId="532C6C36">
            <w:pPr>
              <w:jc w:val="center"/>
              <w:rPr>
                <w:rFonts w:cs="宋体"/>
                <w:color w:val="auto"/>
                <w:szCs w:val="21"/>
                <w:highlight w:val="none"/>
              </w:rPr>
            </w:pPr>
          </w:p>
        </w:tc>
        <w:tc>
          <w:tcPr>
            <w:tcW w:w="396" w:type="pct"/>
            <w:tcBorders>
              <w:bottom w:val="single" w:color="auto" w:sz="12" w:space="0"/>
            </w:tcBorders>
            <w:vAlign w:val="center"/>
          </w:tcPr>
          <w:p w14:paraId="5AFCD41C">
            <w:pPr>
              <w:jc w:val="center"/>
              <w:rPr>
                <w:rFonts w:cs="宋体"/>
                <w:color w:val="auto"/>
                <w:szCs w:val="21"/>
                <w:highlight w:val="none"/>
              </w:rPr>
            </w:pPr>
          </w:p>
        </w:tc>
        <w:tc>
          <w:tcPr>
            <w:tcW w:w="474" w:type="pct"/>
            <w:tcBorders>
              <w:bottom w:val="single" w:color="auto" w:sz="12" w:space="0"/>
            </w:tcBorders>
            <w:vAlign w:val="center"/>
          </w:tcPr>
          <w:p w14:paraId="2D14E36C">
            <w:pPr>
              <w:jc w:val="center"/>
              <w:rPr>
                <w:rFonts w:cs="宋体"/>
                <w:color w:val="auto"/>
                <w:szCs w:val="21"/>
                <w:highlight w:val="none"/>
              </w:rPr>
            </w:pPr>
          </w:p>
        </w:tc>
        <w:tc>
          <w:tcPr>
            <w:tcW w:w="537" w:type="pct"/>
            <w:tcBorders>
              <w:bottom w:val="single" w:color="auto" w:sz="12" w:space="0"/>
            </w:tcBorders>
            <w:vAlign w:val="center"/>
          </w:tcPr>
          <w:p w14:paraId="64D0B404">
            <w:pPr>
              <w:jc w:val="center"/>
              <w:rPr>
                <w:rFonts w:cs="宋体"/>
                <w:color w:val="auto"/>
                <w:szCs w:val="21"/>
                <w:highlight w:val="none"/>
              </w:rPr>
            </w:pPr>
          </w:p>
        </w:tc>
        <w:tc>
          <w:tcPr>
            <w:tcW w:w="827" w:type="pct"/>
            <w:tcBorders>
              <w:bottom w:val="single" w:color="auto" w:sz="12" w:space="0"/>
            </w:tcBorders>
            <w:vAlign w:val="center"/>
          </w:tcPr>
          <w:p w14:paraId="021E5855">
            <w:pPr>
              <w:jc w:val="center"/>
              <w:rPr>
                <w:rFonts w:cs="宋体"/>
                <w:color w:val="auto"/>
                <w:szCs w:val="21"/>
                <w:highlight w:val="none"/>
              </w:rPr>
            </w:pPr>
          </w:p>
        </w:tc>
        <w:tc>
          <w:tcPr>
            <w:tcW w:w="569" w:type="pct"/>
            <w:tcBorders>
              <w:bottom w:val="single" w:color="auto" w:sz="12" w:space="0"/>
            </w:tcBorders>
            <w:vAlign w:val="center"/>
          </w:tcPr>
          <w:p w14:paraId="007B41B0">
            <w:pPr>
              <w:jc w:val="center"/>
              <w:rPr>
                <w:rFonts w:cs="宋体"/>
                <w:color w:val="auto"/>
                <w:szCs w:val="21"/>
                <w:highlight w:val="none"/>
              </w:rPr>
            </w:pPr>
          </w:p>
        </w:tc>
        <w:tc>
          <w:tcPr>
            <w:tcW w:w="519" w:type="pct"/>
            <w:tcBorders>
              <w:bottom w:val="single" w:color="auto" w:sz="12" w:space="0"/>
            </w:tcBorders>
            <w:vAlign w:val="center"/>
          </w:tcPr>
          <w:p w14:paraId="6DEE67C1">
            <w:pPr>
              <w:jc w:val="center"/>
              <w:rPr>
                <w:rFonts w:cs="宋体"/>
                <w:color w:val="auto"/>
                <w:szCs w:val="21"/>
                <w:highlight w:val="none"/>
              </w:rPr>
            </w:pPr>
          </w:p>
        </w:tc>
      </w:tr>
    </w:tbl>
    <w:p w14:paraId="16F40C89">
      <w:pPr>
        <w:spacing w:before="312" w:beforeLines="100" w:after="312" w:afterLines="100"/>
        <w:outlineLvl w:val="2"/>
        <w:rPr>
          <w:rFonts w:ascii="Times New Roman" w:eastAsia="黑体"/>
          <w:color w:val="auto"/>
          <w:szCs w:val="24"/>
          <w:highlight w:val="none"/>
        </w:rPr>
      </w:pPr>
      <w:r>
        <w:rPr>
          <w:rFonts w:hint="eastAsia" w:cs="宋体"/>
          <w:bCs/>
          <w:color w:val="auto"/>
          <w:highlight w:val="none"/>
        </w:rPr>
        <w:br w:type="page"/>
      </w:r>
      <w:bookmarkStart w:id="639" w:name="_Toc128950241"/>
      <w:r>
        <w:rPr>
          <w:rFonts w:hint="eastAsia" w:ascii="Times New Roman" w:eastAsia="黑体"/>
          <w:color w:val="auto"/>
          <w:szCs w:val="24"/>
          <w:highlight w:val="none"/>
        </w:rPr>
        <w:t>附</w:t>
      </w:r>
      <w:bookmarkStart w:id="640" w:name="_Toc296891056"/>
      <w:bookmarkStart w:id="641" w:name="_Toc296346729"/>
      <w:bookmarkStart w:id="642" w:name="_Toc296891268"/>
      <w:bookmarkStart w:id="643" w:name="_Toc296944567"/>
      <w:bookmarkStart w:id="644" w:name="_Toc296503228"/>
      <w:bookmarkStart w:id="645" w:name="_Toc267261699"/>
      <w:bookmarkStart w:id="646" w:name="_Toc296347227"/>
      <w:r>
        <w:rPr>
          <w:rFonts w:hint="eastAsia" w:ascii="Times New Roman" w:eastAsia="黑体"/>
          <w:color w:val="auto"/>
          <w:szCs w:val="24"/>
          <w:highlight w:val="none"/>
        </w:rPr>
        <w:t>件</w:t>
      </w:r>
      <w:bookmarkEnd w:id="640"/>
      <w:bookmarkEnd w:id="641"/>
      <w:bookmarkEnd w:id="642"/>
      <w:bookmarkEnd w:id="643"/>
      <w:bookmarkEnd w:id="644"/>
      <w:bookmarkEnd w:id="645"/>
      <w:bookmarkEnd w:id="646"/>
      <w:r>
        <w:rPr>
          <w:rFonts w:ascii="Times New Roman" w:eastAsia="黑体"/>
          <w:color w:val="auto"/>
          <w:szCs w:val="24"/>
          <w:highlight w:val="none"/>
        </w:rPr>
        <w:t>6</w:t>
      </w:r>
      <w:r>
        <w:rPr>
          <w:rFonts w:hint="eastAsia" w:ascii="Times New Roman" w:eastAsia="黑体"/>
          <w:color w:val="auto"/>
          <w:szCs w:val="24"/>
          <w:highlight w:val="none"/>
        </w:rPr>
        <w:t>：承包人主要施工管理人员表</w:t>
      </w:r>
      <w:bookmarkEnd w:id="639"/>
    </w:p>
    <w:p w14:paraId="2BC34D55">
      <w:pPr>
        <w:spacing w:line="360" w:lineRule="auto"/>
        <w:jc w:val="center"/>
        <w:rPr>
          <w:rFonts w:cs="宋体"/>
          <w:color w:val="auto"/>
          <w:highlight w:val="none"/>
        </w:rPr>
      </w:pPr>
      <w:r>
        <w:rPr>
          <w:rFonts w:hint="eastAsia" w:cs="宋体"/>
          <w:color w:val="auto"/>
          <w:highlight w:val="none"/>
        </w:rPr>
        <w:t>承包人主要施工管理人员表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5"/>
        <w:gridCol w:w="1049"/>
        <w:gridCol w:w="840"/>
        <w:gridCol w:w="840"/>
        <w:gridCol w:w="2143"/>
        <w:gridCol w:w="1925"/>
      </w:tblGrid>
      <w:tr w14:paraId="02BEA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tcBorders>
              <w:top w:val="single" w:color="auto" w:sz="12" w:space="0"/>
              <w:bottom w:val="double" w:color="auto" w:sz="6" w:space="0"/>
            </w:tcBorders>
            <w:vAlign w:val="center"/>
          </w:tcPr>
          <w:p w14:paraId="6BE0CE7C">
            <w:pPr>
              <w:keepNext/>
              <w:spacing w:line="360" w:lineRule="auto"/>
              <w:jc w:val="center"/>
              <w:rPr>
                <w:rFonts w:cs="宋体"/>
                <w:color w:val="auto"/>
                <w:szCs w:val="21"/>
                <w:highlight w:val="none"/>
              </w:rPr>
            </w:pPr>
            <w:r>
              <w:rPr>
                <w:rFonts w:hint="eastAsia" w:cs="宋体"/>
                <w:color w:val="auto"/>
                <w:szCs w:val="21"/>
                <w:highlight w:val="none"/>
              </w:rPr>
              <w:t>名称</w:t>
            </w:r>
          </w:p>
        </w:tc>
        <w:tc>
          <w:tcPr>
            <w:tcW w:w="627" w:type="pct"/>
            <w:tcBorders>
              <w:top w:val="single" w:color="auto" w:sz="12" w:space="0"/>
              <w:bottom w:val="double" w:color="auto" w:sz="6" w:space="0"/>
            </w:tcBorders>
            <w:vAlign w:val="center"/>
          </w:tcPr>
          <w:p w14:paraId="08180CF0">
            <w:pPr>
              <w:keepNext/>
              <w:spacing w:line="360" w:lineRule="auto"/>
              <w:jc w:val="center"/>
              <w:rPr>
                <w:rFonts w:cs="宋体"/>
                <w:color w:val="auto"/>
                <w:szCs w:val="21"/>
                <w:highlight w:val="none"/>
              </w:rPr>
            </w:pPr>
            <w:r>
              <w:rPr>
                <w:rFonts w:hint="eastAsia" w:cs="宋体"/>
                <w:color w:val="auto"/>
                <w:szCs w:val="21"/>
                <w:highlight w:val="none"/>
              </w:rPr>
              <w:t>姓名</w:t>
            </w:r>
          </w:p>
        </w:tc>
        <w:tc>
          <w:tcPr>
            <w:tcW w:w="502" w:type="pct"/>
            <w:tcBorders>
              <w:top w:val="single" w:color="auto" w:sz="12" w:space="0"/>
              <w:bottom w:val="double" w:color="auto" w:sz="6" w:space="0"/>
            </w:tcBorders>
            <w:vAlign w:val="center"/>
          </w:tcPr>
          <w:p w14:paraId="22ED6663">
            <w:pPr>
              <w:keepNext/>
              <w:spacing w:line="360" w:lineRule="auto"/>
              <w:jc w:val="center"/>
              <w:rPr>
                <w:rFonts w:cs="宋体"/>
                <w:color w:val="auto"/>
                <w:szCs w:val="21"/>
                <w:highlight w:val="none"/>
              </w:rPr>
            </w:pPr>
            <w:r>
              <w:rPr>
                <w:rFonts w:hint="eastAsia" w:cs="宋体"/>
                <w:color w:val="auto"/>
                <w:szCs w:val="21"/>
                <w:highlight w:val="none"/>
              </w:rPr>
              <w:t>职务</w:t>
            </w:r>
          </w:p>
        </w:tc>
        <w:tc>
          <w:tcPr>
            <w:tcW w:w="502" w:type="pct"/>
            <w:tcBorders>
              <w:top w:val="single" w:color="auto" w:sz="12" w:space="0"/>
              <w:bottom w:val="double" w:color="auto" w:sz="6" w:space="0"/>
            </w:tcBorders>
            <w:vAlign w:val="center"/>
          </w:tcPr>
          <w:p w14:paraId="2A25334C">
            <w:pPr>
              <w:keepNext/>
              <w:spacing w:line="360" w:lineRule="auto"/>
              <w:jc w:val="center"/>
              <w:rPr>
                <w:rFonts w:cs="宋体"/>
                <w:color w:val="auto"/>
                <w:szCs w:val="21"/>
                <w:highlight w:val="none"/>
              </w:rPr>
            </w:pPr>
            <w:r>
              <w:rPr>
                <w:rFonts w:hint="eastAsia" w:cs="宋体"/>
                <w:color w:val="auto"/>
                <w:szCs w:val="21"/>
                <w:highlight w:val="none"/>
              </w:rPr>
              <w:t>职称</w:t>
            </w:r>
          </w:p>
        </w:tc>
        <w:tc>
          <w:tcPr>
            <w:tcW w:w="1280" w:type="pct"/>
            <w:tcBorders>
              <w:top w:val="single" w:color="auto" w:sz="12" w:space="0"/>
              <w:bottom w:val="double" w:color="auto" w:sz="6" w:space="0"/>
            </w:tcBorders>
            <w:vAlign w:val="center"/>
          </w:tcPr>
          <w:p w14:paraId="49F8EC3A">
            <w:pPr>
              <w:keepNext/>
              <w:spacing w:line="360" w:lineRule="auto"/>
              <w:jc w:val="center"/>
              <w:rPr>
                <w:rFonts w:cs="宋体"/>
                <w:color w:val="auto"/>
                <w:szCs w:val="21"/>
                <w:highlight w:val="none"/>
              </w:rPr>
            </w:pPr>
            <w:r>
              <w:rPr>
                <w:rFonts w:hint="eastAsia" w:cs="宋体"/>
                <w:color w:val="auto"/>
                <w:szCs w:val="21"/>
                <w:highlight w:val="none"/>
              </w:rPr>
              <w:t>主要资历、经验及承担过的项目</w:t>
            </w:r>
          </w:p>
        </w:tc>
        <w:tc>
          <w:tcPr>
            <w:tcW w:w="1151" w:type="pct"/>
            <w:tcBorders>
              <w:top w:val="single" w:color="auto" w:sz="12" w:space="0"/>
              <w:bottom w:val="double" w:color="auto" w:sz="6" w:space="0"/>
            </w:tcBorders>
            <w:vAlign w:val="center"/>
          </w:tcPr>
          <w:p w14:paraId="2F8B93E3">
            <w:pPr>
              <w:keepNext/>
              <w:spacing w:line="360" w:lineRule="auto"/>
              <w:jc w:val="center"/>
              <w:rPr>
                <w:rFonts w:cs="宋体"/>
                <w:color w:val="auto"/>
                <w:szCs w:val="21"/>
                <w:highlight w:val="none"/>
              </w:rPr>
            </w:pPr>
            <w:r>
              <w:rPr>
                <w:rFonts w:hint="eastAsia" w:cs="宋体"/>
                <w:color w:val="auto"/>
                <w:szCs w:val="21"/>
                <w:highlight w:val="none"/>
              </w:rPr>
              <w:t>身份证号码</w:t>
            </w:r>
          </w:p>
        </w:tc>
      </w:tr>
      <w:tr w14:paraId="5B416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8" w:type="pct"/>
            <w:gridSpan w:val="5"/>
            <w:tcBorders>
              <w:top w:val="double" w:color="auto" w:sz="6" w:space="0"/>
            </w:tcBorders>
            <w:vAlign w:val="center"/>
          </w:tcPr>
          <w:p w14:paraId="479B24CA">
            <w:pPr>
              <w:keepNext/>
              <w:spacing w:line="360" w:lineRule="auto"/>
              <w:jc w:val="center"/>
              <w:rPr>
                <w:rFonts w:cs="宋体"/>
                <w:color w:val="auto"/>
                <w:szCs w:val="21"/>
                <w:highlight w:val="none"/>
              </w:rPr>
            </w:pPr>
            <w:r>
              <w:rPr>
                <w:rFonts w:hint="eastAsia" w:cs="宋体"/>
                <w:color w:val="auto"/>
                <w:szCs w:val="21"/>
                <w:highlight w:val="none"/>
              </w:rPr>
              <w:t>一、总部人员</w:t>
            </w:r>
          </w:p>
        </w:tc>
        <w:tc>
          <w:tcPr>
            <w:tcW w:w="1151" w:type="pct"/>
            <w:tcBorders>
              <w:top w:val="double" w:color="auto" w:sz="6" w:space="0"/>
            </w:tcBorders>
            <w:vAlign w:val="center"/>
          </w:tcPr>
          <w:p w14:paraId="4F60234B">
            <w:pPr>
              <w:keepNext/>
              <w:spacing w:line="360" w:lineRule="auto"/>
              <w:jc w:val="center"/>
              <w:rPr>
                <w:rFonts w:cs="宋体"/>
                <w:color w:val="auto"/>
                <w:szCs w:val="21"/>
                <w:highlight w:val="none"/>
              </w:rPr>
            </w:pPr>
          </w:p>
        </w:tc>
      </w:tr>
      <w:tr w14:paraId="761DC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tcBorders>
              <w:top w:val="nil"/>
              <w:bottom w:val="nil"/>
            </w:tcBorders>
            <w:vAlign w:val="center"/>
          </w:tcPr>
          <w:p w14:paraId="45381822">
            <w:pPr>
              <w:spacing w:line="360" w:lineRule="auto"/>
              <w:jc w:val="center"/>
              <w:rPr>
                <w:rFonts w:cs="宋体"/>
                <w:color w:val="auto"/>
                <w:szCs w:val="21"/>
                <w:highlight w:val="none"/>
              </w:rPr>
            </w:pPr>
            <w:r>
              <w:rPr>
                <w:rFonts w:hint="eastAsia" w:cs="宋体"/>
                <w:color w:val="auto"/>
                <w:szCs w:val="21"/>
                <w:highlight w:val="none"/>
              </w:rPr>
              <w:t>项目主管</w:t>
            </w:r>
          </w:p>
        </w:tc>
        <w:tc>
          <w:tcPr>
            <w:tcW w:w="627" w:type="pct"/>
            <w:tcBorders>
              <w:top w:val="nil"/>
            </w:tcBorders>
            <w:vAlign w:val="center"/>
          </w:tcPr>
          <w:p w14:paraId="406973F8">
            <w:pPr>
              <w:keepNext/>
              <w:spacing w:line="360" w:lineRule="auto"/>
              <w:jc w:val="center"/>
              <w:rPr>
                <w:rFonts w:cs="宋体"/>
                <w:color w:val="auto"/>
                <w:szCs w:val="21"/>
                <w:highlight w:val="none"/>
              </w:rPr>
            </w:pPr>
          </w:p>
        </w:tc>
        <w:tc>
          <w:tcPr>
            <w:tcW w:w="502" w:type="pct"/>
            <w:tcBorders>
              <w:top w:val="nil"/>
            </w:tcBorders>
            <w:vAlign w:val="center"/>
          </w:tcPr>
          <w:p w14:paraId="4E6CCC83">
            <w:pPr>
              <w:keepNext/>
              <w:spacing w:line="360" w:lineRule="auto"/>
              <w:jc w:val="center"/>
              <w:rPr>
                <w:rFonts w:cs="宋体"/>
                <w:color w:val="auto"/>
                <w:szCs w:val="21"/>
                <w:highlight w:val="none"/>
              </w:rPr>
            </w:pPr>
          </w:p>
        </w:tc>
        <w:tc>
          <w:tcPr>
            <w:tcW w:w="502" w:type="pct"/>
            <w:tcBorders>
              <w:top w:val="nil"/>
            </w:tcBorders>
            <w:vAlign w:val="center"/>
          </w:tcPr>
          <w:p w14:paraId="36625754">
            <w:pPr>
              <w:keepNext/>
              <w:spacing w:line="360" w:lineRule="auto"/>
              <w:jc w:val="center"/>
              <w:rPr>
                <w:rFonts w:cs="宋体"/>
                <w:color w:val="auto"/>
                <w:szCs w:val="21"/>
                <w:highlight w:val="none"/>
              </w:rPr>
            </w:pPr>
          </w:p>
        </w:tc>
        <w:tc>
          <w:tcPr>
            <w:tcW w:w="1280" w:type="pct"/>
            <w:tcBorders>
              <w:top w:val="nil"/>
            </w:tcBorders>
            <w:vAlign w:val="center"/>
          </w:tcPr>
          <w:p w14:paraId="5D9D7054">
            <w:pPr>
              <w:keepNext/>
              <w:spacing w:line="360" w:lineRule="auto"/>
              <w:jc w:val="center"/>
              <w:rPr>
                <w:rFonts w:cs="宋体"/>
                <w:color w:val="auto"/>
                <w:szCs w:val="21"/>
                <w:highlight w:val="none"/>
              </w:rPr>
            </w:pPr>
          </w:p>
        </w:tc>
        <w:tc>
          <w:tcPr>
            <w:tcW w:w="1151" w:type="pct"/>
            <w:tcBorders>
              <w:top w:val="nil"/>
            </w:tcBorders>
            <w:vAlign w:val="center"/>
          </w:tcPr>
          <w:p w14:paraId="41BE6692">
            <w:pPr>
              <w:keepNext/>
              <w:spacing w:line="360" w:lineRule="auto"/>
              <w:jc w:val="center"/>
              <w:rPr>
                <w:rFonts w:cs="宋体"/>
                <w:color w:val="auto"/>
                <w:szCs w:val="21"/>
                <w:highlight w:val="none"/>
              </w:rPr>
            </w:pPr>
          </w:p>
        </w:tc>
      </w:tr>
      <w:tr w14:paraId="3E677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Merge w:val="restart"/>
            <w:vAlign w:val="center"/>
          </w:tcPr>
          <w:p w14:paraId="3449F97D">
            <w:pPr>
              <w:spacing w:line="360" w:lineRule="auto"/>
              <w:jc w:val="center"/>
              <w:rPr>
                <w:rFonts w:cs="宋体"/>
                <w:color w:val="auto"/>
                <w:szCs w:val="21"/>
                <w:highlight w:val="none"/>
              </w:rPr>
            </w:pPr>
            <w:r>
              <w:rPr>
                <w:rFonts w:hint="eastAsia" w:cs="宋体"/>
                <w:color w:val="auto"/>
                <w:szCs w:val="21"/>
                <w:highlight w:val="none"/>
              </w:rPr>
              <w:t>其他人员</w:t>
            </w:r>
          </w:p>
        </w:tc>
        <w:tc>
          <w:tcPr>
            <w:tcW w:w="627" w:type="pct"/>
            <w:vAlign w:val="center"/>
          </w:tcPr>
          <w:p w14:paraId="03E02A8A">
            <w:pPr>
              <w:keepNext/>
              <w:spacing w:line="360" w:lineRule="auto"/>
              <w:jc w:val="center"/>
              <w:rPr>
                <w:rFonts w:cs="宋体"/>
                <w:color w:val="auto"/>
                <w:szCs w:val="21"/>
                <w:highlight w:val="none"/>
              </w:rPr>
            </w:pPr>
          </w:p>
        </w:tc>
        <w:tc>
          <w:tcPr>
            <w:tcW w:w="502" w:type="pct"/>
            <w:vAlign w:val="center"/>
          </w:tcPr>
          <w:p w14:paraId="6C724DE5">
            <w:pPr>
              <w:keepNext/>
              <w:spacing w:line="360" w:lineRule="auto"/>
              <w:jc w:val="center"/>
              <w:rPr>
                <w:rFonts w:cs="宋体"/>
                <w:color w:val="auto"/>
                <w:szCs w:val="21"/>
                <w:highlight w:val="none"/>
              </w:rPr>
            </w:pPr>
          </w:p>
        </w:tc>
        <w:tc>
          <w:tcPr>
            <w:tcW w:w="502" w:type="pct"/>
            <w:vAlign w:val="center"/>
          </w:tcPr>
          <w:p w14:paraId="44D64A94">
            <w:pPr>
              <w:keepNext/>
              <w:spacing w:line="360" w:lineRule="auto"/>
              <w:jc w:val="center"/>
              <w:rPr>
                <w:rFonts w:cs="宋体"/>
                <w:color w:val="auto"/>
                <w:szCs w:val="21"/>
                <w:highlight w:val="none"/>
              </w:rPr>
            </w:pPr>
          </w:p>
        </w:tc>
        <w:tc>
          <w:tcPr>
            <w:tcW w:w="1280" w:type="pct"/>
            <w:vAlign w:val="center"/>
          </w:tcPr>
          <w:p w14:paraId="17A4F6CA">
            <w:pPr>
              <w:keepNext/>
              <w:spacing w:line="360" w:lineRule="auto"/>
              <w:jc w:val="center"/>
              <w:rPr>
                <w:rFonts w:cs="宋体"/>
                <w:color w:val="auto"/>
                <w:szCs w:val="21"/>
                <w:highlight w:val="none"/>
              </w:rPr>
            </w:pPr>
          </w:p>
        </w:tc>
        <w:tc>
          <w:tcPr>
            <w:tcW w:w="1151" w:type="pct"/>
            <w:vAlign w:val="center"/>
          </w:tcPr>
          <w:p w14:paraId="255D1BF8">
            <w:pPr>
              <w:keepNext/>
              <w:spacing w:line="360" w:lineRule="auto"/>
              <w:jc w:val="center"/>
              <w:rPr>
                <w:rFonts w:cs="宋体"/>
                <w:color w:val="auto"/>
                <w:szCs w:val="21"/>
                <w:highlight w:val="none"/>
              </w:rPr>
            </w:pPr>
          </w:p>
        </w:tc>
      </w:tr>
      <w:tr w14:paraId="51AD1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Merge w:val="continue"/>
            <w:vAlign w:val="center"/>
          </w:tcPr>
          <w:p w14:paraId="67E0B9EA">
            <w:pPr>
              <w:spacing w:line="360" w:lineRule="auto"/>
              <w:jc w:val="center"/>
              <w:rPr>
                <w:rFonts w:cs="宋体"/>
                <w:color w:val="auto"/>
                <w:szCs w:val="21"/>
                <w:highlight w:val="none"/>
              </w:rPr>
            </w:pPr>
          </w:p>
        </w:tc>
        <w:tc>
          <w:tcPr>
            <w:tcW w:w="627" w:type="pct"/>
            <w:vAlign w:val="center"/>
          </w:tcPr>
          <w:p w14:paraId="51B15C01">
            <w:pPr>
              <w:keepNext/>
              <w:spacing w:line="360" w:lineRule="auto"/>
              <w:jc w:val="center"/>
              <w:rPr>
                <w:rFonts w:cs="宋体"/>
                <w:color w:val="auto"/>
                <w:szCs w:val="21"/>
                <w:highlight w:val="none"/>
              </w:rPr>
            </w:pPr>
          </w:p>
        </w:tc>
        <w:tc>
          <w:tcPr>
            <w:tcW w:w="502" w:type="pct"/>
            <w:vAlign w:val="center"/>
          </w:tcPr>
          <w:p w14:paraId="43C6C8AB">
            <w:pPr>
              <w:keepNext/>
              <w:spacing w:line="360" w:lineRule="auto"/>
              <w:jc w:val="center"/>
              <w:rPr>
                <w:rFonts w:cs="宋体"/>
                <w:color w:val="auto"/>
                <w:szCs w:val="21"/>
                <w:highlight w:val="none"/>
              </w:rPr>
            </w:pPr>
          </w:p>
        </w:tc>
        <w:tc>
          <w:tcPr>
            <w:tcW w:w="502" w:type="pct"/>
            <w:vAlign w:val="center"/>
          </w:tcPr>
          <w:p w14:paraId="519ABDF7">
            <w:pPr>
              <w:keepNext/>
              <w:spacing w:line="360" w:lineRule="auto"/>
              <w:jc w:val="center"/>
              <w:rPr>
                <w:rFonts w:cs="宋体"/>
                <w:color w:val="auto"/>
                <w:szCs w:val="21"/>
                <w:highlight w:val="none"/>
              </w:rPr>
            </w:pPr>
          </w:p>
        </w:tc>
        <w:tc>
          <w:tcPr>
            <w:tcW w:w="1280" w:type="pct"/>
            <w:vAlign w:val="center"/>
          </w:tcPr>
          <w:p w14:paraId="61B8D55C">
            <w:pPr>
              <w:keepNext/>
              <w:spacing w:line="360" w:lineRule="auto"/>
              <w:jc w:val="center"/>
              <w:rPr>
                <w:rFonts w:cs="宋体"/>
                <w:color w:val="auto"/>
                <w:szCs w:val="21"/>
                <w:highlight w:val="none"/>
              </w:rPr>
            </w:pPr>
          </w:p>
        </w:tc>
        <w:tc>
          <w:tcPr>
            <w:tcW w:w="1151" w:type="pct"/>
            <w:vAlign w:val="center"/>
          </w:tcPr>
          <w:p w14:paraId="41BC35F5">
            <w:pPr>
              <w:keepNext/>
              <w:spacing w:line="360" w:lineRule="auto"/>
              <w:jc w:val="center"/>
              <w:rPr>
                <w:rFonts w:cs="宋体"/>
                <w:color w:val="auto"/>
                <w:szCs w:val="21"/>
                <w:highlight w:val="none"/>
              </w:rPr>
            </w:pPr>
          </w:p>
        </w:tc>
      </w:tr>
      <w:tr w14:paraId="3AF88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Merge w:val="continue"/>
            <w:tcBorders>
              <w:bottom w:val="nil"/>
            </w:tcBorders>
            <w:vAlign w:val="center"/>
          </w:tcPr>
          <w:p w14:paraId="0A6CABF4">
            <w:pPr>
              <w:spacing w:line="360" w:lineRule="auto"/>
              <w:jc w:val="center"/>
              <w:rPr>
                <w:rFonts w:cs="宋体"/>
                <w:color w:val="auto"/>
                <w:szCs w:val="21"/>
                <w:highlight w:val="none"/>
              </w:rPr>
            </w:pPr>
          </w:p>
        </w:tc>
        <w:tc>
          <w:tcPr>
            <w:tcW w:w="627" w:type="pct"/>
            <w:vAlign w:val="center"/>
          </w:tcPr>
          <w:p w14:paraId="2E3D68A3">
            <w:pPr>
              <w:keepNext/>
              <w:spacing w:line="360" w:lineRule="auto"/>
              <w:jc w:val="center"/>
              <w:rPr>
                <w:rFonts w:cs="宋体"/>
                <w:color w:val="auto"/>
                <w:szCs w:val="21"/>
                <w:highlight w:val="none"/>
              </w:rPr>
            </w:pPr>
          </w:p>
        </w:tc>
        <w:tc>
          <w:tcPr>
            <w:tcW w:w="502" w:type="pct"/>
            <w:vAlign w:val="center"/>
          </w:tcPr>
          <w:p w14:paraId="66CDA419">
            <w:pPr>
              <w:keepNext/>
              <w:spacing w:line="360" w:lineRule="auto"/>
              <w:jc w:val="center"/>
              <w:rPr>
                <w:rFonts w:cs="宋体"/>
                <w:color w:val="auto"/>
                <w:szCs w:val="21"/>
                <w:highlight w:val="none"/>
              </w:rPr>
            </w:pPr>
          </w:p>
        </w:tc>
        <w:tc>
          <w:tcPr>
            <w:tcW w:w="502" w:type="pct"/>
            <w:vAlign w:val="center"/>
          </w:tcPr>
          <w:p w14:paraId="791F97CE">
            <w:pPr>
              <w:keepNext/>
              <w:spacing w:line="360" w:lineRule="auto"/>
              <w:jc w:val="center"/>
              <w:rPr>
                <w:rFonts w:cs="宋体"/>
                <w:color w:val="auto"/>
                <w:szCs w:val="21"/>
                <w:highlight w:val="none"/>
              </w:rPr>
            </w:pPr>
          </w:p>
        </w:tc>
        <w:tc>
          <w:tcPr>
            <w:tcW w:w="1280" w:type="pct"/>
            <w:vAlign w:val="center"/>
          </w:tcPr>
          <w:p w14:paraId="43054650">
            <w:pPr>
              <w:keepNext/>
              <w:spacing w:line="360" w:lineRule="auto"/>
              <w:jc w:val="center"/>
              <w:rPr>
                <w:rFonts w:cs="宋体"/>
                <w:color w:val="auto"/>
                <w:szCs w:val="21"/>
                <w:highlight w:val="none"/>
              </w:rPr>
            </w:pPr>
          </w:p>
        </w:tc>
        <w:tc>
          <w:tcPr>
            <w:tcW w:w="1151" w:type="pct"/>
            <w:vAlign w:val="center"/>
          </w:tcPr>
          <w:p w14:paraId="11841AEE">
            <w:pPr>
              <w:keepNext/>
              <w:spacing w:line="360" w:lineRule="auto"/>
              <w:jc w:val="center"/>
              <w:rPr>
                <w:rFonts w:cs="宋体"/>
                <w:color w:val="auto"/>
                <w:szCs w:val="21"/>
                <w:highlight w:val="none"/>
              </w:rPr>
            </w:pPr>
          </w:p>
        </w:tc>
      </w:tr>
      <w:tr w14:paraId="176C7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8" w:type="pct"/>
            <w:gridSpan w:val="5"/>
            <w:vAlign w:val="center"/>
          </w:tcPr>
          <w:p w14:paraId="3CF8E04B">
            <w:pPr>
              <w:keepNext/>
              <w:spacing w:line="360" w:lineRule="auto"/>
              <w:jc w:val="center"/>
              <w:rPr>
                <w:rFonts w:cs="宋体"/>
                <w:color w:val="auto"/>
                <w:szCs w:val="21"/>
                <w:highlight w:val="none"/>
              </w:rPr>
            </w:pPr>
            <w:r>
              <w:rPr>
                <w:rFonts w:hint="eastAsia" w:cs="宋体"/>
                <w:color w:val="auto"/>
                <w:szCs w:val="21"/>
                <w:highlight w:val="none"/>
              </w:rPr>
              <w:t>二、现场人员</w:t>
            </w:r>
          </w:p>
        </w:tc>
        <w:tc>
          <w:tcPr>
            <w:tcW w:w="1151" w:type="pct"/>
            <w:vAlign w:val="center"/>
          </w:tcPr>
          <w:p w14:paraId="3D72781C">
            <w:pPr>
              <w:keepNext/>
              <w:spacing w:line="360" w:lineRule="auto"/>
              <w:jc w:val="center"/>
              <w:rPr>
                <w:rFonts w:cs="宋体"/>
                <w:color w:val="auto"/>
                <w:szCs w:val="21"/>
                <w:highlight w:val="none"/>
              </w:rPr>
            </w:pPr>
          </w:p>
        </w:tc>
      </w:tr>
      <w:tr w14:paraId="71C4E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Align w:val="center"/>
          </w:tcPr>
          <w:p w14:paraId="506D8D1E">
            <w:pPr>
              <w:spacing w:line="360" w:lineRule="auto"/>
              <w:jc w:val="center"/>
              <w:rPr>
                <w:rFonts w:hint="eastAsia" w:eastAsia="宋体" w:cs="宋体"/>
                <w:color w:val="auto"/>
                <w:szCs w:val="21"/>
                <w:highlight w:val="none"/>
                <w:lang w:eastAsia="zh-CN"/>
              </w:rPr>
            </w:pPr>
            <w:r>
              <w:rPr>
                <w:rFonts w:hint="eastAsia" w:cs="宋体"/>
                <w:color w:val="auto"/>
                <w:szCs w:val="21"/>
                <w:highlight w:val="none"/>
                <w:lang w:eastAsia="zh-CN"/>
              </w:rPr>
              <w:t>项目负责人</w:t>
            </w:r>
          </w:p>
        </w:tc>
        <w:tc>
          <w:tcPr>
            <w:tcW w:w="627" w:type="pct"/>
            <w:vAlign w:val="center"/>
          </w:tcPr>
          <w:p w14:paraId="6F1B582E">
            <w:pPr>
              <w:keepNext/>
              <w:spacing w:line="360" w:lineRule="auto"/>
              <w:jc w:val="center"/>
              <w:rPr>
                <w:rFonts w:cs="宋体"/>
                <w:color w:val="auto"/>
                <w:szCs w:val="21"/>
                <w:highlight w:val="none"/>
              </w:rPr>
            </w:pPr>
          </w:p>
        </w:tc>
        <w:tc>
          <w:tcPr>
            <w:tcW w:w="502" w:type="pct"/>
            <w:vAlign w:val="center"/>
          </w:tcPr>
          <w:p w14:paraId="553A8061">
            <w:pPr>
              <w:keepNext/>
              <w:spacing w:line="360" w:lineRule="auto"/>
              <w:jc w:val="center"/>
              <w:rPr>
                <w:rFonts w:cs="宋体"/>
                <w:color w:val="auto"/>
                <w:szCs w:val="21"/>
                <w:highlight w:val="none"/>
              </w:rPr>
            </w:pPr>
          </w:p>
        </w:tc>
        <w:tc>
          <w:tcPr>
            <w:tcW w:w="502" w:type="pct"/>
            <w:vAlign w:val="center"/>
          </w:tcPr>
          <w:p w14:paraId="206ECBAE">
            <w:pPr>
              <w:keepNext/>
              <w:spacing w:line="360" w:lineRule="auto"/>
              <w:jc w:val="center"/>
              <w:rPr>
                <w:rFonts w:cs="宋体"/>
                <w:color w:val="auto"/>
                <w:szCs w:val="21"/>
                <w:highlight w:val="none"/>
              </w:rPr>
            </w:pPr>
          </w:p>
        </w:tc>
        <w:tc>
          <w:tcPr>
            <w:tcW w:w="1280" w:type="pct"/>
            <w:vAlign w:val="center"/>
          </w:tcPr>
          <w:p w14:paraId="44AEC7F4">
            <w:pPr>
              <w:keepNext/>
              <w:spacing w:line="360" w:lineRule="auto"/>
              <w:jc w:val="center"/>
              <w:rPr>
                <w:rFonts w:cs="宋体"/>
                <w:color w:val="auto"/>
                <w:szCs w:val="21"/>
                <w:highlight w:val="none"/>
              </w:rPr>
            </w:pPr>
          </w:p>
        </w:tc>
        <w:tc>
          <w:tcPr>
            <w:tcW w:w="1151" w:type="pct"/>
            <w:vAlign w:val="center"/>
          </w:tcPr>
          <w:p w14:paraId="53CA9999">
            <w:pPr>
              <w:keepNext/>
              <w:spacing w:line="360" w:lineRule="auto"/>
              <w:jc w:val="center"/>
              <w:rPr>
                <w:rFonts w:cs="宋体"/>
                <w:color w:val="auto"/>
                <w:szCs w:val="21"/>
                <w:highlight w:val="none"/>
              </w:rPr>
            </w:pPr>
          </w:p>
        </w:tc>
      </w:tr>
      <w:tr w14:paraId="15C71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Align w:val="center"/>
          </w:tcPr>
          <w:p w14:paraId="017E8916">
            <w:pPr>
              <w:spacing w:line="360" w:lineRule="auto"/>
              <w:jc w:val="center"/>
              <w:rPr>
                <w:rFonts w:cs="宋体"/>
                <w:color w:val="auto"/>
                <w:szCs w:val="21"/>
                <w:highlight w:val="none"/>
              </w:rPr>
            </w:pPr>
            <w:r>
              <w:rPr>
                <w:rFonts w:hint="eastAsia" w:cs="宋体"/>
                <w:color w:val="auto"/>
                <w:szCs w:val="21"/>
                <w:highlight w:val="none"/>
              </w:rPr>
              <w:t>项目技术负责人</w:t>
            </w:r>
          </w:p>
        </w:tc>
        <w:tc>
          <w:tcPr>
            <w:tcW w:w="627" w:type="pct"/>
            <w:vAlign w:val="center"/>
          </w:tcPr>
          <w:p w14:paraId="310CA4BB">
            <w:pPr>
              <w:keepNext/>
              <w:spacing w:line="360" w:lineRule="auto"/>
              <w:jc w:val="center"/>
              <w:rPr>
                <w:rFonts w:cs="宋体"/>
                <w:color w:val="auto"/>
                <w:szCs w:val="21"/>
                <w:highlight w:val="none"/>
              </w:rPr>
            </w:pPr>
          </w:p>
        </w:tc>
        <w:tc>
          <w:tcPr>
            <w:tcW w:w="502" w:type="pct"/>
            <w:vAlign w:val="center"/>
          </w:tcPr>
          <w:p w14:paraId="296B41BE">
            <w:pPr>
              <w:keepNext/>
              <w:spacing w:line="360" w:lineRule="auto"/>
              <w:jc w:val="center"/>
              <w:rPr>
                <w:rFonts w:cs="宋体"/>
                <w:color w:val="auto"/>
                <w:szCs w:val="21"/>
                <w:highlight w:val="none"/>
              </w:rPr>
            </w:pPr>
          </w:p>
        </w:tc>
        <w:tc>
          <w:tcPr>
            <w:tcW w:w="502" w:type="pct"/>
            <w:vAlign w:val="center"/>
          </w:tcPr>
          <w:p w14:paraId="71C98A8E">
            <w:pPr>
              <w:keepNext/>
              <w:spacing w:line="360" w:lineRule="auto"/>
              <w:jc w:val="center"/>
              <w:rPr>
                <w:rFonts w:cs="宋体"/>
                <w:color w:val="auto"/>
                <w:szCs w:val="21"/>
                <w:highlight w:val="none"/>
              </w:rPr>
            </w:pPr>
          </w:p>
        </w:tc>
        <w:tc>
          <w:tcPr>
            <w:tcW w:w="1280" w:type="pct"/>
            <w:vAlign w:val="center"/>
          </w:tcPr>
          <w:p w14:paraId="28CD5F02">
            <w:pPr>
              <w:keepNext/>
              <w:spacing w:line="360" w:lineRule="auto"/>
              <w:jc w:val="center"/>
              <w:rPr>
                <w:rFonts w:cs="宋体"/>
                <w:color w:val="auto"/>
                <w:szCs w:val="21"/>
                <w:highlight w:val="none"/>
              </w:rPr>
            </w:pPr>
          </w:p>
        </w:tc>
        <w:tc>
          <w:tcPr>
            <w:tcW w:w="1151" w:type="pct"/>
            <w:vAlign w:val="center"/>
          </w:tcPr>
          <w:p w14:paraId="72C4A637">
            <w:pPr>
              <w:keepNext/>
              <w:spacing w:line="360" w:lineRule="auto"/>
              <w:jc w:val="center"/>
              <w:rPr>
                <w:rFonts w:cs="宋体"/>
                <w:color w:val="auto"/>
                <w:szCs w:val="21"/>
                <w:highlight w:val="none"/>
              </w:rPr>
            </w:pPr>
          </w:p>
        </w:tc>
      </w:tr>
      <w:tr w14:paraId="42A03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Align w:val="center"/>
          </w:tcPr>
          <w:p w14:paraId="59240987">
            <w:pPr>
              <w:spacing w:line="360" w:lineRule="auto"/>
              <w:jc w:val="center"/>
              <w:rPr>
                <w:rFonts w:cs="宋体"/>
                <w:color w:val="auto"/>
                <w:szCs w:val="21"/>
                <w:highlight w:val="none"/>
              </w:rPr>
            </w:pPr>
            <w:r>
              <w:rPr>
                <w:rFonts w:hint="eastAsia" w:cs="宋体"/>
                <w:color w:val="auto"/>
                <w:szCs w:val="21"/>
                <w:highlight w:val="none"/>
              </w:rPr>
              <w:t>施工员</w:t>
            </w:r>
          </w:p>
        </w:tc>
        <w:tc>
          <w:tcPr>
            <w:tcW w:w="627" w:type="pct"/>
            <w:vAlign w:val="center"/>
          </w:tcPr>
          <w:p w14:paraId="12E6CF6B">
            <w:pPr>
              <w:keepNext/>
              <w:spacing w:line="360" w:lineRule="auto"/>
              <w:jc w:val="center"/>
              <w:rPr>
                <w:rFonts w:cs="宋体"/>
                <w:color w:val="auto"/>
                <w:szCs w:val="21"/>
                <w:highlight w:val="none"/>
              </w:rPr>
            </w:pPr>
          </w:p>
        </w:tc>
        <w:tc>
          <w:tcPr>
            <w:tcW w:w="502" w:type="pct"/>
            <w:vAlign w:val="center"/>
          </w:tcPr>
          <w:p w14:paraId="25F34F49">
            <w:pPr>
              <w:keepNext/>
              <w:spacing w:line="360" w:lineRule="auto"/>
              <w:jc w:val="center"/>
              <w:rPr>
                <w:rFonts w:cs="宋体"/>
                <w:color w:val="auto"/>
                <w:szCs w:val="21"/>
                <w:highlight w:val="none"/>
              </w:rPr>
            </w:pPr>
          </w:p>
        </w:tc>
        <w:tc>
          <w:tcPr>
            <w:tcW w:w="502" w:type="pct"/>
            <w:vAlign w:val="center"/>
          </w:tcPr>
          <w:p w14:paraId="12E55905">
            <w:pPr>
              <w:keepNext/>
              <w:spacing w:line="360" w:lineRule="auto"/>
              <w:jc w:val="center"/>
              <w:rPr>
                <w:rFonts w:cs="宋体"/>
                <w:color w:val="auto"/>
                <w:szCs w:val="21"/>
                <w:highlight w:val="none"/>
              </w:rPr>
            </w:pPr>
          </w:p>
        </w:tc>
        <w:tc>
          <w:tcPr>
            <w:tcW w:w="1280" w:type="pct"/>
            <w:vAlign w:val="center"/>
          </w:tcPr>
          <w:p w14:paraId="71790077">
            <w:pPr>
              <w:keepNext/>
              <w:spacing w:line="360" w:lineRule="auto"/>
              <w:jc w:val="center"/>
              <w:rPr>
                <w:rFonts w:cs="宋体"/>
                <w:color w:val="auto"/>
                <w:szCs w:val="21"/>
                <w:highlight w:val="none"/>
              </w:rPr>
            </w:pPr>
          </w:p>
        </w:tc>
        <w:tc>
          <w:tcPr>
            <w:tcW w:w="1151" w:type="pct"/>
            <w:vAlign w:val="center"/>
          </w:tcPr>
          <w:p w14:paraId="4CF50CCB">
            <w:pPr>
              <w:keepNext/>
              <w:spacing w:line="360" w:lineRule="auto"/>
              <w:jc w:val="center"/>
              <w:rPr>
                <w:rFonts w:cs="宋体"/>
                <w:color w:val="auto"/>
                <w:szCs w:val="21"/>
                <w:highlight w:val="none"/>
              </w:rPr>
            </w:pPr>
          </w:p>
        </w:tc>
      </w:tr>
      <w:tr w14:paraId="7803A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Align w:val="center"/>
          </w:tcPr>
          <w:p w14:paraId="583830FB">
            <w:pPr>
              <w:spacing w:line="360" w:lineRule="auto"/>
              <w:jc w:val="center"/>
              <w:rPr>
                <w:rFonts w:cs="宋体"/>
                <w:color w:val="auto"/>
                <w:szCs w:val="21"/>
                <w:highlight w:val="none"/>
              </w:rPr>
            </w:pPr>
            <w:r>
              <w:rPr>
                <w:rFonts w:hint="eastAsia" w:cs="宋体"/>
                <w:color w:val="auto"/>
                <w:szCs w:val="21"/>
                <w:highlight w:val="none"/>
              </w:rPr>
              <w:t>质检员（质量员）</w:t>
            </w:r>
          </w:p>
        </w:tc>
        <w:tc>
          <w:tcPr>
            <w:tcW w:w="627" w:type="pct"/>
            <w:vAlign w:val="center"/>
          </w:tcPr>
          <w:p w14:paraId="7D51C6FE">
            <w:pPr>
              <w:keepNext/>
              <w:spacing w:line="360" w:lineRule="auto"/>
              <w:jc w:val="center"/>
              <w:rPr>
                <w:rFonts w:cs="宋体"/>
                <w:color w:val="auto"/>
                <w:szCs w:val="21"/>
                <w:highlight w:val="none"/>
              </w:rPr>
            </w:pPr>
          </w:p>
        </w:tc>
        <w:tc>
          <w:tcPr>
            <w:tcW w:w="502" w:type="pct"/>
            <w:vAlign w:val="center"/>
          </w:tcPr>
          <w:p w14:paraId="554767EC">
            <w:pPr>
              <w:keepNext/>
              <w:spacing w:line="360" w:lineRule="auto"/>
              <w:jc w:val="center"/>
              <w:rPr>
                <w:rFonts w:cs="宋体"/>
                <w:color w:val="auto"/>
                <w:szCs w:val="21"/>
                <w:highlight w:val="none"/>
              </w:rPr>
            </w:pPr>
          </w:p>
        </w:tc>
        <w:tc>
          <w:tcPr>
            <w:tcW w:w="502" w:type="pct"/>
            <w:vAlign w:val="center"/>
          </w:tcPr>
          <w:p w14:paraId="639A4E2C">
            <w:pPr>
              <w:keepNext/>
              <w:spacing w:line="360" w:lineRule="auto"/>
              <w:jc w:val="center"/>
              <w:rPr>
                <w:rFonts w:cs="宋体"/>
                <w:color w:val="auto"/>
                <w:szCs w:val="21"/>
                <w:highlight w:val="none"/>
              </w:rPr>
            </w:pPr>
          </w:p>
        </w:tc>
        <w:tc>
          <w:tcPr>
            <w:tcW w:w="1280" w:type="pct"/>
            <w:vAlign w:val="center"/>
          </w:tcPr>
          <w:p w14:paraId="54940EDD">
            <w:pPr>
              <w:keepNext/>
              <w:spacing w:line="360" w:lineRule="auto"/>
              <w:jc w:val="center"/>
              <w:rPr>
                <w:rFonts w:cs="宋体"/>
                <w:color w:val="auto"/>
                <w:szCs w:val="21"/>
                <w:highlight w:val="none"/>
              </w:rPr>
            </w:pPr>
          </w:p>
        </w:tc>
        <w:tc>
          <w:tcPr>
            <w:tcW w:w="1151" w:type="pct"/>
            <w:vAlign w:val="center"/>
          </w:tcPr>
          <w:p w14:paraId="3CF83E43">
            <w:pPr>
              <w:keepNext/>
              <w:spacing w:line="360" w:lineRule="auto"/>
              <w:jc w:val="center"/>
              <w:rPr>
                <w:rFonts w:cs="宋体"/>
                <w:color w:val="auto"/>
                <w:szCs w:val="21"/>
                <w:highlight w:val="none"/>
              </w:rPr>
            </w:pPr>
          </w:p>
        </w:tc>
      </w:tr>
      <w:tr w14:paraId="16C34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Align w:val="center"/>
          </w:tcPr>
          <w:p w14:paraId="4DF60DE2">
            <w:pPr>
              <w:spacing w:line="360" w:lineRule="auto"/>
              <w:jc w:val="center"/>
              <w:rPr>
                <w:rFonts w:cs="宋体"/>
                <w:color w:val="auto"/>
                <w:szCs w:val="21"/>
                <w:highlight w:val="none"/>
              </w:rPr>
            </w:pPr>
            <w:r>
              <w:rPr>
                <w:rFonts w:hint="eastAsia" w:cs="宋体"/>
                <w:color w:val="auto"/>
                <w:szCs w:val="21"/>
                <w:highlight w:val="none"/>
              </w:rPr>
              <w:t>安全员</w:t>
            </w:r>
          </w:p>
        </w:tc>
        <w:tc>
          <w:tcPr>
            <w:tcW w:w="627" w:type="pct"/>
            <w:vAlign w:val="center"/>
          </w:tcPr>
          <w:p w14:paraId="50C38875">
            <w:pPr>
              <w:keepNext/>
              <w:spacing w:line="360" w:lineRule="auto"/>
              <w:jc w:val="center"/>
              <w:rPr>
                <w:rFonts w:cs="宋体"/>
                <w:color w:val="auto"/>
                <w:szCs w:val="21"/>
                <w:highlight w:val="none"/>
              </w:rPr>
            </w:pPr>
          </w:p>
        </w:tc>
        <w:tc>
          <w:tcPr>
            <w:tcW w:w="502" w:type="pct"/>
            <w:vAlign w:val="center"/>
          </w:tcPr>
          <w:p w14:paraId="6A9EF2F4">
            <w:pPr>
              <w:keepNext/>
              <w:spacing w:line="360" w:lineRule="auto"/>
              <w:jc w:val="center"/>
              <w:rPr>
                <w:rFonts w:cs="宋体"/>
                <w:color w:val="auto"/>
                <w:szCs w:val="21"/>
                <w:highlight w:val="none"/>
              </w:rPr>
            </w:pPr>
          </w:p>
        </w:tc>
        <w:tc>
          <w:tcPr>
            <w:tcW w:w="502" w:type="pct"/>
            <w:vAlign w:val="center"/>
          </w:tcPr>
          <w:p w14:paraId="15CB0733">
            <w:pPr>
              <w:keepNext/>
              <w:spacing w:line="360" w:lineRule="auto"/>
              <w:jc w:val="center"/>
              <w:rPr>
                <w:rFonts w:cs="宋体"/>
                <w:color w:val="auto"/>
                <w:szCs w:val="21"/>
                <w:highlight w:val="none"/>
              </w:rPr>
            </w:pPr>
          </w:p>
        </w:tc>
        <w:tc>
          <w:tcPr>
            <w:tcW w:w="1280" w:type="pct"/>
            <w:vAlign w:val="center"/>
          </w:tcPr>
          <w:p w14:paraId="3E2EF6AF">
            <w:pPr>
              <w:keepNext/>
              <w:spacing w:line="360" w:lineRule="auto"/>
              <w:jc w:val="center"/>
              <w:rPr>
                <w:rFonts w:cs="宋体"/>
                <w:color w:val="auto"/>
                <w:szCs w:val="21"/>
                <w:highlight w:val="none"/>
              </w:rPr>
            </w:pPr>
          </w:p>
        </w:tc>
        <w:tc>
          <w:tcPr>
            <w:tcW w:w="1151" w:type="pct"/>
            <w:vAlign w:val="center"/>
          </w:tcPr>
          <w:p w14:paraId="04EB9CC2">
            <w:pPr>
              <w:keepNext/>
              <w:spacing w:line="360" w:lineRule="auto"/>
              <w:jc w:val="center"/>
              <w:rPr>
                <w:rFonts w:cs="宋体"/>
                <w:color w:val="auto"/>
                <w:szCs w:val="21"/>
                <w:highlight w:val="none"/>
              </w:rPr>
            </w:pPr>
          </w:p>
        </w:tc>
      </w:tr>
      <w:tr w14:paraId="6A8D5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Align w:val="center"/>
          </w:tcPr>
          <w:p w14:paraId="74815CF0">
            <w:pPr>
              <w:spacing w:line="360" w:lineRule="auto"/>
              <w:jc w:val="center"/>
              <w:rPr>
                <w:rFonts w:cs="宋体"/>
                <w:color w:val="auto"/>
                <w:szCs w:val="21"/>
                <w:highlight w:val="none"/>
              </w:rPr>
            </w:pPr>
            <w:r>
              <w:rPr>
                <w:rFonts w:hint="eastAsia" w:cs="宋体"/>
                <w:color w:val="auto"/>
                <w:szCs w:val="21"/>
                <w:highlight w:val="none"/>
              </w:rPr>
              <w:t>资料员</w:t>
            </w:r>
          </w:p>
        </w:tc>
        <w:tc>
          <w:tcPr>
            <w:tcW w:w="627" w:type="pct"/>
            <w:vAlign w:val="center"/>
          </w:tcPr>
          <w:p w14:paraId="2265039B">
            <w:pPr>
              <w:keepNext/>
              <w:spacing w:line="360" w:lineRule="auto"/>
              <w:jc w:val="center"/>
              <w:rPr>
                <w:rFonts w:cs="宋体"/>
                <w:color w:val="auto"/>
                <w:szCs w:val="21"/>
                <w:highlight w:val="none"/>
              </w:rPr>
            </w:pPr>
          </w:p>
        </w:tc>
        <w:tc>
          <w:tcPr>
            <w:tcW w:w="502" w:type="pct"/>
            <w:vAlign w:val="center"/>
          </w:tcPr>
          <w:p w14:paraId="1D369B20">
            <w:pPr>
              <w:keepNext/>
              <w:spacing w:line="360" w:lineRule="auto"/>
              <w:jc w:val="center"/>
              <w:rPr>
                <w:rFonts w:cs="宋体"/>
                <w:color w:val="auto"/>
                <w:szCs w:val="21"/>
                <w:highlight w:val="none"/>
              </w:rPr>
            </w:pPr>
          </w:p>
        </w:tc>
        <w:tc>
          <w:tcPr>
            <w:tcW w:w="502" w:type="pct"/>
            <w:vAlign w:val="center"/>
          </w:tcPr>
          <w:p w14:paraId="235CE7EE">
            <w:pPr>
              <w:keepNext/>
              <w:spacing w:line="360" w:lineRule="auto"/>
              <w:jc w:val="center"/>
              <w:rPr>
                <w:rFonts w:cs="宋体"/>
                <w:color w:val="auto"/>
                <w:szCs w:val="21"/>
                <w:highlight w:val="none"/>
              </w:rPr>
            </w:pPr>
          </w:p>
        </w:tc>
        <w:tc>
          <w:tcPr>
            <w:tcW w:w="1280" w:type="pct"/>
            <w:vAlign w:val="center"/>
          </w:tcPr>
          <w:p w14:paraId="30AA5567">
            <w:pPr>
              <w:keepNext/>
              <w:spacing w:line="360" w:lineRule="auto"/>
              <w:jc w:val="center"/>
              <w:rPr>
                <w:rFonts w:cs="宋体"/>
                <w:color w:val="auto"/>
                <w:szCs w:val="21"/>
                <w:highlight w:val="none"/>
              </w:rPr>
            </w:pPr>
          </w:p>
        </w:tc>
        <w:tc>
          <w:tcPr>
            <w:tcW w:w="1151" w:type="pct"/>
            <w:vAlign w:val="center"/>
          </w:tcPr>
          <w:p w14:paraId="422D86B3">
            <w:pPr>
              <w:keepNext/>
              <w:spacing w:line="360" w:lineRule="auto"/>
              <w:jc w:val="center"/>
              <w:rPr>
                <w:rFonts w:cs="宋体"/>
                <w:color w:val="auto"/>
                <w:szCs w:val="21"/>
                <w:highlight w:val="none"/>
              </w:rPr>
            </w:pPr>
          </w:p>
        </w:tc>
      </w:tr>
      <w:tr w14:paraId="28FDA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Merge w:val="restart"/>
            <w:vAlign w:val="center"/>
          </w:tcPr>
          <w:p w14:paraId="5DE00D62">
            <w:pPr>
              <w:spacing w:line="360" w:lineRule="auto"/>
              <w:jc w:val="center"/>
              <w:rPr>
                <w:rFonts w:cs="宋体"/>
                <w:color w:val="auto"/>
                <w:szCs w:val="21"/>
                <w:highlight w:val="none"/>
              </w:rPr>
            </w:pPr>
            <w:r>
              <w:rPr>
                <w:rFonts w:hint="eastAsia" w:cs="宋体"/>
                <w:color w:val="auto"/>
                <w:szCs w:val="21"/>
                <w:highlight w:val="none"/>
              </w:rPr>
              <w:t>其他人员</w:t>
            </w:r>
          </w:p>
        </w:tc>
        <w:tc>
          <w:tcPr>
            <w:tcW w:w="627" w:type="pct"/>
            <w:vAlign w:val="center"/>
          </w:tcPr>
          <w:p w14:paraId="68A94591">
            <w:pPr>
              <w:keepNext/>
              <w:spacing w:line="360" w:lineRule="auto"/>
              <w:jc w:val="center"/>
              <w:rPr>
                <w:rFonts w:cs="宋体"/>
                <w:color w:val="auto"/>
                <w:szCs w:val="21"/>
                <w:highlight w:val="none"/>
              </w:rPr>
            </w:pPr>
          </w:p>
        </w:tc>
        <w:tc>
          <w:tcPr>
            <w:tcW w:w="502" w:type="pct"/>
            <w:vAlign w:val="center"/>
          </w:tcPr>
          <w:p w14:paraId="33C119A4">
            <w:pPr>
              <w:keepNext/>
              <w:spacing w:line="360" w:lineRule="auto"/>
              <w:jc w:val="center"/>
              <w:rPr>
                <w:rFonts w:cs="宋体"/>
                <w:color w:val="auto"/>
                <w:szCs w:val="21"/>
                <w:highlight w:val="none"/>
              </w:rPr>
            </w:pPr>
          </w:p>
        </w:tc>
        <w:tc>
          <w:tcPr>
            <w:tcW w:w="502" w:type="pct"/>
            <w:vAlign w:val="center"/>
          </w:tcPr>
          <w:p w14:paraId="7D466D12">
            <w:pPr>
              <w:keepNext/>
              <w:spacing w:line="360" w:lineRule="auto"/>
              <w:jc w:val="center"/>
              <w:rPr>
                <w:rFonts w:cs="宋体"/>
                <w:color w:val="auto"/>
                <w:szCs w:val="21"/>
                <w:highlight w:val="none"/>
              </w:rPr>
            </w:pPr>
          </w:p>
        </w:tc>
        <w:tc>
          <w:tcPr>
            <w:tcW w:w="1280" w:type="pct"/>
            <w:vAlign w:val="center"/>
          </w:tcPr>
          <w:p w14:paraId="1B457397">
            <w:pPr>
              <w:keepNext/>
              <w:spacing w:line="360" w:lineRule="auto"/>
              <w:jc w:val="center"/>
              <w:rPr>
                <w:rFonts w:cs="宋体"/>
                <w:color w:val="auto"/>
                <w:szCs w:val="21"/>
                <w:highlight w:val="none"/>
              </w:rPr>
            </w:pPr>
          </w:p>
        </w:tc>
        <w:tc>
          <w:tcPr>
            <w:tcW w:w="1151" w:type="pct"/>
            <w:vAlign w:val="center"/>
          </w:tcPr>
          <w:p w14:paraId="53ACF568">
            <w:pPr>
              <w:keepNext/>
              <w:spacing w:line="360" w:lineRule="auto"/>
              <w:jc w:val="center"/>
              <w:rPr>
                <w:rFonts w:cs="宋体"/>
                <w:color w:val="auto"/>
                <w:szCs w:val="21"/>
                <w:highlight w:val="none"/>
              </w:rPr>
            </w:pPr>
          </w:p>
        </w:tc>
      </w:tr>
      <w:tr w14:paraId="51AE4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Merge w:val="continue"/>
            <w:vAlign w:val="center"/>
          </w:tcPr>
          <w:p w14:paraId="1593C354">
            <w:pPr>
              <w:keepNext/>
              <w:spacing w:line="360" w:lineRule="auto"/>
              <w:jc w:val="center"/>
              <w:rPr>
                <w:rFonts w:cs="宋体"/>
                <w:color w:val="auto"/>
                <w:szCs w:val="21"/>
                <w:highlight w:val="none"/>
              </w:rPr>
            </w:pPr>
          </w:p>
        </w:tc>
        <w:tc>
          <w:tcPr>
            <w:tcW w:w="627" w:type="pct"/>
            <w:tcBorders>
              <w:bottom w:val="nil"/>
            </w:tcBorders>
            <w:vAlign w:val="center"/>
          </w:tcPr>
          <w:p w14:paraId="1990704E">
            <w:pPr>
              <w:keepNext/>
              <w:spacing w:line="360" w:lineRule="auto"/>
              <w:jc w:val="center"/>
              <w:rPr>
                <w:rFonts w:cs="宋体"/>
                <w:color w:val="auto"/>
                <w:szCs w:val="21"/>
                <w:highlight w:val="none"/>
              </w:rPr>
            </w:pPr>
          </w:p>
        </w:tc>
        <w:tc>
          <w:tcPr>
            <w:tcW w:w="502" w:type="pct"/>
            <w:tcBorders>
              <w:bottom w:val="nil"/>
            </w:tcBorders>
            <w:vAlign w:val="center"/>
          </w:tcPr>
          <w:p w14:paraId="10C4DAE0">
            <w:pPr>
              <w:keepNext/>
              <w:spacing w:line="360" w:lineRule="auto"/>
              <w:jc w:val="center"/>
              <w:rPr>
                <w:rFonts w:cs="宋体"/>
                <w:color w:val="auto"/>
                <w:szCs w:val="21"/>
                <w:highlight w:val="none"/>
              </w:rPr>
            </w:pPr>
          </w:p>
        </w:tc>
        <w:tc>
          <w:tcPr>
            <w:tcW w:w="502" w:type="pct"/>
            <w:tcBorders>
              <w:bottom w:val="nil"/>
            </w:tcBorders>
            <w:vAlign w:val="center"/>
          </w:tcPr>
          <w:p w14:paraId="457FB705">
            <w:pPr>
              <w:keepNext/>
              <w:spacing w:line="360" w:lineRule="auto"/>
              <w:jc w:val="center"/>
              <w:rPr>
                <w:rFonts w:cs="宋体"/>
                <w:color w:val="auto"/>
                <w:szCs w:val="21"/>
                <w:highlight w:val="none"/>
              </w:rPr>
            </w:pPr>
          </w:p>
        </w:tc>
        <w:tc>
          <w:tcPr>
            <w:tcW w:w="1280" w:type="pct"/>
            <w:tcBorders>
              <w:bottom w:val="nil"/>
            </w:tcBorders>
            <w:vAlign w:val="center"/>
          </w:tcPr>
          <w:p w14:paraId="79EEA8AC">
            <w:pPr>
              <w:keepNext/>
              <w:spacing w:line="360" w:lineRule="auto"/>
              <w:jc w:val="center"/>
              <w:rPr>
                <w:rFonts w:cs="宋体"/>
                <w:color w:val="auto"/>
                <w:szCs w:val="21"/>
                <w:highlight w:val="none"/>
              </w:rPr>
            </w:pPr>
          </w:p>
        </w:tc>
        <w:tc>
          <w:tcPr>
            <w:tcW w:w="1151" w:type="pct"/>
            <w:tcBorders>
              <w:bottom w:val="nil"/>
            </w:tcBorders>
            <w:vAlign w:val="center"/>
          </w:tcPr>
          <w:p w14:paraId="333433CD">
            <w:pPr>
              <w:keepNext/>
              <w:spacing w:line="360" w:lineRule="auto"/>
              <w:jc w:val="center"/>
              <w:rPr>
                <w:rFonts w:cs="宋体"/>
                <w:color w:val="auto"/>
                <w:szCs w:val="21"/>
                <w:highlight w:val="none"/>
              </w:rPr>
            </w:pPr>
          </w:p>
        </w:tc>
      </w:tr>
      <w:tr w14:paraId="4B437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Merge w:val="continue"/>
            <w:vAlign w:val="center"/>
          </w:tcPr>
          <w:p w14:paraId="3BE20F86">
            <w:pPr>
              <w:keepNext/>
              <w:spacing w:line="360" w:lineRule="auto"/>
              <w:jc w:val="center"/>
              <w:rPr>
                <w:rFonts w:cs="宋体"/>
                <w:color w:val="auto"/>
                <w:szCs w:val="21"/>
                <w:highlight w:val="none"/>
              </w:rPr>
            </w:pPr>
          </w:p>
        </w:tc>
        <w:tc>
          <w:tcPr>
            <w:tcW w:w="627" w:type="pct"/>
            <w:vAlign w:val="center"/>
          </w:tcPr>
          <w:p w14:paraId="257C516E">
            <w:pPr>
              <w:keepNext/>
              <w:spacing w:line="360" w:lineRule="auto"/>
              <w:jc w:val="center"/>
              <w:rPr>
                <w:rFonts w:cs="宋体"/>
                <w:color w:val="auto"/>
                <w:szCs w:val="21"/>
                <w:highlight w:val="none"/>
              </w:rPr>
            </w:pPr>
          </w:p>
        </w:tc>
        <w:tc>
          <w:tcPr>
            <w:tcW w:w="502" w:type="pct"/>
            <w:vAlign w:val="center"/>
          </w:tcPr>
          <w:p w14:paraId="1F598EFE">
            <w:pPr>
              <w:keepNext/>
              <w:spacing w:line="360" w:lineRule="auto"/>
              <w:jc w:val="center"/>
              <w:rPr>
                <w:rFonts w:cs="宋体"/>
                <w:color w:val="auto"/>
                <w:szCs w:val="21"/>
                <w:highlight w:val="none"/>
              </w:rPr>
            </w:pPr>
          </w:p>
        </w:tc>
        <w:tc>
          <w:tcPr>
            <w:tcW w:w="502" w:type="pct"/>
            <w:vAlign w:val="center"/>
          </w:tcPr>
          <w:p w14:paraId="2170CBCE">
            <w:pPr>
              <w:keepNext/>
              <w:spacing w:line="360" w:lineRule="auto"/>
              <w:jc w:val="center"/>
              <w:rPr>
                <w:rFonts w:cs="宋体"/>
                <w:color w:val="auto"/>
                <w:szCs w:val="21"/>
                <w:highlight w:val="none"/>
              </w:rPr>
            </w:pPr>
          </w:p>
        </w:tc>
        <w:tc>
          <w:tcPr>
            <w:tcW w:w="1280" w:type="pct"/>
            <w:vAlign w:val="center"/>
          </w:tcPr>
          <w:p w14:paraId="45853F65">
            <w:pPr>
              <w:keepNext/>
              <w:spacing w:line="360" w:lineRule="auto"/>
              <w:jc w:val="center"/>
              <w:rPr>
                <w:rFonts w:cs="宋体"/>
                <w:color w:val="auto"/>
                <w:szCs w:val="21"/>
                <w:highlight w:val="none"/>
              </w:rPr>
            </w:pPr>
          </w:p>
        </w:tc>
        <w:tc>
          <w:tcPr>
            <w:tcW w:w="1151" w:type="pct"/>
            <w:vAlign w:val="center"/>
          </w:tcPr>
          <w:p w14:paraId="17E45F20">
            <w:pPr>
              <w:keepNext/>
              <w:spacing w:line="360" w:lineRule="auto"/>
              <w:jc w:val="center"/>
              <w:rPr>
                <w:rFonts w:cs="宋体"/>
                <w:color w:val="auto"/>
                <w:szCs w:val="21"/>
                <w:highlight w:val="none"/>
              </w:rPr>
            </w:pPr>
          </w:p>
        </w:tc>
      </w:tr>
      <w:tr w14:paraId="09B1A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Merge w:val="continue"/>
            <w:vAlign w:val="center"/>
          </w:tcPr>
          <w:p w14:paraId="74B2B5C8">
            <w:pPr>
              <w:keepNext/>
              <w:spacing w:line="360" w:lineRule="auto"/>
              <w:jc w:val="center"/>
              <w:rPr>
                <w:rFonts w:cs="宋体"/>
                <w:color w:val="auto"/>
                <w:szCs w:val="21"/>
                <w:highlight w:val="none"/>
              </w:rPr>
            </w:pPr>
          </w:p>
        </w:tc>
        <w:tc>
          <w:tcPr>
            <w:tcW w:w="627" w:type="pct"/>
            <w:vAlign w:val="center"/>
          </w:tcPr>
          <w:p w14:paraId="63414A2E">
            <w:pPr>
              <w:keepNext/>
              <w:spacing w:line="360" w:lineRule="auto"/>
              <w:jc w:val="center"/>
              <w:rPr>
                <w:rFonts w:cs="宋体"/>
                <w:color w:val="auto"/>
                <w:szCs w:val="21"/>
                <w:highlight w:val="none"/>
              </w:rPr>
            </w:pPr>
          </w:p>
        </w:tc>
        <w:tc>
          <w:tcPr>
            <w:tcW w:w="502" w:type="pct"/>
            <w:vAlign w:val="center"/>
          </w:tcPr>
          <w:p w14:paraId="4BB38105">
            <w:pPr>
              <w:keepNext/>
              <w:spacing w:line="360" w:lineRule="auto"/>
              <w:jc w:val="center"/>
              <w:rPr>
                <w:rFonts w:cs="宋体"/>
                <w:color w:val="auto"/>
                <w:szCs w:val="21"/>
                <w:highlight w:val="none"/>
              </w:rPr>
            </w:pPr>
          </w:p>
        </w:tc>
        <w:tc>
          <w:tcPr>
            <w:tcW w:w="502" w:type="pct"/>
            <w:vAlign w:val="center"/>
          </w:tcPr>
          <w:p w14:paraId="5BC7D6BC">
            <w:pPr>
              <w:keepNext/>
              <w:spacing w:line="360" w:lineRule="auto"/>
              <w:jc w:val="center"/>
              <w:rPr>
                <w:rFonts w:cs="宋体"/>
                <w:color w:val="auto"/>
                <w:szCs w:val="21"/>
                <w:highlight w:val="none"/>
              </w:rPr>
            </w:pPr>
          </w:p>
        </w:tc>
        <w:tc>
          <w:tcPr>
            <w:tcW w:w="1280" w:type="pct"/>
            <w:vAlign w:val="center"/>
          </w:tcPr>
          <w:p w14:paraId="78E28951">
            <w:pPr>
              <w:keepNext/>
              <w:spacing w:line="360" w:lineRule="auto"/>
              <w:jc w:val="center"/>
              <w:rPr>
                <w:rFonts w:cs="宋体"/>
                <w:color w:val="auto"/>
                <w:szCs w:val="21"/>
                <w:highlight w:val="none"/>
              </w:rPr>
            </w:pPr>
          </w:p>
        </w:tc>
        <w:tc>
          <w:tcPr>
            <w:tcW w:w="1151" w:type="pct"/>
            <w:vAlign w:val="center"/>
          </w:tcPr>
          <w:p w14:paraId="47DCECFC">
            <w:pPr>
              <w:keepNext/>
              <w:spacing w:line="360" w:lineRule="auto"/>
              <w:jc w:val="center"/>
              <w:rPr>
                <w:rFonts w:cs="宋体"/>
                <w:color w:val="auto"/>
                <w:szCs w:val="21"/>
                <w:highlight w:val="none"/>
              </w:rPr>
            </w:pPr>
          </w:p>
        </w:tc>
      </w:tr>
      <w:tr w14:paraId="63066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Merge w:val="continue"/>
            <w:vAlign w:val="center"/>
          </w:tcPr>
          <w:p w14:paraId="3CFE7B77">
            <w:pPr>
              <w:keepNext/>
              <w:spacing w:line="360" w:lineRule="auto"/>
              <w:jc w:val="center"/>
              <w:rPr>
                <w:rFonts w:cs="宋体"/>
                <w:color w:val="auto"/>
                <w:szCs w:val="21"/>
                <w:highlight w:val="none"/>
              </w:rPr>
            </w:pPr>
          </w:p>
        </w:tc>
        <w:tc>
          <w:tcPr>
            <w:tcW w:w="627" w:type="pct"/>
            <w:vAlign w:val="center"/>
          </w:tcPr>
          <w:p w14:paraId="75DFAD02">
            <w:pPr>
              <w:keepNext/>
              <w:spacing w:line="360" w:lineRule="auto"/>
              <w:jc w:val="center"/>
              <w:rPr>
                <w:rFonts w:cs="宋体"/>
                <w:color w:val="auto"/>
                <w:szCs w:val="21"/>
                <w:highlight w:val="none"/>
              </w:rPr>
            </w:pPr>
          </w:p>
        </w:tc>
        <w:tc>
          <w:tcPr>
            <w:tcW w:w="502" w:type="pct"/>
            <w:vAlign w:val="center"/>
          </w:tcPr>
          <w:p w14:paraId="1256493B">
            <w:pPr>
              <w:keepNext/>
              <w:spacing w:line="360" w:lineRule="auto"/>
              <w:jc w:val="center"/>
              <w:rPr>
                <w:rFonts w:cs="宋体"/>
                <w:color w:val="auto"/>
                <w:szCs w:val="21"/>
                <w:highlight w:val="none"/>
              </w:rPr>
            </w:pPr>
          </w:p>
        </w:tc>
        <w:tc>
          <w:tcPr>
            <w:tcW w:w="502" w:type="pct"/>
            <w:vAlign w:val="center"/>
          </w:tcPr>
          <w:p w14:paraId="24847F4E">
            <w:pPr>
              <w:keepNext/>
              <w:spacing w:line="360" w:lineRule="auto"/>
              <w:jc w:val="center"/>
              <w:rPr>
                <w:rFonts w:cs="宋体"/>
                <w:color w:val="auto"/>
                <w:szCs w:val="21"/>
                <w:highlight w:val="none"/>
              </w:rPr>
            </w:pPr>
          </w:p>
        </w:tc>
        <w:tc>
          <w:tcPr>
            <w:tcW w:w="1280" w:type="pct"/>
            <w:vAlign w:val="center"/>
          </w:tcPr>
          <w:p w14:paraId="474910D7">
            <w:pPr>
              <w:keepNext/>
              <w:spacing w:line="360" w:lineRule="auto"/>
              <w:jc w:val="center"/>
              <w:rPr>
                <w:rFonts w:cs="宋体"/>
                <w:color w:val="auto"/>
                <w:szCs w:val="21"/>
                <w:highlight w:val="none"/>
              </w:rPr>
            </w:pPr>
          </w:p>
        </w:tc>
        <w:tc>
          <w:tcPr>
            <w:tcW w:w="1151" w:type="pct"/>
            <w:vAlign w:val="center"/>
          </w:tcPr>
          <w:p w14:paraId="4C6029E3">
            <w:pPr>
              <w:keepNext/>
              <w:spacing w:line="360" w:lineRule="auto"/>
              <w:jc w:val="center"/>
              <w:rPr>
                <w:rFonts w:cs="宋体"/>
                <w:color w:val="auto"/>
                <w:szCs w:val="21"/>
                <w:highlight w:val="none"/>
              </w:rPr>
            </w:pPr>
          </w:p>
        </w:tc>
      </w:tr>
      <w:tr w14:paraId="5A8EB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6" w:type="pct"/>
            <w:vMerge w:val="continue"/>
            <w:tcBorders>
              <w:bottom w:val="single" w:color="auto" w:sz="12" w:space="0"/>
            </w:tcBorders>
            <w:vAlign w:val="center"/>
          </w:tcPr>
          <w:p w14:paraId="0B370930">
            <w:pPr>
              <w:keepNext/>
              <w:spacing w:line="360" w:lineRule="auto"/>
              <w:jc w:val="center"/>
              <w:rPr>
                <w:rFonts w:cs="宋体"/>
                <w:color w:val="auto"/>
                <w:szCs w:val="21"/>
                <w:highlight w:val="none"/>
              </w:rPr>
            </w:pPr>
          </w:p>
        </w:tc>
        <w:tc>
          <w:tcPr>
            <w:tcW w:w="627" w:type="pct"/>
            <w:tcBorders>
              <w:bottom w:val="single" w:color="auto" w:sz="12" w:space="0"/>
            </w:tcBorders>
            <w:vAlign w:val="center"/>
          </w:tcPr>
          <w:p w14:paraId="01A73408">
            <w:pPr>
              <w:keepNext/>
              <w:spacing w:line="360" w:lineRule="auto"/>
              <w:jc w:val="center"/>
              <w:rPr>
                <w:rFonts w:cs="宋体"/>
                <w:color w:val="auto"/>
                <w:szCs w:val="21"/>
                <w:highlight w:val="none"/>
              </w:rPr>
            </w:pPr>
          </w:p>
        </w:tc>
        <w:tc>
          <w:tcPr>
            <w:tcW w:w="502" w:type="pct"/>
            <w:tcBorders>
              <w:bottom w:val="single" w:color="auto" w:sz="12" w:space="0"/>
            </w:tcBorders>
            <w:vAlign w:val="center"/>
          </w:tcPr>
          <w:p w14:paraId="56B46994">
            <w:pPr>
              <w:keepNext/>
              <w:spacing w:line="360" w:lineRule="auto"/>
              <w:jc w:val="center"/>
              <w:rPr>
                <w:rFonts w:cs="宋体"/>
                <w:color w:val="auto"/>
                <w:szCs w:val="21"/>
                <w:highlight w:val="none"/>
              </w:rPr>
            </w:pPr>
          </w:p>
        </w:tc>
        <w:tc>
          <w:tcPr>
            <w:tcW w:w="502" w:type="pct"/>
            <w:tcBorders>
              <w:bottom w:val="single" w:color="auto" w:sz="12" w:space="0"/>
            </w:tcBorders>
            <w:vAlign w:val="center"/>
          </w:tcPr>
          <w:p w14:paraId="165C5E8C">
            <w:pPr>
              <w:keepNext/>
              <w:spacing w:line="360" w:lineRule="auto"/>
              <w:jc w:val="center"/>
              <w:rPr>
                <w:rFonts w:cs="宋体"/>
                <w:color w:val="auto"/>
                <w:szCs w:val="21"/>
                <w:highlight w:val="none"/>
              </w:rPr>
            </w:pPr>
          </w:p>
        </w:tc>
        <w:tc>
          <w:tcPr>
            <w:tcW w:w="1280" w:type="pct"/>
            <w:tcBorders>
              <w:bottom w:val="single" w:color="auto" w:sz="12" w:space="0"/>
            </w:tcBorders>
            <w:vAlign w:val="center"/>
          </w:tcPr>
          <w:p w14:paraId="4173C846">
            <w:pPr>
              <w:keepNext/>
              <w:spacing w:line="360" w:lineRule="auto"/>
              <w:jc w:val="center"/>
              <w:rPr>
                <w:rFonts w:cs="宋体"/>
                <w:color w:val="auto"/>
                <w:szCs w:val="21"/>
                <w:highlight w:val="none"/>
              </w:rPr>
            </w:pPr>
          </w:p>
        </w:tc>
        <w:tc>
          <w:tcPr>
            <w:tcW w:w="1151" w:type="pct"/>
            <w:tcBorders>
              <w:bottom w:val="single" w:color="auto" w:sz="12" w:space="0"/>
            </w:tcBorders>
            <w:vAlign w:val="center"/>
          </w:tcPr>
          <w:p w14:paraId="0039EC66">
            <w:pPr>
              <w:keepNext/>
              <w:spacing w:line="360" w:lineRule="auto"/>
              <w:jc w:val="center"/>
              <w:rPr>
                <w:rFonts w:cs="宋体"/>
                <w:color w:val="auto"/>
                <w:szCs w:val="21"/>
                <w:highlight w:val="none"/>
              </w:rPr>
            </w:pPr>
          </w:p>
        </w:tc>
      </w:tr>
    </w:tbl>
    <w:p w14:paraId="3C6F3261">
      <w:pPr>
        <w:spacing w:before="312" w:beforeLines="100" w:after="312" w:afterLines="100"/>
        <w:outlineLvl w:val="2"/>
        <w:rPr>
          <w:rFonts w:ascii="Times New Roman" w:eastAsia="黑体"/>
          <w:color w:val="auto"/>
          <w:szCs w:val="24"/>
          <w:highlight w:val="none"/>
        </w:rPr>
      </w:pPr>
      <w:r>
        <w:rPr>
          <w:rFonts w:hint="eastAsia" w:cs="宋体"/>
          <w:bCs/>
          <w:color w:val="auto"/>
          <w:highlight w:val="none"/>
        </w:rPr>
        <w:br w:type="page"/>
      </w:r>
      <w:bookmarkStart w:id="647" w:name="_Toc128950243"/>
      <w:r>
        <w:rPr>
          <w:rFonts w:hint="eastAsia" w:ascii="Times New Roman" w:eastAsia="黑体"/>
          <w:color w:val="auto"/>
          <w:szCs w:val="24"/>
          <w:highlight w:val="none"/>
        </w:rPr>
        <w:t>附</w:t>
      </w:r>
      <w:bookmarkStart w:id="648" w:name="_Toc296346732"/>
      <w:bookmarkStart w:id="649" w:name="_Toc296891059"/>
      <w:bookmarkStart w:id="650" w:name="_Toc296891271"/>
      <w:bookmarkStart w:id="651" w:name="_Toc296347230"/>
      <w:bookmarkStart w:id="652" w:name="_Toc296944570"/>
      <w:bookmarkStart w:id="653" w:name="_Toc296503231"/>
      <w:r>
        <w:rPr>
          <w:rFonts w:hint="eastAsia" w:ascii="Times New Roman" w:eastAsia="黑体"/>
          <w:color w:val="auto"/>
          <w:szCs w:val="24"/>
          <w:highlight w:val="none"/>
        </w:rPr>
        <w:t>件</w:t>
      </w:r>
      <w:r>
        <w:rPr>
          <w:rFonts w:hint="eastAsia" w:ascii="Times New Roman" w:eastAsia="黑体"/>
          <w:color w:val="auto"/>
          <w:szCs w:val="24"/>
          <w:highlight w:val="none"/>
          <w:lang w:val="en-US" w:eastAsia="zh-CN"/>
        </w:rPr>
        <w:t>7</w:t>
      </w:r>
      <w:r>
        <w:rPr>
          <w:rFonts w:hint="eastAsia" w:ascii="Times New Roman" w:eastAsia="黑体"/>
          <w:color w:val="auto"/>
          <w:szCs w:val="24"/>
          <w:highlight w:val="none"/>
        </w:rPr>
        <w:t>：廉政协议</w:t>
      </w:r>
      <w:bookmarkEnd w:id="647"/>
    </w:p>
    <w:bookmarkEnd w:id="648"/>
    <w:bookmarkEnd w:id="649"/>
    <w:bookmarkEnd w:id="650"/>
    <w:bookmarkEnd w:id="651"/>
    <w:bookmarkEnd w:id="652"/>
    <w:bookmarkEnd w:id="653"/>
    <w:p w14:paraId="79421E3E">
      <w:pPr>
        <w:widowControl/>
        <w:spacing w:line="360" w:lineRule="auto"/>
        <w:ind w:firstLine="643"/>
        <w:jc w:val="center"/>
        <w:rPr>
          <w:rFonts w:cs="宋体"/>
          <w:b/>
          <w:bCs/>
          <w:color w:val="auto"/>
          <w:sz w:val="32"/>
          <w:szCs w:val="32"/>
          <w:highlight w:val="none"/>
        </w:rPr>
      </w:pPr>
      <w:r>
        <w:rPr>
          <w:rFonts w:hint="eastAsia" w:cs="宋体"/>
          <w:b/>
          <w:bCs/>
          <w:color w:val="auto"/>
          <w:sz w:val="32"/>
          <w:szCs w:val="32"/>
          <w:highlight w:val="none"/>
        </w:rPr>
        <w:t>廉政协议</w:t>
      </w:r>
    </w:p>
    <w:p w14:paraId="036CF114">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为促进双方诚信经营、廉洁从业，防范商业贿赂，保护国家、集体和当事人的合法权益，根据国家有关法律法规和安徽省廉政建设的规定，</w:t>
      </w:r>
      <w:r>
        <w:rPr>
          <w:rFonts w:hint="eastAsia" w:cs="宋体"/>
          <w:color w:val="auto"/>
          <w:sz w:val="21"/>
          <w:szCs w:val="21"/>
          <w:highlight w:val="none"/>
          <w:u w:val="single"/>
        </w:rPr>
        <w:t xml:space="preserve">     </w:t>
      </w:r>
      <w:r>
        <w:rPr>
          <w:rFonts w:hint="eastAsia" w:cs="宋体"/>
          <w:color w:val="auto"/>
          <w:sz w:val="21"/>
          <w:szCs w:val="21"/>
          <w:highlight w:val="none"/>
        </w:rPr>
        <w:t>（以下称甲方）与</w:t>
      </w:r>
      <w:r>
        <w:rPr>
          <w:rFonts w:hint="eastAsia" w:cs="宋体"/>
          <w:color w:val="auto"/>
          <w:sz w:val="21"/>
          <w:szCs w:val="21"/>
          <w:highlight w:val="none"/>
          <w:u w:val="single"/>
        </w:rPr>
        <w:t xml:space="preserve">             （</w:t>
      </w:r>
      <w:r>
        <w:rPr>
          <w:rFonts w:hint="eastAsia" w:cs="宋体"/>
          <w:color w:val="auto"/>
          <w:sz w:val="21"/>
          <w:szCs w:val="21"/>
          <w:highlight w:val="none"/>
        </w:rPr>
        <w:t>以下称乙方），特此订立本协议共同遵照执行。</w:t>
      </w:r>
    </w:p>
    <w:p w14:paraId="494F2B0F">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第一条 甲乙双方的权利和义务</w:t>
      </w:r>
    </w:p>
    <w:p w14:paraId="7BC5E54B">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090F8135">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（二）严格执行</w:t>
      </w:r>
      <w:r>
        <w:rPr>
          <w:rFonts w:hint="eastAsia" w:cs="宋体"/>
          <w:color w:val="auto"/>
          <w:sz w:val="21"/>
          <w:szCs w:val="21"/>
          <w:highlight w:val="none"/>
          <w:u w:val="single"/>
        </w:rPr>
        <w:t xml:space="preserve">                                </w:t>
      </w:r>
      <w:r>
        <w:rPr>
          <w:rFonts w:hint="eastAsia" w:cs="宋体"/>
          <w:color w:val="auto"/>
          <w:sz w:val="21"/>
          <w:szCs w:val="21"/>
          <w:highlight w:val="none"/>
        </w:rPr>
        <w:t>的合同要求，自觉履行合同约定的相关义务。</w:t>
      </w:r>
    </w:p>
    <w:p w14:paraId="75E4E0EA">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（三）在业务活动中坚持公开、公正、诚信、透明的原则，不得损害国家、集体利益。</w:t>
      </w:r>
    </w:p>
    <w:p w14:paraId="4912AB0F">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（四）建立健全廉政制度，开展廉政教育，公布举报电话，监督并认真查处违法违纪行为。</w:t>
      </w:r>
    </w:p>
    <w:p w14:paraId="6296F938">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（五）发现对方在业务活动中有违反廉政规定的行为，应及时提醒对方纠正。情节严重的，应向其上级有关部门举报、建议给予处理，并有权要求告知处理结果。</w:t>
      </w:r>
    </w:p>
    <w:p w14:paraId="2B9D7F07">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第二条 甲方的义务</w:t>
      </w:r>
    </w:p>
    <w:p w14:paraId="2370ABE3">
      <w:pPr>
        <w:widowControl/>
        <w:spacing w:line="360" w:lineRule="auto"/>
        <w:ind w:firstLine="525" w:firstLineChars="250"/>
        <w:jc w:val="left"/>
        <w:rPr>
          <w:rFonts w:cs="宋体"/>
          <w:color w:val="auto"/>
          <w:sz w:val="21"/>
          <w:szCs w:val="21"/>
          <w:highlight w:val="none"/>
        </w:rPr>
      </w:pPr>
      <w:r>
        <w:rPr>
          <w:rFonts w:hint="eastAsia" w:cs="宋体"/>
          <w:color w:val="auto"/>
          <w:sz w:val="21"/>
          <w:szCs w:val="21"/>
          <w:highlight w:val="none"/>
        </w:rPr>
        <w:t>（一）甲方及其工作人员不得索要或接受乙方的礼金、有价证券和贵重物品，不得在乙方报销任何应由甲方单位或个人支付的费用等。</w:t>
      </w:r>
    </w:p>
    <w:p w14:paraId="343FBB2A">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13607E07">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（三） 甲方及其工作人员不得要求或者接受乙方为其住房装修、婚丧嫁娶活动、配偶子女工作安排以及出国出境、旅游等提供方便等。</w:t>
      </w:r>
    </w:p>
    <w:p w14:paraId="0477310D">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（四） 甲方工作人员不得在乙方有股权关联的企业兼职，不得向乙方介绍家属或者亲友从事与甲方业务有关的经济活动。</w:t>
      </w:r>
    </w:p>
    <w:p w14:paraId="55FAAF6E">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20F9A4AF">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（六）甲方工作人员不得利用职务之便收受乙方以回扣、手续费、加班费、咨询费、劳务费、协调费、辛苦费等各种名义给予或赠送的钱物。</w:t>
      </w:r>
    </w:p>
    <w:p w14:paraId="49481517">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（七）甲方工作人员不得接受乙方给予或赠送的干股或红利。</w:t>
      </w:r>
    </w:p>
    <w:p w14:paraId="04D913EE">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（八）甲方任何人不得以个人的名义向乙方推荐设备、部件等供货商以及其他合作单位。</w:t>
      </w:r>
    </w:p>
    <w:p w14:paraId="0E41A200">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第三条 乙方的义务</w:t>
      </w:r>
    </w:p>
    <w:p w14:paraId="403CEA26">
      <w:pPr>
        <w:widowControl/>
        <w:spacing w:line="360" w:lineRule="auto"/>
        <w:ind w:firstLine="525" w:firstLineChars="250"/>
        <w:jc w:val="left"/>
        <w:rPr>
          <w:rFonts w:cs="宋体"/>
          <w:color w:val="auto"/>
          <w:sz w:val="21"/>
          <w:szCs w:val="21"/>
          <w:highlight w:val="none"/>
        </w:rPr>
      </w:pPr>
      <w:r>
        <w:rPr>
          <w:rFonts w:hint="eastAsia" w:cs="宋体"/>
          <w:color w:val="auto"/>
          <w:sz w:val="21"/>
          <w:szCs w:val="21"/>
          <w:highlight w:val="none"/>
        </w:rPr>
        <w:t>（一）乙方不得以任何理由向甲方及其工作人员行贿或馈赠礼金、有价证券、贵重礼品。</w:t>
      </w:r>
    </w:p>
    <w:p w14:paraId="18BB4FD9">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（二）乙方不得以任何名义为甲方及其工作人员报销应由甲方单位或个人支付的任何费用。</w:t>
      </w:r>
    </w:p>
    <w:p w14:paraId="58292C66">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（三）乙方不得以任何理由安排甲方工作人员参加可能影响相关业务公开、公正、公平性的宴请及娱乐活动。</w:t>
      </w:r>
    </w:p>
    <w:p w14:paraId="4C7077B7">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（四）乙方不得为甲方单位和个人购置或提供通讯工具和高档办公用品等物品，也不得为甲方提供与工作无关的房屋、汽车等。</w:t>
      </w:r>
    </w:p>
    <w:p w14:paraId="3DB16EC6">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（五）乙方不得与甲方工作人员就合同中的质量、数量、价格、工程量、验收等条款进行私下商谈或者达成默契。</w:t>
      </w:r>
    </w:p>
    <w:p w14:paraId="752701AC">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（六）乙方不得以回扣、手续费、加班费、咨询费、劳务费、协调费、辛苦费等各种名义向甲方工作人员给予或赠送钱物。</w:t>
      </w:r>
    </w:p>
    <w:p w14:paraId="6DE070A7">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（七）乙方不得向甲方工作人员提供干股或红利。</w:t>
      </w:r>
    </w:p>
    <w:p w14:paraId="0488D2CA">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（八）乙方须按</w:t>
      </w:r>
      <w:r>
        <w:rPr>
          <w:rFonts w:hint="eastAsia" w:cs="宋体"/>
          <w:color w:val="auto"/>
          <w:sz w:val="21"/>
          <w:szCs w:val="21"/>
          <w:highlight w:val="none"/>
          <w:u w:val="single"/>
        </w:rPr>
        <w:t xml:space="preserve">         </w:t>
      </w:r>
      <w:r>
        <w:rPr>
          <w:rFonts w:hint="eastAsia" w:cs="宋体"/>
          <w:color w:val="auto"/>
          <w:sz w:val="21"/>
          <w:szCs w:val="21"/>
          <w:highlight w:val="none"/>
        </w:rPr>
        <w:t>专项纪检监察工作组（如有）要求开展相关工作。</w:t>
      </w:r>
    </w:p>
    <w:p w14:paraId="0F80875E">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第四条 违约责任</w:t>
      </w:r>
    </w:p>
    <w:p w14:paraId="7440B1A9">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61840831">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甲方投诉联系部门：</w:t>
      </w:r>
      <w:r>
        <w:rPr>
          <w:rFonts w:hint="eastAsia" w:cs="宋体"/>
          <w:color w:val="auto"/>
          <w:sz w:val="21"/>
          <w:szCs w:val="21"/>
          <w:highlight w:val="none"/>
          <w:u w:val="single"/>
        </w:rPr>
        <w:t xml:space="preserve">           </w:t>
      </w: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11AC56A">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（二）乙方及其工作人员违反本协议第一、三条规定。根据具体情节和造成的后果，甲方有权对乙方采取以下一种或多种处理办法：</w:t>
      </w:r>
    </w:p>
    <w:p w14:paraId="63ED04B5">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 xml:space="preserve">1. 全额收取乙方合同履约保证金不予退还； </w:t>
      </w:r>
    </w:p>
    <w:p w14:paraId="4881D07D">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2. 追究乙方其他违约责任；</w:t>
      </w:r>
    </w:p>
    <w:p w14:paraId="096FCC19">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3. 终止或解除双方已签订的包括本合同在内的所有合同；</w:t>
      </w:r>
    </w:p>
    <w:p w14:paraId="635FD1AC">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4. 乙方一定期限内（6个月至3年，具体由甲方根据情况而定）不得参与甲方作为发包人（业主）的工程项目投标。</w:t>
      </w:r>
    </w:p>
    <w:p w14:paraId="520AC0B5">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甲方作出的处理意见，乙方应无条件接受并承担给甲方造成的损失，全额返还通过不正当手段从甲方获取的非法所得，并承担相应的法律责任。</w:t>
      </w:r>
    </w:p>
    <w:p w14:paraId="28C865B5">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第五条 双方约定</w:t>
      </w:r>
    </w:p>
    <w:p w14:paraId="4587C695">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125E4920">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 xml:space="preserve">第六条  本协议有效期为甲乙双方签署之日起至合同终止。  </w:t>
      </w:r>
    </w:p>
    <w:p w14:paraId="6AFB31EF">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第七条  本协议作为合同的附件，与本合同具有同等法律效力。</w:t>
      </w:r>
    </w:p>
    <w:p w14:paraId="713EC941">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 xml:space="preserve"> </w:t>
      </w:r>
    </w:p>
    <w:p w14:paraId="6F5E3008">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 xml:space="preserve">甲方（盖章）： </w:t>
      </w:r>
      <w:r>
        <w:rPr>
          <w:rFonts w:hint="eastAsia" w:cs="宋体"/>
          <w:color w:val="auto"/>
          <w:sz w:val="21"/>
          <w:szCs w:val="21"/>
          <w:highlight w:val="none"/>
          <w:u w:val="single"/>
        </w:rPr>
        <w:t xml:space="preserve">                  </w:t>
      </w:r>
      <w:r>
        <w:rPr>
          <w:rFonts w:hint="eastAsia" w:cs="宋体"/>
          <w:color w:val="auto"/>
          <w:sz w:val="21"/>
          <w:szCs w:val="21"/>
          <w:highlight w:val="none"/>
        </w:rPr>
        <w:t xml:space="preserve">     乙方（盖章）：</w:t>
      </w:r>
      <w:r>
        <w:rPr>
          <w:rFonts w:hint="eastAsia" w:cs="宋体"/>
          <w:color w:val="auto"/>
          <w:sz w:val="21"/>
          <w:szCs w:val="21"/>
          <w:highlight w:val="none"/>
          <w:u w:val="single"/>
        </w:rPr>
        <w:t xml:space="preserve">             </w:t>
      </w:r>
    </w:p>
    <w:p w14:paraId="317CF9BD">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法定代表人或                          法定代表人或</w:t>
      </w:r>
    </w:p>
    <w:p w14:paraId="06F2B146">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授权代表：</w:t>
      </w:r>
      <w:r>
        <w:rPr>
          <w:rFonts w:hint="eastAsia" w:cs="宋体"/>
          <w:color w:val="auto"/>
          <w:sz w:val="21"/>
          <w:szCs w:val="21"/>
          <w:highlight w:val="none"/>
          <w:u w:val="single"/>
        </w:rPr>
        <w:t xml:space="preserve">              </w:t>
      </w:r>
      <w:r>
        <w:rPr>
          <w:rFonts w:hint="eastAsia" w:cs="宋体"/>
          <w:color w:val="auto"/>
          <w:sz w:val="21"/>
          <w:szCs w:val="21"/>
          <w:highlight w:val="none"/>
        </w:rPr>
        <w:t>(职务)         授权代表：</w:t>
      </w:r>
      <w:r>
        <w:rPr>
          <w:rFonts w:hint="eastAsia" w:cs="宋体"/>
          <w:color w:val="auto"/>
          <w:sz w:val="21"/>
          <w:szCs w:val="21"/>
          <w:highlight w:val="none"/>
          <w:u w:val="single"/>
        </w:rPr>
        <w:t xml:space="preserve">             </w:t>
      </w:r>
      <w:r>
        <w:rPr>
          <w:rFonts w:hint="eastAsia" w:cs="宋体"/>
          <w:color w:val="auto"/>
          <w:sz w:val="21"/>
          <w:szCs w:val="21"/>
          <w:highlight w:val="none"/>
        </w:rPr>
        <w:t>(职务)</w:t>
      </w:r>
    </w:p>
    <w:p w14:paraId="268F68E9">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姓名：</w:t>
      </w:r>
      <w:r>
        <w:rPr>
          <w:rFonts w:hint="eastAsia" w:cs="宋体"/>
          <w:color w:val="auto"/>
          <w:sz w:val="21"/>
          <w:szCs w:val="21"/>
          <w:highlight w:val="none"/>
          <w:u w:val="single"/>
        </w:rPr>
        <w:t xml:space="preserve">             </w:t>
      </w:r>
      <w:r>
        <w:rPr>
          <w:rFonts w:hint="eastAsia" w:cs="宋体"/>
          <w:color w:val="auto"/>
          <w:sz w:val="21"/>
          <w:szCs w:val="21"/>
          <w:highlight w:val="none"/>
        </w:rPr>
        <w:t xml:space="preserve">                   姓名：</w:t>
      </w:r>
      <w:r>
        <w:rPr>
          <w:rFonts w:hint="eastAsia" w:cs="宋体"/>
          <w:color w:val="auto"/>
          <w:sz w:val="21"/>
          <w:szCs w:val="21"/>
          <w:highlight w:val="none"/>
          <w:u w:val="single"/>
        </w:rPr>
        <w:t xml:space="preserve">             </w:t>
      </w:r>
    </w:p>
    <w:p w14:paraId="2B6391BA">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签字：</w:t>
      </w:r>
      <w:r>
        <w:rPr>
          <w:rFonts w:hint="eastAsia" w:cs="宋体"/>
          <w:color w:val="auto"/>
          <w:sz w:val="21"/>
          <w:szCs w:val="21"/>
          <w:highlight w:val="none"/>
          <w:u w:val="single"/>
        </w:rPr>
        <w:t xml:space="preserve">             </w:t>
      </w:r>
    </w:p>
    <w:p w14:paraId="6B45E784">
      <w:pPr>
        <w:widowControl/>
        <w:spacing w:line="360" w:lineRule="auto"/>
        <w:ind w:firstLine="420" w:firstLineChars="200"/>
        <w:jc w:val="left"/>
        <w:rPr>
          <w:rFonts w:cs="宋体"/>
          <w:color w:val="auto"/>
          <w:sz w:val="21"/>
          <w:szCs w:val="21"/>
          <w:highlight w:val="none"/>
        </w:rPr>
      </w:pPr>
    </w:p>
    <w:p w14:paraId="640DBEF7">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廉政监督联系人                        廉政监督联系人</w:t>
      </w:r>
    </w:p>
    <w:p w14:paraId="6AEF9A71">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姓名：</w:t>
      </w:r>
      <w:r>
        <w:rPr>
          <w:rFonts w:hint="eastAsia" w:cs="宋体"/>
          <w:color w:val="auto"/>
          <w:sz w:val="21"/>
          <w:szCs w:val="21"/>
          <w:highlight w:val="none"/>
          <w:u w:val="single"/>
        </w:rPr>
        <w:t xml:space="preserve">                       </w:t>
      </w:r>
      <w:r>
        <w:rPr>
          <w:rFonts w:hint="eastAsia" w:cs="宋体"/>
          <w:color w:val="auto"/>
          <w:sz w:val="21"/>
          <w:szCs w:val="21"/>
          <w:highlight w:val="none"/>
        </w:rPr>
        <w:t xml:space="preserve">         姓名：</w:t>
      </w:r>
      <w:r>
        <w:rPr>
          <w:rFonts w:hint="eastAsia" w:cs="宋体"/>
          <w:color w:val="auto"/>
          <w:sz w:val="21"/>
          <w:szCs w:val="21"/>
          <w:highlight w:val="none"/>
          <w:u w:val="single"/>
        </w:rPr>
        <w:t xml:space="preserve">                     </w:t>
      </w:r>
    </w:p>
    <w:p w14:paraId="64D23EF5">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签字：</w:t>
      </w:r>
      <w:r>
        <w:rPr>
          <w:rFonts w:hint="eastAsia" w:cs="宋体"/>
          <w:color w:val="auto"/>
          <w:sz w:val="21"/>
          <w:szCs w:val="21"/>
          <w:highlight w:val="none"/>
          <w:u w:val="single"/>
        </w:rPr>
        <w:t xml:space="preserve">                     </w:t>
      </w:r>
    </w:p>
    <w:p w14:paraId="42B7CCE7">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电话：</w:t>
      </w:r>
      <w:r>
        <w:rPr>
          <w:rFonts w:hint="eastAsia" w:cs="宋体"/>
          <w:color w:val="auto"/>
          <w:sz w:val="21"/>
          <w:szCs w:val="21"/>
          <w:highlight w:val="none"/>
          <w:u w:val="single"/>
        </w:rPr>
        <w:t xml:space="preserve">                       </w:t>
      </w:r>
      <w:r>
        <w:rPr>
          <w:rFonts w:hint="eastAsia" w:cs="宋体"/>
          <w:color w:val="auto"/>
          <w:sz w:val="21"/>
          <w:szCs w:val="21"/>
          <w:highlight w:val="none"/>
        </w:rPr>
        <w:t xml:space="preserve">         电话：</w:t>
      </w:r>
      <w:r>
        <w:rPr>
          <w:rFonts w:hint="eastAsia" w:cs="宋体"/>
          <w:color w:val="auto"/>
          <w:sz w:val="21"/>
          <w:szCs w:val="21"/>
          <w:highlight w:val="none"/>
          <w:u w:val="single"/>
        </w:rPr>
        <w:t xml:space="preserve">                     </w:t>
      </w:r>
    </w:p>
    <w:p w14:paraId="18A942CA">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地址：</w:t>
      </w:r>
      <w:r>
        <w:rPr>
          <w:rFonts w:hint="eastAsia" w:cs="宋体"/>
          <w:color w:val="auto"/>
          <w:sz w:val="21"/>
          <w:szCs w:val="21"/>
          <w:highlight w:val="none"/>
          <w:u w:val="single"/>
        </w:rPr>
        <w:t xml:space="preserve">                       </w:t>
      </w:r>
      <w:r>
        <w:rPr>
          <w:rFonts w:hint="eastAsia" w:cs="宋体"/>
          <w:color w:val="auto"/>
          <w:sz w:val="21"/>
          <w:szCs w:val="21"/>
          <w:highlight w:val="none"/>
        </w:rPr>
        <w:t xml:space="preserve">         地址：</w:t>
      </w:r>
      <w:r>
        <w:rPr>
          <w:rFonts w:hint="eastAsia" w:cs="宋体"/>
          <w:color w:val="auto"/>
          <w:sz w:val="21"/>
          <w:szCs w:val="21"/>
          <w:highlight w:val="none"/>
          <w:u w:val="single"/>
        </w:rPr>
        <w:t xml:space="preserve">                     </w:t>
      </w:r>
    </w:p>
    <w:p w14:paraId="549C8520">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日期：</w:t>
      </w:r>
      <w:r>
        <w:rPr>
          <w:rFonts w:hint="eastAsia" w:cs="宋体"/>
          <w:color w:val="auto"/>
          <w:sz w:val="21"/>
          <w:szCs w:val="21"/>
          <w:highlight w:val="none"/>
          <w:u w:val="single"/>
        </w:rPr>
        <w:t xml:space="preserve">                       </w:t>
      </w:r>
      <w:r>
        <w:rPr>
          <w:rFonts w:hint="eastAsia" w:cs="宋体"/>
          <w:color w:val="auto"/>
          <w:sz w:val="21"/>
          <w:szCs w:val="21"/>
          <w:highlight w:val="none"/>
        </w:rPr>
        <w:t xml:space="preserve">         日期：</w:t>
      </w:r>
      <w:r>
        <w:rPr>
          <w:rFonts w:hint="eastAsia" w:cs="宋体"/>
          <w:color w:val="auto"/>
          <w:sz w:val="21"/>
          <w:szCs w:val="21"/>
          <w:highlight w:val="none"/>
          <w:u w:val="single"/>
        </w:rPr>
        <w:t xml:space="preserve">                     </w:t>
      </w:r>
    </w:p>
    <w:p w14:paraId="11E3C329">
      <w:pPr>
        <w:spacing w:before="312" w:beforeLines="100" w:after="312" w:afterLines="100"/>
        <w:outlineLvl w:val="2"/>
        <w:rPr>
          <w:rFonts w:ascii="Times New Roman" w:eastAsia="黑体"/>
          <w:color w:val="auto"/>
          <w:szCs w:val="24"/>
          <w:highlight w:val="none"/>
        </w:rPr>
      </w:pPr>
      <w:r>
        <w:rPr>
          <w:rFonts w:hint="eastAsia" w:ascii="Times New Roman" w:eastAsia="黑体"/>
          <w:bCs/>
          <w:color w:val="auto"/>
          <w:szCs w:val="21"/>
          <w:highlight w:val="none"/>
        </w:rPr>
        <w:br w:type="page"/>
      </w:r>
      <w:bookmarkStart w:id="654" w:name="_Toc128950244"/>
      <w:r>
        <w:rPr>
          <w:rFonts w:hint="eastAsia" w:ascii="Times New Roman" w:eastAsia="黑体"/>
          <w:color w:val="auto"/>
          <w:szCs w:val="24"/>
          <w:highlight w:val="none"/>
        </w:rPr>
        <w:t>附件</w:t>
      </w:r>
      <w:r>
        <w:rPr>
          <w:rFonts w:hint="eastAsia" w:ascii="Times New Roman" w:eastAsia="黑体"/>
          <w:color w:val="auto"/>
          <w:szCs w:val="24"/>
          <w:highlight w:val="none"/>
          <w:lang w:val="en-US" w:eastAsia="zh-CN"/>
        </w:rPr>
        <w:t>8</w:t>
      </w:r>
      <w:r>
        <w:rPr>
          <w:rFonts w:hint="eastAsia" w:ascii="Times New Roman" w:eastAsia="黑体"/>
          <w:color w:val="auto"/>
          <w:szCs w:val="24"/>
          <w:highlight w:val="none"/>
        </w:rPr>
        <w:t>：履约保证金</w:t>
      </w:r>
      <w:bookmarkEnd w:id="654"/>
    </w:p>
    <w:p w14:paraId="64095387">
      <w:pPr>
        <w:spacing w:line="360" w:lineRule="auto"/>
        <w:jc w:val="center"/>
        <w:rPr>
          <w:rFonts w:cs="宋体"/>
          <w:b/>
          <w:bCs/>
          <w:color w:val="auto"/>
          <w:sz w:val="32"/>
          <w:szCs w:val="32"/>
          <w:highlight w:val="none"/>
        </w:rPr>
      </w:pPr>
      <w:r>
        <w:rPr>
          <w:rFonts w:hint="eastAsia" w:cs="宋体"/>
          <w:b/>
          <w:bCs/>
          <w:color w:val="auto"/>
          <w:sz w:val="32"/>
          <w:szCs w:val="32"/>
          <w:highlight w:val="none"/>
        </w:rPr>
        <w:t>履约保函示范文本</w:t>
      </w:r>
    </w:p>
    <w:p w14:paraId="40D05CFF">
      <w:pPr>
        <w:wordWrap w:val="0"/>
        <w:spacing w:line="360" w:lineRule="auto"/>
        <w:jc w:val="right"/>
        <w:rPr>
          <w:rFonts w:ascii="Times New Roman"/>
          <w:color w:val="auto"/>
          <w:szCs w:val="21"/>
          <w:highlight w:val="none"/>
        </w:rPr>
      </w:pPr>
      <w:r>
        <w:rPr>
          <w:rFonts w:hint="eastAsia" w:ascii="Times New Roman"/>
          <w:color w:val="auto"/>
          <w:szCs w:val="21"/>
          <w:highlight w:val="none"/>
        </w:rPr>
        <w:t>编号：</w:t>
      </w:r>
      <w:r>
        <w:rPr>
          <w:rFonts w:hint="eastAsia" w:ascii="Times New Roman"/>
          <w:color w:val="auto"/>
          <w:szCs w:val="21"/>
          <w:highlight w:val="none"/>
          <w:u w:val="single"/>
        </w:rPr>
        <w:t xml:space="preserve"> </w:t>
      </w:r>
      <w:r>
        <w:rPr>
          <w:rFonts w:ascii="Times New Roman"/>
          <w:color w:val="auto"/>
          <w:szCs w:val="21"/>
          <w:highlight w:val="none"/>
          <w:u w:val="single"/>
        </w:rPr>
        <w:t xml:space="preserve">          </w:t>
      </w:r>
    </w:p>
    <w:p w14:paraId="4F2439B4">
      <w:pPr>
        <w:spacing w:line="360" w:lineRule="auto"/>
        <w:rPr>
          <w:rFonts w:ascii="Times New Roman"/>
          <w:color w:val="auto"/>
          <w:szCs w:val="21"/>
          <w:highlight w:val="none"/>
        </w:rPr>
      </w:pPr>
    </w:p>
    <w:p w14:paraId="2CF81E3C">
      <w:pPr>
        <w:spacing w:line="360" w:lineRule="auto"/>
        <w:rPr>
          <w:rFonts w:cs="宋体"/>
          <w:color w:val="auto"/>
          <w:sz w:val="21"/>
          <w:szCs w:val="21"/>
          <w:highlight w:val="none"/>
        </w:rPr>
      </w:pPr>
      <w:r>
        <w:rPr>
          <w:rFonts w:hint="eastAsia" w:cs="宋体"/>
          <w:color w:val="auto"/>
          <w:sz w:val="21"/>
          <w:szCs w:val="21"/>
          <w:highlight w:val="none"/>
          <w:u w:val="single"/>
        </w:rPr>
        <w:t xml:space="preserve">              </w:t>
      </w:r>
      <w:r>
        <w:rPr>
          <w:rFonts w:hint="eastAsia" w:cs="宋体"/>
          <w:color w:val="auto"/>
          <w:sz w:val="21"/>
          <w:szCs w:val="21"/>
          <w:highlight w:val="none"/>
        </w:rPr>
        <w:t xml:space="preserve">（受益人名称）： </w:t>
      </w:r>
    </w:p>
    <w:p w14:paraId="348EE512">
      <w:pPr>
        <w:spacing w:line="360" w:lineRule="auto"/>
        <w:ind w:firstLine="420" w:firstLineChars="200"/>
        <w:rPr>
          <w:rFonts w:cs="宋体"/>
          <w:color w:val="auto"/>
          <w:sz w:val="21"/>
          <w:szCs w:val="21"/>
          <w:highlight w:val="none"/>
        </w:rPr>
      </w:pPr>
      <w:r>
        <w:rPr>
          <w:rFonts w:hint="eastAsia" w:cs="宋体"/>
          <w:color w:val="auto"/>
          <w:sz w:val="21"/>
          <w:szCs w:val="21"/>
          <w:highlight w:val="none"/>
        </w:rPr>
        <w:t>鉴于</w:t>
      </w:r>
      <w:r>
        <w:rPr>
          <w:rFonts w:hint="eastAsia" w:cs="宋体"/>
          <w:color w:val="auto"/>
          <w:sz w:val="21"/>
          <w:szCs w:val="21"/>
          <w:highlight w:val="none"/>
          <w:u w:val="single"/>
        </w:rPr>
        <w:t xml:space="preserve">        </w:t>
      </w:r>
      <w:r>
        <w:rPr>
          <w:rFonts w:hint="eastAsia" w:cs="宋体"/>
          <w:color w:val="auto"/>
          <w:sz w:val="21"/>
          <w:szCs w:val="21"/>
          <w:highlight w:val="none"/>
        </w:rPr>
        <w:t>（以下简称“受益人”）与</w:t>
      </w:r>
      <w:r>
        <w:rPr>
          <w:rFonts w:hint="eastAsia" w:cs="宋体"/>
          <w:color w:val="auto"/>
          <w:sz w:val="21"/>
          <w:szCs w:val="21"/>
          <w:highlight w:val="none"/>
          <w:u w:val="single"/>
        </w:rPr>
        <w:t xml:space="preserve">         </w:t>
      </w:r>
      <w:r>
        <w:rPr>
          <w:rFonts w:hint="eastAsia" w:cs="宋体"/>
          <w:color w:val="auto"/>
          <w:sz w:val="21"/>
          <w:szCs w:val="21"/>
          <w:highlight w:val="none"/>
        </w:rPr>
        <w:t>（以下简称“申请人”）于</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日就</w:t>
      </w:r>
      <w:r>
        <w:rPr>
          <w:rFonts w:hint="eastAsia" w:cs="宋体"/>
          <w:snapToGrid w:val="0"/>
          <w:color w:val="auto"/>
          <w:sz w:val="21"/>
          <w:szCs w:val="21"/>
          <w:highlight w:val="none"/>
          <w:u w:val="single"/>
        </w:rPr>
        <w:t xml:space="preserve">        </w:t>
      </w:r>
      <w:r>
        <w:rPr>
          <w:rFonts w:hint="eastAsia" w:cs="宋体"/>
          <w:snapToGrid w:val="0"/>
          <w:color w:val="auto"/>
          <w:sz w:val="21"/>
          <w:szCs w:val="21"/>
          <w:highlight w:val="none"/>
        </w:rPr>
        <w:t>（项目编号）的</w:t>
      </w:r>
      <w:r>
        <w:rPr>
          <w:rFonts w:hint="eastAsia" w:cs="宋体"/>
          <w:snapToGrid w:val="0"/>
          <w:color w:val="auto"/>
          <w:sz w:val="21"/>
          <w:szCs w:val="21"/>
          <w:highlight w:val="none"/>
          <w:u w:val="single"/>
        </w:rPr>
        <w:t xml:space="preserve">         </w:t>
      </w:r>
      <w:r>
        <w:rPr>
          <w:rFonts w:hint="eastAsia" w:cs="宋体"/>
          <w:snapToGrid w:val="0"/>
          <w:color w:val="auto"/>
          <w:sz w:val="21"/>
          <w:szCs w:val="21"/>
          <w:highlight w:val="none"/>
        </w:rPr>
        <w:t>（项目名称）</w:t>
      </w:r>
      <w:r>
        <w:rPr>
          <w:rFonts w:hint="eastAsia" w:cs="宋体"/>
          <w:color w:val="auto"/>
          <w:sz w:val="21"/>
          <w:szCs w:val="21"/>
          <w:highlight w:val="none"/>
        </w:rPr>
        <w:t>有关事项协商一致共同签订</w:t>
      </w:r>
      <w:r>
        <w:rPr>
          <w:rFonts w:hint="eastAsia" w:cs="宋体"/>
          <w:color w:val="auto"/>
          <w:sz w:val="21"/>
          <w:szCs w:val="21"/>
          <w:highlight w:val="none"/>
          <w:u w:val="single"/>
        </w:rPr>
        <w:t>《        》</w:t>
      </w:r>
      <w:r>
        <w:rPr>
          <w:rFonts w:hint="eastAsia" w:cs="宋体"/>
          <w:color w:val="auto"/>
          <w:sz w:val="21"/>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2DAB8F2E">
      <w:pPr>
        <w:spacing w:line="360" w:lineRule="auto"/>
        <w:ind w:firstLine="420" w:firstLineChars="200"/>
        <w:rPr>
          <w:rFonts w:cs="宋体"/>
          <w:color w:val="auto"/>
          <w:sz w:val="21"/>
          <w:szCs w:val="21"/>
          <w:highlight w:val="none"/>
        </w:rPr>
      </w:pPr>
      <w:r>
        <w:rPr>
          <w:rFonts w:hint="eastAsia" w:cs="宋体"/>
          <w:color w:val="auto"/>
          <w:sz w:val="21"/>
          <w:szCs w:val="21"/>
          <w:highlight w:val="none"/>
        </w:rPr>
        <w:t>一、本保函担保范围：承包人未按照基础合同的约定履行义务，应当向受益人承担的违约责任和赔偿因此造成的损失、利息、律师费、诉讼费用等实现债权的费用。</w:t>
      </w:r>
    </w:p>
    <w:p w14:paraId="52E87B38">
      <w:pPr>
        <w:spacing w:line="360" w:lineRule="auto"/>
        <w:ind w:firstLine="420" w:firstLineChars="200"/>
        <w:rPr>
          <w:rFonts w:cs="宋体"/>
          <w:color w:val="auto"/>
          <w:sz w:val="21"/>
          <w:szCs w:val="21"/>
          <w:highlight w:val="none"/>
        </w:rPr>
      </w:pPr>
      <w:r>
        <w:rPr>
          <w:rFonts w:hint="eastAsia" w:cs="宋体"/>
          <w:color w:val="auto"/>
          <w:sz w:val="21"/>
          <w:szCs w:val="21"/>
          <w:highlight w:val="none"/>
        </w:rPr>
        <w:t>二、本保函担保金额最高不超过人民币（大写）</w:t>
      </w:r>
      <w:r>
        <w:rPr>
          <w:rFonts w:hint="eastAsia" w:cs="宋体"/>
          <w:color w:val="auto"/>
          <w:sz w:val="21"/>
          <w:szCs w:val="21"/>
          <w:highlight w:val="none"/>
          <w:u w:val="single"/>
        </w:rPr>
        <w:t xml:space="preserve">          </w:t>
      </w:r>
      <w:r>
        <w:rPr>
          <w:rFonts w:hint="eastAsia" w:cs="宋体"/>
          <w:color w:val="auto"/>
          <w:sz w:val="21"/>
          <w:szCs w:val="21"/>
          <w:highlight w:val="none"/>
        </w:rPr>
        <w:t>元（¥</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7A09334E">
      <w:pPr>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三、本保函有效期自开立之日起至基础合同约定的缺陷责任期满之日止。 </w:t>
      </w:r>
    </w:p>
    <w:p w14:paraId="59389407">
      <w:pPr>
        <w:spacing w:line="360" w:lineRule="auto"/>
        <w:ind w:firstLine="480"/>
        <w:rPr>
          <w:rFonts w:cs="宋体"/>
          <w:color w:val="auto"/>
          <w:sz w:val="21"/>
          <w:szCs w:val="21"/>
          <w:highlight w:val="none"/>
        </w:rPr>
      </w:pPr>
      <w:bookmarkStart w:id="655" w:name="_Hlk40302764"/>
      <w:r>
        <w:rPr>
          <w:rFonts w:hint="eastAsia" w:cs="宋体"/>
          <w:color w:val="auto"/>
          <w:sz w:val="21"/>
          <w:szCs w:val="21"/>
          <w:highlight w:val="none"/>
        </w:rPr>
        <w:t>四、开立人承诺，在收到受益人发来的书面付款通知后的七日内无条件支付，前述书面付款通知即为付款要求之单据，且应满足以下要求：</w:t>
      </w:r>
    </w:p>
    <w:bookmarkEnd w:id="655"/>
    <w:p w14:paraId="41BE840A">
      <w:pPr>
        <w:spacing w:line="360" w:lineRule="auto"/>
        <w:ind w:firstLine="420" w:firstLineChars="200"/>
        <w:rPr>
          <w:rFonts w:cs="宋体"/>
          <w:color w:val="auto"/>
          <w:sz w:val="21"/>
          <w:szCs w:val="21"/>
          <w:highlight w:val="none"/>
        </w:rPr>
      </w:pPr>
      <w:r>
        <w:rPr>
          <w:rFonts w:hint="eastAsia" w:cs="宋体"/>
          <w:color w:val="auto"/>
          <w:sz w:val="21"/>
          <w:szCs w:val="21"/>
          <w:highlight w:val="none"/>
        </w:rPr>
        <w:t>（1）付款通知到达的日期在本保函的有效期内；</w:t>
      </w:r>
    </w:p>
    <w:p w14:paraId="65003996">
      <w:pPr>
        <w:spacing w:line="360" w:lineRule="auto"/>
        <w:ind w:firstLine="420" w:firstLineChars="200"/>
        <w:rPr>
          <w:rFonts w:cs="宋体"/>
          <w:color w:val="auto"/>
          <w:sz w:val="21"/>
          <w:szCs w:val="21"/>
          <w:highlight w:val="none"/>
        </w:rPr>
      </w:pPr>
      <w:r>
        <w:rPr>
          <w:rFonts w:hint="eastAsia" w:cs="宋体"/>
          <w:color w:val="auto"/>
          <w:sz w:val="21"/>
          <w:szCs w:val="21"/>
          <w:highlight w:val="none"/>
        </w:rPr>
        <w:t>（2）载明要求支付的金额；</w:t>
      </w:r>
    </w:p>
    <w:p w14:paraId="60CE34F6">
      <w:pPr>
        <w:spacing w:line="360" w:lineRule="auto"/>
        <w:ind w:firstLine="420" w:firstLineChars="200"/>
        <w:rPr>
          <w:rFonts w:cs="宋体"/>
          <w:color w:val="auto"/>
          <w:sz w:val="21"/>
          <w:szCs w:val="21"/>
          <w:highlight w:val="none"/>
        </w:rPr>
      </w:pPr>
      <w:r>
        <w:rPr>
          <w:rFonts w:hint="eastAsia" w:cs="宋体"/>
          <w:color w:val="auto"/>
          <w:sz w:val="21"/>
          <w:szCs w:val="21"/>
          <w:highlight w:val="none"/>
        </w:rPr>
        <w:t>（3）载明申请人违反合同义务的条款和内容；</w:t>
      </w:r>
    </w:p>
    <w:p w14:paraId="237A5D74">
      <w:pPr>
        <w:spacing w:line="360" w:lineRule="auto"/>
        <w:ind w:firstLine="420" w:firstLineChars="200"/>
        <w:rPr>
          <w:rFonts w:cs="宋体"/>
          <w:color w:val="auto"/>
          <w:sz w:val="21"/>
          <w:szCs w:val="21"/>
          <w:highlight w:val="none"/>
        </w:rPr>
      </w:pPr>
      <w:r>
        <w:rPr>
          <w:rFonts w:hint="eastAsia" w:cs="宋体"/>
          <w:color w:val="auto"/>
          <w:sz w:val="21"/>
          <w:szCs w:val="21"/>
          <w:highlight w:val="none"/>
        </w:rPr>
        <w:t>（4）声明不存在合同文件约定或我国法律规定免除申请人或开立人支付责任的情形；</w:t>
      </w:r>
    </w:p>
    <w:p w14:paraId="7D7A18D8">
      <w:pPr>
        <w:spacing w:line="360" w:lineRule="auto"/>
        <w:ind w:firstLine="420" w:firstLineChars="200"/>
        <w:rPr>
          <w:rFonts w:cs="宋体"/>
          <w:color w:val="auto"/>
          <w:sz w:val="21"/>
          <w:szCs w:val="21"/>
          <w:highlight w:val="none"/>
        </w:rPr>
      </w:pPr>
      <w:r>
        <w:rPr>
          <w:rFonts w:hint="eastAsia" w:cs="宋体"/>
          <w:color w:val="auto"/>
          <w:sz w:val="21"/>
          <w:szCs w:val="21"/>
          <w:highlight w:val="none"/>
        </w:rPr>
        <w:t>（5）付款通知应在本保函有效期内到达的地址是：</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62A6BC5">
      <w:pPr>
        <w:spacing w:line="360" w:lineRule="auto"/>
        <w:ind w:firstLine="420" w:firstLineChars="200"/>
        <w:rPr>
          <w:rFonts w:cs="宋体"/>
          <w:color w:val="auto"/>
          <w:sz w:val="21"/>
          <w:szCs w:val="21"/>
          <w:highlight w:val="none"/>
        </w:rPr>
      </w:pPr>
      <w:bookmarkStart w:id="656" w:name="_Hlk40303486"/>
      <w:r>
        <w:rPr>
          <w:rFonts w:hint="eastAsia" w:cs="宋体"/>
          <w:color w:val="auto"/>
          <w:sz w:val="21"/>
          <w:szCs w:val="21"/>
          <w:highlight w:val="none"/>
        </w:rPr>
        <w:t>受益人发出的书面付款通知应由其法定代表人（负责人）或授权代理人签字并加盖公章。</w:t>
      </w:r>
      <w:bookmarkEnd w:id="656"/>
    </w:p>
    <w:p w14:paraId="0D580044">
      <w:pPr>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五、本保函项下的权利不得转让，不得设定担保。受益人未经我方书面同意转 让本保函或其项下任何权利，对我方不发生法律效力。 </w:t>
      </w:r>
    </w:p>
    <w:p w14:paraId="7C39017F">
      <w:pPr>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六、与本保函有关的基础合同不成立、不生效、无效、被撤销、被解除，不影响本保函的独立有效。 </w:t>
      </w:r>
    </w:p>
    <w:p w14:paraId="00B6A934">
      <w:pPr>
        <w:spacing w:line="360" w:lineRule="auto"/>
        <w:ind w:firstLine="420" w:firstLineChars="200"/>
        <w:rPr>
          <w:rFonts w:cs="宋体"/>
          <w:color w:val="auto"/>
          <w:sz w:val="21"/>
          <w:szCs w:val="21"/>
          <w:highlight w:val="none"/>
        </w:rPr>
      </w:pPr>
      <w:bookmarkStart w:id="657" w:name="_Hlk40303383"/>
      <w:bookmarkStart w:id="658" w:name="_Hlk40354981"/>
      <w:r>
        <w:rPr>
          <w:rFonts w:hint="eastAsia" w:cs="宋体"/>
          <w:color w:val="auto"/>
          <w:sz w:val="21"/>
          <w:szCs w:val="21"/>
          <w:highlight w:val="none"/>
        </w:rPr>
        <w:t xml:space="preserve">七、本保函项下的义务和责任均在保函有效期到期后自动消灭。 </w:t>
      </w:r>
    </w:p>
    <w:p w14:paraId="41BC9DB7">
      <w:pPr>
        <w:spacing w:line="360" w:lineRule="auto"/>
        <w:ind w:firstLine="420" w:firstLineChars="200"/>
        <w:rPr>
          <w:rFonts w:cs="宋体"/>
          <w:color w:val="auto"/>
          <w:sz w:val="21"/>
          <w:szCs w:val="21"/>
          <w:highlight w:val="none"/>
        </w:rPr>
      </w:pPr>
      <w:r>
        <w:rPr>
          <w:rFonts w:hint="eastAsia" w:cs="宋体"/>
          <w:color w:val="auto"/>
          <w:sz w:val="21"/>
          <w:szCs w:val="21"/>
          <w:highlight w:val="none"/>
        </w:rPr>
        <w:t>八、本保函适用的法律为中华人民共和国法律，因本保函产生的纠纷案件，</w:t>
      </w:r>
      <w:bookmarkEnd w:id="657"/>
      <w:r>
        <w:rPr>
          <w:rFonts w:hint="eastAsia" w:cs="宋体"/>
          <w:color w:val="auto"/>
          <w:sz w:val="21"/>
          <w:szCs w:val="21"/>
          <w:highlight w:val="none"/>
        </w:rPr>
        <w:t xml:space="preserve">由受益人所在地人民法院管辖。 </w:t>
      </w:r>
    </w:p>
    <w:bookmarkEnd w:id="658"/>
    <w:p w14:paraId="786FD456">
      <w:pPr>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九、本保函自我方法定代表人或授权代表签字并加盖公章之日起生效。 </w:t>
      </w:r>
    </w:p>
    <w:p w14:paraId="4A6BDD06">
      <w:pPr>
        <w:spacing w:line="360" w:lineRule="auto"/>
        <w:ind w:firstLine="420" w:firstLineChars="200"/>
        <w:rPr>
          <w:rFonts w:cs="宋体"/>
          <w:color w:val="auto"/>
          <w:sz w:val="21"/>
          <w:szCs w:val="21"/>
          <w:highlight w:val="none"/>
        </w:rPr>
      </w:pPr>
    </w:p>
    <w:p w14:paraId="04BD0DAF">
      <w:pPr>
        <w:spacing w:line="360" w:lineRule="auto"/>
        <w:ind w:firstLine="420" w:firstLineChars="200"/>
        <w:rPr>
          <w:rFonts w:cs="宋体"/>
          <w:color w:val="auto"/>
          <w:sz w:val="21"/>
          <w:szCs w:val="21"/>
          <w:highlight w:val="none"/>
        </w:rPr>
      </w:pPr>
    </w:p>
    <w:p w14:paraId="4333C0EE">
      <w:pPr>
        <w:spacing w:line="360" w:lineRule="auto"/>
        <w:ind w:firstLine="420" w:firstLineChars="200"/>
        <w:rPr>
          <w:rFonts w:cs="宋体"/>
          <w:color w:val="auto"/>
          <w:sz w:val="21"/>
          <w:szCs w:val="21"/>
          <w:highlight w:val="none"/>
        </w:rPr>
      </w:pPr>
    </w:p>
    <w:p w14:paraId="6EDC8D1D">
      <w:pPr>
        <w:spacing w:line="360" w:lineRule="auto"/>
        <w:ind w:firstLine="420" w:firstLineChars="200"/>
        <w:rPr>
          <w:rFonts w:cs="宋体"/>
          <w:color w:val="auto"/>
          <w:sz w:val="21"/>
          <w:szCs w:val="21"/>
          <w:highlight w:val="none"/>
        </w:rPr>
      </w:pPr>
      <w:r>
        <w:rPr>
          <w:rFonts w:hint="eastAsia" w:cs="宋体"/>
          <w:color w:val="auto"/>
          <w:sz w:val="21"/>
          <w:szCs w:val="21"/>
          <w:highlight w:val="none"/>
        </w:rPr>
        <w:t>开 立 人：</w:t>
      </w:r>
      <w:r>
        <w:rPr>
          <w:rFonts w:hint="eastAsia" w:cs="宋体"/>
          <w:color w:val="auto"/>
          <w:sz w:val="21"/>
          <w:szCs w:val="21"/>
          <w:highlight w:val="none"/>
          <w:u w:val="single"/>
        </w:rPr>
        <w:t xml:space="preserve">                              </w:t>
      </w:r>
      <w:r>
        <w:rPr>
          <w:rFonts w:hint="eastAsia" w:cs="宋体"/>
          <w:color w:val="auto"/>
          <w:sz w:val="21"/>
          <w:szCs w:val="21"/>
          <w:highlight w:val="none"/>
        </w:rPr>
        <w:t xml:space="preserve">（公章） </w:t>
      </w:r>
    </w:p>
    <w:p w14:paraId="1278C779">
      <w:pPr>
        <w:spacing w:line="360" w:lineRule="auto"/>
        <w:ind w:firstLine="420" w:firstLineChars="200"/>
        <w:rPr>
          <w:rFonts w:cs="宋体"/>
          <w:color w:val="auto"/>
          <w:sz w:val="21"/>
          <w:szCs w:val="21"/>
          <w:highlight w:val="none"/>
        </w:rPr>
      </w:pPr>
      <w:r>
        <w:rPr>
          <w:rFonts w:hint="eastAsia" w:cs="宋体"/>
          <w:color w:val="auto"/>
          <w:sz w:val="21"/>
          <w:szCs w:val="21"/>
          <w:highlight w:val="none"/>
        </w:rPr>
        <w:t>法定代表人（或授权代表）：</w:t>
      </w:r>
      <w:r>
        <w:rPr>
          <w:rFonts w:hint="eastAsia" w:cs="宋体"/>
          <w:color w:val="auto"/>
          <w:sz w:val="21"/>
          <w:szCs w:val="21"/>
          <w:highlight w:val="none"/>
          <w:u w:val="single"/>
        </w:rPr>
        <w:t xml:space="preserve">               </w:t>
      </w:r>
      <w:r>
        <w:rPr>
          <w:rFonts w:hint="eastAsia" w:cs="宋体"/>
          <w:color w:val="auto"/>
          <w:sz w:val="21"/>
          <w:szCs w:val="21"/>
          <w:highlight w:val="none"/>
        </w:rPr>
        <w:t xml:space="preserve">（签字） </w:t>
      </w:r>
    </w:p>
    <w:p w14:paraId="0D2947A8">
      <w:pPr>
        <w:spacing w:line="360" w:lineRule="auto"/>
        <w:ind w:firstLine="420" w:firstLineChars="200"/>
        <w:rPr>
          <w:rFonts w:cs="宋体"/>
          <w:color w:val="auto"/>
          <w:sz w:val="21"/>
          <w:szCs w:val="21"/>
          <w:highlight w:val="none"/>
        </w:rPr>
      </w:pPr>
      <w:r>
        <w:rPr>
          <w:rFonts w:hint="eastAsia" w:cs="宋体"/>
          <w:color w:val="auto"/>
          <w:sz w:val="21"/>
          <w:szCs w:val="21"/>
          <w:highlight w:val="none"/>
        </w:rPr>
        <w:t>地    址：</w:t>
      </w:r>
      <w:r>
        <w:rPr>
          <w:rFonts w:hint="eastAsia" w:cs="宋体"/>
          <w:color w:val="auto"/>
          <w:sz w:val="21"/>
          <w:szCs w:val="21"/>
          <w:highlight w:val="none"/>
          <w:u w:val="single"/>
        </w:rPr>
        <w:t xml:space="preserve">                                       </w:t>
      </w:r>
    </w:p>
    <w:p w14:paraId="7D7A0E6C">
      <w:pPr>
        <w:spacing w:line="360" w:lineRule="auto"/>
        <w:ind w:firstLine="420" w:firstLineChars="200"/>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w:t>
      </w:r>
    </w:p>
    <w:p w14:paraId="5A8F05CD">
      <w:pPr>
        <w:spacing w:line="360" w:lineRule="auto"/>
        <w:ind w:firstLine="420" w:firstLineChars="200"/>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p>
    <w:p w14:paraId="265D80A7">
      <w:pPr>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传    真：</w:t>
      </w:r>
      <w:r>
        <w:rPr>
          <w:rFonts w:hint="eastAsia" w:cs="宋体"/>
          <w:color w:val="auto"/>
          <w:sz w:val="21"/>
          <w:szCs w:val="21"/>
          <w:highlight w:val="none"/>
          <w:u w:val="single"/>
        </w:rPr>
        <w:t xml:space="preserve">                 </w:t>
      </w:r>
    </w:p>
    <w:p w14:paraId="0216C693">
      <w:pPr>
        <w:spacing w:line="360" w:lineRule="auto"/>
        <w:ind w:left="1303" w:leftChars="200" w:hanging="903" w:hangingChars="430"/>
        <w:rPr>
          <w:rFonts w:cs="宋体"/>
          <w:color w:val="auto"/>
          <w:sz w:val="21"/>
          <w:szCs w:val="21"/>
          <w:highlight w:val="none"/>
        </w:rPr>
      </w:pPr>
      <w:r>
        <w:rPr>
          <w:rFonts w:hint="eastAsia" w:cs="宋体"/>
          <w:color w:val="auto"/>
          <w:sz w:val="21"/>
          <w:szCs w:val="21"/>
          <w:highlight w:val="none"/>
        </w:rPr>
        <w:t>开立时间：</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w:t>
      </w:r>
    </w:p>
    <w:p w14:paraId="485AC121">
      <w:pPr>
        <w:spacing w:before="312" w:beforeLines="100" w:after="312" w:afterLines="100"/>
        <w:outlineLvl w:val="2"/>
        <w:rPr>
          <w:rFonts w:ascii="Times New Roman" w:eastAsia="黑体"/>
          <w:color w:val="auto"/>
          <w:szCs w:val="24"/>
          <w:highlight w:val="none"/>
        </w:rPr>
      </w:pPr>
      <w:r>
        <w:rPr>
          <w:rFonts w:ascii="Times New Roman" w:eastAsia="黑体"/>
          <w:bCs/>
          <w:color w:val="auto"/>
          <w:highlight w:val="none"/>
        </w:rPr>
        <w:br w:type="page"/>
      </w:r>
      <w:bookmarkStart w:id="659" w:name="_Toc128950245"/>
      <w:r>
        <w:rPr>
          <w:rFonts w:hint="eastAsia" w:ascii="Times New Roman" w:eastAsia="黑体"/>
          <w:color w:val="auto"/>
          <w:szCs w:val="24"/>
          <w:highlight w:val="none"/>
        </w:rPr>
        <w:t>附</w:t>
      </w:r>
      <w:bookmarkStart w:id="660" w:name="_Toc296891272"/>
      <w:bookmarkStart w:id="661" w:name="_Toc267261702"/>
      <w:bookmarkStart w:id="662" w:name="_Toc296347231"/>
      <w:bookmarkStart w:id="663" w:name="_Toc296503232"/>
      <w:bookmarkStart w:id="664" w:name="_Toc296891060"/>
      <w:bookmarkStart w:id="665" w:name="_Toc296944571"/>
      <w:bookmarkStart w:id="666" w:name="_Toc296346733"/>
      <w:r>
        <w:rPr>
          <w:rFonts w:hint="eastAsia" w:ascii="Times New Roman" w:eastAsia="黑体"/>
          <w:color w:val="auto"/>
          <w:szCs w:val="24"/>
          <w:highlight w:val="none"/>
        </w:rPr>
        <w:t>件</w:t>
      </w:r>
      <w:r>
        <w:rPr>
          <w:rFonts w:hint="eastAsia" w:ascii="Times New Roman" w:eastAsia="黑体"/>
          <w:color w:val="auto"/>
          <w:szCs w:val="24"/>
          <w:highlight w:val="none"/>
          <w:lang w:val="en-US" w:eastAsia="zh-CN"/>
        </w:rPr>
        <w:t>9</w:t>
      </w:r>
      <w:r>
        <w:rPr>
          <w:rFonts w:hint="eastAsia" w:ascii="Times New Roman" w:eastAsia="黑体"/>
          <w:color w:val="auto"/>
          <w:szCs w:val="24"/>
          <w:highlight w:val="none"/>
        </w:rPr>
        <w:t>：预付款担保</w:t>
      </w:r>
      <w:bookmarkEnd w:id="659"/>
    </w:p>
    <w:bookmarkEnd w:id="660"/>
    <w:bookmarkEnd w:id="661"/>
    <w:bookmarkEnd w:id="662"/>
    <w:bookmarkEnd w:id="663"/>
    <w:bookmarkEnd w:id="664"/>
    <w:bookmarkEnd w:id="665"/>
    <w:bookmarkEnd w:id="666"/>
    <w:p w14:paraId="02807D97">
      <w:pPr>
        <w:spacing w:line="360" w:lineRule="auto"/>
        <w:jc w:val="center"/>
        <w:rPr>
          <w:rFonts w:cs="宋体"/>
          <w:b/>
          <w:bCs/>
          <w:color w:val="auto"/>
          <w:sz w:val="32"/>
          <w:szCs w:val="32"/>
          <w:highlight w:val="none"/>
        </w:rPr>
      </w:pPr>
      <w:r>
        <w:rPr>
          <w:rFonts w:hint="eastAsia" w:cs="宋体"/>
          <w:b/>
          <w:bCs/>
          <w:color w:val="auto"/>
          <w:sz w:val="32"/>
          <w:szCs w:val="32"/>
          <w:highlight w:val="none"/>
        </w:rPr>
        <w:t>预付款保函示范文本</w:t>
      </w:r>
    </w:p>
    <w:p w14:paraId="5F9BFCD2">
      <w:pPr>
        <w:wordWrap w:val="0"/>
        <w:spacing w:line="360" w:lineRule="auto"/>
        <w:jc w:val="right"/>
        <w:rPr>
          <w:rFonts w:ascii="Times New Roman"/>
          <w:color w:val="auto"/>
          <w:szCs w:val="21"/>
          <w:highlight w:val="none"/>
        </w:rPr>
      </w:pPr>
      <w:r>
        <w:rPr>
          <w:rFonts w:hint="eastAsia" w:ascii="Times New Roman"/>
          <w:color w:val="auto"/>
          <w:szCs w:val="21"/>
          <w:highlight w:val="none"/>
        </w:rPr>
        <w:t>编号：</w:t>
      </w:r>
      <w:r>
        <w:rPr>
          <w:rFonts w:hint="eastAsia" w:ascii="Times New Roman"/>
          <w:color w:val="auto"/>
          <w:szCs w:val="21"/>
          <w:highlight w:val="none"/>
          <w:u w:val="single"/>
        </w:rPr>
        <w:t xml:space="preserve"> </w:t>
      </w:r>
      <w:r>
        <w:rPr>
          <w:rFonts w:ascii="Times New Roman"/>
          <w:color w:val="auto"/>
          <w:szCs w:val="21"/>
          <w:highlight w:val="none"/>
          <w:u w:val="single"/>
        </w:rPr>
        <w:t xml:space="preserve">          </w:t>
      </w:r>
    </w:p>
    <w:p w14:paraId="6634F027">
      <w:pPr>
        <w:spacing w:line="360" w:lineRule="auto"/>
        <w:rPr>
          <w:rFonts w:ascii="Times New Roman"/>
          <w:color w:val="auto"/>
          <w:szCs w:val="21"/>
          <w:highlight w:val="none"/>
        </w:rPr>
      </w:pPr>
    </w:p>
    <w:p w14:paraId="1585F3AF">
      <w:pPr>
        <w:spacing w:line="360" w:lineRule="auto"/>
        <w:rPr>
          <w:rFonts w:cs="宋体"/>
          <w:color w:val="auto"/>
          <w:sz w:val="21"/>
          <w:szCs w:val="21"/>
          <w:highlight w:val="none"/>
        </w:rPr>
      </w:pPr>
      <w:r>
        <w:rPr>
          <w:rFonts w:hint="eastAsia" w:cs="宋体"/>
          <w:color w:val="auto"/>
          <w:sz w:val="21"/>
          <w:szCs w:val="21"/>
          <w:highlight w:val="none"/>
          <w:u w:val="single"/>
        </w:rPr>
        <w:t xml:space="preserve">              </w:t>
      </w:r>
      <w:r>
        <w:rPr>
          <w:rFonts w:hint="eastAsia" w:cs="宋体"/>
          <w:color w:val="auto"/>
          <w:sz w:val="21"/>
          <w:szCs w:val="21"/>
          <w:highlight w:val="none"/>
        </w:rPr>
        <w:t xml:space="preserve">（受益人名称）： </w:t>
      </w:r>
    </w:p>
    <w:p w14:paraId="53C01195">
      <w:pPr>
        <w:spacing w:line="360" w:lineRule="auto"/>
        <w:ind w:firstLine="420" w:firstLineChars="200"/>
        <w:rPr>
          <w:rFonts w:cs="宋体"/>
          <w:color w:val="auto"/>
          <w:sz w:val="21"/>
          <w:szCs w:val="21"/>
          <w:highlight w:val="none"/>
        </w:rPr>
      </w:pPr>
      <w:r>
        <w:rPr>
          <w:rFonts w:hint="eastAsia" w:cs="宋体"/>
          <w:color w:val="auto"/>
          <w:sz w:val="21"/>
          <w:szCs w:val="21"/>
          <w:highlight w:val="none"/>
        </w:rPr>
        <w:t>鉴于</w:t>
      </w:r>
      <w:r>
        <w:rPr>
          <w:rFonts w:hint="eastAsia" w:cs="宋体"/>
          <w:color w:val="auto"/>
          <w:sz w:val="21"/>
          <w:szCs w:val="21"/>
          <w:highlight w:val="none"/>
          <w:u w:val="single"/>
        </w:rPr>
        <w:t xml:space="preserve">     </w:t>
      </w:r>
      <w:r>
        <w:rPr>
          <w:rFonts w:hint="eastAsia" w:cs="宋体"/>
          <w:color w:val="auto"/>
          <w:sz w:val="21"/>
          <w:szCs w:val="21"/>
          <w:highlight w:val="none"/>
        </w:rPr>
        <w:t>（以下简称“受益人”）与</w:t>
      </w:r>
      <w:r>
        <w:rPr>
          <w:rFonts w:hint="eastAsia" w:cs="宋体"/>
          <w:color w:val="auto"/>
          <w:sz w:val="21"/>
          <w:szCs w:val="21"/>
          <w:highlight w:val="none"/>
          <w:u w:val="single"/>
        </w:rPr>
        <w:t xml:space="preserve">     </w:t>
      </w:r>
      <w:r>
        <w:rPr>
          <w:rFonts w:hint="eastAsia" w:cs="宋体"/>
          <w:color w:val="auto"/>
          <w:sz w:val="21"/>
          <w:szCs w:val="21"/>
          <w:highlight w:val="none"/>
        </w:rPr>
        <w:t>（以下简称“申请人”）于</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日就</w:t>
      </w:r>
      <w:r>
        <w:rPr>
          <w:rFonts w:hint="eastAsia" w:cs="宋体"/>
          <w:snapToGrid w:val="0"/>
          <w:color w:val="auto"/>
          <w:sz w:val="21"/>
          <w:szCs w:val="21"/>
          <w:highlight w:val="none"/>
          <w:u w:val="single"/>
        </w:rPr>
        <w:t xml:space="preserve">        </w:t>
      </w:r>
      <w:r>
        <w:rPr>
          <w:rFonts w:hint="eastAsia" w:cs="宋体"/>
          <w:snapToGrid w:val="0"/>
          <w:color w:val="auto"/>
          <w:sz w:val="21"/>
          <w:szCs w:val="21"/>
          <w:highlight w:val="none"/>
        </w:rPr>
        <w:t>（项目编号）的</w:t>
      </w:r>
      <w:r>
        <w:rPr>
          <w:rFonts w:hint="eastAsia" w:cs="宋体"/>
          <w:snapToGrid w:val="0"/>
          <w:color w:val="auto"/>
          <w:sz w:val="21"/>
          <w:szCs w:val="21"/>
          <w:highlight w:val="none"/>
          <w:u w:val="single"/>
        </w:rPr>
        <w:t xml:space="preserve">     </w:t>
      </w:r>
      <w:r>
        <w:rPr>
          <w:rFonts w:hint="eastAsia" w:cs="宋体"/>
          <w:snapToGrid w:val="0"/>
          <w:color w:val="auto"/>
          <w:sz w:val="21"/>
          <w:szCs w:val="21"/>
          <w:highlight w:val="none"/>
        </w:rPr>
        <w:t>（项目名称）</w:t>
      </w:r>
      <w:r>
        <w:rPr>
          <w:rFonts w:hint="eastAsia" w:cs="宋体"/>
          <w:color w:val="auto"/>
          <w:sz w:val="21"/>
          <w:szCs w:val="21"/>
          <w:highlight w:val="none"/>
        </w:rPr>
        <w:t>有关事项协商一致共同签订</w:t>
      </w:r>
      <w:r>
        <w:rPr>
          <w:rFonts w:hint="eastAsia" w:cs="宋体"/>
          <w:color w:val="auto"/>
          <w:sz w:val="21"/>
          <w:szCs w:val="21"/>
          <w:highlight w:val="none"/>
          <w:u w:val="single"/>
        </w:rPr>
        <w:t>《        》</w:t>
      </w:r>
      <w:r>
        <w:rPr>
          <w:rFonts w:hint="eastAsia" w:cs="宋体"/>
          <w:color w:val="auto"/>
          <w:sz w:val="21"/>
          <w:szCs w:val="21"/>
          <w:highlight w:val="none"/>
        </w:rPr>
        <w:t xml:space="preserve">（以下简称“基础合同”），开立人根据主合同了解到申请人为主合同项下之承包人，受益人为主合同项下之发包人，基于申请人的请求，开立人同意就申请人按照合同约定正确和合理地为合同目的使用预付款，向受益人提供不可撤销、不可转让的见索即付独立保函（以下简称“本保函”）。 </w:t>
      </w:r>
    </w:p>
    <w:p w14:paraId="4894C702">
      <w:pPr>
        <w:spacing w:line="360" w:lineRule="auto"/>
        <w:ind w:firstLine="420" w:firstLineChars="200"/>
        <w:rPr>
          <w:rFonts w:cs="宋体"/>
          <w:color w:val="auto"/>
          <w:sz w:val="21"/>
          <w:szCs w:val="21"/>
          <w:highlight w:val="none"/>
        </w:rPr>
      </w:pPr>
      <w:r>
        <w:rPr>
          <w:rFonts w:hint="eastAsia" w:cs="宋体"/>
          <w:color w:val="auto"/>
          <w:sz w:val="21"/>
          <w:szCs w:val="21"/>
          <w:highlight w:val="none"/>
        </w:rPr>
        <w:t>一、本保函担保范围：申请人未按照合同约定正确和合理地为合同目的使用预付款，应当向受益人承担的违约责任和赔偿因此造成的损失、利息、律师费、诉讼费用等实现债权的费用。</w:t>
      </w:r>
    </w:p>
    <w:p w14:paraId="7C0BB208">
      <w:pPr>
        <w:spacing w:line="360" w:lineRule="auto"/>
        <w:ind w:firstLine="420" w:firstLineChars="200"/>
        <w:rPr>
          <w:rFonts w:cs="宋体"/>
          <w:color w:val="auto"/>
          <w:sz w:val="21"/>
          <w:szCs w:val="21"/>
          <w:highlight w:val="none"/>
        </w:rPr>
      </w:pPr>
      <w:r>
        <w:rPr>
          <w:rFonts w:hint="eastAsia" w:cs="宋体"/>
          <w:color w:val="auto"/>
          <w:sz w:val="21"/>
          <w:szCs w:val="21"/>
          <w:highlight w:val="none"/>
        </w:rPr>
        <w:t>二、本保函担保金额最高不超过人民币（大写）</w:t>
      </w:r>
      <w:r>
        <w:rPr>
          <w:rFonts w:hint="eastAsia" w:cs="宋体"/>
          <w:color w:val="auto"/>
          <w:sz w:val="21"/>
          <w:szCs w:val="21"/>
          <w:highlight w:val="none"/>
          <w:u w:val="single"/>
        </w:rPr>
        <w:t xml:space="preserve">          </w:t>
      </w:r>
      <w:r>
        <w:rPr>
          <w:rFonts w:hint="eastAsia" w:cs="宋体"/>
          <w:color w:val="auto"/>
          <w:sz w:val="21"/>
          <w:szCs w:val="21"/>
          <w:highlight w:val="none"/>
        </w:rPr>
        <w:t>元（¥</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6EC17850">
      <w:pPr>
        <w:spacing w:line="360" w:lineRule="auto"/>
        <w:ind w:firstLine="420" w:firstLineChars="200"/>
        <w:rPr>
          <w:rFonts w:cs="宋体"/>
          <w:color w:val="auto"/>
          <w:sz w:val="21"/>
          <w:szCs w:val="21"/>
          <w:highlight w:val="none"/>
        </w:rPr>
      </w:pPr>
      <w:r>
        <w:rPr>
          <w:rFonts w:hint="eastAsia" w:cs="宋体"/>
          <w:color w:val="auto"/>
          <w:sz w:val="21"/>
          <w:szCs w:val="21"/>
          <w:highlight w:val="none"/>
        </w:rPr>
        <w:t>三、本保函有效期自开立之日起至发包人全额扣回预付款之日止。</w:t>
      </w:r>
    </w:p>
    <w:p w14:paraId="27363F5C">
      <w:pPr>
        <w:spacing w:line="400" w:lineRule="exact"/>
        <w:ind w:firstLine="480"/>
        <w:rPr>
          <w:rFonts w:cs="宋体"/>
          <w:color w:val="auto"/>
          <w:sz w:val="21"/>
          <w:szCs w:val="21"/>
          <w:highlight w:val="none"/>
        </w:rPr>
      </w:pPr>
      <w:r>
        <w:rPr>
          <w:rFonts w:hint="eastAsia" w:cs="宋体"/>
          <w:color w:val="auto"/>
          <w:sz w:val="21"/>
          <w:szCs w:val="21"/>
          <w:highlight w:val="none"/>
        </w:rPr>
        <w:t>四、开立人承诺，在收到受益人发来的书面付款通知后的七日内无条件支付，前述书面付款通知即为付款要求之单据，且应满足以下要求：</w:t>
      </w:r>
    </w:p>
    <w:p w14:paraId="6A799581">
      <w:pPr>
        <w:spacing w:line="360" w:lineRule="auto"/>
        <w:ind w:firstLine="420" w:firstLineChars="200"/>
        <w:rPr>
          <w:rFonts w:cs="宋体"/>
          <w:color w:val="auto"/>
          <w:sz w:val="21"/>
          <w:szCs w:val="21"/>
          <w:highlight w:val="none"/>
        </w:rPr>
      </w:pPr>
      <w:r>
        <w:rPr>
          <w:rFonts w:hint="eastAsia" w:cs="宋体"/>
          <w:color w:val="auto"/>
          <w:sz w:val="21"/>
          <w:szCs w:val="21"/>
          <w:highlight w:val="none"/>
        </w:rPr>
        <w:t>（1）付款通知到达的日期在本保函的有效期内；</w:t>
      </w:r>
    </w:p>
    <w:p w14:paraId="43F6EF84">
      <w:pPr>
        <w:spacing w:line="360" w:lineRule="auto"/>
        <w:ind w:firstLine="420" w:firstLineChars="200"/>
        <w:rPr>
          <w:rFonts w:cs="宋体"/>
          <w:color w:val="auto"/>
          <w:sz w:val="21"/>
          <w:szCs w:val="21"/>
          <w:highlight w:val="none"/>
        </w:rPr>
      </w:pPr>
      <w:r>
        <w:rPr>
          <w:rFonts w:hint="eastAsia" w:cs="宋体"/>
          <w:color w:val="auto"/>
          <w:sz w:val="21"/>
          <w:szCs w:val="21"/>
          <w:highlight w:val="none"/>
        </w:rPr>
        <w:t>（2）载明要求支付的金额；</w:t>
      </w:r>
    </w:p>
    <w:p w14:paraId="6469C4EC">
      <w:pPr>
        <w:spacing w:line="360" w:lineRule="auto"/>
        <w:ind w:firstLine="420" w:firstLineChars="200"/>
        <w:rPr>
          <w:rFonts w:cs="宋体"/>
          <w:color w:val="auto"/>
          <w:sz w:val="21"/>
          <w:szCs w:val="21"/>
          <w:highlight w:val="none"/>
        </w:rPr>
      </w:pPr>
      <w:r>
        <w:rPr>
          <w:rFonts w:hint="eastAsia" w:cs="宋体"/>
          <w:color w:val="auto"/>
          <w:sz w:val="21"/>
          <w:szCs w:val="21"/>
          <w:highlight w:val="none"/>
        </w:rPr>
        <w:t>（3）载明申请人违反合同义务的条款和内容；</w:t>
      </w:r>
    </w:p>
    <w:p w14:paraId="62CAE6C1">
      <w:pPr>
        <w:spacing w:line="360" w:lineRule="auto"/>
        <w:ind w:firstLine="420" w:firstLineChars="200"/>
        <w:rPr>
          <w:rFonts w:cs="宋体"/>
          <w:color w:val="auto"/>
          <w:sz w:val="21"/>
          <w:szCs w:val="21"/>
          <w:highlight w:val="none"/>
        </w:rPr>
      </w:pPr>
      <w:r>
        <w:rPr>
          <w:rFonts w:hint="eastAsia" w:cs="宋体"/>
          <w:color w:val="auto"/>
          <w:sz w:val="21"/>
          <w:szCs w:val="21"/>
          <w:highlight w:val="none"/>
        </w:rPr>
        <w:t>（4）声明不存在合同文件约定或我国法律规定免除申请人或开立人支付责任的情形；</w:t>
      </w:r>
    </w:p>
    <w:p w14:paraId="7F8DD890">
      <w:pPr>
        <w:spacing w:line="360" w:lineRule="auto"/>
        <w:ind w:firstLine="420" w:firstLineChars="200"/>
        <w:rPr>
          <w:rFonts w:cs="宋体"/>
          <w:color w:val="auto"/>
          <w:sz w:val="21"/>
          <w:szCs w:val="21"/>
          <w:highlight w:val="none"/>
        </w:rPr>
      </w:pPr>
      <w:r>
        <w:rPr>
          <w:rFonts w:hint="eastAsia" w:cs="宋体"/>
          <w:color w:val="auto"/>
          <w:sz w:val="21"/>
          <w:szCs w:val="21"/>
          <w:highlight w:val="none"/>
        </w:rPr>
        <w:t>（5）付款通知应在本保函有效期内到达的地址是：</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DA9FF0B">
      <w:pPr>
        <w:spacing w:line="400" w:lineRule="exact"/>
        <w:rPr>
          <w:rFonts w:cs="宋体"/>
          <w:color w:val="auto"/>
          <w:sz w:val="21"/>
          <w:szCs w:val="21"/>
          <w:highlight w:val="none"/>
        </w:rPr>
      </w:pPr>
      <w:r>
        <w:rPr>
          <w:rFonts w:hint="eastAsia" w:cs="宋体"/>
          <w:color w:val="auto"/>
          <w:sz w:val="21"/>
          <w:szCs w:val="21"/>
          <w:highlight w:val="none"/>
        </w:rPr>
        <w:t xml:space="preserve">    受益人发出的书面付款通知应由其法定代表人（负责人）或授权代理人签字并加盖公章。</w:t>
      </w:r>
    </w:p>
    <w:p w14:paraId="310D45D5">
      <w:pPr>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五、本保函项下的权利不得转让，不得设定担保。受益人未经开立人书面同意转让本保函或其项下任何权利，对开立人不发生法律效力。 </w:t>
      </w:r>
    </w:p>
    <w:p w14:paraId="0CC1B2E7">
      <w:pPr>
        <w:spacing w:line="400" w:lineRule="exact"/>
        <w:ind w:firstLine="420" w:firstLineChars="200"/>
        <w:rPr>
          <w:rStyle w:val="68"/>
          <w:rFonts w:cs="宋体"/>
          <w:color w:val="auto"/>
          <w:highlight w:val="none"/>
        </w:rPr>
      </w:pPr>
      <w:r>
        <w:rPr>
          <w:rFonts w:hint="eastAsia" w:cs="宋体"/>
          <w:color w:val="auto"/>
          <w:sz w:val="21"/>
          <w:szCs w:val="21"/>
          <w:highlight w:val="none"/>
        </w:rPr>
        <w:t>六、本保函项下的基础交易不成立、不生效、无效、被撤销、被解除，不影响本保函的独立有效。</w:t>
      </w:r>
    </w:p>
    <w:p w14:paraId="0849644D">
      <w:pPr>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七、本保函项下的义务和责任均在保函有效期到期后自动消灭。 </w:t>
      </w:r>
    </w:p>
    <w:p w14:paraId="6A420000">
      <w:pPr>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八、本保函适用的法律为中华人民共和国法律，因本保函产生的纠纷案件，由受益人所在地人民法院管辖。 </w:t>
      </w:r>
    </w:p>
    <w:p w14:paraId="26BA47D9">
      <w:pPr>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九、本保函自我方法定代表人或授权代表签字并加盖公章之日起生效。 </w:t>
      </w:r>
    </w:p>
    <w:p w14:paraId="482A0EE7">
      <w:pPr>
        <w:spacing w:line="360" w:lineRule="auto"/>
        <w:ind w:firstLine="420" w:firstLineChars="200"/>
        <w:rPr>
          <w:rFonts w:cs="宋体"/>
          <w:color w:val="auto"/>
          <w:sz w:val="21"/>
          <w:szCs w:val="21"/>
          <w:highlight w:val="none"/>
        </w:rPr>
      </w:pPr>
    </w:p>
    <w:p w14:paraId="76E80694">
      <w:pPr>
        <w:spacing w:line="360" w:lineRule="auto"/>
        <w:ind w:firstLine="420" w:firstLineChars="200"/>
        <w:rPr>
          <w:rFonts w:cs="宋体"/>
          <w:color w:val="auto"/>
          <w:sz w:val="21"/>
          <w:szCs w:val="21"/>
          <w:highlight w:val="none"/>
        </w:rPr>
      </w:pPr>
    </w:p>
    <w:p w14:paraId="6A572D8B">
      <w:pPr>
        <w:spacing w:line="360" w:lineRule="auto"/>
        <w:ind w:firstLine="420" w:firstLineChars="200"/>
        <w:rPr>
          <w:rFonts w:cs="宋体"/>
          <w:color w:val="auto"/>
          <w:sz w:val="21"/>
          <w:szCs w:val="21"/>
          <w:highlight w:val="none"/>
        </w:rPr>
      </w:pPr>
    </w:p>
    <w:p w14:paraId="3E88511C">
      <w:pPr>
        <w:spacing w:line="360" w:lineRule="auto"/>
        <w:ind w:firstLine="420" w:firstLineChars="200"/>
        <w:rPr>
          <w:rFonts w:cs="宋体"/>
          <w:color w:val="auto"/>
          <w:sz w:val="21"/>
          <w:szCs w:val="21"/>
          <w:highlight w:val="none"/>
        </w:rPr>
      </w:pPr>
      <w:r>
        <w:rPr>
          <w:rFonts w:hint="eastAsia" w:cs="宋体"/>
          <w:color w:val="auto"/>
          <w:sz w:val="21"/>
          <w:szCs w:val="21"/>
          <w:highlight w:val="none"/>
        </w:rPr>
        <w:t>开 立 人：</w:t>
      </w:r>
      <w:r>
        <w:rPr>
          <w:rFonts w:hint="eastAsia" w:cs="宋体"/>
          <w:color w:val="auto"/>
          <w:sz w:val="21"/>
          <w:szCs w:val="21"/>
          <w:highlight w:val="none"/>
          <w:u w:val="single"/>
        </w:rPr>
        <w:t xml:space="preserve">                              </w:t>
      </w:r>
      <w:r>
        <w:rPr>
          <w:rFonts w:hint="eastAsia" w:cs="宋体"/>
          <w:color w:val="auto"/>
          <w:sz w:val="21"/>
          <w:szCs w:val="21"/>
          <w:highlight w:val="none"/>
        </w:rPr>
        <w:t xml:space="preserve">（公章） </w:t>
      </w:r>
    </w:p>
    <w:p w14:paraId="73DBE747">
      <w:pPr>
        <w:spacing w:line="360" w:lineRule="auto"/>
        <w:ind w:firstLine="420" w:firstLineChars="200"/>
        <w:rPr>
          <w:rFonts w:cs="宋体"/>
          <w:color w:val="auto"/>
          <w:sz w:val="21"/>
          <w:szCs w:val="21"/>
          <w:highlight w:val="none"/>
        </w:rPr>
      </w:pPr>
      <w:r>
        <w:rPr>
          <w:rFonts w:hint="eastAsia" w:cs="宋体"/>
          <w:color w:val="auto"/>
          <w:sz w:val="21"/>
          <w:szCs w:val="21"/>
          <w:highlight w:val="none"/>
        </w:rPr>
        <w:t>法定代表人（或授权代表）：</w:t>
      </w:r>
      <w:r>
        <w:rPr>
          <w:rFonts w:hint="eastAsia" w:cs="宋体"/>
          <w:color w:val="auto"/>
          <w:sz w:val="21"/>
          <w:szCs w:val="21"/>
          <w:highlight w:val="none"/>
          <w:u w:val="single"/>
        </w:rPr>
        <w:t xml:space="preserve">               </w:t>
      </w:r>
      <w:r>
        <w:rPr>
          <w:rFonts w:hint="eastAsia" w:cs="宋体"/>
          <w:color w:val="auto"/>
          <w:sz w:val="21"/>
          <w:szCs w:val="21"/>
          <w:highlight w:val="none"/>
        </w:rPr>
        <w:t xml:space="preserve">（签字） </w:t>
      </w:r>
    </w:p>
    <w:p w14:paraId="1EACB22A">
      <w:pPr>
        <w:spacing w:line="360" w:lineRule="auto"/>
        <w:ind w:firstLine="420" w:firstLineChars="200"/>
        <w:rPr>
          <w:rFonts w:cs="宋体"/>
          <w:color w:val="auto"/>
          <w:sz w:val="21"/>
          <w:szCs w:val="21"/>
          <w:highlight w:val="none"/>
        </w:rPr>
      </w:pPr>
      <w:r>
        <w:rPr>
          <w:rFonts w:hint="eastAsia" w:cs="宋体"/>
          <w:color w:val="auto"/>
          <w:sz w:val="21"/>
          <w:szCs w:val="21"/>
          <w:highlight w:val="none"/>
        </w:rPr>
        <w:t>地    址：</w:t>
      </w:r>
      <w:r>
        <w:rPr>
          <w:rFonts w:hint="eastAsia" w:cs="宋体"/>
          <w:color w:val="auto"/>
          <w:sz w:val="21"/>
          <w:szCs w:val="21"/>
          <w:highlight w:val="none"/>
          <w:u w:val="single"/>
        </w:rPr>
        <w:t xml:space="preserve">                                       </w:t>
      </w:r>
    </w:p>
    <w:p w14:paraId="76A762E8">
      <w:pPr>
        <w:spacing w:line="360" w:lineRule="auto"/>
        <w:ind w:firstLine="420" w:firstLineChars="200"/>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w:t>
      </w:r>
    </w:p>
    <w:p w14:paraId="68854452">
      <w:pPr>
        <w:spacing w:line="360" w:lineRule="auto"/>
        <w:ind w:firstLine="420" w:firstLineChars="200"/>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p>
    <w:p w14:paraId="66113A00">
      <w:pPr>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传    真：</w:t>
      </w:r>
      <w:r>
        <w:rPr>
          <w:rFonts w:hint="eastAsia" w:cs="宋体"/>
          <w:color w:val="auto"/>
          <w:sz w:val="21"/>
          <w:szCs w:val="21"/>
          <w:highlight w:val="none"/>
          <w:u w:val="single"/>
        </w:rPr>
        <w:t xml:space="preserve">                 </w:t>
      </w:r>
    </w:p>
    <w:p w14:paraId="0B83D893">
      <w:pPr>
        <w:spacing w:line="360" w:lineRule="auto"/>
        <w:ind w:left="1303" w:leftChars="200" w:hanging="903" w:hangingChars="430"/>
        <w:rPr>
          <w:rFonts w:cs="宋体"/>
          <w:color w:val="auto"/>
          <w:sz w:val="21"/>
          <w:szCs w:val="21"/>
          <w:highlight w:val="none"/>
        </w:rPr>
      </w:pPr>
      <w:r>
        <w:rPr>
          <w:rFonts w:hint="eastAsia" w:cs="宋体"/>
          <w:color w:val="auto"/>
          <w:sz w:val="21"/>
          <w:szCs w:val="21"/>
          <w:highlight w:val="none"/>
        </w:rPr>
        <w:t>开立时间：</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w:t>
      </w:r>
    </w:p>
    <w:p w14:paraId="456548FA">
      <w:pPr>
        <w:spacing w:before="312" w:beforeLines="100" w:after="312" w:afterLines="100"/>
        <w:outlineLvl w:val="2"/>
        <w:rPr>
          <w:rFonts w:ascii="Times New Roman" w:eastAsia="黑体"/>
          <w:color w:val="auto"/>
          <w:szCs w:val="24"/>
          <w:highlight w:val="none"/>
        </w:rPr>
      </w:pPr>
      <w:r>
        <w:rPr>
          <w:rFonts w:ascii="Times New Roman" w:eastAsia="黑体"/>
          <w:b/>
          <w:bCs/>
          <w:color w:val="auto"/>
          <w:highlight w:val="none"/>
        </w:rPr>
        <w:br w:type="page"/>
      </w:r>
      <w:bookmarkStart w:id="667" w:name="_Toc128950246"/>
      <w:r>
        <w:rPr>
          <w:rFonts w:hint="eastAsia" w:ascii="Times New Roman" w:eastAsia="黑体"/>
          <w:color w:val="auto"/>
          <w:szCs w:val="24"/>
          <w:highlight w:val="none"/>
        </w:rPr>
        <w:t>附</w:t>
      </w:r>
      <w:bookmarkStart w:id="668" w:name="_Toc296347232"/>
      <w:bookmarkStart w:id="669" w:name="_Toc296891273"/>
      <w:bookmarkStart w:id="670" w:name="_Toc296944572"/>
      <w:bookmarkStart w:id="671" w:name="_Toc296346734"/>
      <w:bookmarkStart w:id="672" w:name="_Toc296503233"/>
      <w:bookmarkStart w:id="673" w:name="_Toc296891061"/>
      <w:r>
        <w:rPr>
          <w:rFonts w:hint="eastAsia" w:ascii="Times New Roman" w:eastAsia="黑体"/>
          <w:color w:val="auto"/>
          <w:szCs w:val="24"/>
          <w:highlight w:val="none"/>
        </w:rPr>
        <w:t>件</w:t>
      </w:r>
      <w:r>
        <w:rPr>
          <w:rFonts w:ascii="Times New Roman" w:eastAsia="黑体"/>
          <w:color w:val="auto"/>
          <w:szCs w:val="24"/>
          <w:highlight w:val="none"/>
        </w:rPr>
        <w:t>1</w:t>
      </w:r>
      <w:r>
        <w:rPr>
          <w:rFonts w:hint="eastAsia" w:ascii="Times New Roman" w:eastAsia="黑体"/>
          <w:color w:val="auto"/>
          <w:szCs w:val="24"/>
          <w:highlight w:val="none"/>
          <w:lang w:val="en-US" w:eastAsia="zh-CN"/>
        </w:rPr>
        <w:t>0</w:t>
      </w:r>
      <w:r>
        <w:rPr>
          <w:rFonts w:hint="eastAsia" w:ascii="Times New Roman" w:eastAsia="黑体"/>
          <w:color w:val="auto"/>
          <w:szCs w:val="24"/>
          <w:highlight w:val="none"/>
        </w:rPr>
        <w:t>：支付担保</w:t>
      </w:r>
      <w:bookmarkEnd w:id="667"/>
      <w:bookmarkEnd w:id="668"/>
      <w:bookmarkEnd w:id="669"/>
      <w:bookmarkEnd w:id="670"/>
      <w:bookmarkEnd w:id="671"/>
      <w:bookmarkEnd w:id="672"/>
      <w:bookmarkEnd w:id="673"/>
    </w:p>
    <w:p w14:paraId="2EF1B70D">
      <w:pPr>
        <w:spacing w:line="360" w:lineRule="auto"/>
        <w:jc w:val="center"/>
        <w:rPr>
          <w:rFonts w:cs="宋体"/>
          <w:b/>
          <w:bCs/>
          <w:color w:val="auto"/>
          <w:sz w:val="32"/>
          <w:szCs w:val="32"/>
          <w:highlight w:val="none"/>
        </w:rPr>
      </w:pPr>
      <w:r>
        <w:rPr>
          <w:rFonts w:hint="eastAsia" w:cs="宋体"/>
          <w:b/>
          <w:bCs/>
          <w:color w:val="auto"/>
          <w:sz w:val="32"/>
          <w:szCs w:val="32"/>
          <w:highlight w:val="none"/>
        </w:rPr>
        <w:t>支付保函示范文本</w:t>
      </w:r>
    </w:p>
    <w:p w14:paraId="5347B5E0">
      <w:pPr>
        <w:wordWrap w:val="0"/>
        <w:spacing w:line="360" w:lineRule="auto"/>
        <w:jc w:val="right"/>
        <w:rPr>
          <w:rFonts w:ascii="Times New Roman"/>
          <w:color w:val="auto"/>
          <w:szCs w:val="21"/>
          <w:highlight w:val="none"/>
        </w:rPr>
      </w:pPr>
      <w:r>
        <w:rPr>
          <w:rFonts w:hint="eastAsia" w:ascii="Times New Roman"/>
          <w:color w:val="auto"/>
          <w:szCs w:val="21"/>
          <w:highlight w:val="none"/>
        </w:rPr>
        <w:t>编号：</w:t>
      </w:r>
      <w:r>
        <w:rPr>
          <w:rFonts w:hint="eastAsia" w:ascii="Times New Roman"/>
          <w:color w:val="auto"/>
          <w:szCs w:val="21"/>
          <w:highlight w:val="none"/>
          <w:u w:val="single"/>
        </w:rPr>
        <w:t xml:space="preserve"> </w:t>
      </w:r>
      <w:r>
        <w:rPr>
          <w:rFonts w:ascii="Times New Roman"/>
          <w:color w:val="auto"/>
          <w:szCs w:val="21"/>
          <w:highlight w:val="none"/>
          <w:u w:val="single"/>
        </w:rPr>
        <w:t xml:space="preserve">          </w:t>
      </w:r>
    </w:p>
    <w:p w14:paraId="06D6CB7E">
      <w:pPr>
        <w:spacing w:line="360" w:lineRule="auto"/>
        <w:rPr>
          <w:rFonts w:ascii="Times New Roman"/>
          <w:color w:val="auto"/>
          <w:szCs w:val="21"/>
          <w:highlight w:val="none"/>
        </w:rPr>
      </w:pPr>
    </w:p>
    <w:p w14:paraId="5DAC52BE">
      <w:pPr>
        <w:spacing w:line="360" w:lineRule="auto"/>
        <w:rPr>
          <w:rFonts w:cs="宋体"/>
          <w:color w:val="auto"/>
          <w:sz w:val="21"/>
          <w:szCs w:val="21"/>
          <w:highlight w:val="none"/>
        </w:rPr>
      </w:pPr>
      <w:bookmarkStart w:id="674" w:name="_Hlk40355074"/>
      <w:r>
        <w:rPr>
          <w:rFonts w:hint="eastAsia" w:cs="宋体"/>
          <w:color w:val="auto"/>
          <w:sz w:val="21"/>
          <w:szCs w:val="21"/>
          <w:highlight w:val="none"/>
          <w:u w:val="single"/>
        </w:rPr>
        <w:t xml:space="preserve">              </w:t>
      </w:r>
      <w:r>
        <w:rPr>
          <w:rFonts w:hint="eastAsia" w:cs="宋体"/>
          <w:color w:val="auto"/>
          <w:sz w:val="21"/>
          <w:szCs w:val="21"/>
          <w:highlight w:val="none"/>
        </w:rPr>
        <w:t xml:space="preserve">（受益人名称）： </w:t>
      </w:r>
    </w:p>
    <w:bookmarkEnd w:id="674"/>
    <w:p w14:paraId="4698265C">
      <w:pPr>
        <w:spacing w:line="360" w:lineRule="auto"/>
        <w:ind w:firstLine="420" w:firstLineChars="200"/>
        <w:rPr>
          <w:rFonts w:cs="宋体"/>
          <w:color w:val="auto"/>
          <w:sz w:val="21"/>
          <w:szCs w:val="21"/>
          <w:highlight w:val="none"/>
        </w:rPr>
      </w:pPr>
      <w:r>
        <w:rPr>
          <w:rFonts w:hint="eastAsia" w:cs="宋体"/>
          <w:color w:val="auto"/>
          <w:sz w:val="21"/>
          <w:szCs w:val="21"/>
          <w:highlight w:val="none"/>
        </w:rPr>
        <w:t>鉴于</w:t>
      </w:r>
      <w:r>
        <w:rPr>
          <w:rFonts w:hint="eastAsia" w:cs="宋体"/>
          <w:color w:val="auto"/>
          <w:sz w:val="21"/>
          <w:szCs w:val="21"/>
          <w:highlight w:val="none"/>
          <w:u w:val="single"/>
        </w:rPr>
        <w:t xml:space="preserve">        </w:t>
      </w:r>
      <w:r>
        <w:rPr>
          <w:rFonts w:hint="eastAsia" w:cs="宋体"/>
          <w:color w:val="auto"/>
          <w:sz w:val="21"/>
          <w:szCs w:val="21"/>
          <w:highlight w:val="none"/>
        </w:rPr>
        <w:t>（以下简称“受益人”）与</w:t>
      </w:r>
      <w:r>
        <w:rPr>
          <w:rFonts w:hint="eastAsia" w:cs="宋体"/>
          <w:color w:val="auto"/>
          <w:sz w:val="21"/>
          <w:szCs w:val="21"/>
          <w:highlight w:val="none"/>
          <w:u w:val="single"/>
        </w:rPr>
        <w:t xml:space="preserve">         </w:t>
      </w:r>
      <w:r>
        <w:rPr>
          <w:rFonts w:hint="eastAsia" w:cs="宋体"/>
          <w:color w:val="auto"/>
          <w:sz w:val="21"/>
          <w:szCs w:val="21"/>
          <w:highlight w:val="none"/>
        </w:rPr>
        <w:t>（以下简称“申请人”）于</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日就</w:t>
      </w:r>
      <w:r>
        <w:rPr>
          <w:rFonts w:hint="eastAsia" w:cs="宋体"/>
          <w:snapToGrid w:val="0"/>
          <w:color w:val="auto"/>
          <w:sz w:val="21"/>
          <w:szCs w:val="21"/>
          <w:highlight w:val="none"/>
          <w:u w:val="single"/>
        </w:rPr>
        <w:t xml:space="preserve">        </w:t>
      </w:r>
      <w:r>
        <w:rPr>
          <w:rFonts w:hint="eastAsia" w:cs="宋体"/>
          <w:snapToGrid w:val="0"/>
          <w:color w:val="auto"/>
          <w:sz w:val="21"/>
          <w:szCs w:val="21"/>
          <w:highlight w:val="none"/>
        </w:rPr>
        <w:t>（项目编号）的</w:t>
      </w:r>
      <w:r>
        <w:rPr>
          <w:rFonts w:hint="eastAsia" w:cs="宋体"/>
          <w:snapToGrid w:val="0"/>
          <w:color w:val="auto"/>
          <w:sz w:val="21"/>
          <w:szCs w:val="21"/>
          <w:highlight w:val="none"/>
          <w:u w:val="single"/>
        </w:rPr>
        <w:t xml:space="preserve">         </w:t>
      </w:r>
      <w:r>
        <w:rPr>
          <w:rFonts w:hint="eastAsia" w:cs="宋体"/>
          <w:snapToGrid w:val="0"/>
          <w:color w:val="auto"/>
          <w:sz w:val="21"/>
          <w:szCs w:val="21"/>
          <w:highlight w:val="none"/>
        </w:rPr>
        <w:t>（项目名称）</w:t>
      </w:r>
      <w:r>
        <w:rPr>
          <w:rFonts w:hint="eastAsia" w:cs="宋体"/>
          <w:color w:val="auto"/>
          <w:sz w:val="21"/>
          <w:szCs w:val="21"/>
          <w:highlight w:val="none"/>
        </w:rPr>
        <w:t>有关事项协商一致共同签订</w:t>
      </w:r>
      <w:r>
        <w:rPr>
          <w:rFonts w:hint="eastAsia" w:cs="宋体"/>
          <w:color w:val="auto"/>
          <w:sz w:val="21"/>
          <w:szCs w:val="21"/>
          <w:highlight w:val="none"/>
          <w:u w:val="single"/>
        </w:rPr>
        <w:t>《        》</w:t>
      </w:r>
      <w:r>
        <w:rPr>
          <w:rFonts w:hint="eastAsia" w:cs="宋体"/>
          <w:color w:val="auto"/>
          <w:sz w:val="21"/>
          <w:szCs w:val="21"/>
          <w:highlight w:val="none"/>
        </w:rPr>
        <w:t xml:space="preserve">（以下简称基础合同”），开立人根据基础合同了解到申请人为基础合同项下之发包人，受益人为基础合同项下之承包人，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44658284">
      <w:pPr>
        <w:spacing w:line="360" w:lineRule="auto"/>
        <w:ind w:firstLine="420" w:firstLineChars="200"/>
        <w:rPr>
          <w:rFonts w:cs="宋体"/>
          <w:color w:val="auto"/>
          <w:sz w:val="21"/>
          <w:szCs w:val="21"/>
          <w:highlight w:val="none"/>
        </w:rPr>
      </w:pPr>
      <w:r>
        <w:rPr>
          <w:rFonts w:hint="eastAsia" w:cs="宋体"/>
          <w:color w:val="auto"/>
          <w:sz w:val="21"/>
          <w:szCs w:val="21"/>
          <w:highlight w:val="none"/>
        </w:rPr>
        <w:t>一、本保函担保范围：申请人未履行基础合同约定的工程款支付义务，应当向受益人承担的违约责任和赔偿因此造成的损失、利息、律师费、诉讼费用等实现债权的费用。</w:t>
      </w:r>
    </w:p>
    <w:p w14:paraId="34B7DB76">
      <w:pPr>
        <w:spacing w:line="360" w:lineRule="auto"/>
        <w:ind w:firstLine="420" w:firstLineChars="200"/>
        <w:rPr>
          <w:rFonts w:cs="宋体"/>
          <w:color w:val="auto"/>
          <w:sz w:val="21"/>
          <w:szCs w:val="21"/>
          <w:highlight w:val="none"/>
        </w:rPr>
      </w:pPr>
      <w:r>
        <w:rPr>
          <w:rFonts w:hint="eastAsia" w:cs="宋体"/>
          <w:color w:val="auto"/>
          <w:sz w:val="21"/>
          <w:szCs w:val="21"/>
          <w:highlight w:val="none"/>
        </w:rPr>
        <w:t>二、本保函担保金额最高不超过人民币（大写）</w:t>
      </w:r>
      <w:r>
        <w:rPr>
          <w:rFonts w:hint="eastAsia" w:cs="宋体"/>
          <w:color w:val="auto"/>
          <w:sz w:val="21"/>
          <w:szCs w:val="21"/>
          <w:highlight w:val="none"/>
          <w:u w:val="single"/>
        </w:rPr>
        <w:t xml:space="preserve">          </w:t>
      </w:r>
      <w:r>
        <w:rPr>
          <w:rFonts w:hint="eastAsia" w:cs="宋体"/>
          <w:color w:val="auto"/>
          <w:sz w:val="21"/>
          <w:szCs w:val="21"/>
          <w:highlight w:val="none"/>
        </w:rPr>
        <w:t>元（¥</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79C97290">
      <w:pPr>
        <w:spacing w:line="360" w:lineRule="auto"/>
        <w:ind w:firstLine="420" w:firstLineChars="200"/>
        <w:rPr>
          <w:rFonts w:cs="宋体"/>
          <w:color w:val="auto"/>
          <w:sz w:val="21"/>
          <w:szCs w:val="21"/>
          <w:highlight w:val="none"/>
        </w:rPr>
      </w:pPr>
      <w:r>
        <w:rPr>
          <w:rFonts w:hint="eastAsia" w:cs="宋体"/>
          <w:color w:val="auto"/>
          <w:sz w:val="21"/>
          <w:szCs w:val="21"/>
          <w:highlight w:val="none"/>
        </w:rPr>
        <w:t>三、本保函有效期自开立之日起至基础合同约定的除工程质量保修金以外的全部工程结算款项支付之日后</w:t>
      </w:r>
      <w:r>
        <w:rPr>
          <w:rFonts w:hint="eastAsia" w:cs="宋体"/>
          <w:color w:val="auto"/>
          <w:sz w:val="21"/>
          <w:szCs w:val="21"/>
          <w:highlight w:val="none"/>
          <w:u w:val="single"/>
        </w:rPr>
        <w:t xml:space="preserve">    </w:t>
      </w:r>
      <w:r>
        <w:rPr>
          <w:rFonts w:hint="eastAsia" w:cs="宋体"/>
          <w:color w:val="auto"/>
          <w:sz w:val="21"/>
          <w:szCs w:val="21"/>
          <w:highlight w:val="none"/>
        </w:rPr>
        <w:t xml:space="preserve">日止。 </w:t>
      </w:r>
    </w:p>
    <w:p w14:paraId="68023001">
      <w:pPr>
        <w:spacing w:line="400" w:lineRule="exact"/>
        <w:ind w:firstLine="480"/>
        <w:rPr>
          <w:rFonts w:cs="宋体"/>
          <w:color w:val="auto"/>
          <w:sz w:val="21"/>
          <w:szCs w:val="21"/>
          <w:highlight w:val="none"/>
        </w:rPr>
      </w:pPr>
      <w:r>
        <w:rPr>
          <w:rFonts w:hint="eastAsia" w:cs="宋体"/>
          <w:color w:val="auto"/>
          <w:sz w:val="21"/>
          <w:szCs w:val="21"/>
          <w:highlight w:val="none"/>
        </w:rPr>
        <w:t>四、开立人承诺，在收到受益人发来的书面付款通知后的七日内无条件支付，前述书面付款通知即为付款要求之单据，且应满足以下要求：</w:t>
      </w:r>
    </w:p>
    <w:p w14:paraId="203C25E2">
      <w:pPr>
        <w:spacing w:line="360" w:lineRule="auto"/>
        <w:ind w:firstLine="420" w:firstLineChars="200"/>
        <w:rPr>
          <w:rFonts w:cs="宋体"/>
          <w:color w:val="auto"/>
          <w:sz w:val="21"/>
          <w:szCs w:val="21"/>
          <w:highlight w:val="none"/>
        </w:rPr>
      </w:pPr>
      <w:r>
        <w:rPr>
          <w:rFonts w:hint="eastAsia" w:cs="宋体"/>
          <w:color w:val="auto"/>
          <w:sz w:val="21"/>
          <w:szCs w:val="21"/>
          <w:highlight w:val="none"/>
        </w:rPr>
        <w:t>（1）付款通知到达的日期在本保函的有效期内；</w:t>
      </w:r>
    </w:p>
    <w:p w14:paraId="75B05077">
      <w:pPr>
        <w:spacing w:line="360" w:lineRule="auto"/>
        <w:ind w:firstLine="420" w:firstLineChars="200"/>
        <w:rPr>
          <w:rFonts w:cs="宋体"/>
          <w:color w:val="auto"/>
          <w:sz w:val="21"/>
          <w:szCs w:val="21"/>
          <w:highlight w:val="none"/>
        </w:rPr>
      </w:pPr>
      <w:r>
        <w:rPr>
          <w:rFonts w:hint="eastAsia" w:cs="宋体"/>
          <w:color w:val="auto"/>
          <w:sz w:val="21"/>
          <w:szCs w:val="21"/>
          <w:highlight w:val="none"/>
        </w:rPr>
        <w:t>（2）载明要求支付的金额；</w:t>
      </w:r>
    </w:p>
    <w:p w14:paraId="1ED9B0EB">
      <w:pPr>
        <w:spacing w:line="360" w:lineRule="auto"/>
        <w:ind w:firstLine="420" w:firstLineChars="200"/>
        <w:rPr>
          <w:rFonts w:cs="宋体"/>
          <w:color w:val="auto"/>
          <w:sz w:val="21"/>
          <w:szCs w:val="21"/>
          <w:highlight w:val="none"/>
        </w:rPr>
      </w:pPr>
      <w:r>
        <w:rPr>
          <w:rFonts w:hint="eastAsia" w:cs="宋体"/>
          <w:color w:val="auto"/>
          <w:sz w:val="21"/>
          <w:szCs w:val="21"/>
          <w:highlight w:val="none"/>
        </w:rPr>
        <w:t>（3）载明申请人违反合同义务的条款和内容；</w:t>
      </w:r>
    </w:p>
    <w:p w14:paraId="1D321CC0">
      <w:pPr>
        <w:spacing w:line="360" w:lineRule="auto"/>
        <w:ind w:firstLine="420" w:firstLineChars="200"/>
        <w:rPr>
          <w:rFonts w:cs="宋体"/>
          <w:color w:val="auto"/>
          <w:sz w:val="21"/>
          <w:szCs w:val="21"/>
          <w:highlight w:val="none"/>
        </w:rPr>
      </w:pPr>
      <w:r>
        <w:rPr>
          <w:rFonts w:hint="eastAsia" w:cs="宋体"/>
          <w:color w:val="auto"/>
          <w:sz w:val="21"/>
          <w:szCs w:val="21"/>
          <w:highlight w:val="none"/>
        </w:rPr>
        <w:t>（4）声明不存在合同文件约定或我国法律规定免除申请人或开立人支付责任的情形；</w:t>
      </w:r>
    </w:p>
    <w:p w14:paraId="5C09ACD1">
      <w:pPr>
        <w:spacing w:line="360" w:lineRule="auto"/>
        <w:ind w:firstLine="420" w:firstLineChars="200"/>
        <w:rPr>
          <w:rFonts w:cs="宋体"/>
          <w:color w:val="auto"/>
          <w:sz w:val="21"/>
          <w:szCs w:val="21"/>
          <w:highlight w:val="none"/>
        </w:rPr>
      </w:pPr>
      <w:r>
        <w:rPr>
          <w:rFonts w:hint="eastAsia" w:cs="宋体"/>
          <w:color w:val="auto"/>
          <w:sz w:val="21"/>
          <w:szCs w:val="21"/>
          <w:highlight w:val="none"/>
        </w:rPr>
        <w:t>（5）付款通知应在本保函有效期内到达的地址是：</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39CF883">
      <w:pPr>
        <w:spacing w:line="400" w:lineRule="exact"/>
        <w:rPr>
          <w:rFonts w:cs="宋体"/>
          <w:color w:val="auto"/>
          <w:sz w:val="21"/>
          <w:szCs w:val="21"/>
          <w:highlight w:val="none"/>
        </w:rPr>
      </w:pPr>
      <w:r>
        <w:rPr>
          <w:rFonts w:hint="eastAsia" w:cs="宋体"/>
          <w:color w:val="auto"/>
          <w:sz w:val="21"/>
          <w:szCs w:val="21"/>
          <w:highlight w:val="none"/>
        </w:rPr>
        <w:t xml:space="preserve">    受益人发出的书面付款通知应由其法定代表人（负责人）或授权代理人签字并加盖公章。</w:t>
      </w:r>
    </w:p>
    <w:p w14:paraId="76238C06">
      <w:pPr>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五、本保函项下的权利不得转让，不得设定担保。受益人未经开立人书面同意转让本保函或其项下任何权利，对开立人不发生法律效力。 </w:t>
      </w:r>
    </w:p>
    <w:p w14:paraId="7EE20F17">
      <w:pPr>
        <w:spacing w:line="400" w:lineRule="exact"/>
        <w:ind w:firstLine="420" w:firstLineChars="200"/>
        <w:rPr>
          <w:rStyle w:val="68"/>
          <w:rFonts w:cs="宋体"/>
          <w:color w:val="auto"/>
          <w:highlight w:val="none"/>
        </w:rPr>
      </w:pPr>
      <w:r>
        <w:rPr>
          <w:rFonts w:hint="eastAsia" w:cs="宋体"/>
          <w:color w:val="auto"/>
          <w:sz w:val="21"/>
          <w:szCs w:val="21"/>
          <w:highlight w:val="none"/>
        </w:rPr>
        <w:t>六、本保函项下的基础交易不成立、不生效、无效、被撤销、被解除，不影响本保函的独立有效。</w:t>
      </w:r>
    </w:p>
    <w:p w14:paraId="5418DB38">
      <w:pPr>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七、本保函项下的义务和责任均在保函有效期到期后自动消灭。 </w:t>
      </w:r>
    </w:p>
    <w:p w14:paraId="0EAD86BD">
      <w:pPr>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八、本保函适用的法律为中华人民共和国法律，因本保函产生的纠纷案件，由申请人所在地人民法院管辖。 </w:t>
      </w:r>
    </w:p>
    <w:p w14:paraId="2433427F">
      <w:pPr>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九、本保函自我方法定代表人或授权代表签字并加盖公章之日起生效。 </w:t>
      </w:r>
    </w:p>
    <w:p w14:paraId="0E2D2A30">
      <w:pPr>
        <w:spacing w:line="360" w:lineRule="auto"/>
        <w:ind w:firstLine="420" w:firstLineChars="200"/>
        <w:rPr>
          <w:rFonts w:cs="宋体"/>
          <w:color w:val="auto"/>
          <w:sz w:val="21"/>
          <w:szCs w:val="21"/>
          <w:highlight w:val="none"/>
        </w:rPr>
      </w:pPr>
    </w:p>
    <w:p w14:paraId="541E27D0">
      <w:pPr>
        <w:spacing w:line="360" w:lineRule="auto"/>
        <w:ind w:firstLine="420" w:firstLineChars="200"/>
        <w:rPr>
          <w:rFonts w:cs="宋体"/>
          <w:color w:val="auto"/>
          <w:sz w:val="21"/>
          <w:szCs w:val="21"/>
          <w:highlight w:val="none"/>
        </w:rPr>
      </w:pPr>
    </w:p>
    <w:p w14:paraId="44F3ED72">
      <w:pPr>
        <w:spacing w:line="360" w:lineRule="auto"/>
        <w:ind w:firstLine="420" w:firstLineChars="200"/>
        <w:rPr>
          <w:rFonts w:cs="宋体"/>
          <w:color w:val="auto"/>
          <w:sz w:val="21"/>
          <w:szCs w:val="21"/>
          <w:highlight w:val="none"/>
        </w:rPr>
      </w:pPr>
      <w:r>
        <w:rPr>
          <w:rFonts w:hint="eastAsia" w:cs="宋体"/>
          <w:color w:val="auto"/>
          <w:sz w:val="21"/>
          <w:szCs w:val="21"/>
          <w:highlight w:val="none"/>
        </w:rPr>
        <w:t>开 立 人：</w:t>
      </w:r>
      <w:r>
        <w:rPr>
          <w:rFonts w:hint="eastAsia" w:cs="宋体"/>
          <w:color w:val="auto"/>
          <w:sz w:val="21"/>
          <w:szCs w:val="21"/>
          <w:highlight w:val="none"/>
          <w:u w:val="single"/>
        </w:rPr>
        <w:t xml:space="preserve">                              </w:t>
      </w:r>
      <w:r>
        <w:rPr>
          <w:rFonts w:hint="eastAsia" w:cs="宋体"/>
          <w:color w:val="auto"/>
          <w:sz w:val="21"/>
          <w:szCs w:val="21"/>
          <w:highlight w:val="none"/>
        </w:rPr>
        <w:t xml:space="preserve">（公章） </w:t>
      </w:r>
    </w:p>
    <w:p w14:paraId="08892E79">
      <w:pPr>
        <w:spacing w:line="360" w:lineRule="auto"/>
        <w:ind w:firstLine="420" w:firstLineChars="200"/>
        <w:rPr>
          <w:rFonts w:cs="宋体"/>
          <w:color w:val="auto"/>
          <w:sz w:val="21"/>
          <w:szCs w:val="21"/>
          <w:highlight w:val="none"/>
        </w:rPr>
      </w:pPr>
      <w:r>
        <w:rPr>
          <w:rFonts w:hint="eastAsia" w:cs="宋体"/>
          <w:color w:val="auto"/>
          <w:sz w:val="21"/>
          <w:szCs w:val="21"/>
          <w:highlight w:val="none"/>
        </w:rPr>
        <w:t>法定代表人（或授权代表）：</w:t>
      </w:r>
      <w:r>
        <w:rPr>
          <w:rFonts w:hint="eastAsia" w:cs="宋体"/>
          <w:color w:val="auto"/>
          <w:sz w:val="21"/>
          <w:szCs w:val="21"/>
          <w:highlight w:val="none"/>
          <w:u w:val="single"/>
        </w:rPr>
        <w:t xml:space="preserve">               </w:t>
      </w:r>
      <w:r>
        <w:rPr>
          <w:rFonts w:hint="eastAsia" w:cs="宋体"/>
          <w:color w:val="auto"/>
          <w:sz w:val="21"/>
          <w:szCs w:val="21"/>
          <w:highlight w:val="none"/>
        </w:rPr>
        <w:t xml:space="preserve">（签字） </w:t>
      </w:r>
    </w:p>
    <w:p w14:paraId="01CF2003">
      <w:pPr>
        <w:spacing w:line="360" w:lineRule="auto"/>
        <w:ind w:firstLine="420" w:firstLineChars="200"/>
        <w:rPr>
          <w:rFonts w:cs="宋体"/>
          <w:color w:val="auto"/>
          <w:sz w:val="21"/>
          <w:szCs w:val="21"/>
          <w:highlight w:val="none"/>
        </w:rPr>
      </w:pPr>
      <w:r>
        <w:rPr>
          <w:rFonts w:hint="eastAsia" w:cs="宋体"/>
          <w:color w:val="auto"/>
          <w:sz w:val="21"/>
          <w:szCs w:val="21"/>
          <w:highlight w:val="none"/>
        </w:rPr>
        <w:t>地    址：</w:t>
      </w:r>
      <w:r>
        <w:rPr>
          <w:rFonts w:hint="eastAsia" w:cs="宋体"/>
          <w:color w:val="auto"/>
          <w:sz w:val="21"/>
          <w:szCs w:val="21"/>
          <w:highlight w:val="none"/>
          <w:u w:val="single"/>
        </w:rPr>
        <w:t xml:space="preserve">                                       </w:t>
      </w:r>
    </w:p>
    <w:p w14:paraId="6C163F37">
      <w:pPr>
        <w:spacing w:line="360" w:lineRule="auto"/>
        <w:ind w:firstLine="420" w:firstLineChars="200"/>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w:t>
      </w:r>
    </w:p>
    <w:p w14:paraId="0550FE3C">
      <w:pPr>
        <w:spacing w:line="360" w:lineRule="auto"/>
        <w:ind w:firstLine="420" w:firstLineChars="200"/>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p>
    <w:p w14:paraId="28ECE9E5">
      <w:pPr>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传    真：</w:t>
      </w:r>
      <w:r>
        <w:rPr>
          <w:rFonts w:hint="eastAsia" w:cs="宋体"/>
          <w:color w:val="auto"/>
          <w:sz w:val="21"/>
          <w:szCs w:val="21"/>
          <w:highlight w:val="none"/>
          <w:u w:val="single"/>
        </w:rPr>
        <w:t xml:space="preserve">                 </w:t>
      </w:r>
    </w:p>
    <w:p w14:paraId="6D669E05">
      <w:pPr>
        <w:spacing w:line="360" w:lineRule="auto"/>
        <w:ind w:left="1303" w:leftChars="200" w:hanging="903" w:hangingChars="430"/>
        <w:rPr>
          <w:rFonts w:cs="宋体"/>
          <w:color w:val="auto"/>
          <w:sz w:val="21"/>
          <w:szCs w:val="21"/>
          <w:highlight w:val="none"/>
        </w:rPr>
      </w:pPr>
      <w:r>
        <w:rPr>
          <w:rFonts w:hint="eastAsia" w:cs="宋体"/>
          <w:color w:val="auto"/>
          <w:sz w:val="21"/>
          <w:szCs w:val="21"/>
          <w:highlight w:val="none"/>
        </w:rPr>
        <w:t>开立时间：</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w:t>
      </w:r>
    </w:p>
    <w:p w14:paraId="541AC872">
      <w:pPr>
        <w:spacing w:before="312" w:beforeLines="100" w:after="312" w:afterLines="100"/>
        <w:outlineLvl w:val="2"/>
        <w:rPr>
          <w:rFonts w:ascii="Times New Roman" w:eastAsia="黑体"/>
          <w:color w:val="auto"/>
          <w:szCs w:val="24"/>
          <w:highlight w:val="none"/>
        </w:rPr>
      </w:pPr>
      <w:r>
        <w:rPr>
          <w:rFonts w:ascii="Times New Roman" w:eastAsia="黑体"/>
          <w:bCs/>
          <w:color w:val="auto"/>
          <w:highlight w:val="none"/>
        </w:rPr>
        <w:br w:type="page"/>
      </w:r>
      <w:bookmarkStart w:id="675" w:name="_Toc128950247"/>
      <w:r>
        <w:rPr>
          <w:rFonts w:hint="eastAsia" w:ascii="Times New Roman" w:eastAsia="黑体"/>
          <w:color w:val="auto"/>
          <w:szCs w:val="24"/>
          <w:highlight w:val="none"/>
        </w:rPr>
        <w:t>附件</w:t>
      </w:r>
      <w:r>
        <w:rPr>
          <w:rFonts w:ascii="Times New Roman" w:eastAsia="黑体"/>
          <w:color w:val="auto"/>
          <w:szCs w:val="24"/>
          <w:highlight w:val="none"/>
        </w:rPr>
        <w:t>1</w:t>
      </w:r>
      <w:r>
        <w:rPr>
          <w:rFonts w:hint="eastAsia" w:ascii="Times New Roman" w:eastAsia="黑体"/>
          <w:color w:val="auto"/>
          <w:szCs w:val="24"/>
          <w:highlight w:val="none"/>
          <w:lang w:val="en-US" w:eastAsia="zh-CN"/>
        </w:rPr>
        <w:t>1</w:t>
      </w:r>
      <w:r>
        <w:rPr>
          <w:rFonts w:hint="eastAsia" w:ascii="Times New Roman" w:eastAsia="黑体"/>
          <w:color w:val="auto"/>
          <w:szCs w:val="24"/>
          <w:highlight w:val="none"/>
        </w:rPr>
        <w:t>：暂估价一览表</w:t>
      </w:r>
      <w:bookmarkEnd w:id="675"/>
    </w:p>
    <w:p w14:paraId="63EDE339">
      <w:pPr>
        <w:spacing w:before="156" w:beforeLines="50" w:after="156" w:afterLines="50" w:line="440" w:lineRule="exact"/>
        <w:jc w:val="center"/>
        <w:rPr>
          <w:rFonts w:cs="宋体"/>
          <w:color w:val="auto"/>
          <w:szCs w:val="21"/>
          <w:highlight w:val="none"/>
        </w:rPr>
      </w:pPr>
      <w:r>
        <w:rPr>
          <w:rFonts w:hint="eastAsia" w:cs="宋体"/>
          <w:color w:val="auto"/>
          <w:szCs w:val="21"/>
          <w:highlight w:val="none"/>
        </w:rPr>
        <w:t>12-1：材料暂估价表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6"/>
        <w:gridCol w:w="1830"/>
        <w:gridCol w:w="783"/>
        <w:gridCol w:w="712"/>
        <w:gridCol w:w="1246"/>
        <w:gridCol w:w="1306"/>
        <w:gridCol w:w="1569"/>
      </w:tblGrid>
      <w:tr w14:paraId="1B513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single" w:color="auto" w:sz="12" w:space="0"/>
              <w:bottom w:val="double" w:color="auto" w:sz="6" w:space="0"/>
            </w:tcBorders>
            <w:vAlign w:val="center"/>
          </w:tcPr>
          <w:p w14:paraId="2573C891">
            <w:pPr>
              <w:keepNext/>
              <w:spacing w:line="440" w:lineRule="exact"/>
              <w:jc w:val="center"/>
              <w:rPr>
                <w:rFonts w:cs="宋体"/>
                <w:color w:val="auto"/>
                <w:szCs w:val="21"/>
                <w:highlight w:val="none"/>
              </w:rPr>
            </w:pPr>
            <w:r>
              <w:rPr>
                <w:rFonts w:hint="eastAsia" w:cs="宋体"/>
                <w:color w:val="auto"/>
                <w:szCs w:val="21"/>
                <w:highlight w:val="none"/>
              </w:rPr>
              <w:t>序号</w:t>
            </w:r>
          </w:p>
        </w:tc>
        <w:tc>
          <w:tcPr>
            <w:tcW w:w="1094" w:type="pct"/>
            <w:tcBorders>
              <w:top w:val="single" w:color="auto" w:sz="12" w:space="0"/>
              <w:bottom w:val="double" w:color="auto" w:sz="6" w:space="0"/>
            </w:tcBorders>
            <w:vAlign w:val="center"/>
          </w:tcPr>
          <w:p w14:paraId="695BDC46">
            <w:pPr>
              <w:keepNext/>
              <w:spacing w:line="440" w:lineRule="exact"/>
              <w:jc w:val="center"/>
              <w:rPr>
                <w:rFonts w:cs="宋体"/>
                <w:color w:val="auto"/>
                <w:szCs w:val="21"/>
                <w:highlight w:val="none"/>
              </w:rPr>
            </w:pPr>
            <w:r>
              <w:rPr>
                <w:rFonts w:hint="eastAsia" w:cs="宋体"/>
                <w:color w:val="auto"/>
                <w:szCs w:val="21"/>
                <w:highlight w:val="none"/>
              </w:rPr>
              <w:t>名称</w:t>
            </w:r>
          </w:p>
        </w:tc>
        <w:tc>
          <w:tcPr>
            <w:tcW w:w="468" w:type="pct"/>
            <w:tcBorders>
              <w:top w:val="single" w:color="auto" w:sz="12" w:space="0"/>
              <w:bottom w:val="double" w:color="auto" w:sz="6" w:space="0"/>
            </w:tcBorders>
            <w:vAlign w:val="center"/>
          </w:tcPr>
          <w:p w14:paraId="57E24C3C">
            <w:pPr>
              <w:keepNext/>
              <w:spacing w:line="440" w:lineRule="exact"/>
              <w:jc w:val="center"/>
              <w:rPr>
                <w:rFonts w:cs="宋体"/>
                <w:color w:val="auto"/>
                <w:szCs w:val="21"/>
                <w:highlight w:val="none"/>
              </w:rPr>
            </w:pPr>
            <w:r>
              <w:rPr>
                <w:rFonts w:hint="eastAsia" w:cs="宋体"/>
                <w:color w:val="auto"/>
                <w:szCs w:val="21"/>
                <w:highlight w:val="none"/>
              </w:rPr>
              <w:t>单位</w:t>
            </w:r>
          </w:p>
        </w:tc>
        <w:tc>
          <w:tcPr>
            <w:tcW w:w="426" w:type="pct"/>
            <w:tcBorders>
              <w:top w:val="single" w:color="auto" w:sz="12" w:space="0"/>
              <w:bottom w:val="double" w:color="auto" w:sz="6" w:space="0"/>
            </w:tcBorders>
            <w:vAlign w:val="center"/>
          </w:tcPr>
          <w:p w14:paraId="2649777C">
            <w:pPr>
              <w:keepNext/>
              <w:spacing w:line="440" w:lineRule="exact"/>
              <w:jc w:val="center"/>
              <w:rPr>
                <w:rFonts w:cs="宋体"/>
                <w:color w:val="auto"/>
                <w:szCs w:val="21"/>
                <w:highlight w:val="none"/>
              </w:rPr>
            </w:pPr>
            <w:r>
              <w:rPr>
                <w:rFonts w:hint="eastAsia" w:cs="宋体"/>
                <w:color w:val="auto"/>
                <w:szCs w:val="21"/>
                <w:highlight w:val="none"/>
              </w:rPr>
              <w:t>数量</w:t>
            </w:r>
          </w:p>
        </w:tc>
        <w:tc>
          <w:tcPr>
            <w:tcW w:w="745" w:type="pct"/>
            <w:tcBorders>
              <w:top w:val="single" w:color="auto" w:sz="12" w:space="0"/>
              <w:bottom w:val="double" w:color="auto" w:sz="6" w:space="0"/>
            </w:tcBorders>
            <w:vAlign w:val="center"/>
          </w:tcPr>
          <w:p w14:paraId="3F95EAA6">
            <w:pPr>
              <w:keepNext/>
              <w:spacing w:line="440" w:lineRule="exact"/>
              <w:jc w:val="center"/>
              <w:rPr>
                <w:rFonts w:cs="宋体"/>
                <w:color w:val="auto"/>
                <w:szCs w:val="21"/>
                <w:highlight w:val="none"/>
              </w:rPr>
            </w:pPr>
            <w:r>
              <w:rPr>
                <w:rFonts w:hint="eastAsia" w:cs="宋体"/>
                <w:color w:val="auto"/>
                <w:szCs w:val="21"/>
                <w:highlight w:val="none"/>
              </w:rPr>
              <w:t>单价（元）</w:t>
            </w:r>
          </w:p>
        </w:tc>
        <w:tc>
          <w:tcPr>
            <w:tcW w:w="781" w:type="pct"/>
            <w:tcBorders>
              <w:top w:val="single" w:color="auto" w:sz="12" w:space="0"/>
              <w:bottom w:val="double" w:color="auto" w:sz="6" w:space="0"/>
            </w:tcBorders>
            <w:vAlign w:val="center"/>
          </w:tcPr>
          <w:p w14:paraId="52AEF308">
            <w:pPr>
              <w:keepNext/>
              <w:spacing w:line="440" w:lineRule="exact"/>
              <w:jc w:val="center"/>
              <w:rPr>
                <w:rFonts w:cs="宋体"/>
                <w:color w:val="auto"/>
                <w:szCs w:val="21"/>
                <w:highlight w:val="none"/>
              </w:rPr>
            </w:pPr>
            <w:r>
              <w:rPr>
                <w:rFonts w:hint="eastAsia" w:cs="宋体"/>
                <w:color w:val="auto"/>
                <w:szCs w:val="21"/>
                <w:highlight w:val="none"/>
              </w:rPr>
              <w:t>合价（元）</w:t>
            </w:r>
          </w:p>
        </w:tc>
        <w:tc>
          <w:tcPr>
            <w:tcW w:w="938" w:type="pct"/>
            <w:tcBorders>
              <w:top w:val="single" w:color="auto" w:sz="12" w:space="0"/>
              <w:bottom w:val="double" w:color="auto" w:sz="6" w:space="0"/>
            </w:tcBorders>
            <w:vAlign w:val="center"/>
          </w:tcPr>
          <w:p w14:paraId="4DA80FAA">
            <w:pPr>
              <w:keepNext/>
              <w:spacing w:line="440" w:lineRule="exact"/>
              <w:jc w:val="center"/>
              <w:rPr>
                <w:rFonts w:cs="宋体"/>
                <w:color w:val="auto"/>
                <w:szCs w:val="21"/>
                <w:highlight w:val="none"/>
              </w:rPr>
            </w:pPr>
            <w:r>
              <w:rPr>
                <w:rFonts w:hint="eastAsia" w:cs="宋体"/>
                <w:color w:val="auto"/>
                <w:szCs w:val="21"/>
                <w:highlight w:val="none"/>
              </w:rPr>
              <w:t>备注</w:t>
            </w:r>
          </w:p>
        </w:tc>
      </w:tr>
      <w:tr w14:paraId="6A9B6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double" w:color="auto" w:sz="6" w:space="0"/>
            </w:tcBorders>
            <w:vAlign w:val="center"/>
          </w:tcPr>
          <w:p w14:paraId="7F661C48">
            <w:pPr>
              <w:keepNext/>
              <w:spacing w:line="440" w:lineRule="exact"/>
              <w:jc w:val="center"/>
              <w:rPr>
                <w:rFonts w:cs="宋体"/>
                <w:color w:val="auto"/>
                <w:szCs w:val="21"/>
                <w:highlight w:val="none"/>
              </w:rPr>
            </w:pPr>
          </w:p>
        </w:tc>
        <w:tc>
          <w:tcPr>
            <w:tcW w:w="1094" w:type="pct"/>
            <w:tcBorders>
              <w:top w:val="double" w:color="auto" w:sz="6" w:space="0"/>
            </w:tcBorders>
            <w:vAlign w:val="center"/>
          </w:tcPr>
          <w:p w14:paraId="02516019">
            <w:pPr>
              <w:keepNext/>
              <w:spacing w:line="440" w:lineRule="exact"/>
              <w:jc w:val="center"/>
              <w:rPr>
                <w:rFonts w:cs="宋体"/>
                <w:color w:val="auto"/>
                <w:szCs w:val="21"/>
                <w:highlight w:val="none"/>
              </w:rPr>
            </w:pPr>
          </w:p>
        </w:tc>
        <w:tc>
          <w:tcPr>
            <w:tcW w:w="468" w:type="pct"/>
            <w:tcBorders>
              <w:top w:val="double" w:color="auto" w:sz="6" w:space="0"/>
            </w:tcBorders>
            <w:vAlign w:val="center"/>
          </w:tcPr>
          <w:p w14:paraId="29F28B12">
            <w:pPr>
              <w:keepNext/>
              <w:spacing w:line="440" w:lineRule="exact"/>
              <w:jc w:val="center"/>
              <w:rPr>
                <w:rFonts w:cs="宋体"/>
                <w:color w:val="auto"/>
                <w:szCs w:val="21"/>
                <w:highlight w:val="none"/>
              </w:rPr>
            </w:pPr>
          </w:p>
        </w:tc>
        <w:tc>
          <w:tcPr>
            <w:tcW w:w="426" w:type="pct"/>
            <w:tcBorders>
              <w:top w:val="double" w:color="auto" w:sz="6" w:space="0"/>
            </w:tcBorders>
            <w:vAlign w:val="center"/>
          </w:tcPr>
          <w:p w14:paraId="140B0A4A">
            <w:pPr>
              <w:keepNext/>
              <w:spacing w:line="440" w:lineRule="exact"/>
              <w:jc w:val="center"/>
              <w:rPr>
                <w:rFonts w:cs="宋体"/>
                <w:color w:val="auto"/>
                <w:szCs w:val="21"/>
                <w:highlight w:val="none"/>
              </w:rPr>
            </w:pPr>
          </w:p>
        </w:tc>
        <w:tc>
          <w:tcPr>
            <w:tcW w:w="745" w:type="pct"/>
            <w:tcBorders>
              <w:top w:val="double" w:color="auto" w:sz="6" w:space="0"/>
            </w:tcBorders>
            <w:vAlign w:val="center"/>
          </w:tcPr>
          <w:p w14:paraId="75CBE8FA">
            <w:pPr>
              <w:keepNext/>
              <w:spacing w:line="440" w:lineRule="exact"/>
              <w:jc w:val="center"/>
              <w:rPr>
                <w:rFonts w:cs="宋体"/>
                <w:color w:val="auto"/>
                <w:szCs w:val="21"/>
                <w:highlight w:val="none"/>
              </w:rPr>
            </w:pPr>
          </w:p>
        </w:tc>
        <w:tc>
          <w:tcPr>
            <w:tcW w:w="781" w:type="pct"/>
            <w:tcBorders>
              <w:top w:val="double" w:color="auto" w:sz="6" w:space="0"/>
            </w:tcBorders>
            <w:vAlign w:val="center"/>
          </w:tcPr>
          <w:p w14:paraId="1B11B4DC">
            <w:pPr>
              <w:keepNext/>
              <w:spacing w:line="440" w:lineRule="exact"/>
              <w:jc w:val="center"/>
              <w:rPr>
                <w:rFonts w:cs="宋体"/>
                <w:color w:val="auto"/>
                <w:szCs w:val="21"/>
                <w:highlight w:val="none"/>
              </w:rPr>
            </w:pPr>
          </w:p>
        </w:tc>
        <w:tc>
          <w:tcPr>
            <w:tcW w:w="938" w:type="pct"/>
            <w:tcBorders>
              <w:top w:val="double" w:color="auto" w:sz="6" w:space="0"/>
            </w:tcBorders>
            <w:vAlign w:val="center"/>
          </w:tcPr>
          <w:p w14:paraId="690AB339">
            <w:pPr>
              <w:keepNext/>
              <w:spacing w:line="440" w:lineRule="exact"/>
              <w:jc w:val="center"/>
              <w:rPr>
                <w:rFonts w:cs="宋体"/>
                <w:color w:val="auto"/>
                <w:szCs w:val="21"/>
                <w:highlight w:val="none"/>
              </w:rPr>
            </w:pPr>
          </w:p>
        </w:tc>
      </w:tr>
      <w:tr w14:paraId="0C74E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nil"/>
            </w:tcBorders>
            <w:vAlign w:val="center"/>
          </w:tcPr>
          <w:p w14:paraId="0598FB99">
            <w:pPr>
              <w:keepNext/>
              <w:spacing w:line="440" w:lineRule="exact"/>
              <w:jc w:val="center"/>
              <w:rPr>
                <w:rFonts w:cs="宋体"/>
                <w:color w:val="auto"/>
                <w:szCs w:val="21"/>
                <w:highlight w:val="none"/>
              </w:rPr>
            </w:pPr>
          </w:p>
        </w:tc>
        <w:tc>
          <w:tcPr>
            <w:tcW w:w="1094" w:type="pct"/>
            <w:tcBorders>
              <w:top w:val="nil"/>
            </w:tcBorders>
            <w:vAlign w:val="center"/>
          </w:tcPr>
          <w:p w14:paraId="51092364">
            <w:pPr>
              <w:keepNext/>
              <w:spacing w:line="440" w:lineRule="exact"/>
              <w:jc w:val="center"/>
              <w:rPr>
                <w:rFonts w:cs="宋体"/>
                <w:color w:val="auto"/>
                <w:szCs w:val="21"/>
                <w:highlight w:val="none"/>
              </w:rPr>
            </w:pPr>
          </w:p>
        </w:tc>
        <w:tc>
          <w:tcPr>
            <w:tcW w:w="468" w:type="pct"/>
            <w:tcBorders>
              <w:top w:val="nil"/>
            </w:tcBorders>
            <w:vAlign w:val="center"/>
          </w:tcPr>
          <w:p w14:paraId="0BDE01CD">
            <w:pPr>
              <w:keepNext/>
              <w:spacing w:line="440" w:lineRule="exact"/>
              <w:jc w:val="center"/>
              <w:rPr>
                <w:rFonts w:cs="宋体"/>
                <w:color w:val="auto"/>
                <w:szCs w:val="21"/>
                <w:highlight w:val="none"/>
              </w:rPr>
            </w:pPr>
          </w:p>
        </w:tc>
        <w:tc>
          <w:tcPr>
            <w:tcW w:w="426" w:type="pct"/>
            <w:tcBorders>
              <w:top w:val="nil"/>
            </w:tcBorders>
            <w:vAlign w:val="center"/>
          </w:tcPr>
          <w:p w14:paraId="05214998">
            <w:pPr>
              <w:keepNext/>
              <w:spacing w:line="440" w:lineRule="exact"/>
              <w:jc w:val="center"/>
              <w:rPr>
                <w:rFonts w:cs="宋体"/>
                <w:color w:val="auto"/>
                <w:szCs w:val="21"/>
                <w:highlight w:val="none"/>
              </w:rPr>
            </w:pPr>
          </w:p>
        </w:tc>
        <w:tc>
          <w:tcPr>
            <w:tcW w:w="745" w:type="pct"/>
            <w:tcBorders>
              <w:top w:val="nil"/>
            </w:tcBorders>
            <w:vAlign w:val="center"/>
          </w:tcPr>
          <w:p w14:paraId="0EF90976">
            <w:pPr>
              <w:keepNext/>
              <w:spacing w:line="440" w:lineRule="exact"/>
              <w:jc w:val="center"/>
              <w:rPr>
                <w:rFonts w:cs="宋体"/>
                <w:color w:val="auto"/>
                <w:szCs w:val="21"/>
                <w:highlight w:val="none"/>
              </w:rPr>
            </w:pPr>
          </w:p>
        </w:tc>
        <w:tc>
          <w:tcPr>
            <w:tcW w:w="781" w:type="pct"/>
            <w:tcBorders>
              <w:top w:val="nil"/>
            </w:tcBorders>
            <w:vAlign w:val="center"/>
          </w:tcPr>
          <w:p w14:paraId="183F0C2F">
            <w:pPr>
              <w:keepNext/>
              <w:spacing w:line="440" w:lineRule="exact"/>
              <w:jc w:val="center"/>
              <w:rPr>
                <w:rFonts w:cs="宋体"/>
                <w:color w:val="auto"/>
                <w:szCs w:val="21"/>
                <w:highlight w:val="none"/>
              </w:rPr>
            </w:pPr>
          </w:p>
        </w:tc>
        <w:tc>
          <w:tcPr>
            <w:tcW w:w="938" w:type="pct"/>
            <w:tcBorders>
              <w:top w:val="nil"/>
            </w:tcBorders>
            <w:vAlign w:val="center"/>
          </w:tcPr>
          <w:p w14:paraId="59710E4D">
            <w:pPr>
              <w:keepNext/>
              <w:spacing w:line="440" w:lineRule="exact"/>
              <w:jc w:val="center"/>
              <w:rPr>
                <w:rFonts w:cs="宋体"/>
                <w:color w:val="auto"/>
                <w:szCs w:val="21"/>
                <w:highlight w:val="none"/>
              </w:rPr>
            </w:pPr>
          </w:p>
        </w:tc>
      </w:tr>
      <w:tr w14:paraId="685E5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vAlign w:val="center"/>
          </w:tcPr>
          <w:p w14:paraId="567B60BE">
            <w:pPr>
              <w:keepNext/>
              <w:spacing w:line="440" w:lineRule="exact"/>
              <w:jc w:val="center"/>
              <w:rPr>
                <w:rFonts w:cs="宋体"/>
                <w:color w:val="auto"/>
                <w:szCs w:val="21"/>
                <w:highlight w:val="none"/>
              </w:rPr>
            </w:pPr>
          </w:p>
        </w:tc>
        <w:tc>
          <w:tcPr>
            <w:tcW w:w="1094" w:type="pct"/>
            <w:vAlign w:val="center"/>
          </w:tcPr>
          <w:p w14:paraId="19971649">
            <w:pPr>
              <w:keepNext/>
              <w:spacing w:line="440" w:lineRule="exact"/>
              <w:jc w:val="center"/>
              <w:rPr>
                <w:rFonts w:cs="宋体"/>
                <w:color w:val="auto"/>
                <w:szCs w:val="21"/>
                <w:highlight w:val="none"/>
              </w:rPr>
            </w:pPr>
          </w:p>
        </w:tc>
        <w:tc>
          <w:tcPr>
            <w:tcW w:w="468" w:type="pct"/>
            <w:vAlign w:val="center"/>
          </w:tcPr>
          <w:p w14:paraId="4FE4DC36">
            <w:pPr>
              <w:keepNext/>
              <w:spacing w:line="440" w:lineRule="exact"/>
              <w:jc w:val="center"/>
              <w:rPr>
                <w:rFonts w:cs="宋体"/>
                <w:color w:val="auto"/>
                <w:szCs w:val="21"/>
                <w:highlight w:val="none"/>
              </w:rPr>
            </w:pPr>
          </w:p>
        </w:tc>
        <w:tc>
          <w:tcPr>
            <w:tcW w:w="426" w:type="pct"/>
            <w:vAlign w:val="center"/>
          </w:tcPr>
          <w:p w14:paraId="291D62F5">
            <w:pPr>
              <w:keepNext/>
              <w:spacing w:line="440" w:lineRule="exact"/>
              <w:jc w:val="center"/>
              <w:rPr>
                <w:rFonts w:cs="宋体"/>
                <w:color w:val="auto"/>
                <w:szCs w:val="21"/>
                <w:highlight w:val="none"/>
              </w:rPr>
            </w:pPr>
          </w:p>
        </w:tc>
        <w:tc>
          <w:tcPr>
            <w:tcW w:w="745" w:type="pct"/>
            <w:vAlign w:val="center"/>
          </w:tcPr>
          <w:p w14:paraId="0AD112CC">
            <w:pPr>
              <w:keepNext/>
              <w:spacing w:line="440" w:lineRule="exact"/>
              <w:jc w:val="center"/>
              <w:rPr>
                <w:rFonts w:cs="宋体"/>
                <w:color w:val="auto"/>
                <w:szCs w:val="21"/>
                <w:highlight w:val="none"/>
              </w:rPr>
            </w:pPr>
          </w:p>
        </w:tc>
        <w:tc>
          <w:tcPr>
            <w:tcW w:w="781" w:type="pct"/>
            <w:vAlign w:val="center"/>
          </w:tcPr>
          <w:p w14:paraId="1C16B040">
            <w:pPr>
              <w:keepNext/>
              <w:spacing w:line="440" w:lineRule="exact"/>
              <w:jc w:val="center"/>
              <w:rPr>
                <w:rFonts w:cs="宋体"/>
                <w:color w:val="auto"/>
                <w:szCs w:val="21"/>
                <w:highlight w:val="none"/>
              </w:rPr>
            </w:pPr>
          </w:p>
        </w:tc>
        <w:tc>
          <w:tcPr>
            <w:tcW w:w="938" w:type="pct"/>
            <w:vAlign w:val="center"/>
          </w:tcPr>
          <w:p w14:paraId="064891CC">
            <w:pPr>
              <w:keepNext/>
              <w:spacing w:line="440" w:lineRule="exact"/>
              <w:jc w:val="center"/>
              <w:rPr>
                <w:rFonts w:cs="宋体"/>
                <w:color w:val="auto"/>
                <w:szCs w:val="21"/>
                <w:highlight w:val="none"/>
              </w:rPr>
            </w:pPr>
          </w:p>
        </w:tc>
      </w:tr>
      <w:tr w14:paraId="28D71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vAlign w:val="center"/>
          </w:tcPr>
          <w:p w14:paraId="70009A95">
            <w:pPr>
              <w:keepNext/>
              <w:spacing w:line="440" w:lineRule="exact"/>
              <w:jc w:val="center"/>
              <w:rPr>
                <w:rFonts w:cs="宋体"/>
                <w:color w:val="auto"/>
                <w:szCs w:val="21"/>
                <w:highlight w:val="none"/>
              </w:rPr>
            </w:pPr>
          </w:p>
        </w:tc>
        <w:tc>
          <w:tcPr>
            <w:tcW w:w="1094" w:type="pct"/>
            <w:vAlign w:val="center"/>
          </w:tcPr>
          <w:p w14:paraId="16DAB24A">
            <w:pPr>
              <w:keepNext/>
              <w:spacing w:line="440" w:lineRule="exact"/>
              <w:jc w:val="center"/>
              <w:rPr>
                <w:rFonts w:cs="宋体"/>
                <w:color w:val="auto"/>
                <w:szCs w:val="21"/>
                <w:highlight w:val="none"/>
              </w:rPr>
            </w:pPr>
          </w:p>
        </w:tc>
        <w:tc>
          <w:tcPr>
            <w:tcW w:w="468" w:type="pct"/>
            <w:vAlign w:val="center"/>
          </w:tcPr>
          <w:p w14:paraId="1BEB47F5">
            <w:pPr>
              <w:keepNext/>
              <w:spacing w:line="440" w:lineRule="exact"/>
              <w:jc w:val="center"/>
              <w:rPr>
                <w:rFonts w:cs="宋体"/>
                <w:color w:val="auto"/>
                <w:szCs w:val="21"/>
                <w:highlight w:val="none"/>
              </w:rPr>
            </w:pPr>
          </w:p>
        </w:tc>
        <w:tc>
          <w:tcPr>
            <w:tcW w:w="426" w:type="pct"/>
            <w:vAlign w:val="center"/>
          </w:tcPr>
          <w:p w14:paraId="4F21B982">
            <w:pPr>
              <w:keepNext/>
              <w:spacing w:line="440" w:lineRule="exact"/>
              <w:jc w:val="center"/>
              <w:rPr>
                <w:rFonts w:cs="宋体"/>
                <w:color w:val="auto"/>
                <w:szCs w:val="21"/>
                <w:highlight w:val="none"/>
              </w:rPr>
            </w:pPr>
          </w:p>
        </w:tc>
        <w:tc>
          <w:tcPr>
            <w:tcW w:w="745" w:type="pct"/>
            <w:vAlign w:val="center"/>
          </w:tcPr>
          <w:p w14:paraId="4C1C6BF6">
            <w:pPr>
              <w:keepNext/>
              <w:spacing w:line="440" w:lineRule="exact"/>
              <w:jc w:val="center"/>
              <w:rPr>
                <w:rFonts w:cs="宋体"/>
                <w:color w:val="auto"/>
                <w:szCs w:val="21"/>
                <w:highlight w:val="none"/>
              </w:rPr>
            </w:pPr>
          </w:p>
        </w:tc>
        <w:tc>
          <w:tcPr>
            <w:tcW w:w="781" w:type="pct"/>
            <w:vAlign w:val="center"/>
          </w:tcPr>
          <w:p w14:paraId="0B759A99">
            <w:pPr>
              <w:keepNext/>
              <w:spacing w:line="440" w:lineRule="exact"/>
              <w:jc w:val="center"/>
              <w:rPr>
                <w:rFonts w:cs="宋体"/>
                <w:color w:val="auto"/>
                <w:szCs w:val="21"/>
                <w:highlight w:val="none"/>
              </w:rPr>
            </w:pPr>
          </w:p>
        </w:tc>
        <w:tc>
          <w:tcPr>
            <w:tcW w:w="938" w:type="pct"/>
            <w:vAlign w:val="center"/>
          </w:tcPr>
          <w:p w14:paraId="7BAA8D63">
            <w:pPr>
              <w:keepNext/>
              <w:spacing w:line="440" w:lineRule="exact"/>
              <w:jc w:val="center"/>
              <w:rPr>
                <w:rFonts w:cs="宋体"/>
                <w:color w:val="auto"/>
                <w:szCs w:val="21"/>
                <w:highlight w:val="none"/>
              </w:rPr>
            </w:pPr>
          </w:p>
        </w:tc>
      </w:tr>
      <w:tr w14:paraId="7B4CB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bottom w:val="single" w:color="auto" w:sz="12" w:space="0"/>
            </w:tcBorders>
            <w:vAlign w:val="center"/>
          </w:tcPr>
          <w:p w14:paraId="2E5B4E6E">
            <w:pPr>
              <w:keepNext/>
              <w:spacing w:line="440" w:lineRule="exact"/>
              <w:jc w:val="center"/>
              <w:rPr>
                <w:rFonts w:cs="宋体"/>
                <w:color w:val="auto"/>
                <w:szCs w:val="21"/>
                <w:highlight w:val="none"/>
              </w:rPr>
            </w:pPr>
          </w:p>
        </w:tc>
        <w:tc>
          <w:tcPr>
            <w:tcW w:w="1094" w:type="pct"/>
            <w:tcBorders>
              <w:bottom w:val="single" w:color="auto" w:sz="12" w:space="0"/>
            </w:tcBorders>
            <w:vAlign w:val="center"/>
          </w:tcPr>
          <w:p w14:paraId="64246AB8">
            <w:pPr>
              <w:keepNext/>
              <w:spacing w:line="440" w:lineRule="exact"/>
              <w:jc w:val="center"/>
              <w:rPr>
                <w:rFonts w:cs="宋体"/>
                <w:color w:val="auto"/>
                <w:szCs w:val="21"/>
                <w:highlight w:val="none"/>
              </w:rPr>
            </w:pPr>
          </w:p>
        </w:tc>
        <w:tc>
          <w:tcPr>
            <w:tcW w:w="468" w:type="pct"/>
            <w:tcBorders>
              <w:bottom w:val="single" w:color="auto" w:sz="12" w:space="0"/>
            </w:tcBorders>
            <w:vAlign w:val="center"/>
          </w:tcPr>
          <w:p w14:paraId="6A502417">
            <w:pPr>
              <w:keepNext/>
              <w:spacing w:line="440" w:lineRule="exact"/>
              <w:jc w:val="center"/>
              <w:rPr>
                <w:rFonts w:cs="宋体"/>
                <w:color w:val="auto"/>
                <w:szCs w:val="21"/>
                <w:highlight w:val="none"/>
              </w:rPr>
            </w:pPr>
          </w:p>
        </w:tc>
        <w:tc>
          <w:tcPr>
            <w:tcW w:w="426" w:type="pct"/>
            <w:tcBorders>
              <w:bottom w:val="single" w:color="auto" w:sz="12" w:space="0"/>
            </w:tcBorders>
            <w:vAlign w:val="center"/>
          </w:tcPr>
          <w:p w14:paraId="45DAD7D4">
            <w:pPr>
              <w:keepNext/>
              <w:spacing w:line="440" w:lineRule="exact"/>
              <w:jc w:val="center"/>
              <w:rPr>
                <w:rFonts w:cs="宋体"/>
                <w:color w:val="auto"/>
                <w:szCs w:val="21"/>
                <w:highlight w:val="none"/>
              </w:rPr>
            </w:pPr>
          </w:p>
        </w:tc>
        <w:tc>
          <w:tcPr>
            <w:tcW w:w="745" w:type="pct"/>
            <w:tcBorders>
              <w:bottom w:val="single" w:color="auto" w:sz="12" w:space="0"/>
            </w:tcBorders>
            <w:vAlign w:val="center"/>
          </w:tcPr>
          <w:p w14:paraId="596265B3">
            <w:pPr>
              <w:keepNext/>
              <w:spacing w:line="440" w:lineRule="exact"/>
              <w:jc w:val="center"/>
              <w:rPr>
                <w:rFonts w:cs="宋体"/>
                <w:color w:val="auto"/>
                <w:szCs w:val="21"/>
                <w:highlight w:val="none"/>
              </w:rPr>
            </w:pPr>
          </w:p>
        </w:tc>
        <w:tc>
          <w:tcPr>
            <w:tcW w:w="781" w:type="pct"/>
            <w:tcBorders>
              <w:bottom w:val="single" w:color="auto" w:sz="12" w:space="0"/>
            </w:tcBorders>
            <w:vAlign w:val="center"/>
          </w:tcPr>
          <w:p w14:paraId="104DC74A">
            <w:pPr>
              <w:keepNext/>
              <w:spacing w:line="440" w:lineRule="exact"/>
              <w:jc w:val="center"/>
              <w:rPr>
                <w:rFonts w:cs="宋体"/>
                <w:color w:val="auto"/>
                <w:szCs w:val="21"/>
                <w:highlight w:val="none"/>
              </w:rPr>
            </w:pPr>
          </w:p>
        </w:tc>
        <w:tc>
          <w:tcPr>
            <w:tcW w:w="938" w:type="pct"/>
            <w:tcBorders>
              <w:bottom w:val="single" w:color="auto" w:sz="12" w:space="0"/>
            </w:tcBorders>
            <w:vAlign w:val="center"/>
          </w:tcPr>
          <w:p w14:paraId="195C5C15">
            <w:pPr>
              <w:keepNext/>
              <w:spacing w:line="440" w:lineRule="exact"/>
              <w:jc w:val="center"/>
              <w:rPr>
                <w:rFonts w:cs="宋体"/>
                <w:color w:val="auto"/>
                <w:szCs w:val="21"/>
                <w:highlight w:val="none"/>
              </w:rPr>
            </w:pPr>
          </w:p>
        </w:tc>
      </w:tr>
    </w:tbl>
    <w:p w14:paraId="7B5792FB">
      <w:pPr>
        <w:spacing w:before="156" w:beforeLines="50" w:after="156" w:afterLines="50" w:line="440" w:lineRule="exact"/>
        <w:jc w:val="center"/>
        <w:rPr>
          <w:rFonts w:cs="宋体"/>
          <w:color w:val="auto"/>
          <w:szCs w:val="21"/>
          <w:highlight w:val="none"/>
        </w:rPr>
      </w:pPr>
      <w:r>
        <w:rPr>
          <w:rFonts w:hint="eastAsia" w:cs="宋体"/>
          <w:color w:val="auto"/>
          <w:szCs w:val="21"/>
          <w:highlight w:val="none"/>
        </w:rPr>
        <w:t>12-2：工程设备暂估价表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6"/>
        <w:gridCol w:w="1830"/>
        <w:gridCol w:w="783"/>
        <w:gridCol w:w="712"/>
        <w:gridCol w:w="1246"/>
        <w:gridCol w:w="1306"/>
        <w:gridCol w:w="1569"/>
      </w:tblGrid>
      <w:tr w14:paraId="6DAE8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single" w:color="auto" w:sz="12" w:space="0"/>
              <w:bottom w:val="double" w:color="auto" w:sz="6" w:space="0"/>
            </w:tcBorders>
            <w:vAlign w:val="center"/>
          </w:tcPr>
          <w:p w14:paraId="04E652AD">
            <w:pPr>
              <w:keepNext/>
              <w:spacing w:line="440" w:lineRule="exact"/>
              <w:jc w:val="center"/>
              <w:rPr>
                <w:rFonts w:cs="宋体"/>
                <w:color w:val="auto"/>
                <w:szCs w:val="21"/>
                <w:highlight w:val="none"/>
              </w:rPr>
            </w:pPr>
            <w:r>
              <w:rPr>
                <w:rFonts w:hint="eastAsia" w:cs="宋体"/>
                <w:color w:val="auto"/>
                <w:szCs w:val="21"/>
                <w:highlight w:val="none"/>
              </w:rPr>
              <w:t>序号</w:t>
            </w:r>
          </w:p>
        </w:tc>
        <w:tc>
          <w:tcPr>
            <w:tcW w:w="1094" w:type="pct"/>
            <w:tcBorders>
              <w:top w:val="single" w:color="auto" w:sz="12" w:space="0"/>
              <w:bottom w:val="double" w:color="auto" w:sz="6" w:space="0"/>
            </w:tcBorders>
            <w:vAlign w:val="center"/>
          </w:tcPr>
          <w:p w14:paraId="3A980766">
            <w:pPr>
              <w:keepNext/>
              <w:spacing w:line="440" w:lineRule="exact"/>
              <w:jc w:val="center"/>
              <w:rPr>
                <w:rFonts w:cs="宋体"/>
                <w:color w:val="auto"/>
                <w:szCs w:val="21"/>
                <w:highlight w:val="none"/>
              </w:rPr>
            </w:pPr>
            <w:r>
              <w:rPr>
                <w:rFonts w:hint="eastAsia" w:cs="宋体"/>
                <w:color w:val="auto"/>
                <w:szCs w:val="21"/>
                <w:highlight w:val="none"/>
              </w:rPr>
              <w:t>名称</w:t>
            </w:r>
          </w:p>
        </w:tc>
        <w:tc>
          <w:tcPr>
            <w:tcW w:w="468" w:type="pct"/>
            <w:tcBorders>
              <w:top w:val="single" w:color="auto" w:sz="12" w:space="0"/>
              <w:bottom w:val="double" w:color="auto" w:sz="6" w:space="0"/>
            </w:tcBorders>
            <w:vAlign w:val="center"/>
          </w:tcPr>
          <w:p w14:paraId="1004659F">
            <w:pPr>
              <w:keepNext/>
              <w:spacing w:line="440" w:lineRule="exact"/>
              <w:jc w:val="center"/>
              <w:rPr>
                <w:rFonts w:cs="宋体"/>
                <w:color w:val="auto"/>
                <w:szCs w:val="21"/>
                <w:highlight w:val="none"/>
              </w:rPr>
            </w:pPr>
            <w:r>
              <w:rPr>
                <w:rFonts w:hint="eastAsia" w:cs="宋体"/>
                <w:color w:val="auto"/>
                <w:szCs w:val="21"/>
                <w:highlight w:val="none"/>
              </w:rPr>
              <w:t>单位</w:t>
            </w:r>
          </w:p>
        </w:tc>
        <w:tc>
          <w:tcPr>
            <w:tcW w:w="426" w:type="pct"/>
            <w:tcBorders>
              <w:top w:val="single" w:color="auto" w:sz="12" w:space="0"/>
              <w:bottom w:val="double" w:color="auto" w:sz="6" w:space="0"/>
            </w:tcBorders>
            <w:vAlign w:val="center"/>
          </w:tcPr>
          <w:p w14:paraId="366BBA68">
            <w:pPr>
              <w:keepNext/>
              <w:spacing w:line="440" w:lineRule="exact"/>
              <w:jc w:val="center"/>
              <w:rPr>
                <w:rFonts w:cs="宋体"/>
                <w:color w:val="auto"/>
                <w:szCs w:val="21"/>
                <w:highlight w:val="none"/>
              </w:rPr>
            </w:pPr>
            <w:r>
              <w:rPr>
                <w:rFonts w:hint="eastAsia" w:cs="宋体"/>
                <w:color w:val="auto"/>
                <w:szCs w:val="21"/>
                <w:highlight w:val="none"/>
              </w:rPr>
              <w:t>数量</w:t>
            </w:r>
          </w:p>
        </w:tc>
        <w:tc>
          <w:tcPr>
            <w:tcW w:w="745" w:type="pct"/>
            <w:tcBorders>
              <w:top w:val="single" w:color="auto" w:sz="12" w:space="0"/>
              <w:bottom w:val="double" w:color="auto" w:sz="6" w:space="0"/>
            </w:tcBorders>
            <w:vAlign w:val="center"/>
          </w:tcPr>
          <w:p w14:paraId="256D990B">
            <w:pPr>
              <w:keepNext/>
              <w:spacing w:line="440" w:lineRule="exact"/>
              <w:jc w:val="center"/>
              <w:rPr>
                <w:rFonts w:cs="宋体"/>
                <w:color w:val="auto"/>
                <w:szCs w:val="21"/>
                <w:highlight w:val="none"/>
              </w:rPr>
            </w:pPr>
            <w:r>
              <w:rPr>
                <w:rFonts w:hint="eastAsia" w:cs="宋体"/>
                <w:color w:val="auto"/>
                <w:szCs w:val="21"/>
                <w:highlight w:val="none"/>
              </w:rPr>
              <w:t>单价（元）</w:t>
            </w:r>
          </w:p>
        </w:tc>
        <w:tc>
          <w:tcPr>
            <w:tcW w:w="781" w:type="pct"/>
            <w:tcBorders>
              <w:top w:val="single" w:color="auto" w:sz="12" w:space="0"/>
              <w:bottom w:val="double" w:color="auto" w:sz="6" w:space="0"/>
            </w:tcBorders>
            <w:vAlign w:val="center"/>
          </w:tcPr>
          <w:p w14:paraId="48AE57A7">
            <w:pPr>
              <w:keepNext/>
              <w:spacing w:line="440" w:lineRule="exact"/>
              <w:jc w:val="center"/>
              <w:rPr>
                <w:rFonts w:cs="宋体"/>
                <w:color w:val="auto"/>
                <w:szCs w:val="21"/>
                <w:highlight w:val="none"/>
              </w:rPr>
            </w:pPr>
            <w:r>
              <w:rPr>
                <w:rFonts w:hint="eastAsia" w:cs="宋体"/>
                <w:color w:val="auto"/>
                <w:szCs w:val="21"/>
                <w:highlight w:val="none"/>
              </w:rPr>
              <w:t>合价（元）</w:t>
            </w:r>
          </w:p>
        </w:tc>
        <w:tc>
          <w:tcPr>
            <w:tcW w:w="938" w:type="pct"/>
            <w:tcBorders>
              <w:top w:val="single" w:color="auto" w:sz="12" w:space="0"/>
              <w:bottom w:val="double" w:color="auto" w:sz="6" w:space="0"/>
            </w:tcBorders>
            <w:vAlign w:val="center"/>
          </w:tcPr>
          <w:p w14:paraId="297DEB2F">
            <w:pPr>
              <w:keepNext/>
              <w:spacing w:line="440" w:lineRule="exact"/>
              <w:jc w:val="center"/>
              <w:rPr>
                <w:rFonts w:cs="宋体"/>
                <w:color w:val="auto"/>
                <w:szCs w:val="21"/>
                <w:highlight w:val="none"/>
              </w:rPr>
            </w:pPr>
            <w:r>
              <w:rPr>
                <w:rFonts w:hint="eastAsia" w:cs="宋体"/>
                <w:color w:val="auto"/>
                <w:szCs w:val="21"/>
                <w:highlight w:val="none"/>
              </w:rPr>
              <w:t>备注</w:t>
            </w:r>
          </w:p>
        </w:tc>
      </w:tr>
      <w:tr w14:paraId="594C8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double" w:color="auto" w:sz="6" w:space="0"/>
            </w:tcBorders>
            <w:vAlign w:val="center"/>
          </w:tcPr>
          <w:p w14:paraId="4A11358D">
            <w:pPr>
              <w:keepNext/>
              <w:spacing w:line="440" w:lineRule="exact"/>
              <w:jc w:val="center"/>
              <w:rPr>
                <w:rFonts w:cs="宋体"/>
                <w:color w:val="auto"/>
                <w:szCs w:val="21"/>
                <w:highlight w:val="none"/>
              </w:rPr>
            </w:pPr>
          </w:p>
        </w:tc>
        <w:tc>
          <w:tcPr>
            <w:tcW w:w="1094" w:type="pct"/>
            <w:tcBorders>
              <w:top w:val="double" w:color="auto" w:sz="6" w:space="0"/>
            </w:tcBorders>
            <w:vAlign w:val="center"/>
          </w:tcPr>
          <w:p w14:paraId="58B5B85A">
            <w:pPr>
              <w:keepNext/>
              <w:spacing w:line="440" w:lineRule="exact"/>
              <w:jc w:val="center"/>
              <w:rPr>
                <w:rFonts w:cs="宋体"/>
                <w:color w:val="auto"/>
                <w:szCs w:val="21"/>
                <w:highlight w:val="none"/>
              </w:rPr>
            </w:pPr>
          </w:p>
        </w:tc>
        <w:tc>
          <w:tcPr>
            <w:tcW w:w="468" w:type="pct"/>
            <w:tcBorders>
              <w:top w:val="double" w:color="auto" w:sz="6" w:space="0"/>
            </w:tcBorders>
            <w:vAlign w:val="center"/>
          </w:tcPr>
          <w:p w14:paraId="20BCCBB5">
            <w:pPr>
              <w:keepNext/>
              <w:spacing w:line="440" w:lineRule="exact"/>
              <w:jc w:val="center"/>
              <w:rPr>
                <w:rFonts w:cs="宋体"/>
                <w:color w:val="auto"/>
                <w:szCs w:val="21"/>
                <w:highlight w:val="none"/>
              </w:rPr>
            </w:pPr>
          </w:p>
        </w:tc>
        <w:tc>
          <w:tcPr>
            <w:tcW w:w="426" w:type="pct"/>
            <w:tcBorders>
              <w:top w:val="double" w:color="auto" w:sz="6" w:space="0"/>
            </w:tcBorders>
            <w:vAlign w:val="center"/>
          </w:tcPr>
          <w:p w14:paraId="333FD281">
            <w:pPr>
              <w:keepNext/>
              <w:spacing w:line="440" w:lineRule="exact"/>
              <w:jc w:val="center"/>
              <w:rPr>
                <w:rFonts w:cs="宋体"/>
                <w:color w:val="auto"/>
                <w:szCs w:val="21"/>
                <w:highlight w:val="none"/>
              </w:rPr>
            </w:pPr>
          </w:p>
        </w:tc>
        <w:tc>
          <w:tcPr>
            <w:tcW w:w="745" w:type="pct"/>
            <w:tcBorders>
              <w:top w:val="double" w:color="auto" w:sz="6" w:space="0"/>
            </w:tcBorders>
            <w:vAlign w:val="center"/>
          </w:tcPr>
          <w:p w14:paraId="585FEB79">
            <w:pPr>
              <w:keepNext/>
              <w:spacing w:line="440" w:lineRule="exact"/>
              <w:jc w:val="center"/>
              <w:rPr>
                <w:rFonts w:cs="宋体"/>
                <w:color w:val="auto"/>
                <w:szCs w:val="21"/>
                <w:highlight w:val="none"/>
              </w:rPr>
            </w:pPr>
          </w:p>
        </w:tc>
        <w:tc>
          <w:tcPr>
            <w:tcW w:w="781" w:type="pct"/>
            <w:tcBorders>
              <w:top w:val="double" w:color="auto" w:sz="6" w:space="0"/>
            </w:tcBorders>
            <w:vAlign w:val="center"/>
          </w:tcPr>
          <w:p w14:paraId="7C3EDC33">
            <w:pPr>
              <w:keepNext/>
              <w:spacing w:line="440" w:lineRule="exact"/>
              <w:jc w:val="center"/>
              <w:rPr>
                <w:rFonts w:cs="宋体"/>
                <w:color w:val="auto"/>
                <w:szCs w:val="21"/>
                <w:highlight w:val="none"/>
              </w:rPr>
            </w:pPr>
          </w:p>
        </w:tc>
        <w:tc>
          <w:tcPr>
            <w:tcW w:w="938" w:type="pct"/>
            <w:tcBorders>
              <w:top w:val="double" w:color="auto" w:sz="6" w:space="0"/>
            </w:tcBorders>
            <w:vAlign w:val="center"/>
          </w:tcPr>
          <w:p w14:paraId="618D0779">
            <w:pPr>
              <w:keepNext/>
              <w:spacing w:line="440" w:lineRule="exact"/>
              <w:jc w:val="center"/>
              <w:rPr>
                <w:rFonts w:cs="宋体"/>
                <w:color w:val="auto"/>
                <w:szCs w:val="21"/>
                <w:highlight w:val="none"/>
              </w:rPr>
            </w:pPr>
          </w:p>
        </w:tc>
      </w:tr>
      <w:tr w14:paraId="21764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nil"/>
            </w:tcBorders>
            <w:vAlign w:val="center"/>
          </w:tcPr>
          <w:p w14:paraId="5A3ADEC6">
            <w:pPr>
              <w:keepNext/>
              <w:spacing w:line="440" w:lineRule="exact"/>
              <w:jc w:val="center"/>
              <w:rPr>
                <w:rFonts w:cs="宋体"/>
                <w:color w:val="auto"/>
                <w:szCs w:val="21"/>
                <w:highlight w:val="none"/>
              </w:rPr>
            </w:pPr>
          </w:p>
        </w:tc>
        <w:tc>
          <w:tcPr>
            <w:tcW w:w="1094" w:type="pct"/>
            <w:tcBorders>
              <w:top w:val="nil"/>
            </w:tcBorders>
            <w:vAlign w:val="center"/>
          </w:tcPr>
          <w:p w14:paraId="46FA5794">
            <w:pPr>
              <w:keepNext/>
              <w:spacing w:line="440" w:lineRule="exact"/>
              <w:jc w:val="center"/>
              <w:rPr>
                <w:rFonts w:cs="宋体"/>
                <w:color w:val="auto"/>
                <w:szCs w:val="21"/>
                <w:highlight w:val="none"/>
              </w:rPr>
            </w:pPr>
          </w:p>
        </w:tc>
        <w:tc>
          <w:tcPr>
            <w:tcW w:w="468" w:type="pct"/>
            <w:tcBorders>
              <w:top w:val="nil"/>
            </w:tcBorders>
            <w:vAlign w:val="center"/>
          </w:tcPr>
          <w:p w14:paraId="0FDC79AA">
            <w:pPr>
              <w:keepNext/>
              <w:spacing w:line="440" w:lineRule="exact"/>
              <w:jc w:val="center"/>
              <w:rPr>
                <w:rFonts w:cs="宋体"/>
                <w:color w:val="auto"/>
                <w:szCs w:val="21"/>
                <w:highlight w:val="none"/>
              </w:rPr>
            </w:pPr>
          </w:p>
        </w:tc>
        <w:tc>
          <w:tcPr>
            <w:tcW w:w="426" w:type="pct"/>
            <w:tcBorders>
              <w:top w:val="nil"/>
            </w:tcBorders>
            <w:vAlign w:val="center"/>
          </w:tcPr>
          <w:p w14:paraId="359A42A2">
            <w:pPr>
              <w:keepNext/>
              <w:spacing w:line="440" w:lineRule="exact"/>
              <w:jc w:val="center"/>
              <w:rPr>
                <w:rFonts w:cs="宋体"/>
                <w:color w:val="auto"/>
                <w:szCs w:val="21"/>
                <w:highlight w:val="none"/>
              </w:rPr>
            </w:pPr>
          </w:p>
        </w:tc>
        <w:tc>
          <w:tcPr>
            <w:tcW w:w="745" w:type="pct"/>
            <w:tcBorders>
              <w:top w:val="nil"/>
            </w:tcBorders>
            <w:vAlign w:val="center"/>
          </w:tcPr>
          <w:p w14:paraId="0FAC3BD3">
            <w:pPr>
              <w:keepNext/>
              <w:spacing w:line="440" w:lineRule="exact"/>
              <w:jc w:val="center"/>
              <w:rPr>
                <w:rFonts w:cs="宋体"/>
                <w:color w:val="auto"/>
                <w:szCs w:val="21"/>
                <w:highlight w:val="none"/>
              </w:rPr>
            </w:pPr>
          </w:p>
        </w:tc>
        <w:tc>
          <w:tcPr>
            <w:tcW w:w="781" w:type="pct"/>
            <w:tcBorders>
              <w:top w:val="nil"/>
            </w:tcBorders>
            <w:vAlign w:val="center"/>
          </w:tcPr>
          <w:p w14:paraId="4F0363BF">
            <w:pPr>
              <w:keepNext/>
              <w:spacing w:line="440" w:lineRule="exact"/>
              <w:jc w:val="center"/>
              <w:rPr>
                <w:rFonts w:cs="宋体"/>
                <w:color w:val="auto"/>
                <w:szCs w:val="21"/>
                <w:highlight w:val="none"/>
              </w:rPr>
            </w:pPr>
          </w:p>
        </w:tc>
        <w:tc>
          <w:tcPr>
            <w:tcW w:w="938" w:type="pct"/>
            <w:tcBorders>
              <w:top w:val="nil"/>
            </w:tcBorders>
            <w:vAlign w:val="center"/>
          </w:tcPr>
          <w:p w14:paraId="311F9D23">
            <w:pPr>
              <w:keepNext/>
              <w:spacing w:line="440" w:lineRule="exact"/>
              <w:jc w:val="center"/>
              <w:rPr>
                <w:rFonts w:cs="宋体"/>
                <w:color w:val="auto"/>
                <w:szCs w:val="21"/>
                <w:highlight w:val="none"/>
              </w:rPr>
            </w:pPr>
          </w:p>
        </w:tc>
      </w:tr>
      <w:tr w14:paraId="0D70D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vAlign w:val="center"/>
          </w:tcPr>
          <w:p w14:paraId="199B5BB3">
            <w:pPr>
              <w:keepNext/>
              <w:spacing w:line="440" w:lineRule="exact"/>
              <w:jc w:val="center"/>
              <w:rPr>
                <w:rFonts w:cs="宋体"/>
                <w:color w:val="auto"/>
                <w:szCs w:val="21"/>
                <w:highlight w:val="none"/>
              </w:rPr>
            </w:pPr>
          </w:p>
        </w:tc>
        <w:tc>
          <w:tcPr>
            <w:tcW w:w="1094" w:type="pct"/>
            <w:vAlign w:val="center"/>
          </w:tcPr>
          <w:p w14:paraId="153A79F6">
            <w:pPr>
              <w:keepNext/>
              <w:spacing w:line="440" w:lineRule="exact"/>
              <w:jc w:val="center"/>
              <w:rPr>
                <w:rFonts w:cs="宋体"/>
                <w:color w:val="auto"/>
                <w:szCs w:val="21"/>
                <w:highlight w:val="none"/>
              </w:rPr>
            </w:pPr>
          </w:p>
        </w:tc>
        <w:tc>
          <w:tcPr>
            <w:tcW w:w="468" w:type="pct"/>
            <w:vAlign w:val="center"/>
          </w:tcPr>
          <w:p w14:paraId="6FE7F293">
            <w:pPr>
              <w:keepNext/>
              <w:spacing w:line="440" w:lineRule="exact"/>
              <w:jc w:val="center"/>
              <w:rPr>
                <w:rFonts w:cs="宋体"/>
                <w:color w:val="auto"/>
                <w:szCs w:val="21"/>
                <w:highlight w:val="none"/>
              </w:rPr>
            </w:pPr>
          </w:p>
        </w:tc>
        <w:tc>
          <w:tcPr>
            <w:tcW w:w="426" w:type="pct"/>
            <w:vAlign w:val="center"/>
          </w:tcPr>
          <w:p w14:paraId="52C17723">
            <w:pPr>
              <w:keepNext/>
              <w:spacing w:line="440" w:lineRule="exact"/>
              <w:jc w:val="center"/>
              <w:rPr>
                <w:rFonts w:cs="宋体"/>
                <w:color w:val="auto"/>
                <w:szCs w:val="21"/>
                <w:highlight w:val="none"/>
              </w:rPr>
            </w:pPr>
          </w:p>
        </w:tc>
        <w:tc>
          <w:tcPr>
            <w:tcW w:w="745" w:type="pct"/>
            <w:vAlign w:val="center"/>
          </w:tcPr>
          <w:p w14:paraId="350FAC05">
            <w:pPr>
              <w:keepNext/>
              <w:spacing w:line="440" w:lineRule="exact"/>
              <w:jc w:val="center"/>
              <w:rPr>
                <w:rFonts w:cs="宋体"/>
                <w:color w:val="auto"/>
                <w:szCs w:val="21"/>
                <w:highlight w:val="none"/>
              </w:rPr>
            </w:pPr>
          </w:p>
        </w:tc>
        <w:tc>
          <w:tcPr>
            <w:tcW w:w="781" w:type="pct"/>
            <w:vAlign w:val="center"/>
          </w:tcPr>
          <w:p w14:paraId="638AE813">
            <w:pPr>
              <w:keepNext/>
              <w:spacing w:line="440" w:lineRule="exact"/>
              <w:jc w:val="center"/>
              <w:rPr>
                <w:rFonts w:cs="宋体"/>
                <w:color w:val="auto"/>
                <w:szCs w:val="21"/>
                <w:highlight w:val="none"/>
              </w:rPr>
            </w:pPr>
          </w:p>
        </w:tc>
        <w:tc>
          <w:tcPr>
            <w:tcW w:w="938" w:type="pct"/>
            <w:vAlign w:val="center"/>
          </w:tcPr>
          <w:p w14:paraId="3E762C02">
            <w:pPr>
              <w:keepNext/>
              <w:spacing w:line="440" w:lineRule="exact"/>
              <w:jc w:val="center"/>
              <w:rPr>
                <w:rFonts w:cs="宋体"/>
                <w:color w:val="auto"/>
                <w:szCs w:val="21"/>
                <w:highlight w:val="none"/>
              </w:rPr>
            </w:pPr>
          </w:p>
        </w:tc>
      </w:tr>
      <w:tr w14:paraId="05951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bottom w:val="single" w:color="auto" w:sz="12" w:space="0"/>
            </w:tcBorders>
            <w:vAlign w:val="center"/>
          </w:tcPr>
          <w:p w14:paraId="54683973">
            <w:pPr>
              <w:keepNext/>
              <w:spacing w:line="440" w:lineRule="exact"/>
              <w:jc w:val="center"/>
              <w:rPr>
                <w:rFonts w:cs="宋体"/>
                <w:color w:val="auto"/>
                <w:szCs w:val="21"/>
                <w:highlight w:val="none"/>
              </w:rPr>
            </w:pPr>
          </w:p>
        </w:tc>
        <w:tc>
          <w:tcPr>
            <w:tcW w:w="1094" w:type="pct"/>
            <w:tcBorders>
              <w:bottom w:val="single" w:color="auto" w:sz="12" w:space="0"/>
            </w:tcBorders>
            <w:vAlign w:val="center"/>
          </w:tcPr>
          <w:p w14:paraId="2E8821A1">
            <w:pPr>
              <w:keepNext/>
              <w:spacing w:line="440" w:lineRule="exact"/>
              <w:jc w:val="center"/>
              <w:rPr>
                <w:rFonts w:cs="宋体"/>
                <w:color w:val="auto"/>
                <w:szCs w:val="21"/>
                <w:highlight w:val="none"/>
              </w:rPr>
            </w:pPr>
          </w:p>
        </w:tc>
        <w:tc>
          <w:tcPr>
            <w:tcW w:w="468" w:type="pct"/>
            <w:tcBorders>
              <w:bottom w:val="single" w:color="auto" w:sz="12" w:space="0"/>
            </w:tcBorders>
            <w:vAlign w:val="center"/>
          </w:tcPr>
          <w:p w14:paraId="32A46D4E">
            <w:pPr>
              <w:keepNext/>
              <w:spacing w:line="440" w:lineRule="exact"/>
              <w:jc w:val="center"/>
              <w:rPr>
                <w:rFonts w:cs="宋体"/>
                <w:color w:val="auto"/>
                <w:szCs w:val="21"/>
                <w:highlight w:val="none"/>
              </w:rPr>
            </w:pPr>
          </w:p>
        </w:tc>
        <w:tc>
          <w:tcPr>
            <w:tcW w:w="426" w:type="pct"/>
            <w:tcBorders>
              <w:bottom w:val="single" w:color="auto" w:sz="12" w:space="0"/>
            </w:tcBorders>
            <w:vAlign w:val="center"/>
          </w:tcPr>
          <w:p w14:paraId="4CE6E52E">
            <w:pPr>
              <w:keepNext/>
              <w:spacing w:line="440" w:lineRule="exact"/>
              <w:jc w:val="center"/>
              <w:rPr>
                <w:rFonts w:cs="宋体"/>
                <w:color w:val="auto"/>
                <w:szCs w:val="21"/>
                <w:highlight w:val="none"/>
              </w:rPr>
            </w:pPr>
          </w:p>
        </w:tc>
        <w:tc>
          <w:tcPr>
            <w:tcW w:w="745" w:type="pct"/>
            <w:tcBorders>
              <w:bottom w:val="single" w:color="auto" w:sz="12" w:space="0"/>
            </w:tcBorders>
            <w:vAlign w:val="center"/>
          </w:tcPr>
          <w:p w14:paraId="419F7120">
            <w:pPr>
              <w:keepNext/>
              <w:spacing w:line="440" w:lineRule="exact"/>
              <w:jc w:val="center"/>
              <w:rPr>
                <w:rFonts w:cs="宋体"/>
                <w:color w:val="auto"/>
                <w:szCs w:val="21"/>
                <w:highlight w:val="none"/>
              </w:rPr>
            </w:pPr>
          </w:p>
        </w:tc>
        <w:tc>
          <w:tcPr>
            <w:tcW w:w="781" w:type="pct"/>
            <w:tcBorders>
              <w:bottom w:val="single" w:color="auto" w:sz="12" w:space="0"/>
            </w:tcBorders>
            <w:vAlign w:val="center"/>
          </w:tcPr>
          <w:p w14:paraId="36256444">
            <w:pPr>
              <w:keepNext/>
              <w:spacing w:line="440" w:lineRule="exact"/>
              <w:jc w:val="center"/>
              <w:rPr>
                <w:rFonts w:cs="宋体"/>
                <w:color w:val="auto"/>
                <w:szCs w:val="21"/>
                <w:highlight w:val="none"/>
              </w:rPr>
            </w:pPr>
          </w:p>
        </w:tc>
        <w:tc>
          <w:tcPr>
            <w:tcW w:w="938" w:type="pct"/>
            <w:tcBorders>
              <w:bottom w:val="single" w:color="auto" w:sz="12" w:space="0"/>
            </w:tcBorders>
            <w:vAlign w:val="center"/>
          </w:tcPr>
          <w:p w14:paraId="62908EE2">
            <w:pPr>
              <w:keepNext/>
              <w:spacing w:line="440" w:lineRule="exact"/>
              <w:jc w:val="center"/>
              <w:rPr>
                <w:rFonts w:cs="宋体"/>
                <w:color w:val="auto"/>
                <w:szCs w:val="21"/>
                <w:highlight w:val="none"/>
              </w:rPr>
            </w:pPr>
          </w:p>
        </w:tc>
      </w:tr>
    </w:tbl>
    <w:p w14:paraId="2DDBE3B7">
      <w:pPr>
        <w:spacing w:before="156" w:beforeLines="50" w:after="156" w:afterLines="50" w:line="440" w:lineRule="exact"/>
        <w:jc w:val="center"/>
        <w:rPr>
          <w:rFonts w:cs="宋体"/>
          <w:color w:val="auto"/>
          <w:szCs w:val="21"/>
          <w:highlight w:val="none"/>
        </w:rPr>
      </w:pPr>
      <w:r>
        <w:rPr>
          <w:rFonts w:hint="eastAsia" w:cs="宋体"/>
          <w:color w:val="auto"/>
          <w:szCs w:val="21"/>
          <w:highlight w:val="none"/>
        </w:rPr>
        <w:t>12-3：专业工程暂估价表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6"/>
        <w:gridCol w:w="1830"/>
        <w:gridCol w:w="783"/>
        <w:gridCol w:w="712"/>
        <w:gridCol w:w="1246"/>
        <w:gridCol w:w="1306"/>
        <w:gridCol w:w="1569"/>
      </w:tblGrid>
      <w:tr w14:paraId="75D0D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single" w:color="auto" w:sz="12" w:space="0"/>
              <w:bottom w:val="double" w:color="auto" w:sz="6" w:space="0"/>
            </w:tcBorders>
            <w:vAlign w:val="center"/>
          </w:tcPr>
          <w:p w14:paraId="37FF0AF5">
            <w:pPr>
              <w:keepNext/>
              <w:spacing w:line="440" w:lineRule="exact"/>
              <w:jc w:val="center"/>
              <w:rPr>
                <w:rFonts w:cs="宋体"/>
                <w:color w:val="auto"/>
                <w:szCs w:val="21"/>
                <w:highlight w:val="none"/>
              </w:rPr>
            </w:pPr>
            <w:r>
              <w:rPr>
                <w:rFonts w:hint="eastAsia" w:cs="宋体"/>
                <w:color w:val="auto"/>
                <w:szCs w:val="21"/>
                <w:highlight w:val="none"/>
              </w:rPr>
              <w:t>序号</w:t>
            </w:r>
          </w:p>
        </w:tc>
        <w:tc>
          <w:tcPr>
            <w:tcW w:w="1094" w:type="pct"/>
            <w:tcBorders>
              <w:top w:val="single" w:color="auto" w:sz="12" w:space="0"/>
              <w:bottom w:val="double" w:color="auto" w:sz="6" w:space="0"/>
            </w:tcBorders>
            <w:vAlign w:val="center"/>
          </w:tcPr>
          <w:p w14:paraId="4413585F">
            <w:pPr>
              <w:keepNext/>
              <w:spacing w:line="440" w:lineRule="exact"/>
              <w:jc w:val="center"/>
              <w:rPr>
                <w:rFonts w:cs="宋体"/>
                <w:color w:val="auto"/>
                <w:szCs w:val="21"/>
                <w:highlight w:val="none"/>
              </w:rPr>
            </w:pPr>
            <w:r>
              <w:rPr>
                <w:rFonts w:hint="eastAsia" w:cs="宋体"/>
                <w:color w:val="auto"/>
                <w:szCs w:val="21"/>
                <w:highlight w:val="none"/>
              </w:rPr>
              <w:t>名称</w:t>
            </w:r>
          </w:p>
        </w:tc>
        <w:tc>
          <w:tcPr>
            <w:tcW w:w="468" w:type="pct"/>
            <w:tcBorders>
              <w:top w:val="single" w:color="auto" w:sz="12" w:space="0"/>
              <w:bottom w:val="double" w:color="auto" w:sz="6" w:space="0"/>
            </w:tcBorders>
            <w:vAlign w:val="center"/>
          </w:tcPr>
          <w:p w14:paraId="65EAC8BC">
            <w:pPr>
              <w:keepNext/>
              <w:spacing w:line="440" w:lineRule="exact"/>
              <w:jc w:val="center"/>
              <w:rPr>
                <w:rFonts w:cs="宋体"/>
                <w:color w:val="auto"/>
                <w:szCs w:val="21"/>
                <w:highlight w:val="none"/>
              </w:rPr>
            </w:pPr>
            <w:r>
              <w:rPr>
                <w:rFonts w:hint="eastAsia" w:cs="宋体"/>
                <w:color w:val="auto"/>
                <w:szCs w:val="21"/>
                <w:highlight w:val="none"/>
              </w:rPr>
              <w:t>单位</w:t>
            </w:r>
          </w:p>
        </w:tc>
        <w:tc>
          <w:tcPr>
            <w:tcW w:w="426" w:type="pct"/>
            <w:tcBorders>
              <w:top w:val="single" w:color="auto" w:sz="12" w:space="0"/>
              <w:bottom w:val="double" w:color="auto" w:sz="6" w:space="0"/>
            </w:tcBorders>
            <w:vAlign w:val="center"/>
          </w:tcPr>
          <w:p w14:paraId="43C474C9">
            <w:pPr>
              <w:keepNext/>
              <w:spacing w:line="440" w:lineRule="exact"/>
              <w:jc w:val="center"/>
              <w:rPr>
                <w:rFonts w:cs="宋体"/>
                <w:color w:val="auto"/>
                <w:szCs w:val="21"/>
                <w:highlight w:val="none"/>
              </w:rPr>
            </w:pPr>
            <w:r>
              <w:rPr>
                <w:rFonts w:hint="eastAsia" w:cs="宋体"/>
                <w:color w:val="auto"/>
                <w:szCs w:val="21"/>
                <w:highlight w:val="none"/>
              </w:rPr>
              <w:t>数量</w:t>
            </w:r>
          </w:p>
        </w:tc>
        <w:tc>
          <w:tcPr>
            <w:tcW w:w="745" w:type="pct"/>
            <w:tcBorders>
              <w:top w:val="single" w:color="auto" w:sz="12" w:space="0"/>
              <w:bottom w:val="double" w:color="auto" w:sz="6" w:space="0"/>
            </w:tcBorders>
            <w:vAlign w:val="center"/>
          </w:tcPr>
          <w:p w14:paraId="38ADA989">
            <w:pPr>
              <w:keepNext/>
              <w:spacing w:line="440" w:lineRule="exact"/>
              <w:jc w:val="center"/>
              <w:rPr>
                <w:rFonts w:cs="宋体"/>
                <w:color w:val="auto"/>
                <w:szCs w:val="21"/>
                <w:highlight w:val="none"/>
              </w:rPr>
            </w:pPr>
            <w:r>
              <w:rPr>
                <w:rFonts w:hint="eastAsia" w:cs="宋体"/>
                <w:color w:val="auto"/>
                <w:szCs w:val="21"/>
                <w:highlight w:val="none"/>
              </w:rPr>
              <w:t>单价（元）</w:t>
            </w:r>
          </w:p>
        </w:tc>
        <w:tc>
          <w:tcPr>
            <w:tcW w:w="781" w:type="pct"/>
            <w:tcBorders>
              <w:top w:val="single" w:color="auto" w:sz="12" w:space="0"/>
              <w:bottom w:val="double" w:color="auto" w:sz="6" w:space="0"/>
            </w:tcBorders>
            <w:vAlign w:val="center"/>
          </w:tcPr>
          <w:p w14:paraId="379F9419">
            <w:pPr>
              <w:keepNext/>
              <w:spacing w:line="440" w:lineRule="exact"/>
              <w:jc w:val="center"/>
              <w:rPr>
                <w:rFonts w:cs="宋体"/>
                <w:color w:val="auto"/>
                <w:szCs w:val="21"/>
                <w:highlight w:val="none"/>
              </w:rPr>
            </w:pPr>
            <w:r>
              <w:rPr>
                <w:rFonts w:hint="eastAsia" w:cs="宋体"/>
                <w:color w:val="auto"/>
                <w:szCs w:val="21"/>
                <w:highlight w:val="none"/>
              </w:rPr>
              <w:t>合价（元）</w:t>
            </w:r>
          </w:p>
        </w:tc>
        <w:tc>
          <w:tcPr>
            <w:tcW w:w="938" w:type="pct"/>
            <w:tcBorders>
              <w:top w:val="single" w:color="auto" w:sz="12" w:space="0"/>
              <w:bottom w:val="double" w:color="auto" w:sz="6" w:space="0"/>
            </w:tcBorders>
            <w:vAlign w:val="center"/>
          </w:tcPr>
          <w:p w14:paraId="73B867D3">
            <w:pPr>
              <w:keepNext/>
              <w:spacing w:line="440" w:lineRule="exact"/>
              <w:jc w:val="center"/>
              <w:rPr>
                <w:rFonts w:cs="宋体"/>
                <w:color w:val="auto"/>
                <w:szCs w:val="21"/>
                <w:highlight w:val="none"/>
              </w:rPr>
            </w:pPr>
            <w:r>
              <w:rPr>
                <w:rFonts w:hint="eastAsia" w:cs="宋体"/>
                <w:color w:val="auto"/>
                <w:szCs w:val="21"/>
                <w:highlight w:val="none"/>
              </w:rPr>
              <w:t>备注</w:t>
            </w:r>
          </w:p>
        </w:tc>
      </w:tr>
      <w:tr w14:paraId="5FC42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double" w:color="auto" w:sz="6" w:space="0"/>
            </w:tcBorders>
            <w:vAlign w:val="center"/>
          </w:tcPr>
          <w:p w14:paraId="2CA3AB1D">
            <w:pPr>
              <w:keepNext/>
              <w:spacing w:line="440" w:lineRule="exact"/>
              <w:jc w:val="center"/>
              <w:rPr>
                <w:rFonts w:cs="宋体"/>
                <w:color w:val="auto"/>
                <w:szCs w:val="21"/>
                <w:highlight w:val="none"/>
              </w:rPr>
            </w:pPr>
          </w:p>
        </w:tc>
        <w:tc>
          <w:tcPr>
            <w:tcW w:w="1094" w:type="pct"/>
            <w:tcBorders>
              <w:top w:val="double" w:color="auto" w:sz="6" w:space="0"/>
            </w:tcBorders>
            <w:vAlign w:val="center"/>
          </w:tcPr>
          <w:p w14:paraId="4A7BC3E5">
            <w:pPr>
              <w:keepNext/>
              <w:spacing w:line="440" w:lineRule="exact"/>
              <w:jc w:val="center"/>
              <w:rPr>
                <w:rFonts w:cs="宋体"/>
                <w:color w:val="auto"/>
                <w:szCs w:val="21"/>
                <w:highlight w:val="none"/>
              </w:rPr>
            </w:pPr>
          </w:p>
        </w:tc>
        <w:tc>
          <w:tcPr>
            <w:tcW w:w="468" w:type="pct"/>
            <w:tcBorders>
              <w:top w:val="double" w:color="auto" w:sz="6" w:space="0"/>
            </w:tcBorders>
            <w:vAlign w:val="center"/>
          </w:tcPr>
          <w:p w14:paraId="0C1B8283">
            <w:pPr>
              <w:keepNext/>
              <w:spacing w:line="440" w:lineRule="exact"/>
              <w:jc w:val="center"/>
              <w:rPr>
                <w:rFonts w:cs="宋体"/>
                <w:color w:val="auto"/>
                <w:szCs w:val="21"/>
                <w:highlight w:val="none"/>
              </w:rPr>
            </w:pPr>
          </w:p>
        </w:tc>
        <w:tc>
          <w:tcPr>
            <w:tcW w:w="426" w:type="pct"/>
            <w:tcBorders>
              <w:top w:val="double" w:color="auto" w:sz="6" w:space="0"/>
            </w:tcBorders>
            <w:vAlign w:val="center"/>
          </w:tcPr>
          <w:p w14:paraId="188618AB">
            <w:pPr>
              <w:keepNext/>
              <w:spacing w:line="440" w:lineRule="exact"/>
              <w:jc w:val="center"/>
              <w:rPr>
                <w:rFonts w:cs="宋体"/>
                <w:color w:val="auto"/>
                <w:szCs w:val="21"/>
                <w:highlight w:val="none"/>
              </w:rPr>
            </w:pPr>
          </w:p>
        </w:tc>
        <w:tc>
          <w:tcPr>
            <w:tcW w:w="745" w:type="pct"/>
            <w:tcBorders>
              <w:top w:val="double" w:color="auto" w:sz="6" w:space="0"/>
            </w:tcBorders>
            <w:vAlign w:val="center"/>
          </w:tcPr>
          <w:p w14:paraId="74491D79">
            <w:pPr>
              <w:keepNext/>
              <w:spacing w:line="440" w:lineRule="exact"/>
              <w:jc w:val="center"/>
              <w:rPr>
                <w:rFonts w:cs="宋体"/>
                <w:color w:val="auto"/>
                <w:szCs w:val="21"/>
                <w:highlight w:val="none"/>
              </w:rPr>
            </w:pPr>
          </w:p>
        </w:tc>
        <w:tc>
          <w:tcPr>
            <w:tcW w:w="781" w:type="pct"/>
            <w:tcBorders>
              <w:top w:val="double" w:color="auto" w:sz="6" w:space="0"/>
            </w:tcBorders>
            <w:vAlign w:val="center"/>
          </w:tcPr>
          <w:p w14:paraId="24605AF8">
            <w:pPr>
              <w:keepNext/>
              <w:spacing w:line="440" w:lineRule="exact"/>
              <w:jc w:val="center"/>
              <w:rPr>
                <w:rFonts w:cs="宋体"/>
                <w:color w:val="auto"/>
                <w:szCs w:val="21"/>
                <w:highlight w:val="none"/>
              </w:rPr>
            </w:pPr>
          </w:p>
        </w:tc>
        <w:tc>
          <w:tcPr>
            <w:tcW w:w="938" w:type="pct"/>
            <w:tcBorders>
              <w:top w:val="double" w:color="auto" w:sz="6" w:space="0"/>
            </w:tcBorders>
            <w:vAlign w:val="center"/>
          </w:tcPr>
          <w:p w14:paraId="47281C29">
            <w:pPr>
              <w:keepNext/>
              <w:spacing w:line="440" w:lineRule="exact"/>
              <w:jc w:val="center"/>
              <w:rPr>
                <w:rFonts w:cs="宋体"/>
                <w:color w:val="auto"/>
                <w:szCs w:val="21"/>
                <w:highlight w:val="none"/>
              </w:rPr>
            </w:pPr>
          </w:p>
        </w:tc>
      </w:tr>
      <w:tr w14:paraId="663A6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nil"/>
            </w:tcBorders>
            <w:vAlign w:val="center"/>
          </w:tcPr>
          <w:p w14:paraId="74755AF6">
            <w:pPr>
              <w:keepNext/>
              <w:spacing w:line="440" w:lineRule="exact"/>
              <w:jc w:val="center"/>
              <w:rPr>
                <w:rFonts w:cs="宋体"/>
                <w:color w:val="auto"/>
                <w:szCs w:val="21"/>
                <w:highlight w:val="none"/>
              </w:rPr>
            </w:pPr>
          </w:p>
        </w:tc>
        <w:tc>
          <w:tcPr>
            <w:tcW w:w="1094" w:type="pct"/>
            <w:tcBorders>
              <w:top w:val="nil"/>
            </w:tcBorders>
            <w:vAlign w:val="center"/>
          </w:tcPr>
          <w:p w14:paraId="048A3E84">
            <w:pPr>
              <w:keepNext/>
              <w:spacing w:line="440" w:lineRule="exact"/>
              <w:jc w:val="center"/>
              <w:rPr>
                <w:rFonts w:cs="宋体"/>
                <w:color w:val="auto"/>
                <w:szCs w:val="21"/>
                <w:highlight w:val="none"/>
              </w:rPr>
            </w:pPr>
          </w:p>
        </w:tc>
        <w:tc>
          <w:tcPr>
            <w:tcW w:w="468" w:type="pct"/>
            <w:tcBorders>
              <w:top w:val="nil"/>
            </w:tcBorders>
            <w:vAlign w:val="center"/>
          </w:tcPr>
          <w:p w14:paraId="0F80874E">
            <w:pPr>
              <w:keepNext/>
              <w:spacing w:line="440" w:lineRule="exact"/>
              <w:jc w:val="center"/>
              <w:rPr>
                <w:rFonts w:cs="宋体"/>
                <w:color w:val="auto"/>
                <w:szCs w:val="21"/>
                <w:highlight w:val="none"/>
              </w:rPr>
            </w:pPr>
          </w:p>
        </w:tc>
        <w:tc>
          <w:tcPr>
            <w:tcW w:w="426" w:type="pct"/>
            <w:tcBorders>
              <w:top w:val="nil"/>
            </w:tcBorders>
            <w:vAlign w:val="center"/>
          </w:tcPr>
          <w:p w14:paraId="7BD578CA">
            <w:pPr>
              <w:keepNext/>
              <w:spacing w:line="440" w:lineRule="exact"/>
              <w:jc w:val="center"/>
              <w:rPr>
                <w:rFonts w:cs="宋体"/>
                <w:color w:val="auto"/>
                <w:szCs w:val="21"/>
                <w:highlight w:val="none"/>
              </w:rPr>
            </w:pPr>
          </w:p>
        </w:tc>
        <w:tc>
          <w:tcPr>
            <w:tcW w:w="745" w:type="pct"/>
            <w:tcBorders>
              <w:top w:val="nil"/>
            </w:tcBorders>
            <w:vAlign w:val="center"/>
          </w:tcPr>
          <w:p w14:paraId="306ED9B0">
            <w:pPr>
              <w:keepNext/>
              <w:spacing w:line="440" w:lineRule="exact"/>
              <w:jc w:val="center"/>
              <w:rPr>
                <w:rFonts w:cs="宋体"/>
                <w:color w:val="auto"/>
                <w:szCs w:val="21"/>
                <w:highlight w:val="none"/>
              </w:rPr>
            </w:pPr>
          </w:p>
        </w:tc>
        <w:tc>
          <w:tcPr>
            <w:tcW w:w="781" w:type="pct"/>
            <w:tcBorders>
              <w:top w:val="nil"/>
            </w:tcBorders>
            <w:vAlign w:val="center"/>
          </w:tcPr>
          <w:p w14:paraId="7E930D05">
            <w:pPr>
              <w:keepNext/>
              <w:spacing w:line="440" w:lineRule="exact"/>
              <w:jc w:val="center"/>
              <w:rPr>
                <w:rFonts w:cs="宋体"/>
                <w:color w:val="auto"/>
                <w:szCs w:val="21"/>
                <w:highlight w:val="none"/>
              </w:rPr>
            </w:pPr>
          </w:p>
        </w:tc>
        <w:tc>
          <w:tcPr>
            <w:tcW w:w="938" w:type="pct"/>
            <w:tcBorders>
              <w:top w:val="nil"/>
            </w:tcBorders>
            <w:vAlign w:val="center"/>
          </w:tcPr>
          <w:p w14:paraId="3EFEFDD7">
            <w:pPr>
              <w:keepNext/>
              <w:spacing w:line="440" w:lineRule="exact"/>
              <w:jc w:val="center"/>
              <w:rPr>
                <w:rFonts w:cs="宋体"/>
                <w:color w:val="auto"/>
                <w:szCs w:val="21"/>
                <w:highlight w:val="none"/>
              </w:rPr>
            </w:pPr>
          </w:p>
        </w:tc>
      </w:tr>
      <w:tr w14:paraId="7C910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vAlign w:val="center"/>
          </w:tcPr>
          <w:p w14:paraId="5104BE64">
            <w:pPr>
              <w:keepNext/>
              <w:spacing w:line="440" w:lineRule="exact"/>
              <w:jc w:val="center"/>
              <w:rPr>
                <w:rFonts w:cs="宋体"/>
                <w:color w:val="auto"/>
                <w:szCs w:val="21"/>
                <w:highlight w:val="none"/>
              </w:rPr>
            </w:pPr>
          </w:p>
        </w:tc>
        <w:tc>
          <w:tcPr>
            <w:tcW w:w="1094" w:type="pct"/>
            <w:vAlign w:val="center"/>
          </w:tcPr>
          <w:p w14:paraId="2C77BC2C">
            <w:pPr>
              <w:keepNext/>
              <w:spacing w:line="440" w:lineRule="exact"/>
              <w:jc w:val="center"/>
              <w:rPr>
                <w:rFonts w:cs="宋体"/>
                <w:color w:val="auto"/>
                <w:szCs w:val="21"/>
                <w:highlight w:val="none"/>
              </w:rPr>
            </w:pPr>
          </w:p>
        </w:tc>
        <w:tc>
          <w:tcPr>
            <w:tcW w:w="468" w:type="pct"/>
            <w:vAlign w:val="center"/>
          </w:tcPr>
          <w:p w14:paraId="51CE20C8">
            <w:pPr>
              <w:keepNext/>
              <w:spacing w:line="440" w:lineRule="exact"/>
              <w:jc w:val="center"/>
              <w:rPr>
                <w:rFonts w:cs="宋体"/>
                <w:color w:val="auto"/>
                <w:szCs w:val="21"/>
                <w:highlight w:val="none"/>
              </w:rPr>
            </w:pPr>
          </w:p>
        </w:tc>
        <w:tc>
          <w:tcPr>
            <w:tcW w:w="426" w:type="pct"/>
            <w:vAlign w:val="center"/>
          </w:tcPr>
          <w:p w14:paraId="167EAF1C">
            <w:pPr>
              <w:keepNext/>
              <w:spacing w:line="440" w:lineRule="exact"/>
              <w:jc w:val="center"/>
              <w:rPr>
                <w:rFonts w:cs="宋体"/>
                <w:color w:val="auto"/>
                <w:szCs w:val="21"/>
                <w:highlight w:val="none"/>
              </w:rPr>
            </w:pPr>
          </w:p>
        </w:tc>
        <w:tc>
          <w:tcPr>
            <w:tcW w:w="745" w:type="pct"/>
            <w:vAlign w:val="center"/>
          </w:tcPr>
          <w:p w14:paraId="40D1DEA0">
            <w:pPr>
              <w:keepNext/>
              <w:spacing w:line="440" w:lineRule="exact"/>
              <w:jc w:val="center"/>
              <w:rPr>
                <w:rFonts w:cs="宋体"/>
                <w:color w:val="auto"/>
                <w:szCs w:val="21"/>
                <w:highlight w:val="none"/>
              </w:rPr>
            </w:pPr>
          </w:p>
        </w:tc>
        <w:tc>
          <w:tcPr>
            <w:tcW w:w="781" w:type="pct"/>
            <w:vAlign w:val="center"/>
          </w:tcPr>
          <w:p w14:paraId="6BADFCED">
            <w:pPr>
              <w:keepNext/>
              <w:spacing w:line="440" w:lineRule="exact"/>
              <w:jc w:val="center"/>
              <w:rPr>
                <w:rFonts w:cs="宋体"/>
                <w:color w:val="auto"/>
                <w:szCs w:val="21"/>
                <w:highlight w:val="none"/>
              </w:rPr>
            </w:pPr>
          </w:p>
        </w:tc>
        <w:tc>
          <w:tcPr>
            <w:tcW w:w="938" w:type="pct"/>
            <w:vAlign w:val="center"/>
          </w:tcPr>
          <w:p w14:paraId="7D6D27CC">
            <w:pPr>
              <w:keepNext/>
              <w:spacing w:line="440" w:lineRule="exact"/>
              <w:jc w:val="center"/>
              <w:rPr>
                <w:rFonts w:cs="宋体"/>
                <w:color w:val="auto"/>
                <w:szCs w:val="21"/>
                <w:highlight w:val="none"/>
              </w:rPr>
            </w:pPr>
          </w:p>
        </w:tc>
      </w:tr>
      <w:tr w14:paraId="3786B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bottom w:val="single" w:color="auto" w:sz="12" w:space="0"/>
            </w:tcBorders>
            <w:vAlign w:val="center"/>
          </w:tcPr>
          <w:p w14:paraId="485949CD">
            <w:pPr>
              <w:keepNext/>
              <w:spacing w:line="440" w:lineRule="exact"/>
              <w:jc w:val="center"/>
              <w:rPr>
                <w:rFonts w:cs="宋体"/>
                <w:color w:val="auto"/>
                <w:szCs w:val="21"/>
                <w:highlight w:val="none"/>
              </w:rPr>
            </w:pPr>
          </w:p>
        </w:tc>
        <w:tc>
          <w:tcPr>
            <w:tcW w:w="1094" w:type="pct"/>
            <w:tcBorders>
              <w:bottom w:val="single" w:color="auto" w:sz="12" w:space="0"/>
            </w:tcBorders>
            <w:vAlign w:val="center"/>
          </w:tcPr>
          <w:p w14:paraId="238A80E3">
            <w:pPr>
              <w:keepNext/>
              <w:spacing w:line="440" w:lineRule="exact"/>
              <w:jc w:val="center"/>
              <w:rPr>
                <w:rFonts w:cs="宋体"/>
                <w:color w:val="auto"/>
                <w:szCs w:val="21"/>
                <w:highlight w:val="none"/>
              </w:rPr>
            </w:pPr>
          </w:p>
        </w:tc>
        <w:tc>
          <w:tcPr>
            <w:tcW w:w="468" w:type="pct"/>
            <w:tcBorders>
              <w:bottom w:val="single" w:color="auto" w:sz="12" w:space="0"/>
            </w:tcBorders>
            <w:vAlign w:val="center"/>
          </w:tcPr>
          <w:p w14:paraId="3184A637">
            <w:pPr>
              <w:keepNext/>
              <w:spacing w:line="440" w:lineRule="exact"/>
              <w:jc w:val="center"/>
              <w:rPr>
                <w:rFonts w:cs="宋体"/>
                <w:color w:val="auto"/>
                <w:szCs w:val="21"/>
                <w:highlight w:val="none"/>
              </w:rPr>
            </w:pPr>
          </w:p>
        </w:tc>
        <w:tc>
          <w:tcPr>
            <w:tcW w:w="426" w:type="pct"/>
            <w:tcBorders>
              <w:bottom w:val="single" w:color="auto" w:sz="12" w:space="0"/>
            </w:tcBorders>
            <w:vAlign w:val="center"/>
          </w:tcPr>
          <w:p w14:paraId="6B7BD26F">
            <w:pPr>
              <w:keepNext/>
              <w:spacing w:line="440" w:lineRule="exact"/>
              <w:jc w:val="center"/>
              <w:rPr>
                <w:rFonts w:cs="宋体"/>
                <w:color w:val="auto"/>
                <w:szCs w:val="21"/>
                <w:highlight w:val="none"/>
              </w:rPr>
            </w:pPr>
          </w:p>
        </w:tc>
        <w:tc>
          <w:tcPr>
            <w:tcW w:w="745" w:type="pct"/>
            <w:tcBorders>
              <w:bottom w:val="single" w:color="auto" w:sz="12" w:space="0"/>
            </w:tcBorders>
            <w:vAlign w:val="center"/>
          </w:tcPr>
          <w:p w14:paraId="1FCEBECF">
            <w:pPr>
              <w:keepNext/>
              <w:spacing w:line="440" w:lineRule="exact"/>
              <w:jc w:val="center"/>
              <w:rPr>
                <w:rFonts w:cs="宋体"/>
                <w:color w:val="auto"/>
                <w:szCs w:val="21"/>
                <w:highlight w:val="none"/>
              </w:rPr>
            </w:pPr>
          </w:p>
        </w:tc>
        <w:tc>
          <w:tcPr>
            <w:tcW w:w="781" w:type="pct"/>
            <w:tcBorders>
              <w:bottom w:val="single" w:color="auto" w:sz="12" w:space="0"/>
            </w:tcBorders>
            <w:vAlign w:val="center"/>
          </w:tcPr>
          <w:p w14:paraId="01890106">
            <w:pPr>
              <w:keepNext/>
              <w:spacing w:line="440" w:lineRule="exact"/>
              <w:jc w:val="center"/>
              <w:rPr>
                <w:rFonts w:cs="宋体"/>
                <w:color w:val="auto"/>
                <w:szCs w:val="21"/>
                <w:highlight w:val="none"/>
              </w:rPr>
            </w:pPr>
          </w:p>
        </w:tc>
        <w:tc>
          <w:tcPr>
            <w:tcW w:w="938" w:type="pct"/>
            <w:tcBorders>
              <w:bottom w:val="single" w:color="auto" w:sz="12" w:space="0"/>
            </w:tcBorders>
            <w:vAlign w:val="center"/>
          </w:tcPr>
          <w:p w14:paraId="7A2EE5F8">
            <w:pPr>
              <w:keepNext/>
              <w:spacing w:line="440" w:lineRule="exact"/>
              <w:jc w:val="center"/>
              <w:rPr>
                <w:rFonts w:cs="宋体"/>
                <w:color w:val="auto"/>
                <w:szCs w:val="21"/>
                <w:highlight w:val="none"/>
              </w:rPr>
            </w:pPr>
          </w:p>
        </w:tc>
      </w:tr>
    </w:tbl>
    <w:p w14:paraId="045C8D51">
      <w:pPr>
        <w:rPr>
          <w:rFonts w:cs="宋体"/>
          <w:color w:val="auto"/>
          <w:szCs w:val="21"/>
          <w:highlight w:val="none"/>
        </w:rPr>
      </w:pPr>
    </w:p>
    <w:p w14:paraId="297C2F7D">
      <w:pPr>
        <w:spacing w:before="312" w:beforeLines="100" w:after="312" w:afterLines="100"/>
        <w:outlineLvl w:val="2"/>
        <w:rPr>
          <w:rFonts w:ascii="Times New Roman" w:eastAsia="黑体"/>
          <w:color w:val="auto"/>
          <w:szCs w:val="24"/>
          <w:highlight w:val="none"/>
        </w:rPr>
      </w:pPr>
      <w:r>
        <w:rPr>
          <w:rFonts w:hint="eastAsia" w:cs="宋体"/>
          <w:bCs/>
          <w:color w:val="auto"/>
          <w:highlight w:val="none"/>
        </w:rPr>
        <w:br w:type="page"/>
      </w:r>
      <w:bookmarkStart w:id="676" w:name="_Toc128950248"/>
      <w:r>
        <w:rPr>
          <w:rFonts w:hint="eastAsia" w:ascii="Times New Roman" w:eastAsia="黑体"/>
          <w:color w:val="auto"/>
          <w:szCs w:val="24"/>
          <w:highlight w:val="none"/>
        </w:rPr>
        <w:t>附件1</w:t>
      </w:r>
      <w:r>
        <w:rPr>
          <w:rFonts w:hint="eastAsia" w:ascii="Times New Roman" w:eastAsia="黑体"/>
          <w:color w:val="auto"/>
          <w:szCs w:val="24"/>
          <w:highlight w:val="none"/>
          <w:lang w:val="en-US" w:eastAsia="zh-CN"/>
        </w:rPr>
        <w:t>2</w:t>
      </w:r>
      <w:r>
        <w:rPr>
          <w:rFonts w:hint="eastAsia" w:ascii="Times New Roman" w:eastAsia="黑体"/>
          <w:color w:val="auto"/>
          <w:szCs w:val="24"/>
          <w:highlight w:val="none"/>
        </w:rPr>
        <w:t>：安全生产合同</w:t>
      </w:r>
      <w:bookmarkEnd w:id="676"/>
    </w:p>
    <w:p w14:paraId="156AFC14">
      <w:pPr>
        <w:spacing w:before="156" w:beforeLines="50" w:after="156" w:afterLines="50" w:line="360" w:lineRule="auto"/>
        <w:jc w:val="center"/>
        <w:rPr>
          <w:rFonts w:cs="宋体"/>
          <w:b/>
          <w:color w:val="auto"/>
          <w:sz w:val="32"/>
          <w:szCs w:val="32"/>
          <w:highlight w:val="none"/>
        </w:rPr>
      </w:pPr>
      <w:bookmarkStart w:id="677" w:name="_Toc11475"/>
      <w:bookmarkStart w:id="678" w:name="_Toc23792"/>
      <w:r>
        <w:rPr>
          <w:rFonts w:hint="eastAsia" w:cs="宋体"/>
          <w:b/>
          <w:color w:val="auto"/>
          <w:sz w:val="32"/>
          <w:szCs w:val="32"/>
          <w:highlight w:val="none"/>
        </w:rPr>
        <w:t>安全生产合同</w:t>
      </w:r>
      <w:bookmarkEnd w:id="677"/>
      <w:bookmarkEnd w:id="678"/>
    </w:p>
    <w:p w14:paraId="7FBC00C6">
      <w:pPr>
        <w:spacing w:line="360" w:lineRule="auto"/>
        <w:ind w:firstLine="420" w:firstLineChars="200"/>
        <w:rPr>
          <w:rFonts w:cs="宋体"/>
          <w:color w:val="auto"/>
          <w:sz w:val="21"/>
          <w:szCs w:val="21"/>
          <w:highlight w:val="none"/>
        </w:rPr>
      </w:pPr>
      <w:r>
        <w:rPr>
          <w:rFonts w:hint="eastAsia" w:cs="宋体"/>
          <w:color w:val="auto"/>
          <w:sz w:val="21"/>
          <w:szCs w:val="21"/>
          <w:highlight w:val="none"/>
        </w:rPr>
        <w:t>为在</w:t>
      </w:r>
      <w:r>
        <w:rPr>
          <w:rFonts w:hint="eastAsia" w:cs="宋体"/>
          <w:color w:val="auto"/>
          <w:sz w:val="21"/>
          <w:szCs w:val="21"/>
          <w:highlight w:val="none"/>
          <w:u w:val="single"/>
        </w:rPr>
        <w:t xml:space="preserve">            </w:t>
      </w:r>
      <w:r>
        <w:rPr>
          <w:rFonts w:hint="eastAsia" w:cs="宋体"/>
          <w:color w:val="auto"/>
          <w:sz w:val="21"/>
          <w:szCs w:val="21"/>
          <w:highlight w:val="none"/>
        </w:rPr>
        <w:t>（项目名称）施工合同的实施过程中创造安全、高效的施工环境，切实搞好本项目的安全管理工作，本项目发包人</w:t>
      </w:r>
      <w:r>
        <w:rPr>
          <w:rFonts w:hint="eastAsia" w:cs="宋体"/>
          <w:color w:val="auto"/>
          <w:sz w:val="21"/>
          <w:szCs w:val="21"/>
          <w:highlight w:val="none"/>
          <w:u w:val="single"/>
        </w:rPr>
        <w:t xml:space="preserve">       </w:t>
      </w:r>
      <w:r>
        <w:rPr>
          <w:rFonts w:hint="eastAsia" w:cs="宋体"/>
          <w:color w:val="auto"/>
          <w:sz w:val="21"/>
          <w:szCs w:val="21"/>
          <w:highlight w:val="none"/>
        </w:rPr>
        <w:t>（发包人名称，以下简称“发包人”）与承包人</w:t>
      </w:r>
      <w:r>
        <w:rPr>
          <w:rFonts w:hint="eastAsia" w:cs="宋体"/>
          <w:color w:val="auto"/>
          <w:sz w:val="21"/>
          <w:szCs w:val="21"/>
          <w:highlight w:val="none"/>
          <w:u w:val="single"/>
        </w:rPr>
        <w:t xml:space="preserve">         </w:t>
      </w:r>
      <w:r>
        <w:rPr>
          <w:rFonts w:hint="eastAsia" w:cs="宋体"/>
          <w:color w:val="auto"/>
          <w:sz w:val="21"/>
          <w:szCs w:val="21"/>
          <w:highlight w:val="none"/>
        </w:rPr>
        <w:t>（承包人名称，以下简称“承包人”）特此签订安全生产合同：</w:t>
      </w:r>
    </w:p>
    <w:p w14:paraId="267E3D75">
      <w:pPr>
        <w:spacing w:line="360" w:lineRule="auto"/>
        <w:ind w:firstLine="420" w:firstLineChars="200"/>
        <w:rPr>
          <w:rFonts w:cs="宋体"/>
          <w:color w:val="auto"/>
          <w:sz w:val="21"/>
          <w:szCs w:val="21"/>
          <w:highlight w:val="none"/>
        </w:rPr>
      </w:pPr>
      <w:r>
        <w:rPr>
          <w:rFonts w:hint="eastAsia" w:cs="宋体"/>
          <w:color w:val="auto"/>
          <w:sz w:val="21"/>
          <w:szCs w:val="21"/>
          <w:highlight w:val="none"/>
        </w:rPr>
        <w:t>1.发包人职责</w:t>
      </w:r>
    </w:p>
    <w:p w14:paraId="75E7DC71">
      <w:pPr>
        <w:spacing w:line="360" w:lineRule="auto"/>
        <w:ind w:firstLine="420" w:firstLineChars="200"/>
        <w:rPr>
          <w:rFonts w:cs="宋体"/>
          <w:color w:val="auto"/>
          <w:sz w:val="21"/>
          <w:szCs w:val="21"/>
          <w:highlight w:val="none"/>
        </w:rPr>
      </w:pPr>
      <w:r>
        <w:rPr>
          <w:rFonts w:hint="eastAsia" w:cs="宋体"/>
          <w:color w:val="auto"/>
          <w:sz w:val="21"/>
          <w:szCs w:val="21"/>
          <w:highlight w:val="none"/>
        </w:rPr>
        <w:t>（1）严格遵守国家有关安全生产的法律法规，认真执行工程承包合同中的有关安全要求。</w:t>
      </w:r>
    </w:p>
    <w:p w14:paraId="172918D2">
      <w:pPr>
        <w:spacing w:line="360" w:lineRule="auto"/>
        <w:ind w:firstLine="420" w:firstLineChars="200"/>
        <w:rPr>
          <w:rFonts w:cs="宋体"/>
          <w:color w:val="auto"/>
          <w:sz w:val="21"/>
          <w:szCs w:val="21"/>
          <w:highlight w:val="none"/>
        </w:rPr>
      </w:pPr>
      <w:r>
        <w:rPr>
          <w:rFonts w:hint="eastAsia" w:cs="宋体"/>
          <w:color w:val="auto"/>
          <w:sz w:val="21"/>
          <w:szCs w:val="21"/>
          <w:highlight w:val="none"/>
        </w:rPr>
        <w:t>（2）按照“安全第一、预防为主”和坚持“管生产必须管安全”的原则进行安全生产管理，做到生产与安全工作同时计划、布置、检查、总结和评比。</w:t>
      </w:r>
    </w:p>
    <w:p w14:paraId="64AFA5F9">
      <w:pPr>
        <w:spacing w:line="360" w:lineRule="auto"/>
        <w:ind w:firstLine="420" w:firstLineChars="200"/>
        <w:rPr>
          <w:rFonts w:cs="宋体"/>
          <w:color w:val="auto"/>
          <w:sz w:val="21"/>
          <w:szCs w:val="21"/>
          <w:highlight w:val="none"/>
        </w:rPr>
      </w:pPr>
      <w:r>
        <w:rPr>
          <w:rFonts w:hint="eastAsia" w:cs="宋体"/>
          <w:color w:val="auto"/>
          <w:sz w:val="21"/>
          <w:szCs w:val="21"/>
          <w:highlight w:val="none"/>
        </w:rPr>
        <w:t>（3）重要的安全设施必须坚持与主体工程“三同时”的原则，即：同时设计、审批，同时施工，同时验收，投入使用。</w:t>
      </w:r>
    </w:p>
    <w:p w14:paraId="5DE31ABA">
      <w:pPr>
        <w:spacing w:line="360" w:lineRule="auto"/>
        <w:ind w:firstLine="420" w:firstLineChars="200"/>
        <w:rPr>
          <w:rFonts w:cs="宋体"/>
          <w:color w:val="auto"/>
          <w:sz w:val="21"/>
          <w:szCs w:val="21"/>
          <w:highlight w:val="none"/>
        </w:rPr>
      </w:pPr>
      <w:r>
        <w:rPr>
          <w:rFonts w:hint="eastAsia" w:cs="宋体"/>
          <w:color w:val="auto"/>
          <w:sz w:val="21"/>
          <w:szCs w:val="21"/>
          <w:highlight w:val="none"/>
        </w:rPr>
        <w:t>（4）定期召开安全生产调度会，及时传达中央及地方有关安全生产的精神。</w:t>
      </w:r>
    </w:p>
    <w:p w14:paraId="230FEE79">
      <w:pPr>
        <w:spacing w:line="360" w:lineRule="auto"/>
        <w:ind w:firstLine="420" w:firstLineChars="200"/>
        <w:rPr>
          <w:rFonts w:cs="宋体"/>
          <w:color w:val="auto"/>
          <w:sz w:val="21"/>
          <w:szCs w:val="21"/>
          <w:highlight w:val="none"/>
        </w:rPr>
      </w:pPr>
      <w:r>
        <w:rPr>
          <w:rFonts w:hint="eastAsia" w:cs="宋体"/>
          <w:color w:val="auto"/>
          <w:sz w:val="21"/>
          <w:szCs w:val="21"/>
          <w:highlight w:val="none"/>
        </w:rPr>
        <w:t>（5）组织对承包人施工现场安全生产检查，监督承包人及时处理发现的各种安全隐患。</w:t>
      </w:r>
    </w:p>
    <w:p w14:paraId="0C4C0CD1">
      <w:pPr>
        <w:spacing w:line="360" w:lineRule="auto"/>
        <w:ind w:firstLine="420" w:firstLineChars="200"/>
        <w:rPr>
          <w:rFonts w:cs="宋体"/>
          <w:color w:val="auto"/>
          <w:sz w:val="21"/>
          <w:szCs w:val="21"/>
          <w:highlight w:val="none"/>
        </w:rPr>
      </w:pPr>
      <w:r>
        <w:rPr>
          <w:rFonts w:hint="eastAsia" w:cs="宋体"/>
          <w:color w:val="auto"/>
          <w:sz w:val="21"/>
          <w:szCs w:val="21"/>
          <w:highlight w:val="none"/>
        </w:rPr>
        <w:t>2.承包人职责</w:t>
      </w:r>
    </w:p>
    <w:p w14:paraId="6DDEB50C">
      <w:pPr>
        <w:spacing w:line="360" w:lineRule="auto"/>
        <w:ind w:firstLine="420" w:firstLineChars="200"/>
        <w:rPr>
          <w:rFonts w:cs="宋体"/>
          <w:color w:val="auto"/>
          <w:sz w:val="21"/>
          <w:szCs w:val="21"/>
          <w:highlight w:val="none"/>
        </w:rPr>
      </w:pPr>
      <w:r>
        <w:rPr>
          <w:rFonts w:hint="eastAsia" w:cs="宋体"/>
          <w:color w:val="auto"/>
          <w:sz w:val="21"/>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60E71A4A">
      <w:pPr>
        <w:spacing w:line="360" w:lineRule="auto"/>
        <w:ind w:firstLine="420" w:firstLineChars="200"/>
        <w:rPr>
          <w:rFonts w:cs="宋体"/>
          <w:color w:val="auto"/>
          <w:sz w:val="21"/>
          <w:szCs w:val="21"/>
          <w:highlight w:val="none"/>
        </w:rPr>
      </w:pPr>
      <w:r>
        <w:rPr>
          <w:rFonts w:hint="eastAsia"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ABF6246">
      <w:pPr>
        <w:spacing w:line="360" w:lineRule="auto"/>
        <w:ind w:firstLine="420" w:firstLineChars="200"/>
        <w:rPr>
          <w:rFonts w:cs="宋体"/>
          <w:color w:val="auto"/>
          <w:sz w:val="21"/>
          <w:szCs w:val="21"/>
          <w:highlight w:val="none"/>
        </w:rPr>
      </w:pPr>
      <w:r>
        <w:rPr>
          <w:rFonts w:hint="eastAsia" w:cs="宋体"/>
          <w:color w:val="auto"/>
          <w:sz w:val="21"/>
          <w:szCs w:val="21"/>
          <w:highlight w:val="none"/>
        </w:rPr>
        <w:t>（3）建立健全安全生产责任制。从派往项目实施的</w:t>
      </w:r>
      <w:r>
        <w:rPr>
          <w:rFonts w:hint="eastAsia" w:cs="宋体"/>
          <w:color w:val="auto"/>
          <w:sz w:val="21"/>
          <w:szCs w:val="21"/>
          <w:highlight w:val="none"/>
          <w:lang w:eastAsia="zh-CN"/>
        </w:rPr>
        <w:t>项目负责人</w:t>
      </w:r>
      <w:r>
        <w:rPr>
          <w:rFonts w:hint="eastAsia" w:cs="宋体"/>
          <w:color w:val="auto"/>
          <w:sz w:val="21"/>
          <w:szCs w:val="21"/>
          <w:highlight w:val="none"/>
        </w:rPr>
        <w:t>到生产工人（包括临时雇请的民工）的安全生产管理系统必须做到纵向到底，—环不漏；各职能部门、人员的安全生产责任制做到横向到边，人人有责。</w:t>
      </w:r>
      <w:r>
        <w:rPr>
          <w:rFonts w:hint="eastAsia" w:cs="宋体"/>
          <w:color w:val="auto"/>
          <w:sz w:val="21"/>
          <w:szCs w:val="21"/>
          <w:highlight w:val="none"/>
          <w:lang w:eastAsia="zh-CN"/>
        </w:rPr>
        <w:t>项目负责人</w:t>
      </w:r>
      <w:r>
        <w:rPr>
          <w:rFonts w:hint="eastAsia" w:cs="宋体"/>
          <w:color w:val="auto"/>
          <w:sz w:val="21"/>
          <w:szCs w:val="21"/>
          <w:highlight w:val="none"/>
        </w:rPr>
        <w:t>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69E5ECE6">
      <w:pPr>
        <w:spacing w:line="360" w:lineRule="auto"/>
        <w:ind w:firstLine="420" w:firstLineChars="200"/>
        <w:rPr>
          <w:rFonts w:cs="宋体"/>
          <w:color w:val="auto"/>
          <w:sz w:val="21"/>
          <w:szCs w:val="21"/>
          <w:highlight w:val="none"/>
        </w:rPr>
      </w:pPr>
      <w:r>
        <w:rPr>
          <w:rFonts w:hint="eastAsia" w:cs="宋体"/>
          <w:color w:val="auto"/>
          <w:sz w:val="21"/>
          <w:szCs w:val="21"/>
          <w:highlight w:val="none"/>
        </w:rPr>
        <w:t>（4）承包人在任何时候都应采取各种合理的预防措施，防止其员工发生任何违法、违禁、暴力或妨碍治安的行为。</w:t>
      </w:r>
    </w:p>
    <w:p w14:paraId="7D4AB0BD">
      <w:pPr>
        <w:spacing w:line="360" w:lineRule="auto"/>
        <w:ind w:firstLine="420" w:firstLineChars="200"/>
        <w:rPr>
          <w:rFonts w:cs="宋体"/>
          <w:color w:val="auto"/>
          <w:sz w:val="21"/>
          <w:szCs w:val="21"/>
          <w:highlight w:val="none"/>
        </w:rPr>
      </w:pPr>
      <w:r>
        <w:rPr>
          <w:rFonts w:hint="eastAsia"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w:t>
      </w:r>
      <w:r>
        <w:rPr>
          <w:rFonts w:hint="eastAsia" w:cs="宋体"/>
          <w:color w:val="auto"/>
          <w:sz w:val="21"/>
          <w:szCs w:val="21"/>
          <w:highlight w:val="none"/>
          <w:lang w:eastAsia="zh-CN"/>
        </w:rPr>
        <w:t>项目负责人</w:t>
      </w:r>
      <w:r>
        <w:rPr>
          <w:rFonts w:hint="eastAsia" w:cs="宋体"/>
          <w:color w:val="auto"/>
          <w:sz w:val="21"/>
          <w:szCs w:val="21"/>
          <w:highlight w:val="none"/>
        </w:rPr>
        <w:t>必须承担管理责任。</w:t>
      </w:r>
    </w:p>
    <w:p w14:paraId="38FAA877">
      <w:pPr>
        <w:spacing w:line="360" w:lineRule="auto"/>
        <w:ind w:firstLine="420" w:firstLineChars="200"/>
        <w:rPr>
          <w:rFonts w:cs="宋体"/>
          <w:color w:val="auto"/>
          <w:sz w:val="21"/>
          <w:szCs w:val="21"/>
          <w:highlight w:val="none"/>
        </w:rPr>
      </w:pPr>
      <w:r>
        <w:rPr>
          <w:rFonts w:hint="eastAsia"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6D6CDC3">
      <w:pPr>
        <w:spacing w:line="360" w:lineRule="auto"/>
        <w:ind w:firstLine="420" w:firstLineChars="200"/>
        <w:rPr>
          <w:rFonts w:cs="宋体"/>
          <w:color w:val="auto"/>
          <w:sz w:val="21"/>
          <w:szCs w:val="21"/>
          <w:highlight w:val="none"/>
        </w:rPr>
      </w:pPr>
      <w:r>
        <w:rPr>
          <w:rFonts w:hint="eastAsia"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4E6A4FF5">
      <w:pPr>
        <w:spacing w:line="360" w:lineRule="auto"/>
        <w:ind w:firstLine="420" w:firstLineChars="200"/>
        <w:rPr>
          <w:rFonts w:cs="宋体"/>
          <w:color w:val="auto"/>
          <w:sz w:val="21"/>
          <w:szCs w:val="21"/>
          <w:highlight w:val="none"/>
        </w:rPr>
      </w:pPr>
      <w:r>
        <w:rPr>
          <w:rFonts w:hint="eastAsia"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0FB7E798">
      <w:pPr>
        <w:spacing w:line="360" w:lineRule="auto"/>
        <w:ind w:firstLine="420" w:firstLineChars="200"/>
        <w:rPr>
          <w:rFonts w:cs="宋体"/>
          <w:color w:val="auto"/>
          <w:sz w:val="21"/>
          <w:szCs w:val="21"/>
          <w:highlight w:val="none"/>
        </w:rPr>
      </w:pPr>
      <w:r>
        <w:rPr>
          <w:rFonts w:hint="eastAsia" w:cs="宋体"/>
          <w:color w:val="auto"/>
          <w:sz w:val="21"/>
          <w:szCs w:val="21"/>
          <w:highlight w:val="none"/>
        </w:rPr>
        <w:t>（9）施工中采用新技术、新工艺、新设备、新材料时，必须制定相应的安全技术措施，施工现场必须具有相关的安全标志牌。</w:t>
      </w:r>
    </w:p>
    <w:p w14:paraId="191B678D">
      <w:pPr>
        <w:spacing w:line="360" w:lineRule="auto"/>
        <w:ind w:firstLine="420" w:firstLineChars="200"/>
        <w:rPr>
          <w:rFonts w:cs="宋体"/>
          <w:color w:val="auto"/>
          <w:sz w:val="21"/>
          <w:szCs w:val="21"/>
          <w:highlight w:val="none"/>
        </w:rPr>
      </w:pPr>
      <w:r>
        <w:rPr>
          <w:rFonts w:hint="eastAsia"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7D29BE7">
      <w:pPr>
        <w:spacing w:line="360" w:lineRule="auto"/>
        <w:ind w:firstLine="420" w:firstLineChars="200"/>
        <w:rPr>
          <w:rFonts w:cs="宋体"/>
          <w:color w:val="auto"/>
          <w:sz w:val="21"/>
          <w:szCs w:val="21"/>
          <w:highlight w:val="none"/>
        </w:rPr>
      </w:pPr>
      <w:r>
        <w:rPr>
          <w:rFonts w:hint="eastAsia" w:cs="宋体"/>
          <w:color w:val="auto"/>
          <w:sz w:val="21"/>
          <w:szCs w:val="21"/>
          <w:highlight w:val="none"/>
        </w:rPr>
        <w:t>（11）安全生产费用按照《建设工程安全生产管理条例》的相关规定使用和管理。</w:t>
      </w:r>
    </w:p>
    <w:p w14:paraId="2160F762">
      <w:pPr>
        <w:spacing w:line="360" w:lineRule="auto"/>
        <w:ind w:firstLine="420" w:firstLineChars="200"/>
        <w:rPr>
          <w:rFonts w:cs="宋体"/>
          <w:color w:val="auto"/>
          <w:sz w:val="21"/>
          <w:szCs w:val="21"/>
          <w:highlight w:val="none"/>
        </w:rPr>
      </w:pPr>
      <w:r>
        <w:rPr>
          <w:rFonts w:hint="eastAsia" w:cs="宋体"/>
          <w:color w:val="auto"/>
          <w:sz w:val="21"/>
          <w:szCs w:val="21"/>
          <w:highlight w:val="none"/>
        </w:rPr>
        <w:t>3.违约责任</w:t>
      </w:r>
    </w:p>
    <w:p w14:paraId="22D9C167">
      <w:pPr>
        <w:spacing w:line="360" w:lineRule="auto"/>
        <w:ind w:firstLine="420" w:firstLineChars="200"/>
        <w:rPr>
          <w:rFonts w:cs="宋体"/>
          <w:color w:val="auto"/>
          <w:sz w:val="21"/>
          <w:szCs w:val="21"/>
          <w:highlight w:val="none"/>
        </w:rPr>
      </w:pPr>
      <w:r>
        <w:rPr>
          <w:rFonts w:hint="eastAsia" w:cs="宋体"/>
          <w:color w:val="auto"/>
          <w:sz w:val="21"/>
          <w:szCs w:val="21"/>
          <w:highlight w:val="none"/>
        </w:rPr>
        <w:t>如因发包人或承包人违约造成安全事故，将依法追究责任。</w:t>
      </w:r>
    </w:p>
    <w:p w14:paraId="3E83849E">
      <w:pPr>
        <w:spacing w:line="360" w:lineRule="auto"/>
        <w:ind w:firstLine="420" w:firstLineChars="200"/>
        <w:rPr>
          <w:rFonts w:cs="宋体"/>
          <w:color w:val="auto"/>
          <w:sz w:val="21"/>
          <w:szCs w:val="21"/>
          <w:highlight w:val="none"/>
        </w:rPr>
      </w:pPr>
      <w:r>
        <w:rPr>
          <w:rFonts w:hint="eastAsia" w:cs="宋体"/>
          <w:color w:val="auto"/>
          <w:sz w:val="21"/>
          <w:szCs w:val="21"/>
          <w:highlight w:val="none"/>
        </w:rPr>
        <w:t>4.本合同由双方法定代表人或其授权的代理人签署并加盖单位章后生效，全部工程竣工验收后失效。</w:t>
      </w:r>
    </w:p>
    <w:p w14:paraId="7E5C329C">
      <w:pPr>
        <w:spacing w:line="360" w:lineRule="auto"/>
        <w:ind w:firstLine="420" w:firstLineChars="200"/>
        <w:rPr>
          <w:rFonts w:cs="宋体"/>
          <w:color w:val="auto"/>
          <w:sz w:val="21"/>
          <w:szCs w:val="21"/>
          <w:highlight w:val="none"/>
        </w:rPr>
      </w:pPr>
      <w:r>
        <w:rPr>
          <w:rFonts w:hint="eastAsia" w:cs="宋体"/>
          <w:color w:val="auto"/>
          <w:sz w:val="21"/>
          <w:szCs w:val="21"/>
          <w:highlight w:val="none"/>
        </w:rPr>
        <w:t>5.本合同正本—式</w:t>
      </w:r>
      <w:r>
        <w:rPr>
          <w:rFonts w:hint="eastAsia" w:cs="宋体"/>
          <w:color w:val="auto"/>
          <w:sz w:val="21"/>
          <w:szCs w:val="21"/>
          <w:highlight w:val="none"/>
          <w:u w:val="single"/>
        </w:rPr>
        <w:t xml:space="preserve">   </w:t>
      </w:r>
      <w:r>
        <w:rPr>
          <w:rFonts w:hint="eastAsia" w:cs="宋体"/>
          <w:color w:val="auto"/>
          <w:sz w:val="21"/>
          <w:szCs w:val="21"/>
          <w:highlight w:val="none"/>
        </w:rPr>
        <w:t>份，副本</w:t>
      </w:r>
      <w:r>
        <w:rPr>
          <w:rFonts w:hint="eastAsia" w:cs="宋体"/>
          <w:color w:val="auto"/>
          <w:sz w:val="21"/>
          <w:szCs w:val="21"/>
          <w:highlight w:val="none"/>
          <w:u w:val="single"/>
        </w:rPr>
        <w:t xml:space="preserve">  </w:t>
      </w:r>
      <w:r>
        <w:rPr>
          <w:rFonts w:hint="eastAsia" w:cs="宋体"/>
          <w:color w:val="auto"/>
          <w:sz w:val="21"/>
          <w:szCs w:val="21"/>
          <w:highlight w:val="none"/>
        </w:rPr>
        <w:t>份，合同双方各执正本—份，副本</w:t>
      </w:r>
      <w:r>
        <w:rPr>
          <w:rFonts w:hint="eastAsia" w:cs="宋体"/>
          <w:color w:val="auto"/>
          <w:sz w:val="21"/>
          <w:szCs w:val="21"/>
          <w:highlight w:val="none"/>
          <w:u w:val="single"/>
        </w:rPr>
        <w:t xml:space="preserve">  </w:t>
      </w:r>
      <w:r>
        <w:rPr>
          <w:rFonts w:hint="eastAsia" w:cs="宋体"/>
          <w:color w:val="auto"/>
          <w:sz w:val="21"/>
          <w:szCs w:val="21"/>
          <w:highlight w:val="none"/>
        </w:rPr>
        <w:t>份，当正本与副本的内容不一致时，以正本为准。</w:t>
      </w:r>
    </w:p>
    <w:p w14:paraId="30019C81">
      <w:pPr>
        <w:spacing w:line="360" w:lineRule="auto"/>
        <w:rPr>
          <w:rFonts w:cs="宋体"/>
          <w:color w:val="auto"/>
          <w:sz w:val="21"/>
          <w:szCs w:val="21"/>
          <w:highlight w:val="none"/>
        </w:rPr>
      </w:pPr>
    </w:p>
    <w:p w14:paraId="3F0DB481">
      <w:pPr>
        <w:spacing w:line="360" w:lineRule="auto"/>
        <w:rPr>
          <w:rFonts w:cs="宋体"/>
          <w:color w:val="auto"/>
          <w:sz w:val="21"/>
          <w:szCs w:val="21"/>
          <w:highlight w:val="none"/>
        </w:rPr>
      </w:pPr>
    </w:p>
    <w:p w14:paraId="45F3B2FF">
      <w:pPr>
        <w:spacing w:line="360" w:lineRule="auto"/>
        <w:rPr>
          <w:rFonts w:cs="宋体"/>
          <w:color w:val="auto"/>
          <w:sz w:val="21"/>
          <w:szCs w:val="21"/>
          <w:highlight w:val="none"/>
        </w:rPr>
      </w:pPr>
      <w:r>
        <w:rPr>
          <w:rFonts w:hint="eastAsia" w:cs="宋体"/>
          <w:color w:val="auto"/>
          <w:sz w:val="21"/>
          <w:szCs w:val="21"/>
          <w:highlight w:val="none"/>
        </w:rPr>
        <w:t>发包人：</w:t>
      </w:r>
      <w:r>
        <w:rPr>
          <w:rFonts w:hint="eastAsia" w:cs="宋体"/>
          <w:color w:val="auto"/>
          <w:sz w:val="21"/>
          <w:szCs w:val="21"/>
          <w:highlight w:val="none"/>
          <w:u w:val="single"/>
        </w:rPr>
        <w:t xml:space="preserve">            </w:t>
      </w:r>
      <w:r>
        <w:rPr>
          <w:rFonts w:hint="eastAsia" w:cs="宋体"/>
          <w:color w:val="auto"/>
          <w:sz w:val="21"/>
          <w:szCs w:val="21"/>
          <w:highlight w:val="none"/>
        </w:rPr>
        <w:t>（盖单位章）          承包人：</w:t>
      </w:r>
      <w:r>
        <w:rPr>
          <w:rFonts w:hint="eastAsia" w:cs="宋体"/>
          <w:color w:val="auto"/>
          <w:sz w:val="21"/>
          <w:szCs w:val="21"/>
          <w:highlight w:val="none"/>
          <w:u w:val="single"/>
        </w:rPr>
        <w:t xml:space="preserve">        </w:t>
      </w:r>
      <w:r>
        <w:rPr>
          <w:rFonts w:hint="eastAsia" w:cs="宋体"/>
          <w:color w:val="auto"/>
          <w:sz w:val="21"/>
          <w:szCs w:val="21"/>
          <w:highlight w:val="none"/>
        </w:rPr>
        <w:t>（盖单位章）</w:t>
      </w:r>
    </w:p>
    <w:p w14:paraId="543A9D7F">
      <w:pPr>
        <w:spacing w:line="360" w:lineRule="auto"/>
        <w:rPr>
          <w:rFonts w:cs="宋体"/>
          <w:color w:val="auto"/>
          <w:sz w:val="21"/>
          <w:szCs w:val="21"/>
          <w:highlight w:val="none"/>
        </w:rPr>
      </w:pPr>
    </w:p>
    <w:p w14:paraId="2DAF8C0C">
      <w:pPr>
        <w:spacing w:line="360" w:lineRule="auto"/>
        <w:rPr>
          <w:rFonts w:cs="宋体"/>
          <w:color w:val="auto"/>
          <w:sz w:val="21"/>
          <w:szCs w:val="21"/>
          <w:highlight w:val="none"/>
        </w:rPr>
      </w:pPr>
      <w:r>
        <w:rPr>
          <w:rFonts w:hint="eastAsia" w:cs="宋体"/>
          <w:color w:val="auto"/>
          <w:sz w:val="21"/>
          <w:szCs w:val="21"/>
          <w:highlight w:val="none"/>
        </w:rPr>
        <w:t>法定代表人或其委托代理人：</w:t>
      </w:r>
      <w:r>
        <w:rPr>
          <w:rFonts w:hint="eastAsia" w:cs="宋体"/>
          <w:color w:val="auto"/>
          <w:sz w:val="21"/>
          <w:szCs w:val="21"/>
          <w:highlight w:val="none"/>
          <w:u w:val="single"/>
        </w:rPr>
        <w:t xml:space="preserve">  </w:t>
      </w:r>
      <w:r>
        <w:rPr>
          <w:rFonts w:hint="eastAsia" w:cs="宋体"/>
          <w:color w:val="auto"/>
          <w:sz w:val="21"/>
          <w:szCs w:val="21"/>
          <w:highlight w:val="none"/>
        </w:rPr>
        <w:t>（签字）     法定代表人或其委托代理人：</w:t>
      </w:r>
      <w:r>
        <w:rPr>
          <w:rFonts w:hint="eastAsia" w:cs="宋体"/>
          <w:color w:val="auto"/>
          <w:sz w:val="21"/>
          <w:szCs w:val="21"/>
          <w:highlight w:val="none"/>
          <w:u w:val="single"/>
        </w:rPr>
        <w:t xml:space="preserve">   </w:t>
      </w:r>
      <w:r>
        <w:rPr>
          <w:rFonts w:hint="eastAsia" w:cs="宋体"/>
          <w:color w:val="auto"/>
          <w:sz w:val="21"/>
          <w:szCs w:val="21"/>
          <w:highlight w:val="none"/>
        </w:rPr>
        <w:t>（签字）</w:t>
      </w:r>
    </w:p>
    <w:p w14:paraId="26CAF456">
      <w:pPr>
        <w:spacing w:line="360" w:lineRule="auto"/>
        <w:rPr>
          <w:rFonts w:cs="宋体"/>
          <w:color w:val="auto"/>
          <w:sz w:val="21"/>
          <w:szCs w:val="21"/>
          <w:highlight w:val="none"/>
        </w:rPr>
      </w:pPr>
    </w:p>
    <w:p w14:paraId="6B2A0AAF">
      <w:pPr>
        <w:spacing w:line="360" w:lineRule="auto"/>
        <w:ind w:firstLine="840"/>
        <w:rPr>
          <w:rFonts w:cs="宋体"/>
          <w:color w:val="auto"/>
          <w:sz w:val="21"/>
          <w:szCs w:val="21"/>
          <w:highlight w:val="none"/>
        </w:rPr>
      </w:pP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 xml:space="preserve">日                </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w:t>
      </w:r>
    </w:p>
    <w:p w14:paraId="3B564E2B">
      <w:pPr>
        <w:spacing w:before="312" w:beforeLines="100" w:after="312" w:afterLines="100"/>
        <w:outlineLvl w:val="2"/>
        <w:rPr>
          <w:rFonts w:ascii="Times New Roman" w:eastAsia="黑体"/>
          <w:color w:val="auto"/>
          <w:szCs w:val="24"/>
          <w:highlight w:val="none"/>
        </w:rPr>
      </w:pPr>
      <w:r>
        <w:rPr>
          <w:rFonts w:hint="eastAsia" w:cs="宋体"/>
          <w:bCs/>
          <w:color w:val="auto"/>
          <w:kern w:val="44"/>
          <w:sz w:val="21"/>
          <w:szCs w:val="21"/>
          <w:highlight w:val="none"/>
        </w:rPr>
        <w:br w:type="page"/>
      </w:r>
      <w:bookmarkStart w:id="679" w:name="_Toc128950249"/>
      <w:r>
        <w:rPr>
          <w:rFonts w:hint="eastAsia" w:ascii="Times New Roman" w:eastAsia="黑体"/>
          <w:color w:val="auto"/>
          <w:szCs w:val="24"/>
          <w:highlight w:val="none"/>
        </w:rPr>
        <w:t>附件1</w:t>
      </w:r>
      <w:r>
        <w:rPr>
          <w:rFonts w:hint="eastAsia" w:ascii="Times New Roman" w:eastAsia="黑体"/>
          <w:color w:val="auto"/>
          <w:szCs w:val="24"/>
          <w:highlight w:val="none"/>
          <w:lang w:val="en-US" w:eastAsia="zh-CN"/>
        </w:rPr>
        <w:t>3</w:t>
      </w:r>
      <w:r>
        <w:rPr>
          <w:rFonts w:hint="eastAsia" w:ascii="Times New Roman" w:eastAsia="黑体"/>
          <w:color w:val="auto"/>
          <w:szCs w:val="24"/>
          <w:highlight w:val="none"/>
        </w:rPr>
        <w:t>：</w:t>
      </w:r>
      <w:r>
        <w:rPr>
          <w:rFonts w:hint="eastAsia" w:ascii="Times New Roman" w:eastAsia="黑体"/>
          <w:color w:val="auto"/>
          <w:szCs w:val="24"/>
          <w:highlight w:val="none"/>
          <w:lang w:eastAsia="zh-CN"/>
        </w:rPr>
        <w:t>项目负责人</w:t>
      </w:r>
      <w:r>
        <w:rPr>
          <w:rFonts w:hint="eastAsia" w:ascii="Times New Roman" w:eastAsia="黑体"/>
          <w:color w:val="auto"/>
          <w:szCs w:val="24"/>
          <w:highlight w:val="none"/>
        </w:rPr>
        <w:t>质量终身责任制承诺</w:t>
      </w:r>
      <w:bookmarkEnd w:id="679"/>
    </w:p>
    <w:p w14:paraId="0F5A5936">
      <w:pPr>
        <w:spacing w:before="156" w:beforeLines="50" w:after="156" w:afterLines="50" w:line="360" w:lineRule="auto"/>
        <w:jc w:val="center"/>
        <w:rPr>
          <w:rFonts w:cs="宋体"/>
          <w:b/>
          <w:color w:val="auto"/>
          <w:sz w:val="32"/>
          <w:szCs w:val="32"/>
          <w:highlight w:val="none"/>
        </w:rPr>
      </w:pPr>
      <w:bookmarkStart w:id="680" w:name="_Toc128950250"/>
      <w:bookmarkStart w:id="681" w:name="_Toc14540"/>
      <w:bookmarkStart w:id="682" w:name="_Toc19417"/>
      <w:r>
        <w:rPr>
          <w:rFonts w:hint="eastAsia" w:cs="宋体"/>
          <w:b/>
          <w:color w:val="auto"/>
          <w:sz w:val="32"/>
          <w:szCs w:val="32"/>
          <w:highlight w:val="none"/>
          <w:lang w:eastAsia="zh-CN"/>
        </w:rPr>
        <w:t>项目负责人</w:t>
      </w:r>
      <w:r>
        <w:rPr>
          <w:rFonts w:hint="eastAsia" w:cs="宋体"/>
          <w:b/>
          <w:color w:val="auto"/>
          <w:sz w:val="32"/>
          <w:szCs w:val="32"/>
          <w:highlight w:val="none"/>
        </w:rPr>
        <w:t>质量终身责任制承诺</w:t>
      </w:r>
      <w:bookmarkEnd w:id="680"/>
      <w:bookmarkEnd w:id="681"/>
      <w:bookmarkEnd w:id="682"/>
    </w:p>
    <w:p w14:paraId="183EE121">
      <w:pPr>
        <w:spacing w:line="360" w:lineRule="auto"/>
        <w:rPr>
          <w:rFonts w:cs="宋体"/>
          <w:bCs/>
          <w:color w:val="auto"/>
          <w:sz w:val="21"/>
          <w:szCs w:val="21"/>
          <w:highlight w:val="none"/>
        </w:rPr>
      </w:pPr>
      <w:r>
        <w:rPr>
          <w:rFonts w:hint="eastAsia" w:cs="宋体"/>
          <w:bCs/>
          <w:color w:val="auto"/>
          <w:sz w:val="21"/>
          <w:szCs w:val="21"/>
          <w:highlight w:val="none"/>
        </w:rPr>
        <w:t>致：</w:t>
      </w:r>
      <w:r>
        <w:rPr>
          <w:rFonts w:hint="eastAsia" w:cs="宋体"/>
          <w:bCs/>
          <w:color w:val="auto"/>
          <w:sz w:val="21"/>
          <w:szCs w:val="21"/>
          <w:highlight w:val="none"/>
          <w:u w:val="single"/>
        </w:rPr>
        <w:t>（采购人）</w:t>
      </w:r>
    </w:p>
    <w:p w14:paraId="2CCB490D">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本人作为施工</w:t>
      </w:r>
      <w:r>
        <w:rPr>
          <w:rFonts w:hint="eastAsia" w:cs="宋体"/>
          <w:bCs/>
          <w:color w:val="auto"/>
          <w:sz w:val="21"/>
          <w:szCs w:val="21"/>
          <w:highlight w:val="none"/>
          <w:lang w:eastAsia="zh-CN"/>
        </w:rPr>
        <w:t>项目负责人</w:t>
      </w:r>
      <w:r>
        <w:rPr>
          <w:rFonts w:hint="eastAsia" w:cs="宋体"/>
          <w:bCs/>
          <w:color w:val="auto"/>
          <w:sz w:val="21"/>
          <w:szCs w:val="21"/>
          <w:highlight w:val="none"/>
        </w:rPr>
        <w:t>，承担相关质量终身责任，现郑重承诺如下：</w:t>
      </w:r>
    </w:p>
    <w:p w14:paraId="4754D489">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一、在取得施工许可证后进行施工。</w:t>
      </w:r>
    </w:p>
    <w:p w14:paraId="06434F08">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二、严格执行施工规范及标准。</w:t>
      </w:r>
    </w:p>
    <w:p w14:paraId="2B62BB6B">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三、严格按规定配备施工项目部关键岗位人员，并确保所有人员到岗履职。</w:t>
      </w:r>
    </w:p>
    <w:p w14:paraId="7B51F1E6">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四、严格按照经施工图审查机构审查合格的工程设计文件及合同约定的质量标准精心组织施工。</w:t>
      </w:r>
    </w:p>
    <w:p w14:paraId="438D2D86">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五、施工中采用合格的建筑材料、建筑构配件和设备等，并严格按规定执行见证取样制度。</w:t>
      </w:r>
    </w:p>
    <w:p w14:paraId="15243D76">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六、建立、健全质量检查、验收制度，严格工序管理，做好隐蔽工程质量的检查和记录。</w:t>
      </w:r>
    </w:p>
    <w:p w14:paraId="10C62B9D">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七、对施工中出现的质量问题，及时进行整改。严格依法依规履行义务。</w:t>
      </w:r>
    </w:p>
    <w:p w14:paraId="033669C9">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八、履行相关工程质量检查、验收及事故处理等职责。</w:t>
      </w:r>
    </w:p>
    <w:p w14:paraId="658C0058">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九、履行其他法律法规规定的职责。</w:t>
      </w:r>
    </w:p>
    <w:p w14:paraId="722B3FC0">
      <w:pPr>
        <w:spacing w:line="360" w:lineRule="auto"/>
        <w:ind w:left="342" w:leftChars="171" w:firstLine="630" w:firstLineChars="300"/>
        <w:rPr>
          <w:rFonts w:cs="宋体"/>
          <w:bCs/>
          <w:color w:val="auto"/>
          <w:sz w:val="21"/>
          <w:szCs w:val="21"/>
          <w:highlight w:val="none"/>
        </w:rPr>
      </w:pPr>
    </w:p>
    <w:p w14:paraId="5484E24A">
      <w:pPr>
        <w:spacing w:line="360" w:lineRule="auto"/>
        <w:ind w:left="342" w:leftChars="171" w:firstLine="630" w:firstLineChars="300"/>
        <w:rPr>
          <w:rFonts w:cs="宋体"/>
          <w:bCs/>
          <w:color w:val="auto"/>
          <w:sz w:val="21"/>
          <w:szCs w:val="21"/>
          <w:highlight w:val="none"/>
        </w:rPr>
      </w:pPr>
    </w:p>
    <w:p w14:paraId="5AE76415">
      <w:pPr>
        <w:spacing w:line="360" w:lineRule="auto"/>
        <w:ind w:left="342" w:leftChars="171" w:firstLine="630" w:firstLineChars="300"/>
        <w:rPr>
          <w:rFonts w:cs="宋体"/>
          <w:bCs/>
          <w:color w:val="auto"/>
          <w:sz w:val="21"/>
          <w:szCs w:val="21"/>
          <w:highlight w:val="none"/>
        </w:rPr>
      </w:pPr>
      <w:r>
        <w:rPr>
          <w:rFonts w:hint="eastAsia" w:cs="宋体"/>
          <w:bCs/>
          <w:color w:val="auto"/>
          <w:sz w:val="21"/>
          <w:szCs w:val="21"/>
          <w:highlight w:val="none"/>
          <w:lang w:eastAsia="zh-CN"/>
        </w:rPr>
        <w:t>项目负责人</w:t>
      </w:r>
      <w:r>
        <w:rPr>
          <w:rFonts w:hint="eastAsia" w:cs="宋体"/>
          <w:bCs/>
          <w:color w:val="auto"/>
          <w:sz w:val="21"/>
          <w:szCs w:val="21"/>
          <w:highlight w:val="none"/>
        </w:rPr>
        <w:t>：</w:t>
      </w:r>
      <w:r>
        <w:rPr>
          <w:rFonts w:hint="eastAsia" w:cs="宋体"/>
          <w:bCs/>
          <w:color w:val="auto"/>
          <w:sz w:val="21"/>
          <w:szCs w:val="21"/>
          <w:highlight w:val="none"/>
          <w:u w:val="single"/>
        </w:rPr>
        <w:t xml:space="preserve">                   </w:t>
      </w:r>
      <w:r>
        <w:rPr>
          <w:rFonts w:hint="eastAsia" w:cs="宋体"/>
          <w:bCs/>
          <w:color w:val="auto"/>
          <w:sz w:val="21"/>
          <w:szCs w:val="21"/>
          <w:highlight w:val="none"/>
        </w:rPr>
        <w:t>（签字）</w:t>
      </w:r>
    </w:p>
    <w:p w14:paraId="3E100953">
      <w:pPr>
        <w:spacing w:line="360" w:lineRule="auto"/>
        <w:ind w:left="342" w:leftChars="171" w:firstLine="630" w:firstLineChars="300"/>
        <w:rPr>
          <w:rFonts w:cs="宋体"/>
          <w:bCs/>
          <w:color w:val="auto"/>
          <w:sz w:val="21"/>
          <w:szCs w:val="21"/>
          <w:highlight w:val="none"/>
        </w:rPr>
      </w:pPr>
      <w:r>
        <w:rPr>
          <w:rFonts w:hint="eastAsia" w:cs="宋体"/>
          <w:bCs/>
          <w:color w:val="auto"/>
          <w:sz w:val="21"/>
          <w:szCs w:val="21"/>
          <w:highlight w:val="none"/>
        </w:rPr>
        <w:t>日期：_____年____月____日</w:t>
      </w:r>
    </w:p>
    <w:p w14:paraId="726DB656">
      <w:pPr>
        <w:pStyle w:val="22"/>
        <w:rPr>
          <w:rFonts w:ascii="宋体" w:hAnsi="宋体" w:eastAsia="宋体" w:cs="宋体"/>
          <w:bCs/>
          <w:color w:val="auto"/>
          <w:sz w:val="21"/>
          <w:szCs w:val="21"/>
          <w:highlight w:val="none"/>
        </w:rPr>
      </w:pPr>
    </w:p>
    <w:p w14:paraId="4F579DF0">
      <w:pPr>
        <w:spacing w:line="360" w:lineRule="auto"/>
        <w:ind w:left="342" w:leftChars="171" w:firstLine="630" w:firstLineChars="300"/>
        <w:rPr>
          <w:rFonts w:cs="宋体"/>
          <w:bCs/>
          <w:color w:val="auto"/>
          <w:sz w:val="21"/>
          <w:szCs w:val="21"/>
          <w:highlight w:val="none"/>
        </w:rPr>
      </w:pPr>
    </w:p>
    <w:p w14:paraId="0F96642D">
      <w:pPr>
        <w:pStyle w:val="22"/>
        <w:rPr>
          <w:rFonts w:ascii="宋体" w:hAnsi="宋体" w:eastAsia="宋体" w:cs="宋体"/>
          <w:bCs/>
          <w:color w:val="auto"/>
          <w:sz w:val="21"/>
          <w:szCs w:val="21"/>
          <w:highlight w:val="none"/>
        </w:rPr>
      </w:pPr>
    </w:p>
    <w:p w14:paraId="46858EE1">
      <w:pPr>
        <w:widowControl/>
        <w:jc w:val="left"/>
        <w:rPr>
          <w:b/>
          <w:color w:val="auto"/>
          <w:sz w:val="24"/>
          <w:highlight w:val="none"/>
        </w:rPr>
      </w:pPr>
      <w:r>
        <w:rPr>
          <w:b/>
          <w:color w:val="auto"/>
          <w:sz w:val="24"/>
          <w:highlight w:val="none"/>
        </w:rPr>
        <w:br w:type="page"/>
      </w:r>
    </w:p>
    <w:p w14:paraId="76561B56">
      <w:pPr>
        <w:spacing w:line="360" w:lineRule="auto"/>
        <w:jc w:val="center"/>
        <w:outlineLvl w:val="0"/>
        <w:rPr>
          <w:rFonts w:asciiTheme="minorEastAsia" w:hAnsiTheme="minorEastAsia" w:eastAsiaTheme="minorEastAsia"/>
          <w:b/>
          <w:color w:val="auto"/>
          <w:sz w:val="28"/>
          <w:highlight w:val="none"/>
        </w:rPr>
      </w:pPr>
      <w:bookmarkStart w:id="683" w:name="_Toc16770"/>
      <w:r>
        <w:rPr>
          <w:rFonts w:hint="eastAsia" w:asciiTheme="minorEastAsia" w:hAnsiTheme="minorEastAsia" w:eastAsiaTheme="minorEastAsia"/>
          <w:b/>
          <w:color w:val="auto"/>
          <w:sz w:val="28"/>
          <w:highlight w:val="none"/>
        </w:rPr>
        <w:t>第六章  响应文件格式</w:t>
      </w:r>
      <w:bookmarkEnd w:id="683"/>
    </w:p>
    <w:p w14:paraId="2DE3F776">
      <w:pPr>
        <w:spacing w:line="900" w:lineRule="exact"/>
        <w:jc w:val="center"/>
        <w:rPr>
          <w:rFonts w:asciiTheme="minorEastAsia" w:hAnsiTheme="minorEastAsia" w:eastAsiaTheme="minorEastAsia"/>
          <w:b/>
          <w:color w:val="auto"/>
          <w:sz w:val="72"/>
          <w:highlight w:val="none"/>
        </w:rPr>
      </w:pPr>
    </w:p>
    <w:p w14:paraId="3B2677BA">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16F6CF00">
      <w:pPr>
        <w:spacing w:line="900" w:lineRule="exact"/>
        <w:jc w:val="center"/>
        <w:rPr>
          <w:rFonts w:asciiTheme="minorEastAsia" w:hAnsiTheme="minorEastAsia" w:eastAsiaTheme="minorEastAsia"/>
          <w:b/>
          <w:color w:val="auto"/>
          <w:sz w:val="72"/>
          <w:highlight w:val="none"/>
        </w:rPr>
      </w:pPr>
    </w:p>
    <w:p w14:paraId="530FD754">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0A21692B">
      <w:pPr>
        <w:spacing w:line="900" w:lineRule="exact"/>
        <w:jc w:val="center"/>
        <w:rPr>
          <w:rFonts w:asciiTheme="minorEastAsia" w:hAnsiTheme="minorEastAsia" w:eastAsiaTheme="minorEastAsia"/>
          <w:b/>
          <w:color w:val="auto"/>
          <w:sz w:val="72"/>
          <w:highlight w:val="none"/>
        </w:rPr>
      </w:pPr>
    </w:p>
    <w:p w14:paraId="7E4DE69E">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472B2E23">
      <w:pPr>
        <w:spacing w:line="900" w:lineRule="exact"/>
        <w:jc w:val="center"/>
        <w:rPr>
          <w:rFonts w:asciiTheme="minorEastAsia" w:hAnsiTheme="minorEastAsia" w:eastAsiaTheme="minorEastAsia"/>
          <w:b/>
          <w:color w:val="auto"/>
          <w:sz w:val="72"/>
          <w:highlight w:val="none"/>
        </w:rPr>
      </w:pPr>
    </w:p>
    <w:p w14:paraId="58528D0D">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7217DEBD">
      <w:pPr>
        <w:spacing w:after="156" w:afterLines="50"/>
        <w:jc w:val="center"/>
        <w:rPr>
          <w:rFonts w:asciiTheme="minorEastAsia" w:hAnsiTheme="minorEastAsia" w:eastAsiaTheme="minorEastAsia"/>
          <w:b/>
          <w:color w:val="auto"/>
          <w:sz w:val="72"/>
          <w:highlight w:val="none"/>
        </w:rPr>
      </w:pPr>
    </w:p>
    <w:p w14:paraId="62C36B71">
      <w:pPr>
        <w:spacing w:after="156" w:afterLines="50" w:line="500" w:lineRule="exact"/>
        <w:jc w:val="center"/>
        <w:rPr>
          <w:rFonts w:asciiTheme="minorEastAsia" w:hAnsiTheme="minorEastAsia" w:eastAsiaTheme="minorEastAsia"/>
          <w:b/>
          <w:color w:val="auto"/>
          <w:sz w:val="28"/>
          <w:szCs w:val="28"/>
          <w:highlight w:val="none"/>
        </w:rPr>
      </w:pPr>
    </w:p>
    <w:p w14:paraId="722B5ADA">
      <w:pPr>
        <w:pStyle w:val="2"/>
        <w:rPr>
          <w:color w:val="auto"/>
          <w:highlight w:val="none"/>
        </w:rPr>
      </w:pPr>
    </w:p>
    <w:p w14:paraId="527EC8C4">
      <w:pPr>
        <w:tabs>
          <w:tab w:val="left" w:pos="2410"/>
        </w:tabs>
        <w:autoSpaceDE w:val="0"/>
        <w:autoSpaceDN w:val="0"/>
        <w:adjustRightInd w:val="0"/>
        <w:snapToGrid w:val="0"/>
        <w:spacing w:line="360" w:lineRule="auto"/>
        <w:ind w:firstLine="1606" w:firstLineChars="5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6479989">
      <w:pPr>
        <w:tabs>
          <w:tab w:val="left" w:pos="2410"/>
        </w:tabs>
        <w:autoSpaceDE w:val="0"/>
        <w:autoSpaceDN w:val="0"/>
        <w:adjustRightInd w:val="0"/>
        <w:snapToGrid w:val="0"/>
        <w:spacing w:line="360" w:lineRule="auto"/>
        <w:ind w:firstLine="1606" w:firstLineChars="5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3ABE540">
      <w:pPr>
        <w:tabs>
          <w:tab w:val="left" w:pos="2410"/>
        </w:tabs>
        <w:autoSpaceDE w:val="0"/>
        <w:autoSpaceDN w:val="0"/>
        <w:adjustRightInd w:val="0"/>
        <w:snapToGrid w:val="0"/>
        <w:spacing w:line="360" w:lineRule="auto"/>
        <w:ind w:firstLine="1606" w:firstLineChars="5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7346DCA0">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684" w:name="_Toc32582"/>
      <w:bookmarkStart w:id="685" w:name="_Toc2759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684"/>
      <w:bookmarkEnd w:id="685"/>
    </w:p>
    <w:p w14:paraId="44262FE7">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F4143F2">
      <w:pPr>
        <w:spacing w:line="360" w:lineRule="auto"/>
        <w:jc w:val="center"/>
        <w:outlineLvl w:val="1"/>
        <w:rPr>
          <w:rFonts w:asciiTheme="minorEastAsia" w:hAnsiTheme="minorEastAsia" w:eastAsiaTheme="minorEastAsia"/>
          <w:b/>
          <w:color w:val="auto"/>
          <w:sz w:val="24"/>
          <w:highlight w:val="none"/>
        </w:rPr>
      </w:pPr>
      <w:bookmarkStart w:id="686" w:name="_Toc461056631"/>
      <w:bookmarkStart w:id="687" w:name="_Toc461053086"/>
      <w:bookmarkStart w:id="688" w:name="_Toc26877"/>
      <w:bookmarkStart w:id="689" w:name="_Toc520983587"/>
      <w:bookmarkStart w:id="690" w:name="_Toc17778"/>
      <w:r>
        <w:rPr>
          <w:rFonts w:hint="eastAsia" w:asciiTheme="minorEastAsia" w:hAnsiTheme="minorEastAsia" w:eastAsiaTheme="minorEastAsia"/>
          <w:b/>
          <w:color w:val="auto"/>
          <w:sz w:val="24"/>
          <w:highlight w:val="none"/>
        </w:rPr>
        <w:t>一</w:t>
      </w:r>
      <w:bookmarkEnd w:id="686"/>
      <w:bookmarkEnd w:id="687"/>
      <w:r>
        <w:rPr>
          <w:rFonts w:hint="eastAsia" w:asciiTheme="minorEastAsia" w:hAnsiTheme="minorEastAsia" w:eastAsiaTheme="minorEastAsia"/>
          <w:b/>
          <w:color w:val="auto"/>
          <w:sz w:val="24"/>
          <w:highlight w:val="none"/>
        </w:rPr>
        <w:t>、报价表格式</w:t>
      </w:r>
      <w:bookmarkEnd w:id="688"/>
      <w:bookmarkEnd w:id="689"/>
      <w:bookmarkEnd w:id="690"/>
    </w:p>
    <w:p w14:paraId="41628D55">
      <w:pPr>
        <w:spacing w:before="156" w:beforeLines="50" w:after="156" w:afterLines="50" w:line="360" w:lineRule="auto"/>
        <w:jc w:val="left"/>
        <w:outlineLvl w:val="2"/>
        <w:rPr>
          <w:rFonts w:cs="@仿宋_GB2312"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rPr>
        <w:t>1-1 报价表</w:t>
      </w:r>
    </w:p>
    <w:p w14:paraId="27DCA8E1">
      <w:pPr>
        <w:snapToGrid w:val="0"/>
        <w:spacing w:line="360" w:lineRule="auto"/>
        <w:jc w:val="left"/>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r>
        <w:rPr>
          <w:rFonts w:hint="eastAsia" w:cs="宋体" w:asciiTheme="minorEastAsia" w:hAnsiTheme="minorEastAsia" w:eastAsiaTheme="minorEastAsia"/>
          <w:b/>
          <w:color w:val="auto"/>
          <w:kern w:val="2"/>
          <w:sz w:val="24"/>
          <w:szCs w:val="24"/>
          <w:highlight w:val="none"/>
          <w:u w:val="single"/>
        </w:rPr>
        <w:t xml:space="preserve">    </w:t>
      </w:r>
    </w:p>
    <w:p w14:paraId="04C64027">
      <w:pPr>
        <w:snapToGrid w:val="0"/>
        <w:spacing w:after="156" w:afterLines="50" w:line="360" w:lineRule="auto"/>
        <w:jc w:val="left"/>
        <w:rPr>
          <w:rFonts w:cs="宋体" w:asciiTheme="minorEastAsia" w:hAnsiTheme="minorEastAsia" w:eastAsiaTheme="minorEastAsia"/>
          <w:b/>
          <w:bCs/>
          <w:color w:val="auto"/>
          <w:kern w:val="2"/>
          <w:sz w:val="24"/>
          <w:szCs w:val="24"/>
          <w:highlight w:val="none"/>
          <w:u w:val="single"/>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r>
        <w:rPr>
          <w:rFonts w:hint="eastAsia" w:cs="宋体" w:asciiTheme="minorEastAsia" w:hAnsiTheme="minorEastAsia" w:eastAsiaTheme="minorEastAsia"/>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2A6F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A72104C">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557" w:type="pct"/>
            <w:tcBorders>
              <w:left w:val="single" w:color="auto" w:sz="4" w:space="0"/>
            </w:tcBorders>
          </w:tcPr>
          <w:p w14:paraId="5ADA1DC4">
            <w:pPr>
              <w:rPr>
                <w:rFonts w:cs="宋体" w:asciiTheme="minorEastAsia" w:hAnsiTheme="minorEastAsia" w:eastAsiaTheme="minorEastAsia"/>
                <w:b/>
                <w:color w:val="auto"/>
                <w:kern w:val="2"/>
                <w:sz w:val="24"/>
                <w:szCs w:val="24"/>
                <w:highlight w:val="none"/>
              </w:rPr>
            </w:pPr>
          </w:p>
        </w:tc>
      </w:tr>
      <w:tr w14:paraId="4F26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047B1CB">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谈判</w:t>
            </w:r>
            <w:r>
              <w:rPr>
                <w:rFonts w:hint="eastAsia" w:cs="宋体" w:asciiTheme="minorEastAsia" w:hAnsiTheme="minorEastAsia" w:eastAsiaTheme="minorEastAsia"/>
                <w:b/>
                <w:color w:val="auto"/>
                <w:kern w:val="2"/>
                <w:sz w:val="24"/>
                <w:szCs w:val="24"/>
                <w:highlight w:val="none"/>
              </w:rPr>
              <w:t>范围</w:t>
            </w:r>
          </w:p>
        </w:tc>
        <w:tc>
          <w:tcPr>
            <w:tcW w:w="3557" w:type="pct"/>
            <w:tcBorders>
              <w:left w:val="single" w:color="auto" w:sz="4" w:space="0"/>
            </w:tcBorders>
            <w:vAlign w:val="center"/>
          </w:tcPr>
          <w:p w14:paraId="3322EFAE">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全部</w:t>
            </w:r>
          </w:p>
        </w:tc>
      </w:tr>
      <w:tr w14:paraId="27EB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702204E">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426E311B">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557" w:type="pct"/>
            <w:vAlign w:val="center"/>
          </w:tcPr>
          <w:p w14:paraId="4B6A537E">
            <w:pPr>
              <w:snapToGrid w:val="0"/>
              <w:spacing w:line="360" w:lineRule="auto"/>
              <w:jc w:val="left"/>
              <w:rPr>
                <w:rFonts w:cs="宋体"/>
                <w:bCs/>
                <w:color w:val="auto"/>
                <w:sz w:val="21"/>
                <w:szCs w:val="21"/>
                <w:highlight w:val="none"/>
                <w:u w:val="single"/>
              </w:rPr>
            </w:pPr>
            <w:r>
              <w:rPr>
                <w:rFonts w:hint="eastAsia" w:cs="宋体"/>
                <w:bCs/>
                <w:color w:val="auto"/>
                <w:sz w:val="21"/>
                <w:szCs w:val="21"/>
                <w:highlight w:val="none"/>
              </w:rPr>
              <w:t>大写：</w:t>
            </w:r>
            <w:r>
              <w:rPr>
                <w:rFonts w:hint="eastAsia" w:cs="宋体"/>
                <w:bCs/>
                <w:color w:val="auto"/>
                <w:sz w:val="21"/>
                <w:szCs w:val="21"/>
                <w:highlight w:val="none"/>
                <w:u w:val="single"/>
              </w:rPr>
              <w:t xml:space="preserve">                     </w:t>
            </w:r>
          </w:p>
          <w:p w14:paraId="61CCF631">
            <w:pPr>
              <w:snapToGrid w:val="0"/>
              <w:rPr>
                <w:rFonts w:cs="宋体" w:asciiTheme="minorEastAsia" w:hAnsiTheme="minorEastAsia" w:eastAsiaTheme="minorEastAsia"/>
                <w:b/>
                <w:color w:val="auto"/>
                <w:kern w:val="2"/>
                <w:sz w:val="24"/>
                <w:szCs w:val="24"/>
                <w:highlight w:val="none"/>
              </w:rPr>
            </w:pPr>
            <w:r>
              <w:rPr>
                <w:rFonts w:hint="eastAsia" w:cs="宋体"/>
                <w:bCs/>
                <w:color w:val="auto"/>
                <w:sz w:val="21"/>
                <w:szCs w:val="21"/>
                <w:highlight w:val="none"/>
              </w:rPr>
              <w:t>小写：</w:t>
            </w:r>
            <w:r>
              <w:rPr>
                <w:rFonts w:hint="eastAsia" w:cs="宋体"/>
                <w:bCs/>
                <w:color w:val="auto"/>
                <w:sz w:val="21"/>
                <w:szCs w:val="21"/>
                <w:highlight w:val="none"/>
                <w:u w:val="single"/>
              </w:rPr>
              <w:t xml:space="preserve">                     </w:t>
            </w:r>
          </w:p>
        </w:tc>
      </w:tr>
      <w:tr w14:paraId="0EB9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22E7FE18">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557" w:type="pct"/>
            <w:vAlign w:val="center"/>
          </w:tcPr>
          <w:p w14:paraId="535A6FF2">
            <w:pPr>
              <w:snapToGrid w:val="0"/>
              <w:rPr>
                <w:rFonts w:cs="宋体" w:asciiTheme="minorEastAsia" w:hAnsiTheme="minorEastAsia" w:eastAsiaTheme="minorEastAsia"/>
                <w:b/>
                <w:color w:val="auto"/>
                <w:kern w:val="2"/>
                <w:sz w:val="24"/>
                <w:szCs w:val="24"/>
                <w:highlight w:val="none"/>
              </w:rPr>
            </w:pPr>
          </w:p>
        </w:tc>
      </w:tr>
      <w:tr w14:paraId="3F5D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5A3D5EA9">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557" w:type="pct"/>
            <w:vAlign w:val="center"/>
          </w:tcPr>
          <w:p w14:paraId="2526F9F2">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接开工令后</w:t>
            </w:r>
            <w:r>
              <w:rPr>
                <w:rFonts w:hint="eastAsia" w:cs="宋体" w:asciiTheme="minorEastAsia" w:hAnsiTheme="minorEastAsia" w:eastAsiaTheme="minorEastAsia"/>
                <w:bCs/>
                <w:color w:val="auto"/>
                <w:kern w:val="2"/>
                <w:sz w:val="24"/>
                <w:szCs w:val="24"/>
                <w:highlight w:val="none"/>
                <w:u w:val="single"/>
              </w:rPr>
              <w:t xml:space="preserve">        </w:t>
            </w:r>
            <w:r>
              <w:rPr>
                <w:rFonts w:hint="eastAsia" w:cs="宋体" w:asciiTheme="minorEastAsia" w:hAnsiTheme="minorEastAsia" w:eastAsiaTheme="minorEastAsia"/>
                <w:bCs/>
                <w:color w:val="auto"/>
                <w:kern w:val="2"/>
                <w:sz w:val="24"/>
                <w:szCs w:val="24"/>
                <w:highlight w:val="none"/>
              </w:rPr>
              <w:t>日历天完工</w:t>
            </w:r>
          </w:p>
        </w:tc>
      </w:tr>
      <w:tr w14:paraId="03AF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50CE730">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557" w:type="pct"/>
            <w:vAlign w:val="center"/>
          </w:tcPr>
          <w:p w14:paraId="43249A53">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53BE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587FD01D">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557" w:type="pct"/>
          </w:tcPr>
          <w:p w14:paraId="528DCB4A">
            <w:pPr>
              <w:rPr>
                <w:rFonts w:cs="宋体" w:asciiTheme="minorEastAsia" w:hAnsiTheme="minorEastAsia" w:eastAsiaTheme="minorEastAsia"/>
                <w:b/>
                <w:color w:val="auto"/>
                <w:kern w:val="2"/>
                <w:sz w:val="24"/>
                <w:szCs w:val="24"/>
                <w:highlight w:val="none"/>
              </w:rPr>
            </w:pPr>
          </w:p>
        </w:tc>
      </w:tr>
    </w:tbl>
    <w:p w14:paraId="41A81DE6">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65164063">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355CC4EE">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667D3169">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1.本表内容根据谈判文件要求包括了谈判文件要求提供的全部内容的所有费用。</w:t>
      </w:r>
    </w:p>
    <w:p w14:paraId="60823600">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352074DF">
      <w:pPr>
        <w:adjustRightInd w:val="0"/>
        <w:snapToGrid w:val="0"/>
        <w:spacing w:line="360" w:lineRule="auto"/>
        <w:ind w:firstLine="482" w:firstLineChars="200"/>
        <w:rPr>
          <w:rFonts w:cs="@仿宋_GB2312" w:asciiTheme="minorEastAsia" w:hAnsiTheme="minorEastAsia" w:eastAsiaTheme="minorEastAsia"/>
          <w:b/>
          <w:bCs/>
          <w:color w:val="auto"/>
          <w:kern w:val="2"/>
          <w:sz w:val="24"/>
          <w:szCs w:val="24"/>
          <w:highlight w:val="none"/>
        </w:rPr>
      </w:pPr>
      <w:r>
        <w:rPr>
          <w:rFonts w:hint="eastAsia" w:cs="@仿宋_GB2312" w:asciiTheme="minorEastAsia" w:hAnsiTheme="minorEastAsia" w:eastAsiaTheme="minorEastAsia"/>
          <w:b/>
          <w:bCs/>
          <w:color w:val="auto"/>
          <w:kern w:val="2"/>
          <w:sz w:val="24"/>
          <w:szCs w:val="24"/>
          <w:highlight w:val="none"/>
          <w:lang w:val="en-US" w:eastAsia="zh-CN"/>
        </w:rPr>
        <w:t>3</w:t>
      </w:r>
      <w:r>
        <w:rPr>
          <w:rFonts w:hint="eastAsia" w:cs="@仿宋_GB2312" w:asciiTheme="minorEastAsia" w:hAnsiTheme="minorEastAsia" w:eastAsiaTheme="minorEastAsia"/>
          <w:b/>
          <w:bCs/>
          <w:color w:val="auto"/>
          <w:kern w:val="2"/>
          <w:sz w:val="24"/>
          <w:szCs w:val="24"/>
          <w:highlight w:val="none"/>
        </w:rPr>
        <w:t>.表中大写金额与小写金额不一致的，以大写金额为准。</w:t>
      </w:r>
    </w:p>
    <w:p w14:paraId="2E3FA73C">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cs="宋体" w:asciiTheme="minorEastAsia" w:hAnsiTheme="minorEastAsia" w:eastAsiaTheme="minorEastAsia"/>
          <w:b/>
          <w:bCs/>
          <w:color w:val="auto"/>
          <w:kern w:val="2"/>
          <w:sz w:val="24"/>
          <w:szCs w:val="24"/>
          <w:highlight w:val="none"/>
        </w:rPr>
        <w:br w:type="page"/>
      </w:r>
    </w:p>
    <w:p w14:paraId="631B7A79">
      <w:pPr>
        <w:adjustRightInd w:val="0"/>
        <w:snapToGrid w:val="0"/>
        <w:spacing w:line="360" w:lineRule="auto"/>
        <w:outlineLvl w:val="2"/>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1-2 工程量清单报价书</w:t>
      </w:r>
    </w:p>
    <w:p w14:paraId="4E714580">
      <w:pPr>
        <w:autoSpaceDE w:val="0"/>
        <w:autoSpaceDN w:val="0"/>
        <w:adjustRightInd w:val="0"/>
        <w:spacing w:before="20" w:after="20" w:line="360" w:lineRule="auto"/>
        <w:jc w:val="center"/>
        <w:rPr>
          <w:rFonts w:cs="宋体" w:asciiTheme="minorEastAsia" w:hAnsiTheme="minorEastAsia" w:eastAsiaTheme="minorEastAsia"/>
          <w:b/>
          <w:color w:val="auto"/>
          <w:sz w:val="24"/>
          <w:szCs w:val="24"/>
          <w:highlight w:val="none"/>
        </w:rPr>
      </w:pPr>
    </w:p>
    <w:p w14:paraId="4FD79505">
      <w:pPr>
        <w:autoSpaceDE w:val="0"/>
        <w:autoSpaceDN w:val="0"/>
        <w:adjustRightInd w:val="0"/>
        <w:spacing w:before="20" w:after="20" w:line="360" w:lineRule="auto"/>
        <w:jc w:val="center"/>
        <w:outlineLvl w:val="2"/>
        <w:rPr>
          <w:rFonts w:cs="宋体" w:asciiTheme="minorEastAsia" w:hAnsiTheme="minorEastAsia" w:eastAsiaTheme="minorEastAsia"/>
          <w:b/>
          <w:color w:val="auto"/>
          <w:sz w:val="24"/>
          <w:szCs w:val="24"/>
          <w:highlight w:val="none"/>
        </w:rPr>
      </w:pPr>
      <w:bookmarkStart w:id="691" w:name="_Toc30688"/>
      <w:r>
        <w:rPr>
          <w:rFonts w:hint="eastAsia" w:cs="宋体" w:asciiTheme="minorEastAsia" w:hAnsiTheme="minorEastAsia" w:eastAsiaTheme="minorEastAsia"/>
          <w:b/>
          <w:color w:val="auto"/>
          <w:sz w:val="24"/>
          <w:szCs w:val="24"/>
          <w:highlight w:val="none"/>
        </w:rPr>
        <w:t>工程量清单报价书</w:t>
      </w:r>
      <w:bookmarkEnd w:id="691"/>
    </w:p>
    <w:p w14:paraId="74B8B63F">
      <w:pPr>
        <w:adjustRightInd w:val="0"/>
        <w:snapToGrid w:val="0"/>
        <w:spacing w:line="360" w:lineRule="auto"/>
        <w:ind w:firstLine="422" w:firstLineChars="200"/>
        <w:jc w:val="center"/>
        <w:rPr>
          <w:b/>
          <w:bCs/>
          <w:color w:val="auto"/>
          <w:sz w:val="24"/>
          <w:szCs w:val="28"/>
          <w:highlight w:val="none"/>
        </w:rPr>
      </w:pPr>
      <w:r>
        <w:rPr>
          <w:rFonts w:hint="eastAsia" w:cs="宋体" w:asciiTheme="minorEastAsia" w:hAnsiTheme="minorEastAsia" w:eastAsiaTheme="minorEastAsia"/>
          <w:b/>
          <w:color w:val="auto"/>
          <w:kern w:val="2"/>
          <w:sz w:val="21"/>
          <w:szCs w:val="24"/>
          <w:highlight w:val="none"/>
        </w:rPr>
        <w:t>（格式详见工程量清单）</w:t>
      </w:r>
    </w:p>
    <w:p w14:paraId="10D3D16F">
      <w:pPr>
        <w:widowControl/>
        <w:jc w:val="left"/>
        <w:rPr>
          <w:b/>
          <w:bCs/>
          <w:color w:val="auto"/>
          <w:sz w:val="24"/>
          <w:szCs w:val="28"/>
          <w:highlight w:val="none"/>
        </w:rPr>
      </w:pPr>
      <w:r>
        <w:rPr>
          <w:b/>
          <w:bCs/>
          <w:color w:val="auto"/>
          <w:sz w:val="24"/>
          <w:szCs w:val="28"/>
          <w:highlight w:val="none"/>
        </w:rPr>
        <w:br w:type="page"/>
      </w:r>
    </w:p>
    <w:p w14:paraId="3E94BE59">
      <w:pPr>
        <w:spacing w:line="360" w:lineRule="auto"/>
        <w:jc w:val="center"/>
        <w:outlineLvl w:val="1"/>
        <w:rPr>
          <w:rFonts w:asciiTheme="minorEastAsia" w:hAnsiTheme="minorEastAsia" w:eastAsiaTheme="minorEastAsia"/>
          <w:b/>
          <w:color w:val="auto"/>
          <w:sz w:val="24"/>
          <w:highlight w:val="none"/>
        </w:rPr>
      </w:pPr>
      <w:bookmarkStart w:id="692" w:name="_Toc461053087"/>
      <w:bookmarkStart w:id="693" w:name="_Toc461056632"/>
      <w:bookmarkStart w:id="694" w:name="_Toc19576"/>
      <w:bookmarkStart w:id="695" w:name="_Toc28658"/>
      <w:bookmarkStart w:id="696" w:name="_Toc520983588"/>
      <w:r>
        <w:rPr>
          <w:rFonts w:hint="eastAsia" w:asciiTheme="minorEastAsia" w:hAnsiTheme="minorEastAsia" w:eastAsiaTheme="minorEastAsia"/>
          <w:b/>
          <w:color w:val="auto"/>
          <w:sz w:val="24"/>
          <w:highlight w:val="none"/>
        </w:rPr>
        <w:t>二</w:t>
      </w:r>
      <w:bookmarkEnd w:id="692"/>
      <w:bookmarkEnd w:id="693"/>
      <w:r>
        <w:rPr>
          <w:rFonts w:hint="eastAsia" w:asciiTheme="minorEastAsia" w:hAnsiTheme="minorEastAsia" w:eastAsiaTheme="minorEastAsia"/>
          <w:b/>
          <w:color w:val="auto"/>
          <w:sz w:val="24"/>
          <w:highlight w:val="none"/>
        </w:rPr>
        <w:t>、最后承诺报价表</w:t>
      </w:r>
      <w:bookmarkEnd w:id="694"/>
      <w:bookmarkEnd w:id="695"/>
      <w:bookmarkEnd w:id="696"/>
    </w:p>
    <w:p w14:paraId="3855AD2B">
      <w:pPr>
        <w:spacing w:before="156" w:beforeLines="50" w:after="156" w:afterLines="50" w:line="360" w:lineRule="auto"/>
        <w:ind w:firstLine="236" w:firstLineChars="98"/>
        <w:jc w:val="center"/>
        <w:outlineLvl w:val="9"/>
        <w:rPr>
          <w:b/>
          <w:color w:val="auto"/>
          <w:sz w:val="24"/>
          <w:szCs w:val="28"/>
          <w:highlight w:val="none"/>
        </w:rPr>
      </w:pPr>
      <w:bookmarkStart w:id="697" w:name="_Toc16156"/>
      <w:r>
        <w:rPr>
          <w:rFonts w:hint="eastAsia"/>
          <w:b/>
          <w:color w:val="auto"/>
          <w:sz w:val="24"/>
          <w:szCs w:val="28"/>
          <w:highlight w:val="none"/>
        </w:rPr>
        <w:t>（第</w:t>
      </w:r>
      <w:r>
        <w:rPr>
          <w:rFonts w:hint="eastAsia"/>
          <w:b/>
          <w:color w:val="auto"/>
          <w:sz w:val="24"/>
          <w:szCs w:val="28"/>
          <w:highlight w:val="none"/>
          <w:u w:val="single"/>
        </w:rPr>
        <w:t xml:space="preserve">   </w:t>
      </w:r>
      <w:r>
        <w:rPr>
          <w:rFonts w:hint="eastAsia"/>
          <w:b/>
          <w:color w:val="auto"/>
          <w:sz w:val="24"/>
          <w:szCs w:val="28"/>
          <w:highlight w:val="none"/>
        </w:rPr>
        <w:t>次报价书）</w:t>
      </w:r>
      <w:bookmarkEnd w:id="697"/>
    </w:p>
    <w:p w14:paraId="5D33BC8E">
      <w:pPr>
        <w:snapToGrid w:val="0"/>
        <w:spacing w:line="360" w:lineRule="auto"/>
        <w:jc w:val="left"/>
        <w:rPr>
          <w:rFonts w:hint="default" w:cs="宋体" w:asciiTheme="minorEastAsia" w:hAnsiTheme="minorEastAsia" w:eastAsiaTheme="minorEastAsia"/>
          <w:b/>
          <w:color w:val="auto"/>
          <w:kern w:val="2"/>
          <w:sz w:val="24"/>
          <w:szCs w:val="24"/>
          <w:highlight w:val="none"/>
          <w:lang w:val="en-US" w:eastAsia="zh-CN"/>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p w14:paraId="3B0ABAFA">
      <w:pPr>
        <w:snapToGrid w:val="0"/>
        <w:spacing w:after="156" w:afterLines="50" w:line="360" w:lineRule="auto"/>
        <w:jc w:val="left"/>
        <w:rPr>
          <w:rFonts w:hint="default" w:cs="宋体" w:asciiTheme="minorEastAsia" w:hAnsiTheme="minorEastAsia" w:eastAsiaTheme="minorEastAsia"/>
          <w:b/>
          <w:bCs/>
          <w:color w:val="auto"/>
          <w:kern w:val="2"/>
          <w:sz w:val="24"/>
          <w:szCs w:val="24"/>
          <w:highlight w:val="none"/>
          <w:u w:val="single"/>
          <w:lang w:val="en-US" w:eastAsia="zh-CN"/>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1152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393FCB4B">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491" w:type="pct"/>
            <w:tcBorders>
              <w:left w:val="single" w:color="auto" w:sz="4" w:space="0"/>
            </w:tcBorders>
          </w:tcPr>
          <w:p w14:paraId="3002779A">
            <w:pPr>
              <w:rPr>
                <w:rFonts w:cs="宋体" w:asciiTheme="minorEastAsia" w:hAnsiTheme="minorEastAsia" w:eastAsiaTheme="minorEastAsia"/>
                <w:b/>
                <w:color w:val="auto"/>
                <w:kern w:val="2"/>
                <w:sz w:val="24"/>
                <w:szCs w:val="24"/>
                <w:highlight w:val="none"/>
              </w:rPr>
            </w:pPr>
          </w:p>
        </w:tc>
      </w:tr>
      <w:tr w14:paraId="5DF3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42E0E01">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谈判</w:t>
            </w:r>
            <w:r>
              <w:rPr>
                <w:rFonts w:hint="eastAsia" w:cs="宋体" w:asciiTheme="minorEastAsia" w:hAnsiTheme="minorEastAsia" w:eastAsiaTheme="minorEastAsia"/>
                <w:b/>
                <w:color w:val="auto"/>
                <w:kern w:val="2"/>
                <w:sz w:val="24"/>
                <w:szCs w:val="24"/>
                <w:highlight w:val="none"/>
              </w:rPr>
              <w:t>范围</w:t>
            </w:r>
          </w:p>
        </w:tc>
        <w:tc>
          <w:tcPr>
            <w:tcW w:w="3491" w:type="pct"/>
            <w:tcBorders>
              <w:left w:val="single" w:color="auto" w:sz="4" w:space="0"/>
            </w:tcBorders>
            <w:vAlign w:val="center"/>
          </w:tcPr>
          <w:p w14:paraId="6BFE95E6">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全部</w:t>
            </w:r>
          </w:p>
        </w:tc>
      </w:tr>
      <w:tr w14:paraId="4857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2962313D">
            <w:pPr>
              <w:spacing w:line="360" w:lineRule="auto"/>
              <w:jc w:val="center"/>
              <w:rPr>
                <w:rFonts w:cs="@仿宋_GB2312"/>
                <w:b/>
                <w:color w:val="auto"/>
                <w:kern w:val="2"/>
                <w:sz w:val="24"/>
                <w:highlight w:val="none"/>
              </w:rPr>
            </w:pPr>
            <w:r>
              <w:rPr>
                <w:rFonts w:hint="eastAsia" w:cs="@仿宋_GB2312"/>
                <w:b/>
                <w:bCs/>
                <w:color w:val="auto"/>
                <w:kern w:val="2"/>
                <w:sz w:val="24"/>
                <w:szCs w:val="28"/>
                <w:highlight w:val="none"/>
              </w:rPr>
              <w:t>最后报价</w:t>
            </w:r>
          </w:p>
          <w:p w14:paraId="5750547B">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491" w:type="pct"/>
            <w:vAlign w:val="center"/>
          </w:tcPr>
          <w:p w14:paraId="7A356965">
            <w:pPr>
              <w:snapToGrid w:val="0"/>
              <w:spacing w:line="360" w:lineRule="auto"/>
              <w:jc w:val="left"/>
              <w:rPr>
                <w:rFonts w:cs="宋体"/>
                <w:bCs/>
                <w:color w:val="auto"/>
                <w:sz w:val="21"/>
                <w:szCs w:val="21"/>
                <w:highlight w:val="none"/>
                <w:u w:val="single"/>
              </w:rPr>
            </w:pPr>
            <w:r>
              <w:rPr>
                <w:rFonts w:hint="eastAsia" w:cs="宋体"/>
                <w:bCs/>
                <w:color w:val="auto"/>
                <w:sz w:val="21"/>
                <w:szCs w:val="21"/>
                <w:highlight w:val="none"/>
              </w:rPr>
              <w:t>大写：</w:t>
            </w:r>
            <w:r>
              <w:rPr>
                <w:rFonts w:hint="eastAsia" w:cs="宋体"/>
                <w:bCs/>
                <w:color w:val="auto"/>
                <w:sz w:val="21"/>
                <w:szCs w:val="21"/>
                <w:highlight w:val="none"/>
                <w:u w:val="single"/>
              </w:rPr>
              <w:t xml:space="preserve">                     </w:t>
            </w:r>
          </w:p>
          <w:p w14:paraId="3AD35E1B">
            <w:pPr>
              <w:snapToGrid w:val="0"/>
              <w:rPr>
                <w:rFonts w:cs="宋体" w:asciiTheme="minorEastAsia" w:hAnsiTheme="minorEastAsia" w:eastAsiaTheme="minorEastAsia"/>
                <w:b/>
                <w:color w:val="auto"/>
                <w:kern w:val="2"/>
                <w:sz w:val="24"/>
                <w:szCs w:val="24"/>
                <w:highlight w:val="none"/>
              </w:rPr>
            </w:pPr>
            <w:r>
              <w:rPr>
                <w:rFonts w:hint="eastAsia" w:cs="宋体"/>
                <w:bCs/>
                <w:color w:val="auto"/>
                <w:sz w:val="21"/>
                <w:szCs w:val="21"/>
                <w:highlight w:val="none"/>
              </w:rPr>
              <w:t>小写：</w:t>
            </w:r>
            <w:r>
              <w:rPr>
                <w:rFonts w:hint="eastAsia" w:cs="宋体"/>
                <w:bCs/>
                <w:color w:val="auto"/>
                <w:sz w:val="21"/>
                <w:szCs w:val="21"/>
                <w:highlight w:val="none"/>
                <w:u w:val="single"/>
              </w:rPr>
              <w:t xml:space="preserve">                     </w:t>
            </w:r>
          </w:p>
        </w:tc>
      </w:tr>
      <w:tr w14:paraId="09FA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0676E391">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491" w:type="pct"/>
            <w:vAlign w:val="center"/>
          </w:tcPr>
          <w:p w14:paraId="7A425832">
            <w:pPr>
              <w:snapToGrid w:val="0"/>
              <w:rPr>
                <w:rFonts w:cs="宋体" w:asciiTheme="minorEastAsia" w:hAnsiTheme="minorEastAsia" w:eastAsiaTheme="minorEastAsia"/>
                <w:b/>
                <w:color w:val="auto"/>
                <w:kern w:val="2"/>
                <w:sz w:val="24"/>
                <w:szCs w:val="24"/>
                <w:highlight w:val="none"/>
              </w:rPr>
            </w:pPr>
          </w:p>
        </w:tc>
      </w:tr>
      <w:tr w14:paraId="3D55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153AA96">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491" w:type="pct"/>
            <w:vAlign w:val="center"/>
          </w:tcPr>
          <w:p w14:paraId="61E5D6E7">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接开工令后</w:t>
            </w:r>
            <w:r>
              <w:rPr>
                <w:rFonts w:hint="eastAsia" w:cs="宋体" w:asciiTheme="minorEastAsia" w:hAnsiTheme="minorEastAsia" w:eastAsiaTheme="minorEastAsia"/>
                <w:bCs/>
                <w:color w:val="auto"/>
                <w:kern w:val="2"/>
                <w:sz w:val="24"/>
                <w:szCs w:val="24"/>
                <w:highlight w:val="none"/>
                <w:u w:val="single"/>
              </w:rPr>
              <w:t xml:space="preserve">      </w:t>
            </w:r>
            <w:r>
              <w:rPr>
                <w:rFonts w:hint="eastAsia" w:cs="宋体" w:asciiTheme="minorEastAsia" w:hAnsiTheme="minorEastAsia" w:eastAsiaTheme="minorEastAsia"/>
                <w:bCs/>
                <w:color w:val="auto"/>
                <w:kern w:val="2"/>
                <w:sz w:val="24"/>
                <w:szCs w:val="24"/>
                <w:highlight w:val="none"/>
              </w:rPr>
              <w:t>日历天完工</w:t>
            </w:r>
          </w:p>
        </w:tc>
      </w:tr>
      <w:tr w14:paraId="1836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7EC97888">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491" w:type="pct"/>
            <w:vAlign w:val="center"/>
          </w:tcPr>
          <w:p w14:paraId="72F6A777">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w:t>
            </w:r>
            <w:r>
              <w:rPr>
                <w:rFonts w:hint="eastAsia" w:cs="宋体" w:asciiTheme="minorEastAsia" w:hAnsiTheme="minorEastAsia" w:eastAsiaTheme="minorEastAsia"/>
                <w:color w:val="auto"/>
                <w:kern w:val="2"/>
                <w:sz w:val="24"/>
                <w:szCs w:val="24"/>
                <w:highlight w:val="none"/>
                <w:lang w:val="en-US" w:eastAsia="zh-CN"/>
              </w:rPr>
              <w:t xml:space="preserve">   </w:t>
            </w:r>
            <w:r>
              <w:rPr>
                <w:rFonts w:hint="eastAsia" w:cs="宋体" w:asciiTheme="minorEastAsia" w:hAnsiTheme="minorEastAsia" w:eastAsiaTheme="minorEastAsia"/>
                <w:color w:val="auto"/>
                <w:kern w:val="2"/>
                <w:sz w:val="24"/>
                <w:szCs w:val="24"/>
                <w:highlight w:val="none"/>
              </w:rPr>
              <w:t xml:space="preserve">   否   （划√）</w:t>
            </w:r>
          </w:p>
        </w:tc>
      </w:tr>
      <w:tr w14:paraId="331E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6A8B18A6">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491" w:type="pct"/>
          </w:tcPr>
          <w:p w14:paraId="07A554F0">
            <w:pP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i/>
                <w:color w:val="auto"/>
                <w:kern w:val="2"/>
                <w:sz w:val="24"/>
                <w:szCs w:val="24"/>
                <w:highlight w:val="none"/>
              </w:rPr>
              <w:t>（此处可补充谈判小组根据与供应商谈判情况变动的谈判文件的内容，包括采购需求中的技术、服务要求以及合同草案条款。）</w:t>
            </w:r>
          </w:p>
        </w:tc>
      </w:tr>
      <w:tr w14:paraId="3F6F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31FFC5FF">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谈判小组签字</w:t>
            </w:r>
          </w:p>
        </w:tc>
        <w:tc>
          <w:tcPr>
            <w:tcW w:w="3491" w:type="pct"/>
          </w:tcPr>
          <w:p w14:paraId="70C20CE9">
            <w:pPr>
              <w:rPr>
                <w:rFonts w:cs="宋体" w:asciiTheme="minorEastAsia" w:hAnsiTheme="minorEastAsia" w:eastAsiaTheme="minorEastAsia"/>
                <w:b/>
                <w:color w:val="auto"/>
                <w:kern w:val="2"/>
                <w:sz w:val="24"/>
                <w:szCs w:val="24"/>
                <w:highlight w:val="none"/>
              </w:rPr>
            </w:pPr>
          </w:p>
        </w:tc>
      </w:tr>
    </w:tbl>
    <w:p w14:paraId="22E6B857">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04D2BE31">
      <w:pPr>
        <w:spacing w:line="440" w:lineRule="exact"/>
        <w:ind w:firstLine="4800" w:firstLineChars="2000"/>
        <w:rPr>
          <w:rFonts w:cs="宋体" w:asciiTheme="minorEastAsia" w:hAnsiTheme="minorEastAsia" w:eastAsiaTheme="minorEastAsia"/>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07E2E10F">
      <w:pPr>
        <w:spacing w:line="360" w:lineRule="auto"/>
        <w:jc w:val="left"/>
        <w:rPr>
          <w:rFonts w:hint="eastAsia"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5F290DF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w:t>
      </w:r>
      <w:r>
        <w:rPr>
          <w:rFonts w:hint="eastAsia" w:cs="@仿宋_GB2312"/>
          <w:b/>
          <w:bCs/>
          <w:color w:val="auto"/>
          <w:kern w:val="2"/>
          <w:sz w:val="24"/>
          <w:highlight w:val="none"/>
        </w:rPr>
        <w:t>本页《报价表》供应商可以选择直接上传在响应文件中或在接到报价通知后依据谈判情况填写,并在规定时间内提交。</w:t>
      </w:r>
      <w:r>
        <w:rPr>
          <w:rFonts w:hint="eastAsia" w:cs="宋体" w:asciiTheme="minorEastAsia" w:hAnsiTheme="minorEastAsia" w:eastAsiaTheme="minorEastAsia"/>
          <w:color w:val="auto"/>
          <w:kern w:val="2"/>
          <w:sz w:val="24"/>
          <w:szCs w:val="24"/>
          <w:highlight w:val="none"/>
        </w:rPr>
        <w:t>考虑谈判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color w:val="auto"/>
          <w:kern w:val="2"/>
          <w:sz w:val="24"/>
          <w:szCs w:val="24"/>
          <w:highlight w:val="none"/>
        </w:rPr>
        <w:t>此优惠率调整原则适用于合同内价格的计算及项目增减、变更时价格的计算。</w:t>
      </w:r>
    </w:p>
    <w:p w14:paraId="371F6A0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2.表中大写金额与小写金额不一致的，以大写金额为准。</w:t>
      </w:r>
    </w:p>
    <w:p w14:paraId="4AF657D6">
      <w:pPr>
        <w:widowControl/>
        <w:jc w:val="left"/>
        <w:rPr>
          <w:bCs/>
          <w:color w:val="auto"/>
          <w:sz w:val="24"/>
          <w:highlight w:val="none"/>
        </w:rPr>
      </w:pPr>
      <w:r>
        <w:rPr>
          <w:bCs/>
          <w:color w:val="auto"/>
          <w:sz w:val="24"/>
          <w:highlight w:val="none"/>
        </w:rPr>
        <w:br w:type="page"/>
      </w:r>
    </w:p>
    <w:p w14:paraId="1904799E">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698" w:name="_Toc1235"/>
      <w:bookmarkStart w:id="699" w:name="_Toc15150"/>
      <w:bookmarkStart w:id="700" w:name="_Toc520983591"/>
      <w:r>
        <w:rPr>
          <w:rFonts w:hint="eastAsia" w:cs="@仿宋_GB2312" w:asciiTheme="minorEastAsia" w:hAnsiTheme="minorEastAsia" w:eastAsiaTheme="minorEastAsia"/>
          <w:b/>
          <w:bCs/>
          <w:color w:val="auto"/>
          <w:kern w:val="2"/>
          <w:sz w:val="24"/>
          <w:szCs w:val="24"/>
          <w:highlight w:val="none"/>
        </w:rPr>
        <w:t>三、供应商综合情况简介</w:t>
      </w:r>
      <w:bookmarkEnd w:id="698"/>
      <w:bookmarkEnd w:id="699"/>
    </w:p>
    <w:p w14:paraId="00156D59">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（供应商可自行制作格式）</w:t>
      </w:r>
    </w:p>
    <w:p w14:paraId="7B9F042E">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3D9B6BC4">
      <w:pPr>
        <w:spacing w:line="360" w:lineRule="auto"/>
        <w:jc w:val="center"/>
        <w:outlineLvl w:val="1"/>
        <w:rPr>
          <w:rFonts w:asciiTheme="minorEastAsia" w:hAnsiTheme="minorEastAsia" w:eastAsiaTheme="minorEastAsia"/>
          <w:b/>
          <w:color w:val="auto"/>
          <w:sz w:val="24"/>
          <w:highlight w:val="none"/>
        </w:rPr>
      </w:pPr>
      <w:bookmarkStart w:id="701" w:name="_Toc6969"/>
      <w:bookmarkStart w:id="702" w:name="_Toc6032"/>
      <w:r>
        <w:rPr>
          <w:rFonts w:hint="eastAsia" w:asciiTheme="minorEastAsia" w:hAnsiTheme="minorEastAsia" w:eastAsiaTheme="minorEastAsia"/>
          <w:b/>
          <w:color w:val="auto"/>
          <w:sz w:val="24"/>
          <w:highlight w:val="none"/>
        </w:rPr>
        <w:t>四、谈判响应函</w:t>
      </w:r>
      <w:bookmarkEnd w:id="700"/>
      <w:bookmarkEnd w:id="701"/>
      <w:bookmarkEnd w:id="702"/>
    </w:p>
    <w:p w14:paraId="512992DC">
      <w:pPr>
        <w:spacing w:line="360" w:lineRule="auto"/>
        <w:rPr>
          <w:rFonts w:hint="eastAsia" w:cs="宋体" w:asciiTheme="minorEastAsia" w:hAnsiTheme="minorEastAsia" w:eastAsiaTheme="minorEastAsia"/>
          <w:b/>
          <w:color w:val="auto"/>
          <w:kern w:val="2"/>
          <w:sz w:val="24"/>
          <w:szCs w:val="24"/>
          <w:highlight w:val="none"/>
          <w:u w:val="singl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single"/>
          <w:lang w:eastAsia="zh-CN"/>
        </w:rPr>
        <w:t>采购人</w:t>
      </w:r>
    </w:p>
    <w:p w14:paraId="0EAC5A92">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根据贵方的竞争性谈判公告和谈判邀请，我方兹宣布同意如下：</w:t>
      </w:r>
    </w:p>
    <w:p w14:paraId="547047C2">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asciiTheme="minorEastAsia" w:hAnsiTheme="minorEastAsia" w:eastAsiaTheme="minorEastAsia"/>
          <w:color w:val="auto"/>
          <w:kern w:val="2"/>
          <w:sz w:val="24"/>
          <w:szCs w:val="24"/>
          <w:highlight w:val="none"/>
        </w:rPr>
        <w:t>1.经踏勘项目现场和研究上述谈判文件的谈判须知、合同条款、图纸和工程建设技术标准及其他有关文件后，我方接受上述文件要求，并对工程量清单及最高投标限价无异议。我方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color w:val="auto"/>
          <w:kern w:val="2"/>
          <w:sz w:val="24"/>
          <w:szCs w:val="24"/>
          <w:highlight w:val="none"/>
        </w:rPr>
        <w:t>承诺按本谈判文件、施工图纸、合同条款和工程建设技术标准的条件、</w:t>
      </w:r>
      <w:r>
        <w:rPr>
          <w:rFonts w:hint="eastAsia" w:cs="宋体" w:asciiTheme="minorEastAsia" w:hAnsiTheme="minorEastAsia" w:eastAsiaTheme="minorEastAsia"/>
          <w:color w:val="auto"/>
          <w:kern w:val="2"/>
          <w:sz w:val="24"/>
          <w:szCs w:val="24"/>
          <w:highlight w:val="none"/>
        </w:rPr>
        <w:t>承担</w:t>
      </w:r>
      <w:r>
        <w:rPr>
          <w:rFonts w:hint="eastAsia" w:cs="宋体" w:asciiTheme="minorEastAsia" w:hAnsiTheme="minorEastAsia" w:eastAsiaTheme="minorEastAsia"/>
          <w:bCs/>
          <w:color w:val="auto"/>
          <w:kern w:val="2"/>
          <w:sz w:val="24"/>
          <w:szCs w:val="24"/>
          <w:highlight w:val="none"/>
        </w:rPr>
        <w:t>上述工程的施工、竣工，并承担任何质量缺陷保修责任。</w:t>
      </w:r>
    </w:p>
    <w:p w14:paraId="3C323139">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2.我方已详细审核并确认全部谈判文件及有关附件，充分理解谈判价格不得低于企业个别成本有关规定。我方经成本核算，所填报的谈判报价不低于企业个别成本。</w:t>
      </w:r>
    </w:p>
    <w:p w14:paraId="0C36EF94">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w:t>
      </w:r>
      <w:r>
        <w:rPr>
          <w:rFonts w:hint="eastAsia" w:cs="宋体"/>
          <w:color w:val="auto"/>
          <w:sz w:val="24"/>
          <w:szCs w:val="24"/>
          <w:highlight w:val="none"/>
          <w:lang w:eastAsia="zh-CN"/>
        </w:rPr>
        <w:t>谈判文件</w:t>
      </w:r>
      <w:r>
        <w:rPr>
          <w:rFonts w:hint="eastAsia" w:ascii="宋体" w:hAnsi="宋体" w:eastAsia="宋体" w:cs="宋体"/>
          <w:color w:val="auto"/>
          <w:sz w:val="24"/>
          <w:szCs w:val="24"/>
          <w:highlight w:val="none"/>
        </w:rPr>
        <w:t>约定的工期和</w:t>
      </w:r>
      <w:r>
        <w:rPr>
          <w:rFonts w:hint="eastAsia" w:cs="宋体"/>
          <w:color w:val="auto"/>
          <w:sz w:val="24"/>
          <w:szCs w:val="24"/>
          <w:highlight w:val="none"/>
          <w:lang w:eastAsia="zh-CN"/>
        </w:rPr>
        <w:t>谈判文件</w:t>
      </w:r>
      <w:r>
        <w:rPr>
          <w:rFonts w:hint="eastAsia" w:ascii="宋体" w:hAnsi="宋体" w:eastAsia="宋体" w:cs="宋体"/>
          <w:color w:val="auto"/>
          <w:sz w:val="24"/>
          <w:szCs w:val="24"/>
          <w:highlight w:val="none"/>
        </w:rPr>
        <w:t>或业主开工令的要求如期开工、工程质量达到合格标准、如期竣工并移交整个工程。</w:t>
      </w:r>
    </w:p>
    <w:p w14:paraId="6F05A696">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w:t>
      </w:r>
      <w:r>
        <w:rPr>
          <w:rFonts w:hint="eastAsia" w:cs="宋体"/>
          <w:color w:val="auto"/>
          <w:kern w:val="2"/>
          <w:sz w:val="24"/>
          <w:szCs w:val="24"/>
          <w:highlight w:val="none"/>
          <w:lang w:eastAsia="zh-CN"/>
        </w:rPr>
        <w:t>谈判文件</w:t>
      </w:r>
      <w:r>
        <w:rPr>
          <w:rFonts w:hint="eastAsia" w:ascii="宋体" w:hAnsi="宋体" w:eastAsia="宋体" w:cs="宋体"/>
          <w:color w:val="auto"/>
          <w:kern w:val="2"/>
          <w:sz w:val="24"/>
          <w:szCs w:val="24"/>
          <w:highlight w:val="none"/>
        </w:rPr>
        <w:t>规定的</w:t>
      </w:r>
      <w:r>
        <w:rPr>
          <w:rFonts w:hint="eastAsia" w:cs="宋体"/>
          <w:color w:val="auto"/>
          <w:kern w:val="2"/>
          <w:sz w:val="24"/>
          <w:szCs w:val="24"/>
          <w:highlight w:val="none"/>
          <w:lang w:eastAsia="zh-CN"/>
        </w:rPr>
        <w:t>谈判有效期</w:t>
      </w:r>
      <w:r>
        <w:rPr>
          <w:rFonts w:hint="eastAsia" w:ascii="宋体" w:hAnsi="宋体" w:eastAsia="宋体" w:cs="宋体"/>
          <w:color w:val="auto"/>
          <w:kern w:val="2"/>
          <w:sz w:val="24"/>
          <w:szCs w:val="24"/>
          <w:highlight w:val="none"/>
        </w:rPr>
        <w:t>内有效，在此期间内如果成交，我方将受此约束。</w:t>
      </w:r>
    </w:p>
    <w:p w14:paraId="535838F4">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w:t>
      </w:r>
      <w:r>
        <w:rPr>
          <w:rFonts w:hint="eastAsia" w:cs="宋体"/>
          <w:color w:val="auto"/>
          <w:kern w:val="2"/>
          <w:sz w:val="24"/>
          <w:szCs w:val="24"/>
          <w:highlight w:val="none"/>
          <w:lang w:eastAsia="zh-CN"/>
        </w:rPr>
        <w:t>谈判文件</w:t>
      </w:r>
      <w:r>
        <w:rPr>
          <w:rFonts w:hint="eastAsia" w:ascii="宋体" w:hAnsi="宋体" w:eastAsia="宋体" w:cs="宋体"/>
          <w:color w:val="auto"/>
          <w:kern w:val="2"/>
          <w:sz w:val="24"/>
          <w:szCs w:val="24"/>
          <w:highlight w:val="none"/>
        </w:rPr>
        <w:t>、</w:t>
      </w:r>
      <w:r>
        <w:rPr>
          <w:rFonts w:hint="eastAsia" w:cs="宋体"/>
          <w:color w:val="auto"/>
          <w:kern w:val="2"/>
          <w:sz w:val="24"/>
          <w:szCs w:val="24"/>
          <w:highlight w:val="none"/>
          <w:lang w:eastAsia="zh-CN"/>
        </w:rPr>
        <w:t>谈判文件</w:t>
      </w:r>
      <w:r>
        <w:rPr>
          <w:rFonts w:hint="eastAsia" w:ascii="宋体" w:hAnsi="宋体" w:eastAsia="宋体" w:cs="宋体"/>
          <w:color w:val="auto"/>
          <w:kern w:val="2"/>
          <w:sz w:val="24"/>
          <w:szCs w:val="24"/>
          <w:highlight w:val="none"/>
        </w:rPr>
        <w:t>澄清、修改、补充将成为约束双方的合同文件的组成部分。</w:t>
      </w:r>
    </w:p>
    <w:p w14:paraId="171E7A22">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cs="宋体" w:asciiTheme="minorEastAsia" w:hAnsiTheme="minorEastAsia" w:eastAsiaTheme="minorEastAsia"/>
          <w:color w:val="auto"/>
          <w:kern w:val="2"/>
          <w:sz w:val="24"/>
          <w:szCs w:val="24"/>
          <w:highlight w:val="none"/>
        </w:rPr>
        <w:t>：</w:t>
      </w:r>
      <w:r>
        <w:rPr>
          <w:rFonts w:hint="eastAsia" w:cs="宋体" w:asciiTheme="minorEastAsia" w:hAnsiTheme="minorEastAsia" w:eastAsiaTheme="minorEastAsia"/>
          <w:color w:val="auto"/>
          <w:kern w:val="2"/>
          <w:sz w:val="24"/>
          <w:szCs w:val="24"/>
          <w:highlight w:val="none"/>
          <w:u w:val="single"/>
        </w:rPr>
        <w:t xml:space="preserve">  （</w:t>
      </w:r>
      <w:r>
        <w:rPr>
          <w:rFonts w:hint="eastAsia" w:cs="宋体" w:asciiTheme="minorEastAsia" w:hAnsiTheme="minorEastAsia" w:eastAsiaTheme="minorEastAsia"/>
          <w:i/>
          <w:iCs/>
          <w:color w:val="auto"/>
          <w:kern w:val="2"/>
          <w:sz w:val="24"/>
          <w:szCs w:val="24"/>
          <w:highlight w:val="none"/>
          <w:u w:val="single"/>
        </w:rPr>
        <w:t>如有</w:t>
      </w:r>
      <w:r>
        <w:rPr>
          <w:rFonts w:hint="eastAsia" w:cs="宋体" w:asciiTheme="minorEastAsia" w:hAnsiTheme="minorEastAsia" w:eastAsiaTheme="minorEastAsia"/>
          <w:color w:val="auto"/>
          <w:kern w:val="2"/>
          <w:sz w:val="24"/>
          <w:szCs w:val="24"/>
          <w:highlight w:val="none"/>
          <w:u w:val="single"/>
        </w:rPr>
        <w:t xml:space="preserve">）       </w:t>
      </w:r>
    </w:p>
    <w:p w14:paraId="26FCD93A">
      <w:pPr>
        <w:spacing w:line="360" w:lineRule="auto"/>
        <w:ind w:firstLine="3600" w:firstLineChars="1500"/>
        <w:rPr>
          <w:rFonts w:cs="@仿宋_GB2312"/>
          <w:color w:val="auto"/>
          <w:kern w:val="2"/>
          <w:sz w:val="24"/>
          <w:highlight w:val="none"/>
        </w:rPr>
      </w:pPr>
    </w:p>
    <w:p w14:paraId="67020A55">
      <w:pPr>
        <w:spacing w:line="360" w:lineRule="auto"/>
        <w:ind w:firstLine="3600" w:firstLineChars="1500"/>
        <w:rPr>
          <w:rFonts w:cs="@仿宋_GB2312"/>
          <w:color w:val="auto"/>
          <w:kern w:val="2"/>
          <w:sz w:val="24"/>
          <w:highlight w:val="none"/>
        </w:rPr>
      </w:pPr>
      <w:r>
        <w:rPr>
          <w:rFonts w:hint="eastAsia" w:cs="@仿宋_GB2312"/>
          <w:color w:val="auto"/>
          <w:kern w:val="2"/>
          <w:sz w:val="24"/>
          <w:highlight w:val="none"/>
        </w:rPr>
        <w:t>供应商电子签章：</w:t>
      </w:r>
      <w:r>
        <w:rPr>
          <w:rFonts w:hint="eastAsia" w:cs="@仿宋_GB2312"/>
          <w:color w:val="auto"/>
          <w:kern w:val="2"/>
          <w:sz w:val="24"/>
          <w:highlight w:val="none"/>
          <w:u w:val="single"/>
        </w:rPr>
        <w:t xml:space="preserve">                      </w:t>
      </w:r>
    </w:p>
    <w:p w14:paraId="64BB9219">
      <w:pPr>
        <w:spacing w:line="360" w:lineRule="auto"/>
        <w:ind w:firstLine="3600" w:firstLineChars="1500"/>
        <w:rPr>
          <w:rFonts w:cs="@仿宋_GB2312"/>
          <w:color w:val="auto"/>
          <w:kern w:val="2"/>
          <w:sz w:val="24"/>
          <w:highlight w:val="none"/>
          <w:u w:val="single"/>
        </w:rPr>
      </w:pPr>
      <w:r>
        <w:rPr>
          <w:rFonts w:hint="eastAsia" w:cs="@仿宋_GB2312"/>
          <w:color w:val="auto"/>
          <w:kern w:val="2"/>
          <w:sz w:val="24"/>
          <w:highlight w:val="none"/>
        </w:rPr>
        <w:t>日          期：</w:t>
      </w:r>
      <w:r>
        <w:rPr>
          <w:rFonts w:hint="eastAsia" w:cs="@仿宋_GB2312"/>
          <w:color w:val="auto"/>
          <w:kern w:val="2"/>
          <w:sz w:val="24"/>
          <w:highlight w:val="none"/>
          <w:u w:val="single"/>
        </w:rPr>
        <w:t xml:space="preserve">                      </w:t>
      </w:r>
    </w:p>
    <w:p w14:paraId="0D0F666A">
      <w:pPr>
        <w:widowControl/>
        <w:jc w:val="left"/>
        <w:rPr>
          <w:color w:val="auto"/>
          <w:sz w:val="24"/>
          <w:highlight w:val="none"/>
        </w:rPr>
      </w:pPr>
      <w:r>
        <w:rPr>
          <w:color w:val="auto"/>
          <w:sz w:val="24"/>
          <w:highlight w:val="none"/>
        </w:rPr>
        <w:br w:type="page"/>
      </w:r>
    </w:p>
    <w:p w14:paraId="1D5AAE60">
      <w:pPr>
        <w:spacing w:line="360" w:lineRule="auto"/>
        <w:jc w:val="center"/>
        <w:outlineLvl w:val="1"/>
        <w:rPr>
          <w:b/>
          <w:i/>
          <w:color w:val="auto"/>
          <w:sz w:val="24"/>
          <w:highlight w:val="none"/>
        </w:rPr>
      </w:pPr>
      <w:bookmarkStart w:id="703" w:name="_Toc2947"/>
      <w:bookmarkStart w:id="704" w:name="_Toc16222"/>
      <w:r>
        <w:rPr>
          <w:rFonts w:hint="eastAsia" w:asciiTheme="minorEastAsia" w:hAnsiTheme="minorEastAsia" w:eastAsiaTheme="minorEastAsia"/>
          <w:b/>
          <w:color w:val="auto"/>
          <w:sz w:val="24"/>
          <w:highlight w:val="none"/>
        </w:rPr>
        <w:t>五、</w:t>
      </w:r>
      <w:bookmarkEnd w:id="703"/>
      <w:bookmarkStart w:id="705" w:name="_Toc8658"/>
      <w:r>
        <w:rPr>
          <w:rFonts w:hint="eastAsia" w:asciiTheme="minorEastAsia" w:hAnsiTheme="minorEastAsia" w:eastAsiaTheme="minorEastAsia"/>
          <w:b/>
          <w:color w:val="auto"/>
          <w:sz w:val="24"/>
          <w:highlight w:val="none"/>
          <w:lang w:val="en-US" w:eastAsia="zh-CN"/>
        </w:rPr>
        <w:t>供应商资格声明书</w:t>
      </w:r>
      <w:bookmarkEnd w:id="704"/>
      <w:r>
        <w:rPr>
          <w:rFonts w:hint="eastAsia" w:asciiTheme="minorEastAsia" w:hAnsiTheme="minorEastAsia" w:eastAsiaTheme="minorEastAsia"/>
          <w:b/>
          <w:color w:val="auto"/>
          <w:sz w:val="24"/>
          <w:highlight w:val="none"/>
          <w:lang w:val="en-US" w:eastAsia="zh-CN"/>
        </w:rPr>
        <w:t xml:space="preserve"> </w:t>
      </w:r>
    </w:p>
    <w:p w14:paraId="2C0F8759">
      <w:pPr>
        <w:pStyle w:val="31"/>
        <w:spacing w:line="360" w:lineRule="auto"/>
        <w:outlineLvl w:val="9"/>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0A19BF6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在参与本次项目谈判中，我单位承诺：</w:t>
      </w:r>
    </w:p>
    <w:p w14:paraId="53C2AE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2FBF45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2F4A0C4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46CE2B5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F3FBB6F">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681AD896">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谈判</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w:t>
      </w:r>
      <w:r>
        <w:rPr>
          <w:rFonts w:hint="eastAsia" w:cs="宋体"/>
          <w:color w:val="auto"/>
          <w:kern w:val="2"/>
          <w:sz w:val="24"/>
          <w:szCs w:val="24"/>
          <w:highlight w:val="none"/>
          <w:lang w:val="en-US" w:eastAsia="zh-CN"/>
        </w:rPr>
        <w:t>谈判</w:t>
      </w:r>
      <w:r>
        <w:rPr>
          <w:rFonts w:hint="eastAsia" w:ascii="宋体" w:hAnsi="宋体" w:eastAsia="宋体" w:cs="宋体"/>
          <w:color w:val="auto"/>
          <w:kern w:val="2"/>
          <w:sz w:val="24"/>
          <w:szCs w:val="24"/>
          <w:highlight w:val="none"/>
        </w:rPr>
        <w:t>资格行为，且处于处罚期内的情况；</w:t>
      </w:r>
    </w:p>
    <w:p w14:paraId="16254063">
      <w:pPr>
        <w:spacing w:line="360" w:lineRule="auto"/>
        <w:rPr>
          <w:rFonts w:hint="eastAsia"/>
          <w:color w:val="auto"/>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481755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12AD071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8C6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05D9B6D">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841" w:type="dxa"/>
          </w:tcPr>
          <w:p w14:paraId="20346BAE">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2841" w:type="dxa"/>
          </w:tcPr>
          <w:p w14:paraId="5FB6C8A6">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72D3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802D29E">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841" w:type="dxa"/>
          </w:tcPr>
          <w:p w14:paraId="74258A6B">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46DEB99F">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34DB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10B5392">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841" w:type="dxa"/>
          </w:tcPr>
          <w:p w14:paraId="2F7A8D5C">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3B06DF0C">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2494D34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62BC7192">
      <w:pPr>
        <w:spacing w:line="360" w:lineRule="auto"/>
        <w:ind w:firstLine="4800" w:firstLineChars="2000"/>
        <w:rPr>
          <w:rFonts w:ascii="宋体" w:hAnsi="宋体" w:eastAsia="宋体"/>
          <w:color w:val="auto"/>
          <w:sz w:val="24"/>
          <w:highlight w:val="none"/>
          <w:u w:val="single"/>
        </w:rPr>
      </w:pPr>
      <w:r>
        <w:rPr>
          <w:rFonts w:hint="eastAsia"/>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74FAFCE">
      <w:pPr>
        <w:spacing w:line="360" w:lineRule="auto"/>
        <w:jc w:val="center"/>
        <w:outlineLvl w:val="9"/>
        <w:rPr>
          <w:b/>
          <w:i/>
          <w:color w:val="auto"/>
          <w:sz w:val="24"/>
          <w:highlight w:val="none"/>
        </w:rPr>
      </w:pPr>
      <w:r>
        <w:rPr>
          <w:rFonts w:hint="eastAsia"/>
          <w:color w:val="auto"/>
          <w:sz w:val="24"/>
          <w:highlight w:val="none"/>
          <w:lang w:val="en-US" w:eastAsia="zh-CN"/>
        </w:rPr>
        <w:t xml:space="preserve">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p>
    <w:bookmarkEnd w:id="705"/>
    <w:p w14:paraId="0F3CC6E4">
      <w:pPr>
        <w:spacing w:line="360" w:lineRule="auto"/>
        <w:jc w:val="center"/>
        <w:outlineLvl w:val="1"/>
        <w:rPr>
          <w:rFonts w:hint="eastAsia" w:asciiTheme="minorEastAsia" w:hAnsiTheme="minorEastAsia" w:eastAsiaTheme="minorEastAsia"/>
          <w:b/>
          <w:color w:val="auto"/>
          <w:sz w:val="24"/>
          <w:highlight w:val="none"/>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bookmarkStart w:id="706" w:name="_Toc520983594"/>
      <w:bookmarkStart w:id="707" w:name="_Toc204594911"/>
      <w:bookmarkStart w:id="708" w:name="_Toc8203"/>
      <w:bookmarkStart w:id="709" w:name="_Toc121626298"/>
      <w:bookmarkStart w:id="710" w:name="_Toc516969106"/>
    </w:p>
    <w:p w14:paraId="5132744F">
      <w:pPr>
        <w:spacing w:line="360" w:lineRule="auto"/>
        <w:jc w:val="center"/>
        <w:outlineLvl w:val="1"/>
        <w:rPr>
          <w:rFonts w:asciiTheme="minorEastAsia" w:hAnsiTheme="minorEastAsia" w:eastAsiaTheme="minorEastAsia"/>
          <w:b/>
          <w:color w:val="auto"/>
          <w:sz w:val="24"/>
          <w:highlight w:val="none"/>
        </w:rPr>
      </w:pPr>
      <w:bookmarkStart w:id="711" w:name="_Toc11666"/>
      <w:r>
        <w:rPr>
          <w:rFonts w:hint="eastAsia" w:asciiTheme="minorEastAsia" w:hAnsiTheme="minorEastAsia" w:eastAsiaTheme="minorEastAsia"/>
          <w:b/>
          <w:color w:val="auto"/>
          <w:sz w:val="24"/>
          <w:highlight w:val="none"/>
        </w:rPr>
        <w:t>六、授权书</w:t>
      </w:r>
      <w:bookmarkEnd w:id="706"/>
      <w:bookmarkEnd w:id="707"/>
      <w:bookmarkEnd w:id="708"/>
      <w:bookmarkEnd w:id="709"/>
      <w:bookmarkEnd w:id="710"/>
      <w:bookmarkEnd w:id="711"/>
    </w:p>
    <w:p w14:paraId="217C67D9">
      <w:pPr>
        <w:spacing w:line="360" w:lineRule="auto"/>
        <w:jc w:val="center"/>
        <w:rPr>
          <w:rFonts w:asciiTheme="minorEastAsia" w:hAnsiTheme="minorEastAsia" w:eastAsiaTheme="minorEastAsia"/>
          <w:b/>
          <w:color w:val="auto"/>
          <w:sz w:val="24"/>
          <w:highlight w:val="none"/>
        </w:rPr>
      </w:pPr>
    </w:p>
    <w:p w14:paraId="09D5E4AD">
      <w:pPr>
        <w:pStyle w:val="23"/>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33441B75">
      <w:pPr>
        <w:pStyle w:val="23"/>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1CD84B18">
      <w:pPr>
        <w:pStyle w:val="23"/>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1B5015DC">
      <w:pPr>
        <w:pStyle w:val="23"/>
        <w:snapToGrid w:val="0"/>
        <w:spacing w:line="360" w:lineRule="auto"/>
        <w:ind w:firstLine="480" w:firstLineChars="200"/>
        <w:jc w:val="left"/>
        <w:rPr>
          <w:rFonts w:hAnsi="宋体" w:eastAsia="宋体"/>
          <w:color w:val="auto"/>
          <w:sz w:val="24"/>
          <w:highlight w:val="none"/>
        </w:rPr>
      </w:pPr>
    </w:p>
    <w:p w14:paraId="396183E0">
      <w:pPr>
        <w:pStyle w:val="23"/>
        <w:snapToGrid w:val="0"/>
        <w:spacing w:line="360" w:lineRule="auto"/>
        <w:ind w:firstLine="480" w:firstLineChars="200"/>
        <w:jc w:val="left"/>
        <w:rPr>
          <w:rFonts w:hAnsi="宋体" w:eastAsia="宋体"/>
          <w:color w:val="auto"/>
          <w:sz w:val="24"/>
          <w:highlight w:val="none"/>
        </w:rPr>
      </w:pPr>
    </w:p>
    <w:p w14:paraId="0FEC844D">
      <w:pPr>
        <w:pStyle w:val="23"/>
        <w:snapToGrid w:val="0"/>
        <w:spacing w:line="360" w:lineRule="auto"/>
        <w:ind w:firstLine="480" w:firstLineChars="200"/>
        <w:jc w:val="left"/>
        <w:rPr>
          <w:rFonts w:hAnsi="宋体" w:eastAsia="宋体"/>
          <w:color w:val="auto"/>
          <w:sz w:val="24"/>
          <w:highlight w:val="none"/>
        </w:rPr>
      </w:pPr>
    </w:p>
    <w:p w14:paraId="49380ECB">
      <w:pPr>
        <w:pStyle w:val="23"/>
        <w:snapToGrid w:val="0"/>
        <w:spacing w:line="360" w:lineRule="auto"/>
        <w:ind w:firstLine="480" w:firstLineChars="200"/>
        <w:jc w:val="left"/>
        <w:rPr>
          <w:rFonts w:hAnsi="宋体" w:eastAsia="宋体"/>
          <w:color w:val="auto"/>
          <w:sz w:val="24"/>
          <w:highlight w:val="none"/>
        </w:rPr>
      </w:pPr>
    </w:p>
    <w:p w14:paraId="5195FD66">
      <w:pPr>
        <w:pStyle w:val="23"/>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07C89C85">
      <w:pPr>
        <w:pStyle w:val="23"/>
        <w:snapToGrid w:val="0"/>
        <w:spacing w:line="360" w:lineRule="auto"/>
        <w:ind w:firstLine="480" w:firstLineChars="200"/>
        <w:jc w:val="left"/>
        <w:rPr>
          <w:rFonts w:hAnsi="宋体" w:eastAsia="宋体"/>
          <w:color w:val="auto"/>
          <w:sz w:val="24"/>
          <w:szCs w:val="28"/>
          <w:highlight w:val="none"/>
        </w:rPr>
      </w:pPr>
    </w:p>
    <w:p w14:paraId="1CFDF3A9">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18754004">
      <w:pPr>
        <w:spacing w:line="360" w:lineRule="auto"/>
        <w:rPr>
          <w:color w:val="auto"/>
          <w:sz w:val="24"/>
          <w:szCs w:val="28"/>
          <w:highlight w:val="none"/>
        </w:rPr>
      </w:pPr>
    </w:p>
    <w:p w14:paraId="1536EB8D">
      <w:pPr>
        <w:spacing w:line="360" w:lineRule="auto"/>
        <w:jc w:val="center"/>
        <w:rPr>
          <w:bCs/>
          <w:color w:val="auto"/>
          <w:sz w:val="24"/>
          <w:szCs w:val="28"/>
          <w:highlight w:val="none"/>
        </w:rPr>
      </w:pPr>
      <w:r>
        <w:rPr>
          <w:rFonts w:hint="eastAsia"/>
          <w:bCs/>
          <w:color w:val="auto"/>
          <w:sz w:val="24"/>
          <w:szCs w:val="28"/>
          <w:highlight w:val="none"/>
          <w:lang w:val="en-US" w:eastAsia="zh-CN"/>
        </w:rPr>
        <w:t xml:space="preserve">                        </w:t>
      </w:r>
      <w:r>
        <w:rPr>
          <w:rFonts w:hint="eastAsia"/>
          <w:bCs/>
          <w:color w:val="auto"/>
          <w:sz w:val="24"/>
          <w:szCs w:val="28"/>
          <w:highlight w:val="none"/>
        </w:rPr>
        <w:t>供应商电子签章：</w:t>
      </w:r>
      <w:r>
        <w:rPr>
          <w:rFonts w:hint="eastAsia"/>
          <w:bCs/>
          <w:color w:val="auto"/>
          <w:sz w:val="24"/>
          <w:szCs w:val="28"/>
          <w:highlight w:val="none"/>
          <w:u w:val="single"/>
        </w:rPr>
        <w:t xml:space="preserve">                    </w:t>
      </w:r>
    </w:p>
    <w:p w14:paraId="6F1AA145">
      <w:pPr>
        <w:spacing w:line="360" w:lineRule="auto"/>
        <w:jc w:val="center"/>
        <w:rPr>
          <w:color w:val="auto"/>
          <w:sz w:val="24"/>
          <w:szCs w:val="28"/>
          <w:highlight w:val="none"/>
        </w:rPr>
      </w:pPr>
      <w:r>
        <w:rPr>
          <w:rFonts w:hint="eastAsia"/>
          <w:color w:val="auto"/>
          <w:sz w:val="24"/>
          <w:szCs w:val="28"/>
          <w:highlight w:val="none"/>
          <w:lang w:val="en-US" w:eastAsia="zh-CN"/>
        </w:rPr>
        <w:t xml:space="preserve">                        </w:t>
      </w:r>
      <w:r>
        <w:rPr>
          <w:rFonts w:hint="eastAsia"/>
          <w:color w:val="auto"/>
          <w:sz w:val="24"/>
          <w:szCs w:val="28"/>
          <w:highlight w:val="none"/>
        </w:rPr>
        <w:t>日          期：</w:t>
      </w:r>
      <w:r>
        <w:rPr>
          <w:rFonts w:hint="eastAsia"/>
          <w:color w:val="auto"/>
          <w:sz w:val="24"/>
          <w:szCs w:val="28"/>
          <w:highlight w:val="none"/>
          <w:u w:val="single"/>
        </w:rPr>
        <w:t xml:space="preserve">                    </w:t>
      </w:r>
    </w:p>
    <w:p w14:paraId="7F4B7784">
      <w:pPr>
        <w:spacing w:line="360" w:lineRule="auto"/>
        <w:rPr>
          <w:color w:val="auto"/>
          <w:sz w:val="24"/>
          <w:szCs w:val="28"/>
          <w:highlight w:val="none"/>
        </w:rPr>
      </w:pPr>
    </w:p>
    <w:p w14:paraId="1E097CD3">
      <w:pPr>
        <w:spacing w:line="360" w:lineRule="auto"/>
        <w:rPr>
          <w:color w:val="auto"/>
          <w:sz w:val="24"/>
          <w:szCs w:val="28"/>
          <w:highlight w:val="none"/>
        </w:rPr>
      </w:pPr>
    </w:p>
    <w:p w14:paraId="62C70709">
      <w:pPr>
        <w:pStyle w:val="23"/>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234DE192">
      <w:pPr>
        <w:pStyle w:val="23"/>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760B72CC">
      <w:pPr>
        <w:spacing w:line="360" w:lineRule="auto"/>
        <w:jc w:val="left"/>
        <w:rPr>
          <w:color w:val="auto"/>
          <w:sz w:val="24"/>
          <w:highlight w:val="none"/>
        </w:rPr>
      </w:pPr>
      <w:r>
        <w:rPr>
          <w:rFonts w:hint="eastAsia"/>
          <w:color w:val="auto"/>
          <w:sz w:val="24"/>
          <w:highlight w:val="none"/>
        </w:rPr>
        <w:t>2.法定代表人参加谈判的无需提供授权书，仅提供身份证明扫描件。</w:t>
      </w:r>
    </w:p>
    <w:p w14:paraId="4528C8CE">
      <w:pPr>
        <w:widowControl/>
        <w:jc w:val="left"/>
        <w:rPr>
          <w:color w:val="auto"/>
          <w:sz w:val="24"/>
          <w:highlight w:val="none"/>
        </w:rPr>
      </w:pPr>
      <w:r>
        <w:rPr>
          <w:color w:val="auto"/>
          <w:sz w:val="24"/>
          <w:highlight w:val="none"/>
        </w:rPr>
        <w:br w:type="page"/>
      </w:r>
    </w:p>
    <w:p w14:paraId="5C78AE2F">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712" w:name="_Toc24843"/>
      <w:bookmarkStart w:id="713" w:name="_Toc15839"/>
      <w:r>
        <w:rPr>
          <w:rFonts w:hint="eastAsia" w:cs="@仿宋_GB2312" w:asciiTheme="minorEastAsia" w:hAnsiTheme="minorEastAsia" w:eastAsiaTheme="minorEastAsia"/>
          <w:b/>
          <w:bCs/>
          <w:color w:val="auto"/>
          <w:kern w:val="2"/>
          <w:sz w:val="24"/>
          <w:szCs w:val="24"/>
          <w:highlight w:val="none"/>
        </w:rPr>
        <w:t>七、法定代表人身份证明书</w:t>
      </w:r>
      <w:bookmarkEnd w:id="712"/>
      <w:bookmarkEnd w:id="713"/>
    </w:p>
    <w:p w14:paraId="7CD49310">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2EE1890E">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单位名称：</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71C073FB">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单位性质：</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48854EBF">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地    址：</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42D57868">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成立时间：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月</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日</w:t>
      </w:r>
    </w:p>
    <w:p w14:paraId="5F553107">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经营期限：</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1BEBF055">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姓    名：</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性 </w:t>
      </w:r>
      <w:r>
        <w:rPr>
          <w:rFonts w:ascii="Calibri" w:hAnsi="Calibri" w:cs="Times New Roman"/>
          <w:color w:val="auto"/>
          <w:kern w:val="2"/>
          <w:sz w:val="24"/>
          <w:szCs w:val="28"/>
          <w:highlight w:val="none"/>
        </w:rPr>
        <w:t xml:space="preserve">  </w:t>
      </w:r>
      <w:r>
        <w:rPr>
          <w:rFonts w:hint="eastAsia" w:ascii="Calibri" w:hAnsi="Calibri" w:cs="Times New Roman"/>
          <w:color w:val="auto"/>
          <w:kern w:val="2"/>
          <w:sz w:val="24"/>
          <w:szCs w:val="28"/>
          <w:highlight w:val="none"/>
        </w:rPr>
        <w:t xml:space="preserve"> 别：</w:t>
      </w:r>
      <w:r>
        <w:rPr>
          <w:rFonts w:hint="eastAsia" w:ascii="Calibri" w:hAnsi="Calibri" w:cs="Times New Roman"/>
          <w:color w:val="auto"/>
          <w:kern w:val="2"/>
          <w:sz w:val="24"/>
          <w:szCs w:val="28"/>
          <w:highlight w:val="none"/>
          <w:u w:val="single"/>
        </w:rPr>
        <w:t xml:space="preserve">             </w:t>
      </w:r>
    </w:p>
    <w:p w14:paraId="6DC33479">
      <w:pPr>
        <w:snapToGrid w:val="0"/>
        <w:spacing w:line="360" w:lineRule="auto"/>
        <w:ind w:firstLine="480" w:firstLineChars="200"/>
        <w:jc w:val="left"/>
        <w:rPr>
          <w:rFonts w:ascii="Calibri" w:hAnsi="Calibri" w:cs="Times New Roman"/>
          <w:color w:val="auto"/>
          <w:kern w:val="2"/>
          <w:sz w:val="24"/>
          <w:szCs w:val="28"/>
          <w:highlight w:val="none"/>
          <w:u w:val="single"/>
        </w:rPr>
      </w:pPr>
      <w:r>
        <w:rPr>
          <w:rFonts w:hint="eastAsia" w:ascii="Calibri" w:hAnsi="Calibri" w:cs="Times New Roman"/>
          <w:color w:val="auto"/>
          <w:kern w:val="2"/>
          <w:sz w:val="24"/>
          <w:szCs w:val="28"/>
          <w:highlight w:val="none"/>
        </w:rPr>
        <w:t>年    龄：</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职    务：</w:t>
      </w:r>
      <w:r>
        <w:rPr>
          <w:rFonts w:hint="eastAsia" w:ascii="Calibri" w:hAnsi="Calibri" w:cs="Times New Roman"/>
          <w:color w:val="auto"/>
          <w:kern w:val="2"/>
          <w:sz w:val="24"/>
          <w:szCs w:val="28"/>
          <w:highlight w:val="none"/>
          <w:u w:val="single"/>
        </w:rPr>
        <w:t xml:space="preserve">             </w:t>
      </w:r>
    </w:p>
    <w:p w14:paraId="1382095B">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联系</w:t>
      </w:r>
      <w:r>
        <w:rPr>
          <w:rFonts w:ascii="Calibri" w:hAnsi="Calibri" w:cs="Times New Roman"/>
          <w:color w:val="auto"/>
          <w:kern w:val="2"/>
          <w:sz w:val="24"/>
          <w:szCs w:val="28"/>
          <w:highlight w:val="none"/>
        </w:rPr>
        <w:t>电话</w:t>
      </w:r>
      <w:r>
        <w:rPr>
          <w:rFonts w:hint="eastAsia" w:ascii="Calibri" w:hAnsi="Calibri" w:cs="Times New Roman"/>
          <w:color w:val="auto"/>
          <w:kern w:val="2"/>
          <w:sz w:val="24"/>
          <w:szCs w:val="28"/>
          <w:highlight w:val="none"/>
        </w:rPr>
        <w:t>：</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手机号码：</w:t>
      </w:r>
      <w:r>
        <w:rPr>
          <w:rFonts w:hint="eastAsia" w:ascii="Calibri" w:hAnsi="Calibri" w:cs="Times New Roman"/>
          <w:color w:val="auto"/>
          <w:kern w:val="2"/>
          <w:sz w:val="24"/>
          <w:szCs w:val="28"/>
          <w:highlight w:val="none"/>
          <w:u w:val="single"/>
        </w:rPr>
        <w:t xml:space="preserve">             </w:t>
      </w:r>
    </w:p>
    <w:p w14:paraId="17402859">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系  </w:t>
      </w:r>
      <w:r>
        <w:rPr>
          <w:rFonts w:hint="eastAsia" w:ascii="Calibri" w:hAnsi="Calibri" w:cs="Times New Roman"/>
          <w:color w:val="auto"/>
          <w:kern w:val="2"/>
          <w:sz w:val="24"/>
          <w:szCs w:val="28"/>
          <w:highlight w:val="none"/>
          <w:u w:val="single"/>
        </w:rPr>
        <w:t xml:space="preserve">   （供应商单位名称）       </w:t>
      </w:r>
      <w:r>
        <w:rPr>
          <w:rFonts w:hint="eastAsia" w:ascii="Calibri" w:hAnsi="Calibri" w:cs="Times New Roman"/>
          <w:color w:val="auto"/>
          <w:kern w:val="2"/>
          <w:sz w:val="24"/>
          <w:szCs w:val="28"/>
          <w:highlight w:val="none"/>
        </w:rPr>
        <w:t>的法定代表人。</w:t>
      </w:r>
    </w:p>
    <w:p w14:paraId="7D05EB77">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522D23BC">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79886D4B">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427B9019">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0BA08DF0">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084A2375">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1AEDE309">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7BE8C722">
      <w:pPr>
        <w:widowControl/>
        <w:jc w:val="left"/>
        <w:rPr>
          <w:rFonts w:cs="@仿宋_GB2312" w:asciiTheme="minorEastAsia" w:hAnsiTheme="minorEastAsia" w:eastAsiaTheme="minorEastAsia"/>
          <w:b/>
          <w:bCs/>
          <w:color w:val="auto"/>
          <w:kern w:val="2"/>
          <w:sz w:val="24"/>
          <w:szCs w:val="24"/>
          <w:highlight w:val="none"/>
        </w:rPr>
      </w:pPr>
      <w:r>
        <w:rPr>
          <w:rFonts w:cs="@仿宋_GB2312" w:asciiTheme="minorEastAsia" w:hAnsiTheme="minorEastAsia" w:eastAsiaTheme="minorEastAsia"/>
          <w:color w:val="auto"/>
          <w:kern w:val="2"/>
          <w:sz w:val="24"/>
          <w:szCs w:val="24"/>
          <w:highlight w:val="none"/>
        </w:rPr>
        <w:br w:type="page"/>
      </w:r>
    </w:p>
    <w:p w14:paraId="24BF1680">
      <w:pPr>
        <w:keepNext/>
        <w:keepLines/>
        <w:spacing w:before="260" w:after="260" w:line="416" w:lineRule="auto"/>
        <w:jc w:val="center"/>
        <w:outlineLvl w:val="1"/>
        <w:rPr>
          <w:rFonts w:hint="eastAsia" w:cs="@仿宋_GB2312" w:asciiTheme="minorEastAsia" w:hAnsiTheme="minorEastAsia" w:eastAsiaTheme="minorEastAsia"/>
          <w:b/>
          <w:bCs/>
          <w:color w:val="auto"/>
          <w:kern w:val="2"/>
          <w:sz w:val="24"/>
          <w:szCs w:val="24"/>
          <w:highlight w:val="none"/>
        </w:rPr>
      </w:pPr>
      <w:bookmarkStart w:id="714" w:name="_Toc32663"/>
      <w:bookmarkStart w:id="715" w:name="_Toc4373"/>
      <w:r>
        <w:rPr>
          <w:rFonts w:hint="eastAsia" w:cs="@仿宋_GB2312" w:asciiTheme="minorEastAsia" w:hAnsiTheme="minorEastAsia" w:eastAsiaTheme="minorEastAsia"/>
          <w:b/>
          <w:bCs/>
          <w:color w:val="auto"/>
          <w:kern w:val="2"/>
          <w:sz w:val="24"/>
          <w:szCs w:val="24"/>
          <w:highlight w:val="none"/>
          <w:lang w:val="en-US" w:eastAsia="zh-CN"/>
        </w:rPr>
        <w:t>八</w:t>
      </w:r>
      <w:r>
        <w:rPr>
          <w:rFonts w:hint="eastAsia" w:cs="@仿宋_GB2312" w:asciiTheme="minorEastAsia" w:hAnsiTheme="minorEastAsia" w:eastAsiaTheme="minorEastAsia"/>
          <w:b/>
          <w:bCs/>
          <w:color w:val="auto"/>
          <w:kern w:val="2"/>
          <w:sz w:val="24"/>
          <w:szCs w:val="24"/>
          <w:highlight w:val="none"/>
        </w:rPr>
        <w:t>、</w:t>
      </w:r>
      <w:r>
        <w:rPr>
          <w:rFonts w:hint="eastAsia" w:cs="@仿宋_GB2312" w:asciiTheme="minorEastAsia" w:hAnsiTheme="minorEastAsia" w:eastAsiaTheme="minorEastAsia"/>
          <w:b/>
          <w:bCs/>
          <w:color w:val="auto"/>
          <w:kern w:val="2"/>
          <w:sz w:val="24"/>
          <w:szCs w:val="24"/>
          <w:highlight w:val="none"/>
          <w:lang w:eastAsia="zh-CN"/>
        </w:rPr>
        <w:t>项目负责人</w:t>
      </w:r>
      <w:r>
        <w:rPr>
          <w:rFonts w:hint="eastAsia" w:cs="@仿宋_GB2312" w:asciiTheme="minorEastAsia" w:hAnsiTheme="minorEastAsia" w:eastAsiaTheme="minorEastAsia"/>
          <w:b/>
          <w:bCs/>
          <w:color w:val="auto"/>
          <w:kern w:val="2"/>
          <w:sz w:val="24"/>
          <w:szCs w:val="24"/>
          <w:highlight w:val="none"/>
        </w:rPr>
        <w:t>承诺书</w:t>
      </w:r>
      <w:bookmarkEnd w:id="714"/>
      <w:bookmarkEnd w:id="715"/>
    </w:p>
    <w:p w14:paraId="7CEF72F7">
      <w:pPr>
        <w:spacing w:line="360" w:lineRule="auto"/>
        <w:rPr>
          <w:rFonts w:hint="eastAsia" w:cs="宋体" w:asciiTheme="minorEastAsia" w:hAnsiTheme="minorEastAsia" w:eastAsiaTheme="minorEastAsia"/>
          <w:color w:val="auto"/>
          <w:kern w:val="2"/>
          <w:sz w:val="24"/>
          <w:szCs w:val="24"/>
          <w:highlight w:val="non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none"/>
          <w:lang w:eastAsia="zh-CN"/>
        </w:rPr>
        <w:t>采购人</w:t>
      </w:r>
    </w:p>
    <w:p w14:paraId="3BCE3E0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w:t>
      </w:r>
      <w:r>
        <w:rPr>
          <w:rFonts w:hint="eastAsia" w:cs="宋体"/>
          <w:color w:val="auto"/>
          <w:kern w:val="2"/>
          <w:sz w:val="24"/>
          <w:szCs w:val="24"/>
          <w:highlight w:val="none"/>
          <w:lang w:eastAsia="zh-CN"/>
        </w:rPr>
        <w:t>谈判</w:t>
      </w:r>
      <w:r>
        <w:rPr>
          <w:rFonts w:hint="eastAsia" w:cs="宋体"/>
          <w:color w:val="auto"/>
          <w:kern w:val="2"/>
          <w:sz w:val="24"/>
          <w:szCs w:val="24"/>
          <w:highlight w:val="none"/>
        </w:rPr>
        <w:t>担任的</w:t>
      </w:r>
      <w:r>
        <w:rPr>
          <w:rFonts w:hint="eastAsia" w:cs="宋体"/>
          <w:color w:val="auto"/>
          <w:kern w:val="2"/>
          <w:sz w:val="24"/>
          <w:szCs w:val="24"/>
          <w:highlight w:val="none"/>
          <w:lang w:eastAsia="zh-CN"/>
        </w:rPr>
        <w:t>项目负责人</w:t>
      </w:r>
      <w:r>
        <w:rPr>
          <w:rFonts w:hint="eastAsia" w:cs="宋体"/>
          <w:color w:val="auto"/>
          <w:kern w:val="2"/>
          <w:sz w:val="24"/>
          <w:szCs w:val="24"/>
          <w:highlight w:val="none"/>
        </w:rPr>
        <w:t>，郑重承诺：</w:t>
      </w:r>
    </w:p>
    <w:p w14:paraId="108C4D8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w:t>
      </w:r>
      <w:r>
        <w:rPr>
          <w:rFonts w:hint="eastAsia" w:cs="宋体"/>
          <w:color w:val="auto"/>
          <w:kern w:val="2"/>
          <w:sz w:val="24"/>
          <w:szCs w:val="24"/>
          <w:highlight w:val="none"/>
          <w:lang w:eastAsia="zh-CN"/>
        </w:rPr>
        <w:t>项目负责人</w:t>
      </w:r>
      <w:r>
        <w:rPr>
          <w:rFonts w:hint="eastAsia" w:cs="宋体"/>
          <w:color w:val="auto"/>
          <w:kern w:val="2"/>
          <w:sz w:val="24"/>
          <w:szCs w:val="24"/>
          <w:highlight w:val="none"/>
        </w:rPr>
        <w:t>业绩已经本人核实，工程实施过程中</w:t>
      </w:r>
      <w:r>
        <w:rPr>
          <w:rFonts w:hint="eastAsia" w:cs="宋体"/>
          <w:color w:val="auto"/>
          <w:kern w:val="2"/>
          <w:sz w:val="24"/>
          <w:szCs w:val="24"/>
          <w:highlight w:val="none"/>
          <w:lang w:eastAsia="zh-CN"/>
        </w:rPr>
        <w:t>项目负责人</w:t>
      </w:r>
      <w:r>
        <w:rPr>
          <w:rFonts w:hint="eastAsia" w:cs="宋体"/>
          <w:color w:val="auto"/>
          <w:kern w:val="2"/>
          <w:sz w:val="24"/>
          <w:szCs w:val="24"/>
          <w:highlight w:val="none"/>
        </w:rPr>
        <w:t>确为本人，合同（或竣工相关资料证明）的本人签字均为该工程实施时段所签，真实无误，不存在虚假和挂靠现象，也不存在为</w:t>
      </w:r>
      <w:r>
        <w:rPr>
          <w:rFonts w:hint="eastAsia" w:cs="宋体"/>
          <w:color w:val="auto"/>
          <w:kern w:val="2"/>
          <w:sz w:val="24"/>
          <w:szCs w:val="24"/>
          <w:highlight w:val="none"/>
          <w:lang w:eastAsia="zh-CN"/>
        </w:rPr>
        <w:t>谈判</w:t>
      </w:r>
      <w:r>
        <w:rPr>
          <w:rFonts w:hint="eastAsia" w:cs="宋体"/>
          <w:color w:val="auto"/>
          <w:kern w:val="2"/>
          <w:sz w:val="24"/>
          <w:szCs w:val="24"/>
          <w:highlight w:val="none"/>
        </w:rPr>
        <w:t>而造假的行为。</w:t>
      </w:r>
    </w:p>
    <w:p w14:paraId="3DC343A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w:t>
      </w:r>
      <w:r>
        <w:rPr>
          <w:rFonts w:hint="eastAsia" w:cs="宋体"/>
          <w:color w:val="auto"/>
          <w:kern w:val="2"/>
          <w:sz w:val="24"/>
          <w:szCs w:val="24"/>
          <w:highlight w:val="none"/>
          <w:lang w:val="en-US" w:eastAsia="zh-CN"/>
        </w:rPr>
        <w:t>谈判</w:t>
      </w:r>
      <w:r>
        <w:rPr>
          <w:rFonts w:hint="eastAsia" w:cs="宋体"/>
          <w:color w:val="auto"/>
          <w:kern w:val="2"/>
          <w:sz w:val="24"/>
          <w:szCs w:val="24"/>
          <w:highlight w:val="none"/>
        </w:rPr>
        <w:t>文件规定履约。</w:t>
      </w:r>
    </w:p>
    <w:p w14:paraId="182228B5">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6009CC76">
      <w:pPr>
        <w:spacing w:line="360" w:lineRule="auto"/>
        <w:ind w:firstLine="480" w:firstLineChars="200"/>
        <w:rPr>
          <w:rFonts w:hint="eastAsia" w:cs="宋体"/>
          <w:color w:val="auto"/>
          <w:kern w:val="2"/>
          <w:sz w:val="24"/>
          <w:szCs w:val="24"/>
          <w:highlight w:val="none"/>
          <w:lang w:val="en-US" w:eastAsia="zh-CN"/>
        </w:rPr>
      </w:pPr>
      <w:r>
        <w:rPr>
          <w:rFonts w:hint="eastAsia" w:cs="宋体"/>
          <w:color w:val="auto"/>
          <w:kern w:val="2"/>
          <w:sz w:val="24"/>
          <w:szCs w:val="24"/>
          <w:highlight w:val="none"/>
          <w:lang w:val="en-US" w:eastAsia="zh-CN"/>
        </w:rPr>
        <w:t>四、</w:t>
      </w:r>
      <w:r>
        <w:rPr>
          <w:rFonts w:hint="eastAsia" w:cs="宋体"/>
          <w:color w:val="auto"/>
          <w:kern w:val="2"/>
          <w:sz w:val="24"/>
          <w:szCs w:val="24"/>
          <w:highlight w:val="none"/>
          <w:u w:val="single"/>
        </w:rPr>
        <w:t xml:space="preserve">                   </w:t>
      </w:r>
    </w:p>
    <w:p w14:paraId="03AAAB13">
      <w:pPr>
        <w:spacing w:line="360" w:lineRule="auto"/>
        <w:ind w:firstLine="480" w:firstLineChars="200"/>
        <w:rPr>
          <w:rFonts w:cs="宋体"/>
          <w:color w:val="auto"/>
          <w:kern w:val="2"/>
          <w:sz w:val="24"/>
          <w:szCs w:val="24"/>
          <w:highlight w:val="none"/>
        </w:rPr>
      </w:pPr>
    </w:p>
    <w:p w14:paraId="0A17CA47">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lang w:eastAsia="zh-CN"/>
        </w:rPr>
        <w:t>项目负责人</w:t>
      </w:r>
      <w:r>
        <w:rPr>
          <w:rFonts w:hint="eastAsia" w:cs="宋体"/>
          <w:color w:val="auto"/>
          <w:kern w:val="2"/>
          <w:sz w:val="24"/>
          <w:szCs w:val="24"/>
          <w:highlight w:val="none"/>
        </w:rPr>
        <w:t>签字：</w:t>
      </w:r>
      <w:r>
        <w:rPr>
          <w:rFonts w:hint="eastAsia" w:cs="宋体"/>
          <w:color w:val="auto"/>
          <w:kern w:val="2"/>
          <w:sz w:val="24"/>
          <w:szCs w:val="24"/>
          <w:highlight w:val="none"/>
          <w:u w:val="single"/>
        </w:rPr>
        <w:t xml:space="preserve">                   </w:t>
      </w:r>
    </w:p>
    <w:p w14:paraId="1EC34172">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2D34FE72">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12558B57">
      <w:pPr>
        <w:spacing w:line="360" w:lineRule="auto"/>
        <w:ind w:firstLine="480" w:firstLineChars="200"/>
        <w:rPr>
          <w:rFonts w:cs="宋体"/>
          <w:color w:val="auto"/>
          <w:kern w:val="2"/>
          <w:sz w:val="24"/>
          <w:szCs w:val="24"/>
          <w:highlight w:val="none"/>
        </w:rPr>
      </w:pPr>
    </w:p>
    <w:p w14:paraId="25169981">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color w:val="auto"/>
          <w:kern w:val="2"/>
          <w:sz w:val="24"/>
          <w:szCs w:val="24"/>
          <w:highlight w:val="none"/>
        </w:rPr>
        <w:t>注：本页后附</w:t>
      </w:r>
      <w:r>
        <w:rPr>
          <w:rFonts w:hint="eastAsia" w:cs="宋体"/>
          <w:color w:val="auto"/>
          <w:kern w:val="2"/>
          <w:sz w:val="24"/>
          <w:szCs w:val="24"/>
          <w:highlight w:val="none"/>
          <w:lang w:eastAsia="zh-CN"/>
        </w:rPr>
        <w:t>项目负责人</w:t>
      </w:r>
      <w:r>
        <w:rPr>
          <w:rFonts w:hint="eastAsia" w:cs="宋体"/>
          <w:color w:val="auto"/>
          <w:kern w:val="2"/>
          <w:sz w:val="24"/>
          <w:szCs w:val="24"/>
          <w:highlight w:val="none"/>
        </w:rPr>
        <w:t>身份证明扫描件。</w:t>
      </w:r>
    </w:p>
    <w:p w14:paraId="65064BA8">
      <w:pPr>
        <w:spacing w:line="360" w:lineRule="auto"/>
        <w:ind w:firstLine="4200" w:firstLineChars="1750"/>
        <w:rPr>
          <w:rFonts w:ascii="@仿宋_GB2312" w:eastAsia="@仿宋_GB2312" w:cs="宋体"/>
          <w:color w:val="auto"/>
          <w:kern w:val="2"/>
          <w:sz w:val="24"/>
          <w:szCs w:val="24"/>
          <w:highlight w:val="none"/>
          <w:lang w:val="zh-CN"/>
        </w:rPr>
      </w:pPr>
      <w:r>
        <w:rPr>
          <w:rFonts w:hint="eastAsia" w:ascii="@仿宋_GB2312" w:cs="@仿宋_GB2312"/>
          <w:color w:val="auto"/>
          <w:kern w:val="2"/>
          <w:sz w:val="24"/>
          <w:szCs w:val="28"/>
          <w:highlight w:val="none"/>
        </w:rPr>
        <w:br w:type="page"/>
      </w:r>
    </w:p>
    <w:p w14:paraId="0170922F">
      <w:pPr>
        <w:widowControl/>
        <w:jc w:val="left"/>
        <w:rPr>
          <w:rFonts w:asciiTheme="minorEastAsia" w:hAnsiTheme="minorEastAsia" w:eastAsiaTheme="minorEastAsia"/>
          <w:b/>
          <w:color w:val="auto"/>
          <w:sz w:val="24"/>
          <w:highlight w:val="none"/>
        </w:rPr>
      </w:pPr>
    </w:p>
    <w:p w14:paraId="2CD22284">
      <w:pPr>
        <w:spacing w:line="360" w:lineRule="auto"/>
        <w:jc w:val="center"/>
        <w:outlineLvl w:val="1"/>
        <w:rPr>
          <w:rFonts w:asciiTheme="minorEastAsia" w:hAnsiTheme="minorEastAsia" w:eastAsiaTheme="minorEastAsia"/>
          <w:b/>
          <w:color w:val="auto"/>
          <w:sz w:val="24"/>
          <w:highlight w:val="none"/>
        </w:rPr>
      </w:pPr>
      <w:bookmarkStart w:id="716" w:name="_Toc30935"/>
      <w:bookmarkStart w:id="717" w:name="_Toc30344"/>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、中小企业声明函</w:t>
      </w:r>
      <w:bookmarkEnd w:id="716"/>
      <w:bookmarkEnd w:id="717"/>
    </w:p>
    <w:p w14:paraId="7A929CD4">
      <w:pPr>
        <w:rPr>
          <w:rFonts w:asciiTheme="minorEastAsia" w:hAnsiTheme="minorEastAsia" w:eastAsiaTheme="minorEastAsia"/>
          <w:color w:val="auto"/>
          <w:sz w:val="24"/>
          <w:szCs w:val="24"/>
          <w:highlight w:val="none"/>
        </w:rPr>
      </w:pPr>
    </w:p>
    <w:p w14:paraId="062DF0EB">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（单位</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（项目</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25C07A8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2255CCCC">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BF0608E">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5443AA4B">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0F5D431C">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7EDE1D0C">
      <w:pPr>
        <w:spacing w:line="360" w:lineRule="auto"/>
        <w:ind w:firstLine="435"/>
        <w:rPr>
          <w:rFonts w:cs="@仿宋_GB2312" w:asciiTheme="minorEastAsia" w:hAnsiTheme="minorEastAsia" w:eastAsiaTheme="minorEastAsia"/>
          <w:color w:val="auto"/>
          <w:kern w:val="2"/>
          <w:sz w:val="24"/>
          <w:szCs w:val="24"/>
          <w:highlight w:val="none"/>
        </w:rPr>
      </w:pPr>
    </w:p>
    <w:p w14:paraId="39125ACA">
      <w:pPr>
        <w:spacing w:line="360" w:lineRule="auto"/>
        <w:ind w:firstLine="435"/>
        <w:rPr>
          <w:rFonts w:cs="@仿宋_GB2312" w:asciiTheme="minorEastAsia" w:hAnsiTheme="minorEastAsia" w:eastAsiaTheme="minorEastAsia"/>
          <w:color w:val="auto"/>
          <w:kern w:val="2"/>
          <w:sz w:val="24"/>
          <w:szCs w:val="24"/>
          <w:highlight w:val="none"/>
        </w:rPr>
      </w:pPr>
    </w:p>
    <w:p w14:paraId="4F5FFB6A">
      <w:pPr>
        <w:spacing w:line="360" w:lineRule="auto"/>
        <w:ind w:firstLine="4228" w:firstLineChars="176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供应商</w:t>
      </w:r>
      <w:r>
        <w:rPr>
          <w:rFonts w:cs="@仿宋_GB2312" w:asciiTheme="minorEastAsia" w:hAnsiTheme="minorEastAsia" w:eastAsiaTheme="minorEastAsia"/>
          <w:color w:val="auto"/>
          <w:kern w:val="2"/>
          <w:sz w:val="24"/>
          <w:szCs w:val="24"/>
          <w:highlight w:val="none"/>
        </w:rPr>
        <w:t>电子签章</w:t>
      </w:r>
      <w:r>
        <w:rPr>
          <w:rFonts w:hint="eastAsia" w:cs="@仿宋_GB2312" w:asciiTheme="minorEastAsia" w:hAnsiTheme="minorEastAsia" w:eastAsiaTheme="minorEastAsia"/>
          <w:color w:val="auto"/>
          <w:kern w:val="2"/>
          <w:sz w:val="24"/>
          <w:szCs w:val="24"/>
          <w:highlight w:val="none"/>
        </w:rPr>
        <w:t>：</w:t>
      </w:r>
      <w:r>
        <w:rPr>
          <w:rFonts w:cs="@仿宋_GB2312" w:asciiTheme="minorEastAsia" w:hAnsiTheme="minorEastAsia" w:eastAsiaTheme="minorEastAsia"/>
          <w:color w:val="auto"/>
          <w:kern w:val="2"/>
          <w:sz w:val="24"/>
          <w:szCs w:val="24"/>
          <w:highlight w:val="none"/>
          <w:u w:val="single"/>
        </w:rPr>
        <w:t xml:space="preserve">             </w:t>
      </w:r>
    </w:p>
    <w:p w14:paraId="7CFA55A5">
      <w:pPr>
        <w:tabs>
          <w:tab w:val="left" w:pos="4620"/>
        </w:tabs>
        <w:spacing w:line="360" w:lineRule="auto"/>
        <w:ind w:firstLine="4252" w:firstLineChars="177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日</w:t>
      </w:r>
      <w:r>
        <w:rPr>
          <w:rFonts w:cs="@仿宋_GB2312" w:asciiTheme="minorEastAsia" w:hAnsiTheme="minorEastAsia" w:eastAsiaTheme="minorEastAsia"/>
          <w:color w:val="auto"/>
          <w:kern w:val="2"/>
          <w:sz w:val="24"/>
          <w:szCs w:val="24"/>
          <w:highlight w:val="none"/>
        </w:rPr>
        <w:t xml:space="preserve">      </w:t>
      </w:r>
      <w:r>
        <w:rPr>
          <w:rFonts w:hint="eastAsia" w:cs="@仿宋_GB2312" w:asciiTheme="minorEastAsia" w:hAnsiTheme="minorEastAsia" w:eastAsiaTheme="minorEastAsia"/>
          <w:color w:val="auto"/>
          <w:kern w:val="2"/>
          <w:sz w:val="24"/>
          <w:szCs w:val="24"/>
          <w:highlight w:val="none"/>
        </w:rPr>
        <w:t xml:space="preserve">    期：</w:t>
      </w:r>
      <w:r>
        <w:rPr>
          <w:rFonts w:cs="@仿宋_GB2312" w:asciiTheme="minorEastAsia" w:hAnsiTheme="minorEastAsia" w:eastAsiaTheme="minorEastAsia"/>
          <w:color w:val="auto"/>
          <w:kern w:val="2"/>
          <w:sz w:val="24"/>
          <w:szCs w:val="24"/>
          <w:highlight w:val="none"/>
          <w:u w:val="single"/>
        </w:rPr>
        <w:t xml:space="preserve">             </w:t>
      </w:r>
    </w:p>
    <w:p w14:paraId="78803572">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343D7DFF">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1C67B064">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4100361F">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4E52DCD2">
      <w:pPr>
        <w:tabs>
          <w:tab w:val="left" w:pos="4620"/>
        </w:tabs>
        <w:spacing w:line="360" w:lineRule="auto"/>
        <w:jc w:val="left"/>
        <w:rPr>
          <w:rFonts w:hint="eastAsia" w:cs="@仿宋_GB2312" w:asciiTheme="minorEastAsia" w:hAnsiTheme="minorEastAsia" w:eastAsiaTheme="minorEastAsia"/>
          <w:b/>
          <w:color w:val="auto"/>
          <w:kern w:val="2"/>
          <w:sz w:val="21"/>
          <w:szCs w:val="24"/>
          <w:highlight w:val="none"/>
          <w:lang w:eastAsia="zh-CN"/>
        </w:rPr>
      </w:pPr>
      <w:r>
        <w:rPr>
          <w:rFonts w:hint="eastAsia" w:cs="@仿宋_GB2312" w:asciiTheme="minorEastAsia" w:hAnsiTheme="minorEastAsia" w:eastAsiaTheme="minorEastAsia"/>
          <w:b/>
          <w:color w:val="auto"/>
          <w:kern w:val="2"/>
          <w:sz w:val="21"/>
          <w:szCs w:val="24"/>
          <w:highlight w:val="none"/>
          <w:lang w:eastAsia="zh-CN"/>
        </w:rPr>
        <w:t>注：</w:t>
      </w:r>
    </w:p>
    <w:p w14:paraId="265D6993">
      <w:pPr>
        <w:tabs>
          <w:tab w:val="left" w:pos="4620"/>
        </w:tabs>
        <w:spacing w:line="360" w:lineRule="auto"/>
        <w:jc w:val="left"/>
        <w:rPr>
          <w:rFonts w:cs="@仿宋_GB2312" w:asciiTheme="minorEastAsia" w:hAnsiTheme="minorEastAsia" w:eastAsiaTheme="minorEastAsia"/>
          <w:color w:val="auto"/>
          <w:kern w:val="2"/>
          <w:sz w:val="21"/>
          <w:szCs w:val="24"/>
          <w:highlight w:val="none"/>
        </w:rPr>
      </w:pPr>
      <w:r>
        <w:rPr>
          <w:rFonts w:cs="@仿宋_GB2312" w:asciiTheme="minorEastAsia" w:hAnsiTheme="minorEastAsia" w:eastAsiaTheme="minorEastAsia"/>
          <w:color w:val="auto"/>
          <w:kern w:val="2"/>
          <w:sz w:val="21"/>
          <w:szCs w:val="24"/>
          <w:highlight w:val="none"/>
        </w:rPr>
        <w:t>1.从业人员、营业收入、资产总额填报上一年数据，无上一年数据的新成立企业可不填报。</w:t>
      </w:r>
    </w:p>
    <w:p w14:paraId="2A218676">
      <w:pPr>
        <w:tabs>
          <w:tab w:val="left" w:pos="4620"/>
        </w:tabs>
        <w:spacing w:line="360" w:lineRule="auto"/>
        <w:jc w:val="left"/>
        <w:rPr>
          <w:rFonts w:cs="宋体"/>
          <w:b/>
          <w:bCs/>
          <w:color w:val="auto"/>
          <w:kern w:val="2"/>
          <w:sz w:val="21"/>
          <w:szCs w:val="21"/>
          <w:highlight w:val="none"/>
        </w:rPr>
      </w:pPr>
      <w:r>
        <w:rPr>
          <w:rFonts w:hint="eastAsia" w:cs="宋体"/>
          <w:b/>
          <w:bCs/>
          <w:color w:val="auto"/>
          <w:sz w:val="21"/>
          <w:szCs w:val="21"/>
          <w:highlight w:val="none"/>
        </w:rPr>
        <w:t>2.</w:t>
      </w:r>
      <w:r>
        <w:rPr>
          <w:rFonts w:hint="eastAsia"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1"/>
          <w:szCs w:val="21"/>
          <w:highlight w:val="none"/>
          <w:lang w:val="zh-CN"/>
        </w:rPr>
        <w:t>如有虚假，将依法承担相应责任。</w:t>
      </w:r>
      <w:r>
        <w:rPr>
          <w:rFonts w:hint="eastAsia" w:cs="宋体"/>
          <w:b/>
          <w:bCs/>
          <w:color w:val="auto"/>
          <w:kern w:val="2"/>
          <w:sz w:val="21"/>
          <w:szCs w:val="21"/>
          <w:highlight w:val="none"/>
        </w:rPr>
        <w:t>供应商自行登录工业和信息化部官网进行中小企业规模类型自测（查询网址https://www.miit.gov.cn/）。</w:t>
      </w:r>
    </w:p>
    <w:p w14:paraId="129F296E">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3.上述“</w:t>
      </w:r>
      <w:r>
        <w:rPr>
          <w:rFonts w:hint="eastAsia" w:cs="宋体"/>
          <w:b/>
          <w:bCs/>
          <w:color w:val="auto"/>
          <w:kern w:val="2"/>
          <w:sz w:val="21"/>
          <w:szCs w:val="21"/>
          <w:highlight w:val="none"/>
          <w:u w:val="single"/>
          <w:lang w:val="zh-CN"/>
        </w:rPr>
        <w:t>标的名称</w:t>
      </w:r>
      <w:r>
        <w:rPr>
          <w:rFonts w:hint="eastAsia" w:cs="宋体"/>
          <w:b/>
          <w:bCs/>
          <w:color w:val="auto"/>
          <w:kern w:val="2"/>
          <w:sz w:val="21"/>
          <w:szCs w:val="21"/>
          <w:highlight w:val="none"/>
        </w:rPr>
        <w:t>”，详见第三章采购需求前附表中明确的“标的名称”。</w:t>
      </w:r>
    </w:p>
    <w:p w14:paraId="7F97A38D">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4.上述“</w:t>
      </w:r>
      <w:r>
        <w:rPr>
          <w:rFonts w:hint="eastAsia" w:cs="宋体"/>
          <w:b/>
          <w:bCs/>
          <w:color w:val="auto"/>
          <w:kern w:val="2"/>
          <w:sz w:val="21"/>
          <w:szCs w:val="21"/>
          <w:highlight w:val="none"/>
          <w:u w:val="single"/>
        </w:rPr>
        <w:t>采购文件中明确的所属行业</w:t>
      </w:r>
      <w:r>
        <w:rPr>
          <w:rFonts w:hint="eastAsia" w:cs="宋体"/>
          <w:b/>
          <w:bCs/>
          <w:color w:val="auto"/>
          <w:kern w:val="2"/>
          <w:sz w:val="21"/>
          <w:szCs w:val="21"/>
          <w:highlight w:val="none"/>
        </w:rPr>
        <w:t>”，详见第三章采购需求前附表中明确的“所属行业”。</w:t>
      </w:r>
    </w:p>
    <w:p w14:paraId="51FA8EED">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5．填写示例：</w:t>
      </w:r>
      <w:r>
        <w:rPr>
          <w:rFonts w:hint="eastAsia" w:cs="宋体"/>
          <w:b/>
          <w:bCs/>
          <w:color w:val="auto"/>
          <w:kern w:val="2"/>
          <w:sz w:val="21"/>
          <w:szCs w:val="21"/>
          <w:highlight w:val="none"/>
          <w:u w:val="single"/>
        </w:rPr>
        <w:t>某标的名称</w:t>
      </w:r>
      <w:r>
        <w:rPr>
          <w:rFonts w:hint="eastAsia" w:cs="宋体"/>
          <w:b/>
          <w:bCs/>
          <w:color w:val="auto"/>
          <w:kern w:val="2"/>
          <w:sz w:val="21"/>
          <w:szCs w:val="21"/>
          <w:highlight w:val="none"/>
        </w:rPr>
        <w:t>（</w:t>
      </w:r>
      <w:r>
        <w:rPr>
          <w:rFonts w:hint="eastAsia" w:cs="宋体"/>
          <w:b/>
          <w:bCs/>
          <w:color w:val="auto"/>
          <w:kern w:val="2"/>
          <w:sz w:val="21"/>
          <w:szCs w:val="21"/>
          <w:highlight w:val="none"/>
          <w:u w:val="single"/>
        </w:rPr>
        <w:t>填写第三章采购需求前附表中明确的“标的名称”</w:t>
      </w:r>
      <w:r>
        <w:rPr>
          <w:rFonts w:hint="eastAsia" w:cs="宋体"/>
          <w:b/>
          <w:bCs/>
          <w:color w:val="auto"/>
          <w:kern w:val="2"/>
          <w:sz w:val="21"/>
          <w:szCs w:val="21"/>
          <w:highlight w:val="none"/>
        </w:rPr>
        <w:t>），属于</w:t>
      </w:r>
      <w:r>
        <w:rPr>
          <w:rFonts w:hint="eastAsia" w:cs="宋体"/>
          <w:b/>
          <w:bCs/>
          <w:color w:val="auto"/>
          <w:kern w:val="2"/>
          <w:sz w:val="21"/>
          <w:szCs w:val="21"/>
          <w:highlight w:val="none"/>
          <w:u w:val="single"/>
        </w:rPr>
        <w:t>（填写第三章采购需求前附表中明确的“所属行业”，如建筑业）</w:t>
      </w:r>
      <w:r>
        <w:rPr>
          <w:rFonts w:hint="eastAsia" w:cs="宋体"/>
          <w:b/>
          <w:bCs/>
          <w:color w:val="auto"/>
          <w:kern w:val="2"/>
          <w:sz w:val="21"/>
          <w:szCs w:val="21"/>
          <w:highlight w:val="none"/>
        </w:rPr>
        <w:t>行业；承接企业为</w:t>
      </w:r>
      <w:r>
        <w:rPr>
          <w:rFonts w:hint="eastAsia" w:cs="宋体"/>
          <w:b/>
          <w:bCs/>
          <w:color w:val="auto"/>
          <w:kern w:val="2"/>
          <w:sz w:val="21"/>
          <w:szCs w:val="21"/>
          <w:highlight w:val="none"/>
          <w:u w:val="single"/>
          <w:lang w:val="zh-CN"/>
        </w:rPr>
        <w:t>某公司</w:t>
      </w:r>
      <w:r>
        <w:rPr>
          <w:rFonts w:hint="eastAsia" w:cs="宋体"/>
          <w:b/>
          <w:bCs/>
          <w:color w:val="auto"/>
          <w:kern w:val="2"/>
          <w:sz w:val="21"/>
          <w:szCs w:val="21"/>
          <w:highlight w:val="none"/>
        </w:rPr>
        <w:t>，</w:t>
      </w:r>
      <w:r>
        <w:rPr>
          <w:rFonts w:hint="eastAsia" w:cs="宋体"/>
          <w:b/>
          <w:bCs/>
          <w:color w:val="auto"/>
          <w:kern w:val="2"/>
          <w:sz w:val="21"/>
          <w:szCs w:val="21"/>
          <w:highlight w:val="none"/>
          <w:lang w:val="zh-CN"/>
        </w:rPr>
        <w:t>从业人员</w:t>
      </w:r>
      <w:r>
        <w:rPr>
          <w:rFonts w:hint="eastAsia" w:cs="宋体"/>
          <w:b/>
          <w:bCs/>
          <w:color w:val="auto"/>
          <w:kern w:val="2"/>
          <w:sz w:val="21"/>
          <w:szCs w:val="21"/>
          <w:highlight w:val="none"/>
          <w:u w:val="single"/>
        </w:rPr>
        <w:t>100</w:t>
      </w:r>
      <w:r>
        <w:rPr>
          <w:rFonts w:hint="eastAsia" w:cs="宋体"/>
          <w:b/>
          <w:bCs/>
          <w:color w:val="auto"/>
          <w:kern w:val="2"/>
          <w:sz w:val="21"/>
          <w:szCs w:val="21"/>
          <w:highlight w:val="none"/>
          <w:lang w:val="zh-CN"/>
        </w:rPr>
        <w:t>人</w:t>
      </w:r>
      <w:r>
        <w:rPr>
          <w:rFonts w:hint="eastAsia" w:cs="宋体"/>
          <w:b/>
          <w:bCs/>
          <w:color w:val="auto"/>
          <w:kern w:val="2"/>
          <w:sz w:val="21"/>
          <w:szCs w:val="21"/>
          <w:highlight w:val="none"/>
        </w:rPr>
        <w:t>，</w:t>
      </w:r>
      <w:r>
        <w:rPr>
          <w:rFonts w:hint="eastAsia" w:cs="宋体"/>
          <w:b/>
          <w:bCs/>
          <w:color w:val="auto"/>
          <w:kern w:val="2"/>
          <w:sz w:val="21"/>
          <w:szCs w:val="21"/>
          <w:highlight w:val="none"/>
          <w:lang w:val="zh-CN"/>
        </w:rPr>
        <w:t>营业收入为</w:t>
      </w:r>
      <w:r>
        <w:rPr>
          <w:rFonts w:hint="eastAsia" w:cs="宋体"/>
          <w:b/>
          <w:bCs/>
          <w:color w:val="auto"/>
          <w:kern w:val="2"/>
          <w:sz w:val="21"/>
          <w:szCs w:val="21"/>
          <w:highlight w:val="none"/>
          <w:u w:val="single"/>
        </w:rPr>
        <w:t>10000</w:t>
      </w:r>
      <w:r>
        <w:rPr>
          <w:rFonts w:hint="eastAsia" w:cs="宋体"/>
          <w:b/>
          <w:bCs/>
          <w:color w:val="auto"/>
          <w:kern w:val="2"/>
          <w:sz w:val="21"/>
          <w:szCs w:val="21"/>
          <w:highlight w:val="none"/>
          <w:lang w:val="zh-CN"/>
        </w:rPr>
        <w:t>万元</w:t>
      </w:r>
      <w:r>
        <w:rPr>
          <w:rFonts w:hint="eastAsia" w:cs="宋体"/>
          <w:b/>
          <w:bCs/>
          <w:color w:val="auto"/>
          <w:kern w:val="2"/>
          <w:sz w:val="21"/>
          <w:szCs w:val="21"/>
          <w:highlight w:val="none"/>
        </w:rPr>
        <w:t>，</w:t>
      </w:r>
      <w:r>
        <w:rPr>
          <w:rFonts w:hint="eastAsia" w:cs="宋体"/>
          <w:b/>
          <w:bCs/>
          <w:color w:val="auto"/>
          <w:kern w:val="2"/>
          <w:sz w:val="21"/>
          <w:szCs w:val="21"/>
          <w:highlight w:val="none"/>
          <w:lang w:val="zh-CN"/>
        </w:rPr>
        <w:t>资产总额为</w:t>
      </w:r>
      <w:r>
        <w:rPr>
          <w:rFonts w:hint="eastAsia" w:cs="宋体"/>
          <w:b/>
          <w:bCs/>
          <w:color w:val="auto"/>
          <w:kern w:val="2"/>
          <w:sz w:val="21"/>
          <w:szCs w:val="21"/>
          <w:highlight w:val="none"/>
          <w:u w:val="single"/>
        </w:rPr>
        <w:t>5000</w:t>
      </w:r>
      <w:r>
        <w:rPr>
          <w:rFonts w:hint="eastAsia" w:cs="宋体"/>
          <w:b/>
          <w:bCs/>
          <w:color w:val="auto"/>
          <w:kern w:val="2"/>
          <w:sz w:val="21"/>
          <w:szCs w:val="21"/>
          <w:highlight w:val="none"/>
          <w:lang w:val="zh-CN"/>
        </w:rPr>
        <w:t>万元</w:t>
      </w:r>
      <w:r>
        <w:rPr>
          <w:rFonts w:hint="eastAsia" w:cs="宋体"/>
          <w:b/>
          <w:bCs/>
          <w:color w:val="auto"/>
          <w:kern w:val="2"/>
          <w:sz w:val="21"/>
          <w:szCs w:val="21"/>
          <w:highlight w:val="none"/>
        </w:rPr>
        <w:t>，</w:t>
      </w:r>
      <w:r>
        <w:rPr>
          <w:rFonts w:hint="eastAsia" w:cs="宋体"/>
          <w:b/>
          <w:bCs/>
          <w:color w:val="auto"/>
          <w:kern w:val="2"/>
          <w:sz w:val="21"/>
          <w:szCs w:val="21"/>
          <w:highlight w:val="none"/>
          <w:lang w:val="zh-CN"/>
        </w:rPr>
        <w:t>属于</w:t>
      </w:r>
      <w:r>
        <w:rPr>
          <w:rFonts w:hint="eastAsia" w:cs="宋体"/>
          <w:b/>
          <w:bCs/>
          <w:color w:val="auto"/>
          <w:kern w:val="2"/>
          <w:sz w:val="21"/>
          <w:szCs w:val="21"/>
          <w:highlight w:val="none"/>
        </w:rPr>
        <w:t>中</w:t>
      </w:r>
      <w:r>
        <w:rPr>
          <w:rFonts w:hint="eastAsia" w:cs="宋体"/>
          <w:b/>
          <w:bCs/>
          <w:color w:val="auto"/>
          <w:kern w:val="2"/>
          <w:sz w:val="21"/>
          <w:szCs w:val="21"/>
          <w:highlight w:val="none"/>
          <w:u w:val="single"/>
          <w:lang w:val="zh-CN"/>
        </w:rPr>
        <w:t>型</w:t>
      </w:r>
      <w:r>
        <w:rPr>
          <w:rFonts w:hint="eastAsia" w:cs="宋体"/>
          <w:b/>
          <w:bCs/>
          <w:color w:val="auto"/>
          <w:kern w:val="2"/>
          <w:sz w:val="21"/>
          <w:szCs w:val="21"/>
          <w:highlight w:val="none"/>
          <w:lang w:val="zh-CN"/>
        </w:rPr>
        <w:t>企业</w:t>
      </w:r>
      <w:r>
        <w:rPr>
          <w:rFonts w:hint="eastAsia" w:cs="宋体"/>
          <w:b/>
          <w:bCs/>
          <w:color w:val="auto"/>
          <w:kern w:val="2"/>
          <w:sz w:val="21"/>
          <w:szCs w:val="21"/>
          <w:highlight w:val="none"/>
        </w:rPr>
        <w:t>[</w:t>
      </w:r>
      <w:r>
        <w:rPr>
          <w:rFonts w:hint="eastAsia" w:cs="宋体"/>
          <w:b/>
          <w:bCs/>
          <w:color w:val="auto"/>
          <w:kern w:val="2"/>
          <w:sz w:val="21"/>
          <w:szCs w:val="21"/>
          <w:highlight w:val="none"/>
          <w:lang w:val="en-US" w:eastAsia="zh-CN"/>
        </w:rPr>
        <w:t>供应商</w:t>
      </w:r>
      <w:r>
        <w:rPr>
          <w:rFonts w:hint="eastAsia" w:cs="宋体"/>
          <w:b/>
          <w:bCs/>
          <w:color w:val="auto"/>
          <w:kern w:val="2"/>
          <w:sz w:val="21"/>
          <w:szCs w:val="21"/>
          <w:highlight w:val="none"/>
        </w:rPr>
        <w:t>自行登录工业和信息化部官网进行中小企业规模类型自测（查询网址https://www.miit.gov.cn/）]。</w:t>
      </w:r>
    </w:p>
    <w:p w14:paraId="7A26464F">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CA818C9">
      <w:pPr>
        <w:spacing w:line="360" w:lineRule="auto"/>
        <w:jc w:val="center"/>
        <w:outlineLvl w:val="1"/>
        <w:rPr>
          <w:rFonts w:asciiTheme="minorEastAsia" w:hAnsiTheme="minorEastAsia" w:eastAsiaTheme="minorEastAsia"/>
          <w:b/>
          <w:color w:val="auto"/>
          <w:sz w:val="24"/>
          <w:highlight w:val="none"/>
        </w:rPr>
      </w:pPr>
      <w:bookmarkStart w:id="718" w:name="_Toc16830"/>
      <w:bookmarkStart w:id="719" w:name="_Toc15906"/>
      <w:bookmarkStart w:id="720" w:name="_Hlk44283088"/>
      <w:r>
        <w:rPr>
          <w:rFonts w:hint="eastAsia" w:asciiTheme="minorEastAsia" w:hAnsiTheme="minorEastAsia" w:eastAsiaTheme="minorEastAsia"/>
          <w:b/>
          <w:color w:val="auto"/>
          <w:sz w:val="24"/>
          <w:highlight w:val="none"/>
        </w:rPr>
        <w:t>十、诚信履约承诺函</w:t>
      </w:r>
      <w:bookmarkEnd w:id="718"/>
      <w:bookmarkEnd w:id="719"/>
    </w:p>
    <w:p w14:paraId="729F435A">
      <w:pPr>
        <w:spacing w:line="360" w:lineRule="auto"/>
        <w:rPr>
          <w:rFonts w:cs="@仿宋_GB2312" w:asciiTheme="minorEastAsia" w:hAnsiTheme="minorEastAsia" w:eastAsiaTheme="minorEastAsia"/>
          <w:b/>
          <w:bCs/>
          <w:color w:val="auto"/>
          <w:kern w:val="2"/>
          <w:sz w:val="24"/>
          <w:highlight w:val="none"/>
        </w:rPr>
      </w:pPr>
    </w:p>
    <w:p w14:paraId="0CD58B86">
      <w:pPr>
        <w:spacing w:line="360" w:lineRule="auto"/>
        <w:rPr>
          <w:rFonts w:hint="eastAsia" w:cs="@仿宋_GB2312" w:asciiTheme="minorEastAsia" w:hAnsiTheme="minorEastAsia" w:eastAsiaTheme="minorEastAsia"/>
          <w:b/>
          <w:bCs/>
          <w:color w:val="auto"/>
          <w:kern w:val="2"/>
          <w:sz w:val="24"/>
          <w:highlight w:val="none"/>
          <w:u w:val="single"/>
          <w:lang w:eastAsia="zh-CN"/>
        </w:rPr>
      </w:pPr>
      <w:r>
        <w:rPr>
          <w:rFonts w:hint="eastAsia" w:cs="@仿宋_GB2312" w:asciiTheme="minorEastAsia" w:hAnsiTheme="minorEastAsia" w:eastAsiaTheme="minorEastAsia"/>
          <w:b/>
          <w:bCs/>
          <w:color w:val="auto"/>
          <w:kern w:val="2"/>
          <w:sz w:val="24"/>
          <w:highlight w:val="none"/>
        </w:rPr>
        <w:t>致：</w:t>
      </w:r>
      <w:r>
        <w:rPr>
          <w:rFonts w:hint="eastAsia" w:cs="@仿宋_GB2312" w:asciiTheme="minorEastAsia" w:hAnsiTheme="minorEastAsia" w:eastAsiaTheme="minorEastAsia"/>
          <w:b/>
          <w:bCs/>
          <w:color w:val="auto"/>
          <w:kern w:val="2"/>
          <w:sz w:val="24"/>
          <w:highlight w:val="none"/>
          <w:u w:val="none"/>
          <w:lang w:eastAsia="zh-CN"/>
        </w:rPr>
        <w:t>采购人</w:t>
      </w:r>
    </w:p>
    <w:p w14:paraId="4A1DC101">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07C5755E">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（1）中标或者成交后无正当理由拒不与采购人签订政府采购合同；</w:t>
      </w:r>
    </w:p>
    <w:p w14:paraId="18C4A112">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（2）未按照采购文件确定的事项签订政府采购合同；</w:t>
      </w:r>
    </w:p>
    <w:p w14:paraId="0B4EB82B">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（3）将政府采购合同转包；</w:t>
      </w:r>
    </w:p>
    <w:p w14:paraId="232A7EE6">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（4）提供假冒伪劣产品；</w:t>
      </w:r>
    </w:p>
    <w:p w14:paraId="60F06DDF">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（5）擅自变更、中止或者终止政府采购合同。</w:t>
      </w:r>
    </w:p>
    <w:p w14:paraId="00F8B8E5">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BDAF875">
      <w:pPr>
        <w:spacing w:line="360" w:lineRule="auto"/>
        <w:rPr>
          <w:rFonts w:cs="@仿宋_GB2312" w:asciiTheme="minorEastAsia" w:hAnsiTheme="minorEastAsia" w:eastAsiaTheme="minorEastAsia"/>
          <w:bCs/>
          <w:color w:val="auto"/>
          <w:kern w:val="2"/>
          <w:sz w:val="24"/>
          <w:highlight w:val="none"/>
        </w:rPr>
      </w:pPr>
    </w:p>
    <w:p w14:paraId="0BF173F2">
      <w:pPr>
        <w:spacing w:line="360" w:lineRule="auto"/>
        <w:rPr>
          <w:rFonts w:cs="@仿宋_GB2312" w:asciiTheme="minorEastAsia" w:hAnsiTheme="minorEastAsia" w:eastAsiaTheme="minorEastAsia"/>
          <w:bCs/>
          <w:color w:val="auto"/>
          <w:kern w:val="2"/>
          <w:sz w:val="24"/>
          <w:highlight w:val="none"/>
        </w:rPr>
      </w:pPr>
    </w:p>
    <w:p w14:paraId="0F0A20B3">
      <w:pPr>
        <w:spacing w:line="360" w:lineRule="auto"/>
        <w:ind w:firstLine="4320" w:firstLineChars="1800"/>
        <w:rPr>
          <w:rFonts w:cs="@仿宋_GB2312" w:asciiTheme="minorEastAsia" w:hAnsiTheme="minorEastAsia" w:eastAsiaTheme="minorEastAsia"/>
          <w:bCs/>
          <w:color w:val="auto"/>
          <w:kern w:val="2"/>
          <w:sz w:val="24"/>
          <w:highlight w:val="none"/>
          <w:u w:val="single"/>
        </w:rPr>
      </w:pPr>
      <w:r>
        <w:rPr>
          <w:rFonts w:hint="eastAsia" w:cs="@仿宋_GB2312" w:asciiTheme="minorEastAsia" w:hAnsiTheme="minorEastAsia" w:eastAsiaTheme="minorEastAsia"/>
          <w:bCs/>
          <w:color w:val="auto"/>
          <w:kern w:val="2"/>
          <w:sz w:val="24"/>
          <w:highlight w:val="none"/>
        </w:rPr>
        <w:t>供应商电子签章：</w:t>
      </w:r>
      <w:r>
        <w:rPr>
          <w:rFonts w:hint="eastAsia" w:cs="@仿宋_GB2312" w:asciiTheme="minorEastAsia" w:hAnsiTheme="minorEastAsia" w:eastAsiaTheme="minorEastAsia"/>
          <w:bCs/>
          <w:color w:val="auto"/>
          <w:kern w:val="2"/>
          <w:sz w:val="24"/>
          <w:highlight w:val="none"/>
          <w:u w:val="single"/>
        </w:rPr>
        <w:t xml:space="preserve">     </w:t>
      </w:r>
      <w:r>
        <w:rPr>
          <w:rFonts w:cs="@仿宋_GB2312" w:asciiTheme="minorEastAsia" w:hAnsiTheme="minorEastAsia" w:eastAsiaTheme="minorEastAsia"/>
          <w:bCs/>
          <w:color w:val="auto"/>
          <w:kern w:val="2"/>
          <w:sz w:val="24"/>
          <w:highlight w:val="none"/>
          <w:u w:val="single"/>
        </w:rPr>
        <w:t xml:space="preserve">    </w:t>
      </w:r>
      <w:r>
        <w:rPr>
          <w:rFonts w:hint="eastAsia" w:cs="@仿宋_GB2312" w:asciiTheme="minorEastAsia" w:hAnsiTheme="minorEastAsia" w:eastAsiaTheme="minorEastAsia"/>
          <w:bCs/>
          <w:color w:val="auto"/>
          <w:kern w:val="2"/>
          <w:sz w:val="24"/>
          <w:highlight w:val="none"/>
          <w:u w:val="single"/>
        </w:rPr>
        <w:t xml:space="preserve">    </w:t>
      </w:r>
    </w:p>
    <w:p w14:paraId="5ED8E141">
      <w:pPr>
        <w:spacing w:line="360" w:lineRule="auto"/>
        <w:ind w:firstLine="4320" w:firstLineChars="1800"/>
        <w:rPr>
          <w:rFonts w:asciiTheme="minorEastAsia" w:hAnsiTheme="minorEastAsia" w:eastAsiaTheme="minorEastAsia"/>
          <w:b/>
          <w:color w:val="auto"/>
          <w:sz w:val="24"/>
          <w:highlight w:val="none"/>
        </w:rPr>
      </w:pPr>
      <w:r>
        <w:rPr>
          <w:rFonts w:hint="eastAsia" w:cs="@仿宋_GB2312" w:asciiTheme="minorEastAsia" w:hAnsiTheme="minorEastAsia" w:eastAsiaTheme="minorEastAsia"/>
          <w:bCs/>
          <w:color w:val="auto"/>
          <w:kern w:val="2"/>
          <w:sz w:val="24"/>
          <w:highlight w:val="none"/>
        </w:rPr>
        <w:t>日          期：</w:t>
      </w:r>
      <w:r>
        <w:rPr>
          <w:rFonts w:hint="eastAsia" w:cs="@仿宋_GB2312" w:asciiTheme="minorEastAsia" w:hAnsiTheme="minorEastAsia" w:eastAsiaTheme="minorEastAsia"/>
          <w:bCs/>
          <w:color w:val="auto"/>
          <w:kern w:val="2"/>
          <w:sz w:val="24"/>
          <w:highlight w:val="none"/>
          <w:u w:val="single"/>
        </w:rPr>
        <w:t xml:space="preserve">             </w:t>
      </w:r>
    </w:p>
    <w:p w14:paraId="4AAA7906">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720"/>
    <w:p w14:paraId="24EE0D36">
      <w:pPr>
        <w:spacing w:line="360" w:lineRule="auto"/>
        <w:jc w:val="center"/>
        <w:outlineLvl w:val="1"/>
        <w:rPr>
          <w:rFonts w:hint="eastAsia" w:asciiTheme="minorEastAsia" w:hAnsiTheme="minorEastAsia" w:eastAsiaTheme="minorEastAsia"/>
          <w:b/>
          <w:color w:val="auto"/>
          <w:sz w:val="24"/>
          <w:highlight w:val="none"/>
        </w:rPr>
      </w:pPr>
      <w:bookmarkStart w:id="721" w:name="_Toc13419"/>
      <w:bookmarkStart w:id="722" w:name="_Toc6061"/>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、诚信承诺书 </w:t>
      </w:r>
    </w:p>
    <w:p w14:paraId="6D3519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本人以企业法定代表人的身份郑重承诺：</w:t>
      </w:r>
    </w:p>
    <w:p w14:paraId="02DBC0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一、将遵循公开、公正和诚实信用的原则自愿参加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项目的谈判，所提供的一切材料都是真实、有效、合法的；</w:t>
      </w:r>
    </w:p>
    <w:p w14:paraId="6B512F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27E0C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三、不出借、转让资质证书，不让他人挂靠，不以他人名义参与或者以其他方式弄虚作假，骗取成交；</w:t>
      </w:r>
    </w:p>
    <w:p w14:paraId="03C99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四、不与其他供应商相互串通响应报价，不排挤其他供应商的公平竞争、损害采购人的合法权益；</w:t>
      </w:r>
    </w:p>
    <w:p w14:paraId="29605E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五、不与采购人、代理机构或其他供应商串通，损害国家利益、社会公共利益或者他人的合法权益；</w:t>
      </w:r>
    </w:p>
    <w:p w14:paraId="3C1358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w:t>
      </w:r>
    </w:p>
    <w:p w14:paraId="1CD75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七、严格遵守谈判现场纪律，服从监管人员管理；</w:t>
      </w:r>
    </w:p>
    <w:p w14:paraId="433D0D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八、保证成交后不转包，若有分包征得采购人同意；</w:t>
      </w:r>
    </w:p>
    <w:p w14:paraId="1FC26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九、保证成交之后，按照响应文件要求提供相关后续服务；</w:t>
      </w:r>
    </w:p>
    <w:p w14:paraId="3B59ED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十、保证企业及所属相关人员在本次谈判活动中无行贿等犯罪行为；</w:t>
      </w:r>
    </w:p>
    <w:p w14:paraId="3D03A8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十一、如在谈判活动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FBA8E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以上内容我已仔细阅读，本公司若有违反承诺内容的行为，自愿接受监管部门取消成交资格、记入不良行为记录等有关处理，愿意承担法律责任，给采购人造成损失的，依法承担赔偿责任。</w:t>
      </w:r>
    </w:p>
    <w:p w14:paraId="288784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 </w:t>
      </w:r>
    </w:p>
    <w:p w14:paraId="5F7548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开户银行：                          基本账户：</w:t>
      </w:r>
    </w:p>
    <w:p w14:paraId="78E924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供应商（盖单位章）：          法定代表人（签字或盖章）：</w:t>
      </w:r>
    </w:p>
    <w:p w14:paraId="47689F49">
      <w:pPr>
        <w:spacing w:line="500" w:lineRule="exact"/>
        <w:ind w:firstLine="480" w:firstLineChars="200"/>
        <w:rPr>
          <w:rFonts w:ascii="宋体" w:hAnsi="宋体"/>
          <w:color w:val="auto"/>
          <w:sz w:val="24"/>
          <w:highlight w:val="none"/>
        </w:rPr>
      </w:pPr>
    </w:p>
    <w:p w14:paraId="69541ED4">
      <w:pPr>
        <w:spacing w:line="500" w:lineRule="exact"/>
        <w:ind w:firstLine="480" w:firstLineChars="200"/>
        <w:rPr>
          <w:rFonts w:ascii="宋体" w:hAnsi="宋体"/>
          <w:color w:val="auto"/>
          <w:sz w:val="24"/>
          <w:highlight w:val="none"/>
        </w:rPr>
      </w:pPr>
    </w:p>
    <w:p w14:paraId="4729905B">
      <w:pPr>
        <w:spacing w:line="500" w:lineRule="exact"/>
        <w:ind w:firstLine="3840" w:firstLineChars="1600"/>
        <w:rPr>
          <w:rFonts w:ascii="宋体" w:hAnsi="宋体"/>
          <w:color w:val="auto"/>
          <w:sz w:val="24"/>
          <w:highlight w:val="none"/>
        </w:rPr>
      </w:pPr>
    </w:p>
    <w:p w14:paraId="634D45BB">
      <w:pPr>
        <w:spacing w:line="500" w:lineRule="exact"/>
        <w:ind w:firstLine="3840" w:firstLineChars="1600"/>
        <w:rPr>
          <w:rFonts w:ascii="宋体" w:hAns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14:paraId="31409A7B">
      <w:pPr>
        <w:pStyle w:val="8"/>
        <w:tabs>
          <w:tab w:val="left" w:pos="720"/>
        </w:tabs>
        <w:spacing w:line="240" w:lineRule="auto"/>
        <w:rPr>
          <w:rFonts w:ascii="宋体" w:hAnsi="宋体"/>
          <w:color w:val="auto"/>
          <w:sz w:val="24"/>
          <w:highlight w:val="none"/>
        </w:rPr>
      </w:pPr>
      <w:r>
        <w:rPr>
          <w:rFonts w:hint="eastAsia" w:ascii="宋体" w:hAnsi="宋体"/>
          <w:color w:val="auto"/>
          <w:sz w:val="24"/>
          <w:highlight w:val="none"/>
        </w:rPr>
        <w:t xml:space="preserve"> </w:t>
      </w:r>
    </w:p>
    <w:p w14:paraId="4B8B38F3">
      <w:pPr>
        <w:widowControl/>
        <w:rPr>
          <w:rFonts w:ascii="宋体" w:hAnsi="宋体"/>
          <w:b/>
          <w:bCs/>
          <w:color w:val="auto"/>
          <w:sz w:val="24"/>
          <w:highlight w:val="none"/>
        </w:rPr>
        <w:sectPr>
          <w:footnotePr>
            <w:numFmt w:val="decimalEnclosedCircleChinese"/>
            <w:numRestart w:val="eachPage"/>
          </w:footnotePr>
          <w:pgSz w:w="11906" w:h="16838"/>
          <w:pgMar w:top="1134" w:right="1134" w:bottom="1134" w:left="1134" w:header="851" w:footer="851" w:gutter="0"/>
          <w:cols w:space="720" w:num="1"/>
          <w:docGrid w:linePitch="312" w:charSpace="0"/>
        </w:sectPr>
      </w:pPr>
    </w:p>
    <w:p w14:paraId="5521F056">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十二、</w:t>
      </w:r>
      <w:r>
        <w:rPr>
          <w:rFonts w:hint="eastAsia" w:asciiTheme="minorEastAsia" w:hAnsiTheme="minorEastAsia" w:eastAsiaTheme="minorEastAsia"/>
          <w:b/>
          <w:color w:val="auto"/>
          <w:sz w:val="24"/>
          <w:highlight w:val="none"/>
        </w:rPr>
        <w:t>其他相关证明材料</w:t>
      </w:r>
      <w:bookmarkEnd w:id="721"/>
      <w:bookmarkEnd w:id="722"/>
    </w:p>
    <w:p w14:paraId="2D432C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邀请、采购需求及评标方法和标准规定的相关证明文件。</w:t>
      </w:r>
    </w:p>
    <w:p w14:paraId="2C536727">
      <w:pPr>
        <w:spacing w:line="360" w:lineRule="auto"/>
        <w:ind w:firstLine="480" w:firstLineChars="200"/>
        <w:rPr>
          <w:rFonts w:asciiTheme="minorEastAsia" w:hAnsiTheme="minorEastAsia" w:eastAsiaTheme="minorEastAsia"/>
          <w:color w:val="auto"/>
          <w:sz w:val="24"/>
          <w:highlight w:val="none"/>
        </w:rPr>
      </w:pPr>
    </w:p>
    <w:p w14:paraId="7856B350">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6D4D4F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w:t>
      </w:r>
      <w:r>
        <w:rPr>
          <w:rFonts w:asciiTheme="minorEastAsia" w:hAnsiTheme="minorEastAsia" w:eastAsiaTheme="minorEastAsia"/>
          <w:color w:val="auto"/>
          <w:sz w:val="24"/>
          <w:highlight w:val="none"/>
        </w:rPr>
        <w:t>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70AF85B8">
      <w:pPr>
        <w:pStyle w:val="51"/>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60FE57CC">
      <w:pPr>
        <w:widowControl/>
        <w:jc w:val="left"/>
        <w:rPr>
          <w:bCs/>
          <w:color w:val="auto"/>
          <w:sz w:val="24"/>
          <w:highlight w:val="none"/>
        </w:rPr>
      </w:pPr>
    </w:p>
    <w:p w14:paraId="12C2F3E7">
      <w:pPr>
        <w:spacing w:line="360" w:lineRule="auto"/>
        <w:jc w:val="center"/>
        <w:outlineLvl w:val="0"/>
        <w:rPr>
          <w:b/>
          <w:bCs/>
          <w:color w:val="auto"/>
          <w:sz w:val="28"/>
          <w:highlight w:val="none"/>
        </w:rPr>
      </w:pPr>
      <w:bookmarkStart w:id="723" w:name="_Toc25478"/>
      <w:bookmarkStart w:id="724" w:name="_Toc921"/>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723"/>
      <w:bookmarkEnd w:id="724"/>
    </w:p>
    <w:p w14:paraId="36B469A8">
      <w:pPr>
        <w:spacing w:line="360" w:lineRule="auto"/>
        <w:jc w:val="center"/>
        <w:outlineLvl w:val="1"/>
        <w:rPr>
          <w:rFonts w:ascii="仿宋" w:hAnsi="仿宋" w:eastAsia="仿宋" w:cs="仿宋"/>
          <w:b/>
          <w:bCs/>
          <w:color w:val="auto"/>
          <w:sz w:val="32"/>
          <w:szCs w:val="44"/>
          <w:highlight w:val="none"/>
        </w:rPr>
      </w:pPr>
      <w:bookmarkStart w:id="725" w:name="_Toc7450"/>
      <w:bookmarkStart w:id="726" w:name="_Toc30776"/>
      <w:r>
        <w:rPr>
          <w:rFonts w:hint="eastAsia" w:ascii="仿宋" w:hAnsi="仿宋" w:eastAsia="仿宋" w:cs="仿宋"/>
          <w:b/>
          <w:bCs/>
          <w:color w:val="auto"/>
          <w:sz w:val="32"/>
          <w:szCs w:val="44"/>
          <w:highlight w:val="none"/>
        </w:rPr>
        <w:t>询问函范本</w:t>
      </w:r>
      <w:bookmarkEnd w:id="725"/>
      <w:bookmarkEnd w:id="726"/>
    </w:p>
    <w:p w14:paraId="37F90463">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6360AFF1">
      <w:pPr>
        <w:adjustRightInd w:val="0"/>
        <w:snapToGrid w:val="0"/>
        <w:spacing w:line="360" w:lineRule="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7384BDF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项目名称、编号</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708FC7EA">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727" w:name="_Toc13620"/>
      <w:r>
        <w:rPr>
          <w:rFonts w:hint="eastAsia" w:cs="仿宋" w:asciiTheme="minorEastAsia" w:hAnsiTheme="minorEastAsia" w:eastAsiaTheme="minorEastAsia"/>
          <w:color w:val="auto"/>
          <w:sz w:val="24"/>
          <w:szCs w:val="24"/>
          <w:highlight w:val="none"/>
        </w:rPr>
        <w:t>一、(事项一)</w:t>
      </w:r>
      <w:bookmarkEnd w:id="727"/>
    </w:p>
    <w:p w14:paraId="13A45619">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AFEF3F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48E7C33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767EBF59">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728" w:name="_Toc14277"/>
      <w:r>
        <w:rPr>
          <w:rFonts w:hint="eastAsia" w:cs="仿宋" w:asciiTheme="minorEastAsia" w:hAnsiTheme="minorEastAsia" w:eastAsiaTheme="minorEastAsia"/>
          <w:color w:val="auto"/>
          <w:sz w:val="24"/>
          <w:szCs w:val="24"/>
          <w:highlight w:val="none"/>
        </w:rPr>
        <w:t>二、(事项二)</w:t>
      </w:r>
      <w:bookmarkEnd w:id="728"/>
    </w:p>
    <w:p w14:paraId="0204EAC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252E329">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5B2F5B8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4C8B3EEF">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18E44B62">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60F1F2B9">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5DF97E10">
      <w:pPr>
        <w:jc w:val="center"/>
        <w:outlineLvl w:val="1"/>
        <w:rPr>
          <w:rFonts w:ascii="仿宋" w:hAnsi="仿宋" w:eastAsia="仿宋" w:cs="仿宋"/>
          <w:b/>
          <w:bCs/>
          <w:color w:val="auto"/>
          <w:sz w:val="32"/>
          <w:szCs w:val="44"/>
          <w:highlight w:val="none"/>
        </w:rPr>
      </w:pPr>
      <w:bookmarkStart w:id="729" w:name="_Toc16939"/>
      <w:bookmarkStart w:id="730" w:name="_Toc28125"/>
      <w:r>
        <w:rPr>
          <w:rFonts w:hint="eastAsia" w:ascii="仿宋" w:hAnsi="仿宋" w:eastAsia="仿宋" w:cs="仿宋"/>
          <w:b/>
          <w:bCs/>
          <w:color w:val="auto"/>
          <w:sz w:val="32"/>
          <w:szCs w:val="44"/>
          <w:highlight w:val="none"/>
        </w:rPr>
        <w:t>质疑函范本</w:t>
      </w:r>
      <w:bookmarkEnd w:id="729"/>
      <w:bookmarkEnd w:id="730"/>
    </w:p>
    <w:p w14:paraId="14FE204E">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731" w:name="_Toc21660"/>
      <w:r>
        <w:rPr>
          <w:rFonts w:hint="eastAsia" w:cs="仿宋" w:asciiTheme="minorEastAsia" w:hAnsiTheme="minorEastAsia" w:eastAsiaTheme="minorEastAsia"/>
          <w:b/>
          <w:bCs/>
          <w:color w:val="auto"/>
          <w:sz w:val="24"/>
          <w:szCs w:val="24"/>
          <w:highlight w:val="none"/>
        </w:rPr>
        <w:t>一、质疑供应商基本信息</w:t>
      </w:r>
      <w:bookmarkEnd w:id="731"/>
    </w:p>
    <w:p w14:paraId="27FC703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2642570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0288AE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B8CCA3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31A2DE4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649A475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7859DFD">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732" w:name="_Toc4238"/>
      <w:r>
        <w:rPr>
          <w:rFonts w:hint="eastAsia" w:cs="仿宋" w:asciiTheme="minorEastAsia" w:hAnsiTheme="minorEastAsia" w:eastAsiaTheme="minorEastAsia"/>
          <w:b/>
          <w:bCs/>
          <w:color w:val="auto"/>
          <w:sz w:val="24"/>
          <w:szCs w:val="24"/>
          <w:highlight w:val="none"/>
        </w:rPr>
        <w:t>二、质疑项目基本情况</w:t>
      </w:r>
      <w:bookmarkEnd w:id="732"/>
    </w:p>
    <w:p w14:paraId="500C9E6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6883003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75F90C5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17C1F2D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74E3B5F1">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733" w:name="_Toc10846"/>
      <w:r>
        <w:rPr>
          <w:rFonts w:hint="eastAsia" w:cs="仿宋" w:asciiTheme="minorEastAsia" w:hAnsiTheme="minorEastAsia" w:eastAsiaTheme="minorEastAsia"/>
          <w:b/>
          <w:bCs/>
          <w:color w:val="auto"/>
          <w:sz w:val="24"/>
          <w:szCs w:val="24"/>
          <w:highlight w:val="none"/>
        </w:rPr>
        <w:t>三、质疑事项具体内容</w:t>
      </w:r>
      <w:bookmarkEnd w:id="733"/>
    </w:p>
    <w:p w14:paraId="216696F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2DE6D6D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59BEBF3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16336EB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6F5C9CA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66906A2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6082E95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12FD1BC">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734" w:name="_Toc15784"/>
      <w:r>
        <w:rPr>
          <w:rFonts w:hint="eastAsia" w:cs="仿宋" w:asciiTheme="minorEastAsia" w:hAnsiTheme="minorEastAsia" w:eastAsiaTheme="minorEastAsia"/>
          <w:b/>
          <w:bCs/>
          <w:color w:val="auto"/>
          <w:sz w:val="24"/>
          <w:szCs w:val="24"/>
          <w:highlight w:val="none"/>
        </w:rPr>
        <w:t>四、与质疑事项相关的质疑请求</w:t>
      </w:r>
      <w:bookmarkEnd w:id="734"/>
    </w:p>
    <w:p w14:paraId="1191D33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69EE5428">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1D2942C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2BD4422A">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7346D84">
      <w:pPr>
        <w:outlineLvl w:val="0"/>
        <w:rPr>
          <w:rFonts w:asciiTheme="minorEastAsia" w:hAnsiTheme="minorEastAsia" w:eastAsiaTheme="minorEastAsia"/>
          <w:b/>
          <w:color w:val="auto"/>
          <w:sz w:val="28"/>
          <w:szCs w:val="32"/>
          <w:highlight w:val="none"/>
        </w:rPr>
      </w:pPr>
      <w:bookmarkStart w:id="735" w:name="_Toc23661"/>
      <w:bookmarkStart w:id="736" w:name="_Toc17542"/>
      <w:r>
        <w:rPr>
          <w:rFonts w:hint="eastAsia" w:asciiTheme="minorEastAsia" w:hAnsiTheme="minorEastAsia" w:eastAsiaTheme="minorEastAsia"/>
          <w:b/>
          <w:color w:val="auto"/>
          <w:sz w:val="28"/>
          <w:szCs w:val="32"/>
          <w:highlight w:val="none"/>
        </w:rPr>
        <w:t>质疑函制作说明：</w:t>
      </w:r>
      <w:bookmarkEnd w:id="735"/>
      <w:bookmarkEnd w:id="736"/>
    </w:p>
    <w:p w14:paraId="78C467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550604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C143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582A5AD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C2B86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0F1276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0218794">
      <w:pPr>
        <w:pStyle w:val="2"/>
        <w:rPr>
          <w:rFonts w:hint="eastAsia" w:asciiTheme="minorEastAsia" w:hAnsiTheme="minorEastAsia" w:eastAsiaTheme="minorEastAsia"/>
          <w:color w:val="auto"/>
          <w:sz w:val="24"/>
          <w:highlight w:val="none"/>
        </w:rPr>
      </w:pPr>
    </w:p>
    <w:p w14:paraId="64BA786B">
      <w:pPr>
        <w:rPr>
          <w:rFonts w:hint="eastAsia" w:asciiTheme="minorEastAsia" w:hAnsiTheme="minorEastAsia" w:eastAsiaTheme="minorEastAsia"/>
          <w:color w:val="auto"/>
          <w:sz w:val="24"/>
          <w:highlight w:val="none"/>
        </w:rPr>
      </w:pPr>
    </w:p>
    <w:p w14:paraId="3130CC1F">
      <w:pPr>
        <w:pStyle w:val="2"/>
        <w:rPr>
          <w:rFonts w:hint="eastAsia" w:asciiTheme="minorEastAsia" w:hAnsiTheme="minorEastAsia" w:eastAsiaTheme="minorEastAsia"/>
          <w:color w:val="auto"/>
          <w:sz w:val="24"/>
          <w:highlight w:val="none"/>
        </w:rPr>
      </w:pPr>
    </w:p>
    <w:p w14:paraId="3C2E22B5">
      <w:pPr>
        <w:rPr>
          <w:rFonts w:hint="eastAsia" w:asciiTheme="minorEastAsia" w:hAnsiTheme="minorEastAsia" w:eastAsiaTheme="minorEastAsia"/>
          <w:color w:val="auto"/>
          <w:sz w:val="24"/>
          <w:highlight w:val="none"/>
        </w:rPr>
      </w:pPr>
    </w:p>
    <w:p w14:paraId="16377955">
      <w:pPr>
        <w:pStyle w:val="2"/>
        <w:rPr>
          <w:rFonts w:hint="eastAsia" w:asciiTheme="minorEastAsia" w:hAnsiTheme="minorEastAsia" w:eastAsiaTheme="minorEastAsia"/>
          <w:color w:val="auto"/>
          <w:sz w:val="24"/>
          <w:highlight w:val="none"/>
        </w:rPr>
      </w:pPr>
    </w:p>
    <w:p w14:paraId="1BED54F2">
      <w:pPr>
        <w:rPr>
          <w:rFonts w:hint="eastAsia" w:asciiTheme="minorEastAsia" w:hAnsiTheme="minorEastAsia" w:eastAsiaTheme="minorEastAsia"/>
          <w:color w:val="auto"/>
          <w:sz w:val="24"/>
          <w:highlight w:val="none"/>
        </w:rPr>
      </w:pPr>
    </w:p>
    <w:p w14:paraId="297AB5EA">
      <w:pPr>
        <w:pStyle w:val="2"/>
        <w:rPr>
          <w:rFonts w:hint="eastAsia" w:asciiTheme="minorEastAsia" w:hAnsiTheme="minorEastAsia" w:eastAsiaTheme="minorEastAsia"/>
          <w:color w:val="auto"/>
          <w:sz w:val="24"/>
          <w:highlight w:val="none"/>
        </w:rPr>
      </w:pPr>
    </w:p>
    <w:p w14:paraId="472CDD56">
      <w:pPr>
        <w:rPr>
          <w:rFonts w:hint="eastAsia" w:asciiTheme="minorEastAsia" w:hAnsiTheme="minorEastAsia" w:eastAsiaTheme="minorEastAsia"/>
          <w:color w:val="auto"/>
          <w:sz w:val="24"/>
          <w:highlight w:val="none"/>
        </w:rPr>
      </w:pPr>
    </w:p>
    <w:p w14:paraId="08507513">
      <w:pPr>
        <w:pStyle w:val="2"/>
        <w:rPr>
          <w:rFonts w:hint="eastAsia" w:asciiTheme="minorEastAsia" w:hAnsiTheme="minorEastAsia" w:eastAsiaTheme="minorEastAsia"/>
          <w:color w:val="auto"/>
          <w:sz w:val="24"/>
          <w:highlight w:val="none"/>
        </w:rPr>
      </w:pPr>
    </w:p>
    <w:p w14:paraId="71FD9D76">
      <w:pPr>
        <w:rPr>
          <w:rFonts w:hint="eastAsia" w:asciiTheme="minorEastAsia" w:hAnsiTheme="minorEastAsia" w:eastAsiaTheme="minorEastAsia"/>
          <w:color w:val="auto"/>
          <w:sz w:val="24"/>
          <w:highlight w:val="none"/>
        </w:rPr>
      </w:pPr>
    </w:p>
    <w:p w14:paraId="534104B4">
      <w:pPr>
        <w:pStyle w:val="2"/>
        <w:rPr>
          <w:rFonts w:hint="eastAsia" w:asciiTheme="minorEastAsia" w:hAnsiTheme="minorEastAsia" w:eastAsiaTheme="minorEastAsia"/>
          <w:color w:val="auto"/>
          <w:sz w:val="24"/>
          <w:highlight w:val="none"/>
        </w:rPr>
      </w:pPr>
    </w:p>
    <w:p w14:paraId="58FF2A8E">
      <w:pPr>
        <w:rPr>
          <w:rFonts w:hint="eastAsia" w:asciiTheme="minorEastAsia" w:hAnsiTheme="minorEastAsia" w:eastAsiaTheme="minorEastAsia"/>
          <w:color w:val="auto"/>
          <w:sz w:val="24"/>
          <w:highlight w:val="none"/>
        </w:rPr>
      </w:pPr>
    </w:p>
    <w:p w14:paraId="35947B83">
      <w:pPr>
        <w:pStyle w:val="2"/>
        <w:rPr>
          <w:rFonts w:hint="eastAsia" w:asciiTheme="minorEastAsia" w:hAnsiTheme="minorEastAsia" w:eastAsiaTheme="minorEastAsia"/>
          <w:color w:val="auto"/>
          <w:sz w:val="24"/>
          <w:highlight w:val="none"/>
        </w:rPr>
      </w:pPr>
    </w:p>
    <w:p w14:paraId="3479799E">
      <w:pPr>
        <w:rPr>
          <w:rFonts w:hint="eastAsia" w:asciiTheme="minorEastAsia" w:hAnsiTheme="minorEastAsia" w:eastAsiaTheme="minorEastAsia"/>
          <w:color w:val="auto"/>
          <w:sz w:val="24"/>
          <w:highlight w:val="none"/>
        </w:rPr>
      </w:pPr>
    </w:p>
    <w:p w14:paraId="0B2CB61E">
      <w:pPr>
        <w:pStyle w:val="2"/>
        <w:rPr>
          <w:rFonts w:hint="eastAsia" w:asciiTheme="minorEastAsia" w:hAnsiTheme="minorEastAsia" w:eastAsiaTheme="minorEastAsia"/>
          <w:color w:val="auto"/>
          <w:sz w:val="24"/>
          <w:highlight w:val="none"/>
        </w:rPr>
      </w:pPr>
    </w:p>
    <w:p w14:paraId="6B41CA91">
      <w:pPr>
        <w:rPr>
          <w:rFonts w:hint="eastAsia" w:asciiTheme="minorEastAsia" w:hAnsiTheme="minorEastAsia" w:eastAsiaTheme="minorEastAsia"/>
          <w:color w:val="auto"/>
          <w:sz w:val="24"/>
          <w:highlight w:val="none"/>
        </w:rPr>
      </w:pPr>
    </w:p>
    <w:p w14:paraId="6908085F">
      <w:pPr>
        <w:pStyle w:val="2"/>
        <w:rPr>
          <w:rFonts w:hint="eastAsia" w:asciiTheme="minorEastAsia" w:hAnsiTheme="minorEastAsia" w:eastAsiaTheme="minorEastAsia"/>
          <w:color w:val="auto"/>
          <w:sz w:val="24"/>
          <w:highlight w:val="none"/>
        </w:rPr>
      </w:pPr>
    </w:p>
    <w:p w14:paraId="5875BA1F">
      <w:pPr>
        <w:rPr>
          <w:rFonts w:hint="eastAsia" w:asciiTheme="minorEastAsia" w:hAnsiTheme="minorEastAsia" w:eastAsiaTheme="minorEastAsia"/>
          <w:color w:val="auto"/>
          <w:sz w:val="24"/>
          <w:highlight w:val="none"/>
        </w:rPr>
      </w:pPr>
    </w:p>
    <w:p w14:paraId="4C5ED936">
      <w:pPr>
        <w:pStyle w:val="2"/>
        <w:rPr>
          <w:rFonts w:hint="eastAsia" w:asciiTheme="minorEastAsia" w:hAnsiTheme="minorEastAsia" w:eastAsiaTheme="minorEastAsia"/>
          <w:color w:val="auto"/>
          <w:sz w:val="24"/>
          <w:highlight w:val="none"/>
        </w:rPr>
      </w:pPr>
    </w:p>
    <w:p w14:paraId="19174AA9">
      <w:pPr>
        <w:rPr>
          <w:rFonts w:hint="eastAsia" w:asciiTheme="minorEastAsia" w:hAnsiTheme="minorEastAsia" w:eastAsiaTheme="minorEastAsia"/>
          <w:color w:val="auto"/>
          <w:sz w:val="24"/>
          <w:highlight w:val="none"/>
        </w:rPr>
      </w:pPr>
    </w:p>
    <w:p w14:paraId="713AFA8A">
      <w:pPr>
        <w:pStyle w:val="2"/>
        <w:rPr>
          <w:rFonts w:hint="eastAsia" w:asciiTheme="minorEastAsia" w:hAnsiTheme="minorEastAsia" w:eastAsiaTheme="minorEastAsia"/>
          <w:color w:val="auto"/>
          <w:sz w:val="24"/>
          <w:highlight w:val="none"/>
        </w:rPr>
      </w:pPr>
    </w:p>
    <w:p w14:paraId="1A6EB2FC">
      <w:pPr>
        <w:rPr>
          <w:rFonts w:hint="eastAsia" w:asciiTheme="minorEastAsia" w:hAnsiTheme="minorEastAsia" w:eastAsiaTheme="minorEastAsia"/>
          <w:color w:val="auto"/>
          <w:sz w:val="24"/>
          <w:highlight w:val="none"/>
        </w:rPr>
      </w:pPr>
    </w:p>
    <w:p w14:paraId="3A09AD95">
      <w:pPr>
        <w:pStyle w:val="2"/>
        <w:rPr>
          <w:rFonts w:hint="eastAsia" w:asciiTheme="minorEastAsia" w:hAnsiTheme="minorEastAsia" w:eastAsiaTheme="minorEastAsia"/>
          <w:color w:val="auto"/>
          <w:sz w:val="24"/>
          <w:highlight w:val="none"/>
        </w:rPr>
      </w:pPr>
    </w:p>
    <w:p w14:paraId="67052CB9">
      <w:pPr>
        <w:rPr>
          <w:rFonts w:hint="eastAsia"/>
          <w:b/>
          <w:color w:val="auto"/>
          <w:sz w:val="18"/>
          <w:szCs w:val="18"/>
          <w:highlight w:val="none"/>
        </w:rPr>
      </w:pPr>
      <w:r>
        <w:rPr>
          <w:rFonts w:hint="eastAsia"/>
          <w:b/>
          <w:color w:val="auto"/>
          <w:sz w:val="18"/>
          <w:szCs w:val="18"/>
          <w:highlight w:val="none"/>
        </w:rPr>
        <w:t>附件1</w:t>
      </w:r>
    </w:p>
    <w:p w14:paraId="2B0A075B">
      <w:pPr>
        <w:rPr>
          <w:rFonts w:hint="eastAsia"/>
          <w:color w:val="auto"/>
          <w:sz w:val="18"/>
          <w:szCs w:val="18"/>
          <w:highlight w:val="none"/>
        </w:rPr>
      </w:pPr>
    </w:p>
    <w:p w14:paraId="63259275">
      <w:pPr>
        <w:jc w:val="center"/>
        <w:rPr>
          <w:rFonts w:ascii="黑体" w:hAnsi="黑体" w:eastAsia="黑体"/>
          <w:b/>
          <w:color w:val="auto"/>
          <w:sz w:val="18"/>
          <w:szCs w:val="18"/>
          <w:highlight w:val="none"/>
        </w:rPr>
      </w:pPr>
      <w:r>
        <w:rPr>
          <w:rFonts w:ascii="黑体" w:hAnsi="黑体" w:eastAsia="黑体"/>
          <w:b/>
          <w:color w:val="auto"/>
          <w:sz w:val="18"/>
          <w:szCs w:val="18"/>
          <w:highlight w:val="none"/>
        </w:rPr>
        <w:t>关于联合惩戒失信行为</w:t>
      </w:r>
      <w:r>
        <w:rPr>
          <w:rFonts w:hint="eastAsia" w:ascii="黑体" w:hAnsi="黑体" w:eastAsia="黑体"/>
          <w:b/>
          <w:color w:val="auto"/>
          <w:sz w:val="18"/>
          <w:szCs w:val="18"/>
          <w:highlight w:val="none"/>
        </w:rPr>
        <w:t xml:space="preserve"> </w:t>
      </w:r>
      <w:r>
        <w:rPr>
          <w:rFonts w:ascii="黑体" w:hAnsi="黑体" w:eastAsia="黑体"/>
          <w:b/>
          <w:color w:val="auto"/>
          <w:sz w:val="18"/>
          <w:szCs w:val="18"/>
          <w:highlight w:val="none"/>
        </w:rPr>
        <w:t>加强信用查询管理的</w:t>
      </w:r>
      <w:r>
        <w:rPr>
          <w:rFonts w:hint="eastAsia" w:ascii="黑体" w:hAnsi="黑体" w:eastAsia="黑体"/>
          <w:b/>
          <w:color w:val="auto"/>
          <w:sz w:val="18"/>
          <w:szCs w:val="18"/>
          <w:highlight w:val="none"/>
        </w:rPr>
        <w:t>通知</w:t>
      </w:r>
    </w:p>
    <w:p w14:paraId="7EAAFA54">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一、失信行为联合惩戒的范围和查询渠道</w:t>
      </w:r>
    </w:p>
    <w:p w14:paraId="2743ED67">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在我市公共资源交易活动中对存在下列失信行为的投标人、法定代表人及其项目负责人实施联合惩戒，禁止参与我市公共资源交易活动。</w:t>
      </w:r>
    </w:p>
    <w:p w14:paraId="1F3943A1">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（一）工程建设项目</w:t>
      </w:r>
    </w:p>
    <w:p w14:paraId="7E7FB66B">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1、“信用中国”网站（www.creditchina.gov.cn）查询以下失信行为：</w:t>
      </w:r>
    </w:p>
    <w:p w14:paraId="6F05C046">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①投标人被人民法院列入失信被执行人的；</w:t>
      </w:r>
    </w:p>
    <w:p w14:paraId="17CBBEA0">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②投标人被税务部门列入重大税收违法案件当事人的；</w:t>
      </w:r>
    </w:p>
    <w:p w14:paraId="06A3D662">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③投标人被人力资源社会保障行政部门列入拖欠农民工工资“黑名单”的；</w:t>
      </w:r>
    </w:p>
    <w:p w14:paraId="1376A27E">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④在“信用中国”网站上披露的仍在公示期的严重失信行为的。</w:t>
      </w:r>
    </w:p>
    <w:p w14:paraId="58F1BF32">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2、国家企业信用信息公示系统网站（www.gsxt.gov.cn）查询以下失信行为：</w:t>
      </w:r>
    </w:p>
    <w:p w14:paraId="7AC74138">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①被市场监督管理部门列入经营异常名录或者严重违法企业名单</w:t>
      </w:r>
      <w:r>
        <w:rPr>
          <w:rFonts w:hint="eastAsia" w:ascii="宋体" w:hAnsi="宋体" w:eastAsia="宋体"/>
          <w:b w:val="0"/>
          <w:bCs/>
          <w:color w:val="auto"/>
          <w:sz w:val="18"/>
          <w:szCs w:val="18"/>
          <w:highlight w:val="none"/>
          <w:lang w:eastAsia="zh-CN"/>
        </w:rPr>
        <w:t>，且</w:t>
      </w:r>
      <w:r>
        <w:rPr>
          <w:rFonts w:hint="eastAsia" w:ascii="宋体" w:hAnsi="宋体" w:eastAsia="宋体" w:cs="Times New Roman"/>
          <w:b w:val="0"/>
          <w:bCs/>
          <w:color w:val="auto"/>
          <w:sz w:val="18"/>
          <w:szCs w:val="18"/>
          <w:highlight w:val="none"/>
          <w:vertAlign w:val="baseline"/>
          <w:lang w:val="en-US" w:eastAsia="zh-CN"/>
        </w:rPr>
        <w:t>未被移除</w:t>
      </w:r>
      <w:r>
        <w:rPr>
          <w:rFonts w:hint="eastAsia" w:ascii="宋体" w:hAnsi="宋体"/>
          <w:b w:val="0"/>
          <w:bCs/>
          <w:color w:val="auto"/>
          <w:sz w:val="18"/>
          <w:szCs w:val="18"/>
          <w:highlight w:val="none"/>
        </w:rPr>
        <w:t>的。</w:t>
      </w:r>
    </w:p>
    <w:p w14:paraId="29871B79">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3、滁州市公共资源交易中心网（http://ggzy.chuzhou.gov.cn/）查询以下失信行为：</w:t>
      </w:r>
    </w:p>
    <w:p w14:paraId="292A4228">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①被滁州市县两级公管部门取消在一定期限内的投标资格且在取消期限内的；</w:t>
      </w:r>
    </w:p>
    <w:p w14:paraId="3244FD3A">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②被滁州市县两级公管部门记入不良行为记录或者信用信息记录，且在披露期内的。</w:t>
      </w:r>
    </w:p>
    <w:p w14:paraId="7FE73730">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4、由竞争主体进行承诺，不进行现场网上信用查询的失信行为：</w:t>
      </w:r>
    </w:p>
    <w:p w14:paraId="1F689117">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①</w:t>
      </w:r>
      <w:r>
        <w:rPr>
          <w:rFonts w:hint="eastAsia" w:ascii="宋体" w:hAnsi="宋体"/>
          <w:b w:val="0"/>
          <w:bCs/>
          <w:color w:val="auto"/>
          <w:sz w:val="18"/>
          <w:szCs w:val="18"/>
          <w:highlight w:val="none"/>
          <w:lang w:eastAsia="zh-CN"/>
        </w:rPr>
        <w:t>前</w:t>
      </w:r>
      <w:r>
        <w:rPr>
          <w:rFonts w:hint="eastAsia" w:ascii="宋体" w:hAnsi="宋体"/>
          <w:b w:val="0"/>
          <w:bCs/>
          <w:color w:val="auto"/>
          <w:sz w:val="18"/>
          <w:szCs w:val="18"/>
          <w:highlight w:val="none"/>
        </w:rPr>
        <w:t>三年列入行贿犯罪档案的单位和个人；</w:t>
      </w:r>
    </w:p>
    <w:p w14:paraId="53537CC3">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②被滁州市县两级各行业主管部门取消在一定期限内的投标资格且在取消期限内的；</w:t>
      </w:r>
    </w:p>
    <w:p w14:paraId="6907BCF6">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③因拖欠农民工工资被县级及以上有关行政主管部门限制投标资格且在限制期限内的。</w:t>
      </w:r>
    </w:p>
    <w:p w14:paraId="04C1E4F4">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（二）政府采购项目</w:t>
      </w:r>
    </w:p>
    <w:p w14:paraId="04BB9111">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1、“信用中国”网站（www.creditchina.gov.cn）查询以下失信行为：</w:t>
      </w:r>
    </w:p>
    <w:p w14:paraId="77F48672">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①投标人被人民法院列入失信被执行人的；</w:t>
      </w:r>
    </w:p>
    <w:p w14:paraId="0614D19C">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②投标人被税务部门列入重大税收违法案件当事人的；</w:t>
      </w:r>
    </w:p>
    <w:p w14:paraId="7202D337">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③在“信用中国”网站上披露的仍在公示期的严重失信行为的。</w:t>
      </w:r>
    </w:p>
    <w:p w14:paraId="4161EF9F">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2、国家企业信用信息公示系统网站（www.gsxt.gov.cn）查询以下失信行为：</w:t>
      </w:r>
    </w:p>
    <w:p w14:paraId="54C0428A">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①被市场监督管理部门列入经营异常名录或者严重违法企业名单</w:t>
      </w:r>
      <w:r>
        <w:rPr>
          <w:rFonts w:hint="eastAsia" w:ascii="宋体" w:hAnsi="宋体" w:eastAsia="宋体"/>
          <w:b w:val="0"/>
          <w:bCs/>
          <w:color w:val="auto"/>
          <w:sz w:val="18"/>
          <w:szCs w:val="18"/>
          <w:highlight w:val="none"/>
          <w:lang w:eastAsia="zh-CN"/>
        </w:rPr>
        <w:t>，且</w:t>
      </w:r>
      <w:r>
        <w:rPr>
          <w:rFonts w:hint="eastAsia" w:ascii="宋体" w:hAnsi="宋体" w:eastAsia="宋体" w:cs="Times New Roman"/>
          <w:b w:val="0"/>
          <w:bCs/>
          <w:color w:val="auto"/>
          <w:sz w:val="18"/>
          <w:szCs w:val="18"/>
          <w:highlight w:val="none"/>
          <w:vertAlign w:val="baseline"/>
          <w:lang w:val="en-US" w:eastAsia="zh-CN"/>
        </w:rPr>
        <w:t>未被移除</w:t>
      </w:r>
      <w:r>
        <w:rPr>
          <w:rFonts w:hint="eastAsia" w:ascii="宋体" w:hAnsi="宋体"/>
          <w:b w:val="0"/>
          <w:bCs/>
          <w:color w:val="auto"/>
          <w:sz w:val="18"/>
          <w:szCs w:val="18"/>
          <w:highlight w:val="none"/>
        </w:rPr>
        <w:t>的。</w:t>
      </w:r>
    </w:p>
    <w:p w14:paraId="68010123">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3、中国政府采购网站（www.ccgp.gov.cn）查询以下失信行为：</w:t>
      </w:r>
    </w:p>
    <w:p w14:paraId="5E574645">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①政府采购严重违法失信行为</w:t>
      </w:r>
    </w:p>
    <w:p w14:paraId="3C535FA1">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4、由竞争主体进行承诺，不进行现场网上信用查询的失信行为：</w:t>
      </w:r>
    </w:p>
    <w:p w14:paraId="531732BB">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①</w:t>
      </w:r>
      <w:r>
        <w:rPr>
          <w:rFonts w:hint="eastAsia" w:ascii="宋体" w:hAnsi="宋体"/>
          <w:b w:val="0"/>
          <w:bCs/>
          <w:color w:val="auto"/>
          <w:sz w:val="18"/>
          <w:szCs w:val="18"/>
          <w:highlight w:val="none"/>
          <w:lang w:eastAsia="zh-CN"/>
        </w:rPr>
        <w:t>前</w:t>
      </w:r>
      <w:r>
        <w:rPr>
          <w:rFonts w:hint="eastAsia" w:ascii="宋体" w:hAnsi="宋体"/>
          <w:b w:val="0"/>
          <w:bCs/>
          <w:color w:val="auto"/>
          <w:sz w:val="18"/>
          <w:szCs w:val="18"/>
          <w:highlight w:val="none"/>
        </w:rPr>
        <w:t>三年列入行贿犯罪档案的单位和个人。</w:t>
      </w:r>
    </w:p>
    <w:p w14:paraId="7244185B">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二、在开评标活动中的查询程序</w:t>
      </w:r>
    </w:p>
    <w:p w14:paraId="00DBDBB7">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6F0AC132">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2、不实行有限数量制资格审查的项目，由项目单位（代理机构）对评审最终得分排序前3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14:paraId="798B2A74">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3、项目单位及其委托的代理机构应当做好信用查询结果截图和记录留存。</w:t>
      </w:r>
    </w:p>
    <w:p w14:paraId="1CE1C6E5">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4、交易中心见证人员对预中标候选人信用查询结果进行复查，发现问题及时纠正，并按规定程序追究相关单位和人员责任。</w:t>
      </w:r>
    </w:p>
    <w:p w14:paraId="0516AE4A">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5、结果公告须提供有评标委员会、代理机构及交易中心现场见证人员查询记录三方签字表方可发布。</w:t>
      </w:r>
    </w:p>
    <w:p w14:paraId="23F7CFF9">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三、相关要求</w:t>
      </w:r>
    </w:p>
    <w:p w14:paraId="476DDE0C">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1、参与公共资源交易活动的竞争主体根据上述范围查询的内容进行自查</w:t>
      </w:r>
      <w:r>
        <w:rPr>
          <w:rFonts w:hint="eastAsia" w:ascii="宋体" w:hAnsi="宋体"/>
          <w:b w:val="0"/>
          <w:bCs/>
          <w:color w:val="auto"/>
          <w:sz w:val="18"/>
          <w:szCs w:val="18"/>
          <w:highlight w:val="none"/>
          <w:lang w:eastAsia="zh-CN"/>
        </w:rPr>
        <w:t>并</w:t>
      </w:r>
      <w:r>
        <w:rPr>
          <w:rFonts w:hint="eastAsia" w:ascii="宋体" w:hAnsi="宋体"/>
          <w:b w:val="0"/>
          <w:bCs/>
          <w:color w:val="auto"/>
          <w:sz w:val="18"/>
          <w:szCs w:val="18"/>
          <w:highlight w:val="none"/>
        </w:rPr>
        <w:t>承诺，出具《诚信投标承诺书》（诚信投标承诺书包括但不限于上述自查</w:t>
      </w:r>
      <w:r>
        <w:rPr>
          <w:rFonts w:hint="eastAsia" w:ascii="宋体" w:hAnsi="宋体"/>
          <w:b w:val="0"/>
          <w:bCs/>
          <w:color w:val="auto"/>
          <w:sz w:val="18"/>
          <w:szCs w:val="18"/>
          <w:highlight w:val="none"/>
          <w:lang w:eastAsia="zh-CN"/>
        </w:rPr>
        <w:t>并</w:t>
      </w:r>
      <w:r>
        <w:rPr>
          <w:rFonts w:hint="eastAsia" w:ascii="宋体" w:hAnsi="宋体"/>
          <w:b w:val="0"/>
          <w:bCs/>
          <w:color w:val="auto"/>
          <w:sz w:val="18"/>
          <w:szCs w:val="18"/>
          <w:highlight w:val="none"/>
        </w:rPr>
        <w:t>承诺内容）并注明承诺日期（投标截止时间前5日内）。</w:t>
      </w:r>
    </w:p>
    <w:p w14:paraId="53D0C558">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7914BB90">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2、“信用中国”查询的严重失信行为判定依据为各行业主管部门下发的联合惩戒文件中规定的行为（按附件2执行）。</w:t>
      </w:r>
    </w:p>
    <w:p w14:paraId="456293F6">
      <w:pPr>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3、资格预审的项目以递交资格预审申请文件截止时间查询为准；资格后审的项目以递交投标文件截止时间查询为准。</w:t>
      </w:r>
    </w:p>
    <w:p w14:paraId="62B6C009">
      <w:pPr>
        <w:rPr>
          <w:rFonts w:hint="eastAsia" w:ascii="宋体" w:hAnsi="宋体"/>
          <w:color w:val="auto"/>
          <w:sz w:val="18"/>
          <w:szCs w:val="18"/>
          <w:highlight w:val="none"/>
        </w:rPr>
      </w:pPr>
    </w:p>
    <w:p w14:paraId="66D7C3FD">
      <w:pPr>
        <w:pStyle w:val="2"/>
        <w:rPr>
          <w:rFonts w:hint="eastAsia"/>
          <w:color w:val="auto"/>
          <w:sz w:val="18"/>
          <w:szCs w:val="18"/>
          <w:highlight w:val="none"/>
        </w:rPr>
      </w:pPr>
    </w:p>
    <w:p w14:paraId="5071165A">
      <w:pPr>
        <w:rPr>
          <w:rFonts w:hint="eastAsia"/>
          <w:b/>
          <w:color w:val="auto"/>
          <w:sz w:val="18"/>
          <w:szCs w:val="18"/>
          <w:highlight w:val="none"/>
        </w:rPr>
      </w:pPr>
    </w:p>
    <w:p w14:paraId="2E987577">
      <w:pPr>
        <w:rPr>
          <w:rFonts w:hint="eastAsia"/>
          <w:b/>
          <w:color w:val="auto"/>
          <w:sz w:val="18"/>
          <w:szCs w:val="18"/>
          <w:highlight w:val="none"/>
        </w:rPr>
      </w:pPr>
    </w:p>
    <w:p w14:paraId="36FF6261">
      <w:pPr>
        <w:rPr>
          <w:rFonts w:hint="eastAsia"/>
          <w:b/>
          <w:color w:val="auto"/>
          <w:sz w:val="18"/>
          <w:szCs w:val="18"/>
          <w:highlight w:val="none"/>
        </w:rPr>
      </w:pPr>
    </w:p>
    <w:p w14:paraId="7038DA44">
      <w:pPr>
        <w:rPr>
          <w:rFonts w:hint="eastAsia"/>
          <w:b/>
          <w:color w:val="auto"/>
          <w:sz w:val="18"/>
          <w:szCs w:val="18"/>
          <w:highlight w:val="none"/>
        </w:rPr>
      </w:pPr>
    </w:p>
    <w:p w14:paraId="2DA50A2A">
      <w:pPr>
        <w:rPr>
          <w:rFonts w:hint="eastAsia"/>
          <w:b/>
          <w:color w:val="auto"/>
          <w:sz w:val="18"/>
          <w:szCs w:val="18"/>
          <w:highlight w:val="none"/>
        </w:rPr>
      </w:pPr>
    </w:p>
    <w:p w14:paraId="2495844A">
      <w:pPr>
        <w:rPr>
          <w:rFonts w:hint="eastAsia"/>
          <w:b/>
          <w:color w:val="auto"/>
          <w:sz w:val="18"/>
          <w:szCs w:val="18"/>
          <w:highlight w:val="none"/>
        </w:rPr>
      </w:pPr>
    </w:p>
    <w:p w14:paraId="7D47FB43">
      <w:pPr>
        <w:rPr>
          <w:rFonts w:hint="eastAsia"/>
          <w:b/>
          <w:color w:val="auto"/>
          <w:sz w:val="18"/>
          <w:szCs w:val="18"/>
          <w:highlight w:val="none"/>
        </w:rPr>
      </w:pPr>
    </w:p>
    <w:p w14:paraId="1F86BE8B">
      <w:pPr>
        <w:rPr>
          <w:rFonts w:hint="eastAsia"/>
          <w:b/>
          <w:color w:val="auto"/>
          <w:sz w:val="18"/>
          <w:szCs w:val="18"/>
          <w:highlight w:val="none"/>
        </w:rPr>
      </w:pPr>
    </w:p>
    <w:p w14:paraId="735306E8">
      <w:pPr>
        <w:rPr>
          <w:rFonts w:hint="eastAsia"/>
          <w:b/>
          <w:color w:val="auto"/>
          <w:sz w:val="18"/>
          <w:szCs w:val="18"/>
          <w:highlight w:val="none"/>
        </w:rPr>
      </w:pPr>
    </w:p>
    <w:p w14:paraId="3D5C5D5F">
      <w:pPr>
        <w:rPr>
          <w:rFonts w:hint="eastAsia"/>
          <w:b/>
          <w:color w:val="auto"/>
          <w:sz w:val="18"/>
          <w:szCs w:val="18"/>
          <w:highlight w:val="none"/>
        </w:rPr>
      </w:pPr>
    </w:p>
    <w:p w14:paraId="64C7EEBE">
      <w:pPr>
        <w:rPr>
          <w:rFonts w:hint="eastAsia"/>
          <w:b/>
          <w:color w:val="auto"/>
          <w:sz w:val="18"/>
          <w:szCs w:val="18"/>
          <w:highlight w:val="none"/>
        </w:rPr>
      </w:pPr>
    </w:p>
    <w:p w14:paraId="3F4CF938">
      <w:pPr>
        <w:rPr>
          <w:rFonts w:hint="eastAsia"/>
          <w:b/>
          <w:color w:val="auto"/>
          <w:sz w:val="18"/>
          <w:szCs w:val="18"/>
          <w:highlight w:val="none"/>
        </w:rPr>
      </w:pPr>
    </w:p>
    <w:p w14:paraId="01AB7476">
      <w:pPr>
        <w:rPr>
          <w:rFonts w:hint="eastAsia"/>
          <w:b/>
          <w:color w:val="auto"/>
          <w:sz w:val="18"/>
          <w:szCs w:val="18"/>
          <w:highlight w:val="none"/>
        </w:rPr>
      </w:pPr>
    </w:p>
    <w:p w14:paraId="5080BC0B">
      <w:pPr>
        <w:pStyle w:val="22"/>
        <w:rPr>
          <w:rFonts w:hint="eastAsia"/>
          <w:b/>
          <w:color w:val="auto"/>
          <w:sz w:val="18"/>
          <w:szCs w:val="18"/>
          <w:highlight w:val="none"/>
        </w:rPr>
      </w:pPr>
    </w:p>
    <w:p w14:paraId="74D7FBFF">
      <w:pPr>
        <w:pStyle w:val="22"/>
        <w:rPr>
          <w:rFonts w:hint="eastAsia"/>
          <w:b/>
          <w:color w:val="auto"/>
          <w:sz w:val="18"/>
          <w:szCs w:val="18"/>
          <w:highlight w:val="none"/>
        </w:rPr>
      </w:pPr>
    </w:p>
    <w:p w14:paraId="1C1C5ACA">
      <w:pPr>
        <w:pStyle w:val="22"/>
        <w:rPr>
          <w:rFonts w:hint="eastAsia"/>
          <w:b/>
          <w:color w:val="auto"/>
          <w:sz w:val="18"/>
          <w:szCs w:val="18"/>
          <w:highlight w:val="none"/>
        </w:rPr>
      </w:pPr>
    </w:p>
    <w:p w14:paraId="4C402F2A">
      <w:pPr>
        <w:pStyle w:val="22"/>
        <w:rPr>
          <w:rFonts w:hint="eastAsia"/>
          <w:b/>
          <w:color w:val="auto"/>
          <w:sz w:val="18"/>
          <w:szCs w:val="18"/>
          <w:highlight w:val="none"/>
        </w:rPr>
      </w:pPr>
    </w:p>
    <w:p w14:paraId="421682AC">
      <w:pPr>
        <w:pStyle w:val="22"/>
        <w:rPr>
          <w:rFonts w:hint="eastAsia"/>
          <w:b/>
          <w:color w:val="auto"/>
          <w:sz w:val="18"/>
          <w:szCs w:val="18"/>
          <w:highlight w:val="none"/>
        </w:rPr>
      </w:pPr>
    </w:p>
    <w:p w14:paraId="61927BD5">
      <w:pPr>
        <w:pStyle w:val="22"/>
        <w:rPr>
          <w:rFonts w:hint="eastAsia"/>
          <w:b/>
          <w:color w:val="auto"/>
          <w:sz w:val="18"/>
          <w:szCs w:val="18"/>
          <w:highlight w:val="none"/>
        </w:rPr>
      </w:pPr>
    </w:p>
    <w:p w14:paraId="47F479EA">
      <w:pPr>
        <w:pStyle w:val="22"/>
        <w:rPr>
          <w:rFonts w:hint="eastAsia"/>
          <w:b/>
          <w:color w:val="auto"/>
          <w:sz w:val="18"/>
          <w:szCs w:val="18"/>
          <w:highlight w:val="none"/>
        </w:rPr>
      </w:pPr>
    </w:p>
    <w:p w14:paraId="42FB8451">
      <w:pPr>
        <w:pStyle w:val="22"/>
        <w:rPr>
          <w:rFonts w:hint="eastAsia"/>
          <w:b/>
          <w:color w:val="auto"/>
          <w:sz w:val="18"/>
          <w:szCs w:val="18"/>
          <w:highlight w:val="none"/>
        </w:rPr>
      </w:pPr>
    </w:p>
    <w:p w14:paraId="744AE8F8">
      <w:pPr>
        <w:pStyle w:val="22"/>
        <w:rPr>
          <w:rFonts w:hint="eastAsia"/>
          <w:b/>
          <w:color w:val="auto"/>
          <w:sz w:val="18"/>
          <w:szCs w:val="18"/>
          <w:highlight w:val="none"/>
        </w:rPr>
      </w:pPr>
    </w:p>
    <w:p w14:paraId="3CAB1B84">
      <w:pPr>
        <w:pStyle w:val="22"/>
        <w:rPr>
          <w:rFonts w:hint="eastAsia"/>
          <w:b/>
          <w:color w:val="auto"/>
          <w:sz w:val="18"/>
          <w:szCs w:val="18"/>
          <w:highlight w:val="none"/>
        </w:rPr>
      </w:pPr>
    </w:p>
    <w:p w14:paraId="638A33D3">
      <w:pPr>
        <w:rPr>
          <w:rFonts w:hint="eastAsia"/>
          <w:b/>
          <w:color w:val="auto"/>
          <w:sz w:val="18"/>
          <w:szCs w:val="18"/>
          <w:highlight w:val="none"/>
        </w:rPr>
      </w:pPr>
    </w:p>
    <w:p w14:paraId="46BFC22E">
      <w:pPr>
        <w:rPr>
          <w:rFonts w:hint="eastAsia"/>
          <w:b/>
          <w:color w:val="auto"/>
          <w:sz w:val="18"/>
          <w:szCs w:val="18"/>
          <w:highlight w:val="none"/>
        </w:rPr>
      </w:pPr>
    </w:p>
    <w:p w14:paraId="29A5F740">
      <w:pPr>
        <w:rPr>
          <w:rFonts w:hint="eastAsia"/>
          <w:b/>
          <w:color w:val="auto"/>
          <w:sz w:val="18"/>
          <w:szCs w:val="18"/>
          <w:highlight w:val="none"/>
        </w:rPr>
      </w:pPr>
    </w:p>
    <w:p w14:paraId="1E4985B5">
      <w:pPr>
        <w:rPr>
          <w:rFonts w:hint="eastAsia"/>
          <w:b/>
          <w:color w:val="auto"/>
          <w:sz w:val="18"/>
          <w:szCs w:val="18"/>
          <w:highlight w:val="none"/>
        </w:rPr>
      </w:pPr>
    </w:p>
    <w:p w14:paraId="076A331B">
      <w:pPr>
        <w:rPr>
          <w:rFonts w:hint="eastAsia"/>
          <w:b/>
          <w:color w:val="auto"/>
          <w:sz w:val="18"/>
          <w:szCs w:val="18"/>
          <w:highlight w:val="none"/>
        </w:rPr>
      </w:pPr>
      <w:r>
        <w:rPr>
          <w:rFonts w:hint="eastAsia"/>
          <w:b/>
          <w:color w:val="auto"/>
          <w:sz w:val="18"/>
          <w:szCs w:val="18"/>
          <w:highlight w:val="none"/>
        </w:rPr>
        <w:t>附件2</w:t>
      </w:r>
    </w:p>
    <w:p w14:paraId="53D0A3F3">
      <w:pPr>
        <w:jc w:val="center"/>
        <w:rPr>
          <w:rFonts w:hint="eastAsia" w:ascii="宋体" w:hAnsi="宋体"/>
          <w:b/>
          <w:color w:val="auto"/>
          <w:sz w:val="18"/>
          <w:szCs w:val="18"/>
          <w:highlight w:val="none"/>
        </w:rPr>
      </w:pPr>
      <w:r>
        <w:rPr>
          <w:rFonts w:hint="eastAsia" w:ascii="宋体" w:hAnsi="宋体"/>
          <w:b/>
          <w:color w:val="auto"/>
          <w:sz w:val="18"/>
          <w:szCs w:val="18"/>
          <w:highlight w:val="none"/>
        </w:rPr>
        <w:t>“信用中国”查询的严重失信行为类别及判定依据</w:t>
      </w:r>
    </w:p>
    <w:p w14:paraId="6D001675">
      <w:pPr>
        <w:jc w:val="center"/>
        <w:rPr>
          <w:rFonts w:hint="eastAsia" w:ascii="宋体" w:hAnsi="宋体"/>
          <w:b/>
          <w:color w:val="auto"/>
          <w:sz w:val="18"/>
          <w:szCs w:val="18"/>
          <w:highlight w:val="none"/>
        </w:rPr>
      </w:pPr>
    </w:p>
    <w:p w14:paraId="1EC51B50">
      <w:pPr>
        <w:ind w:firstLine="645"/>
        <w:jc w:val="left"/>
        <w:rPr>
          <w:rFonts w:hint="eastAsia" w:ascii="宋体" w:hAnsi="宋体"/>
          <w:color w:val="auto"/>
          <w:sz w:val="18"/>
          <w:szCs w:val="18"/>
          <w:highlight w:val="none"/>
        </w:rPr>
      </w:pPr>
      <w:r>
        <w:rPr>
          <w:rFonts w:hint="eastAsia" w:ascii="宋体" w:hAnsi="宋体"/>
          <w:color w:val="auto"/>
          <w:sz w:val="18"/>
          <w:szCs w:val="18"/>
          <w:highlight w:val="none"/>
        </w:rPr>
        <w:t>“信用中国”查询的严重失信行为判定依据为各行业主管部门下发的联合惩戒文件中规定的行为。下面将部分类别的严重失信行为列举如下：</w:t>
      </w:r>
    </w:p>
    <w:p w14:paraId="59021667">
      <w:pPr>
        <w:ind w:firstLine="645"/>
        <w:jc w:val="left"/>
        <w:rPr>
          <w:rFonts w:hint="eastAsia" w:ascii="宋体" w:hAnsi="宋体"/>
          <w:b/>
          <w:color w:val="auto"/>
          <w:sz w:val="18"/>
          <w:szCs w:val="18"/>
          <w:highlight w:val="none"/>
        </w:rPr>
      </w:pPr>
      <w:r>
        <w:rPr>
          <w:rFonts w:hint="eastAsia" w:ascii="宋体" w:hAnsi="宋体"/>
          <w:b/>
          <w:color w:val="auto"/>
          <w:sz w:val="18"/>
          <w:szCs w:val="18"/>
          <w:highlight w:val="none"/>
        </w:rPr>
        <w:t>一、安全生产领域严重失信行为：</w:t>
      </w:r>
    </w:p>
    <w:p w14:paraId="2047B3B1">
      <w:pPr>
        <w:ind w:firstLine="645"/>
        <w:jc w:val="left"/>
        <w:rPr>
          <w:rFonts w:hint="eastAsia" w:ascii="宋体" w:hAnsi="宋体"/>
          <w:color w:val="auto"/>
          <w:sz w:val="18"/>
          <w:szCs w:val="18"/>
          <w:highlight w:val="none"/>
        </w:rPr>
      </w:pPr>
      <w:r>
        <w:rPr>
          <w:rFonts w:hint="eastAsia" w:ascii="宋体" w:hAnsi="宋体"/>
          <w:color w:val="auto"/>
          <w:sz w:val="18"/>
          <w:szCs w:val="18"/>
          <w:highlight w:val="none"/>
        </w:rPr>
        <w:t>（一）发生较大及以上生产安全责任事故，或1年内累计发生3起及以上造成人员死亡的一般生产安全责任事故的；</w:t>
      </w:r>
    </w:p>
    <w:p w14:paraId="7EF0C06A">
      <w:pPr>
        <w:ind w:firstLine="645"/>
        <w:jc w:val="left"/>
        <w:rPr>
          <w:rFonts w:hint="eastAsia" w:ascii="宋体" w:hAnsi="宋体"/>
          <w:color w:val="auto"/>
          <w:sz w:val="18"/>
          <w:szCs w:val="18"/>
          <w:highlight w:val="none"/>
        </w:rPr>
      </w:pPr>
      <w:r>
        <w:rPr>
          <w:rFonts w:hint="eastAsia" w:ascii="宋体" w:hAnsi="宋体"/>
          <w:color w:val="auto"/>
          <w:sz w:val="18"/>
          <w:szCs w:val="18"/>
          <w:highlight w:val="none"/>
        </w:rPr>
        <w:t>（二）未按规定取得安全生产许可，擅自开展生产经营建设活动的；</w:t>
      </w:r>
    </w:p>
    <w:p w14:paraId="3FB560A4">
      <w:pPr>
        <w:ind w:firstLine="645"/>
        <w:jc w:val="left"/>
        <w:rPr>
          <w:rFonts w:hint="eastAsia" w:ascii="宋体" w:hAnsi="宋体"/>
          <w:color w:val="auto"/>
          <w:sz w:val="18"/>
          <w:szCs w:val="18"/>
          <w:highlight w:val="none"/>
        </w:rPr>
      </w:pPr>
      <w:r>
        <w:rPr>
          <w:rFonts w:hint="eastAsia" w:ascii="宋体" w:hAnsi="宋体"/>
          <w:color w:val="auto"/>
          <w:sz w:val="18"/>
          <w:szCs w:val="18"/>
          <w:highlight w:val="none"/>
        </w:rPr>
        <w:t>（三）发现重大生产安全事故隐患，或职业病危害严重超标，不及时整改，仍组织从业人员冒险作业的；</w:t>
      </w:r>
    </w:p>
    <w:p w14:paraId="5975AD8C">
      <w:pPr>
        <w:ind w:firstLine="645"/>
        <w:jc w:val="left"/>
        <w:rPr>
          <w:rFonts w:hint="eastAsia" w:ascii="宋体" w:hAnsi="宋体"/>
          <w:color w:val="auto"/>
          <w:sz w:val="18"/>
          <w:szCs w:val="18"/>
          <w:highlight w:val="none"/>
        </w:rPr>
      </w:pPr>
      <w:r>
        <w:rPr>
          <w:rFonts w:hint="eastAsia" w:ascii="宋体" w:hAnsi="宋体"/>
          <w:color w:val="auto"/>
          <w:sz w:val="18"/>
          <w:szCs w:val="18"/>
          <w:highlight w:val="none"/>
        </w:rPr>
        <w:t>（四）采取隐蔽、欺骗或阻碍等方式逃避、对抗安全监管监察的;</w:t>
      </w:r>
    </w:p>
    <w:p w14:paraId="077D594D">
      <w:pPr>
        <w:ind w:firstLine="645"/>
        <w:jc w:val="left"/>
        <w:rPr>
          <w:rFonts w:hint="eastAsia" w:ascii="宋体" w:hAnsi="宋体"/>
          <w:color w:val="auto"/>
          <w:sz w:val="18"/>
          <w:szCs w:val="18"/>
          <w:highlight w:val="none"/>
        </w:rPr>
      </w:pPr>
      <w:r>
        <w:rPr>
          <w:rFonts w:hint="eastAsia" w:ascii="宋体" w:hAnsi="宋体"/>
          <w:color w:val="auto"/>
          <w:sz w:val="18"/>
          <w:szCs w:val="18"/>
          <w:highlight w:val="none"/>
        </w:rPr>
        <w:t>（五）被责令停产停业整顿，仍然从事生产经营建设活动的；</w:t>
      </w:r>
    </w:p>
    <w:p w14:paraId="09D26A60">
      <w:pPr>
        <w:ind w:firstLine="645"/>
        <w:jc w:val="left"/>
        <w:rPr>
          <w:rFonts w:hint="eastAsia" w:ascii="宋体" w:hAnsi="宋体"/>
          <w:color w:val="auto"/>
          <w:sz w:val="18"/>
          <w:szCs w:val="18"/>
          <w:highlight w:val="none"/>
        </w:rPr>
      </w:pPr>
      <w:r>
        <w:rPr>
          <w:rFonts w:hint="eastAsia" w:ascii="宋体" w:hAnsi="宋体"/>
          <w:color w:val="auto"/>
          <w:sz w:val="18"/>
          <w:szCs w:val="18"/>
          <w:highlight w:val="none"/>
        </w:rPr>
        <w:t>（六）瞒报、谎报、迟报生产安全事故的；</w:t>
      </w:r>
    </w:p>
    <w:p w14:paraId="1629BD8C">
      <w:pPr>
        <w:ind w:firstLine="645"/>
        <w:jc w:val="left"/>
        <w:rPr>
          <w:rFonts w:hint="eastAsia" w:ascii="宋体" w:hAnsi="宋体"/>
          <w:color w:val="auto"/>
          <w:sz w:val="18"/>
          <w:szCs w:val="18"/>
          <w:highlight w:val="none"/>
        </w:rPr>
      </w:pPr>
      <w:r>
        <w:rPr>
          <w:rFonts w:hint="eastAsia" w:ascii="宋体" w:hAnsi="宋体"/>
          <w:color w:val="auto"/>
          <w:sz w:val="18"/>
          <w:szCs w:val="18"/>
          <w:highlight w:val="none"/>
        </w:rPr>
        <w:t>（七）矿山、危险化学品、金属冶炼等高危行业建设项目安全设施未经验收合格即投入生产和使用的；</w:t>
      </w:r>
    </w:p>
    <w:p w14:paraId="78B505C6">
      <w:pPr>
        <w:ind w:firstLine="645"/>
        <w:jc w:val="left"/>
        <w:rPr>
          <w:rFonts w:hint="eastAsia" w:ascii="宋体" w:hAnsi="宋体"/>
          <w:color w:val="auto"/>
          <w:sz w:val="18"/>
          <w:szCs w:val="18"/>
          <w:highlight w:val="none"/>
        </w:rPr>
      </w:pPr>
      <w:r>
        <w:rPr>
          <w:rFonts w:hint="eastAsia" w:ascii="宋体" w:hAnsi="宋体"/>
          <w:color w:val="auto"/>
          <w:sz w:val="18"/>
          <w:szCs w:val="18"/>
          <w:highlight w:val="none"/>
        </w:rPr>
        <w:t>（八）矿山生产经营单位存在超层越界开采、以探代采行为的；</w:t>
      </w:r>
    </w:p>
    <w:p w14:paraId="5E508767">
      <w:pPr>
        <w:ind w:firstLine="645"/>
        <w:jc w:val="left"/>
        <w:rPr>
          <w:rFonts w:hint="eastAsia" w:ascii="宋体" w:hAnsi="宋体"/>
          <w:color w:val="auto"/>
          <w:sz w:val="18"/>
          <w:szCs w:val="18"/>
          <w:highlight w:val="none"/>
        </w:rPr>
      </w:pPr>
      <w:r>
        <w:rPr>
          <w:rFonts w:hint="eastAsia" w:ascii="宋体" w:hAnsi="宋体"/>
          <w:color w:val="auto"/>
          <w:sz w:val="18"/>
          <w:szCs w:val="18"/>
          <w:highlight w:val="none"/>
        </w:rPr>
        <w:t>（九）发生事故后，故意破坏事故现场，伪造有关证据资料，妨碍、对抗事故调查，或主要负责人逃逸的；</w:t>
      </w:r>
    </w:p>
    <w:p w14:paraId="166841E1">
      <w:pPr>
        <w:ind w:firstLine="645"/>
        <w:jc w:val="left"/>
        <w:rPr>
          <w:rFonts w:hint="eastAsia" w:ascii="宋体" w:hAnsi="宋体"/>
          <w:color w:val="auto"/>
          <w:sz w:val="18"/>
          <w:szCs w:val="18"/>
          <w:highlight w:val="none"/>
        </w:rPr>
      </w:pPr>
      <w:r>
        <w:rPr>
          <w:rFonts w:hint="eastAsia" w:ascii="宋体" w:hAnsi="宋体"/>
          <w:color w:val="auto"/>
          <w:sz w:val="18"/>
          <w:szCs w:val="18"/>
          <w:highlight w:val="none"/>
        </w:rPr>
        <w:t>（十）安全生产和职业健康技术服务机构出具虚假报告或证明，违规转让或出借资质的。</w:t>
      </w:r>
    </w:p>
    <w:p w14:paraId="36ED6E39">
      <w:pPr>
        <w:ind w:firstLine="645"/>
        <w:jc w:val="left"/>
        <w:rPr>
          <w:rFonts w:hint="eastAsia"/>
          <w:b/>
          <w:color w:val="auto"/>
          <w:sz w:val="18"/>
          <w:szCs w:val="18"/>
          <w:highlight w:val="none"/>
        </w:rPr>
      </w:pPr>
      <w:r>
        <w:rPr>
          <w:rFonts w:hint="eastAsia" w:ascii="宋体" w:hAnsi="宋体"/>
          <w:b/>
          <w:color w:val="auto"/>
          <w:sz w:val="18"/>
          <w:szCs w:val="18"/>
          <w:highlight w:val="none"/>
        </w:rPr>
        <w:t>依据：《对安全生产领域失信行为开展联合惩戒的实施办法》</w:t>
      </w:r>
      <w:r>
        <w:rPr>
          <w:rFonts w:hint="eastAsia"/>
          <w:b/>
          <w:color w:val="auto"/>
          <w:sz w:val="18"/>
          <w:szCs w:val="18"/>
          <w:highlight w:val="none"/>
        </w:rPr>
        <w:t>（安监总办〔2017〕49号）第二条</w:t>
      </w:r>
    </w:p>
    <w:p w14:paraId="78989604">
      <w:pPr>
        <w:ind w:firstLine="645"/>
        <w:jc w:val="left"/>
        <w:rPr>
          <w:rFonts w:hint="eastAsia" w:ascii="宋体" w:hAnsi="宋体"/>
          <w:b/>
          <w:color w:val="auto"/>
          <w:sz w:val="18"/>
          <w:szCs w:val="18"/>
          <w:highlight w:val="none"/>
        </w:rPr>
      </w:pPr>
      <w:r>
        <w:rPr>
          <w:rFonts w:hint="eastAsia" w:ascii="宋体" w:hAnsi="宋体"/>
          <w:b/>
          <w:color w:val="auto"/>
          <w:sz w:val="18"/>
          <w:szCs w:val="18"/>
          <w:highlight w:val="none"/>
        </w:rPr>
        <w:t>二、环境保护领域严重失信行为：</w:t>
      </w:r>
    </w:p>
    <w:p w14:paraId="5F088B34">
      <w:pPr>
        <w:ind w:firstLine="645"/>
        <w:jc w:val="left"/>
        <w:rPr>
          <w:rFonts w:ascii="宋体" w:hAnsi="宋体"/>
          <w:color w:val="auto"/>
          <w:sz w:val="18"/>
          <w:szCs w:val="18"/>
          <w:highlight w:val="none"/>
        </w:rPr>
      </w:pPr>
      <w:r>
        <w:rPr>
          <w:rFonts w:ascii="宋体" w:hAnsi="宋体"/>
          <w:color w:val="auto"/>
          <w:sz w:val="18"/>
          <w:szCs w:val="18"/>
          <w:highlight w:val="none"/>
        </w:rPr>
        <w:t>（一）因为环境违法构成</w:t>
      </w:r>
      <w:r>
        <w:rPr>
          <w:rFonts w:ascii="宋体" w:hAnsi="宋体"/>
          <w:color w:val="auto"/>
          <w:sz w:val="18"/>
          <w:szCs w:val="18"/>
          <w:highlight w:val="none"/>
        </w:rPr>
        <w:fldChar w:fldCharType="begin"/>
      </w:r>
      <w:r>
        <w:rPr>
          <w:rFonts w:ascii="宋体" w:hAnsi="宋体"/>
          <w:color w:val="auto"/>
          <w:sz w:val="18"/>
          <w:szCs w:val="18"/>
          <w:highlight w:val="none"/>
        </w:rPr>
        <w:instrText xml:space="preserve"> HYPERLINK "https://baike.sogou.com/m/fullLemma?lid=10403954&amp;g_ut=3" \t "https://baike.sogou.com/m/_blank" </w:instrText>
      </w:r>
      <w:r>
        <w:rPr>
          <w:rFonts w:ascii="宋体" w:hAnsi="宋体"/>
          <w:color w:val="auto"/>
          <w:sz w:val="18"/>
          <w:szCs w:val="18"/>
          <w:highlight w:val="none"/>
        </w:rPr>
        <w:fldChar w:fldCharType="separate"/>
      </w:r>
      <w:r>
        <w:rPr>
          <w:rFonts w:ascii="宋体" w:hAnsi="宋体"/>
          <w:color w:val="auto"/>
          <w:sz w:val="18"/>
          <w:szCs w:val="18"/>
          <w:highlight w:val="none"/>
        </w:rPr>
        <w:t>环境犯罪</w:t>
      </w:r>
      <w:r>
        <w:rPr>
          <w:rFonts w:ascii="宋体" w:hAnsi="宋体"/>
          <w:color w:val="auto"/>
          <w:sz w:val="18"/>
          <w:szCs w:val="18"/>
          <w:highlight w:val="none"/>
        </w:rPr>
        <w:fldChar w:fldCharType="end"/>
      </w:r>
      <w:r>
        <w:rPr>
          <w:rFonts w:ascii="宋体" w:hAnsi="宋体"/>
          <w:color w:val="auto"/>
          <w:sz w:val="18"/>
          <w:szCs w:val="18"/>
          <w:highlight w:val="none"/>
        </w:rPr>
        <w:t>的；</w:t>
      </w:r>
    </w:p>
    <w:p w14:paraId="1D73635D">
      <w:pPr>
        <w:ind w:firstLine="645"/>
        <w:jc w:val="left"/>
        <w:rPr>
          <w:rFonts w:ascii="宋体" w:hAnsi="宋体"/>
          <w:color w:val="auto"/>
          <w:sz w:val="18"/>
          <w:szCs w:val="18"/>
          <w:highlight w:val="none"/>
        </w:rPr>
      </w:pPr>
      <w:r>
        <w:rPr>
          <w:rFonts w:ascii="宋体" w:hAnsi="宋体"/>
          <w:color w:val="auto"/>
          <w:sz w:val="18"/>
          <w:szCs w:val="18"/>
          <w:highlight w:val="none"/>
        </w:rPr>
        <w:t>（二）</w:t>
      </w:r>
      <w:r>
        <w:rPr>
          <w:rFonts w:ascii="宋体" w:hAnsi="宋体"/>
          <w:color w:val="auto"/>
          <w:sz w:val="18"/>
          <w:szCs w:val="18"/>
          <w:highlight w:val="none"/>
        </w:rPr>
        <w:fldChar w:fldCharType="begin"/>
      </w:r>
      <w:r>
        <w:rPr>
          <w:rFonts w:ascii="宋体" w:hAnsi="宋体"/>
          <w:color w:val="auto"/>
          <w:sz w:val="18"/>
          <w:szCs w:val="18"/>
          <w:highlight w:val="none"/>
        </w:rPr>
        <w:instrText xml:space="preserve"> HYPERLINK "https://baike.sogou.com/m/fullLemma?lid=76033123&amp;g_ut=3" \t "https://baike.sogou.com/m/_blank" </w:instrText>
      </w:r>
      <w:r>
        <w:rPr>
          <w:rFonts w:ascii="宋体" w:hAnsi="宋体"/>
          <w:color w:val="auto"/>
          <w:sz w:val="18"/>
          <w:szCs w:val="18"/>
          <w:highlight w:val="none"/>
        </w:rPr>
        <w:fldChar w:fldCharType="separate"/>
      </w:r>
      <w:r>
        <w:rPr>
          <w:rFonts w:ascii="宋体" w:hAnsi="宋体"/>
          <w:color w:val="auto"/>
          <w:sz w:val="18"/>
          <w:szCs w:val="18"/>
          <w:highlight w:val="none"/>
        </w:rPr>
        <w:t>建设项目环境影响评价</w:t>
      </w:r>
      <w:r>
        <w:rPr>
          <w:rFonts w:ascii="宋体" w:hAnsi="宋体"/>
          <w:color w:val="auto"/>
          <w:sz w:val="18"/>
          <w:szCs w:val="18"/>
          <w:highlight w:val="none"/>
        </w:rPr>
        <w:fldChar w:fldCharType="end"/>
      </w:r>
      <w:r>
        <w:rPr>
          <w:rFonts w:ascii="宋体" w:hAnsi="宋体"/>
          <w:color w:val="auto"/>
          <w:sz w:val="18"/>
          <w:szCs w:val="18"/>
          <w:highlight w:val="none"/>
        </w:rPr>
        <w:t>文件未按规定通过审批，擅自开工建设的；</w:t>
      </w:r>
    </w:p>
    <w:p w14:paraId="73AF74CE">
      <w:pPr>
        <w:ind w:firstLine="645"/>
        <w:jc w:val="left"/>
        <w:rPr>
          <w:rFonts w:ascii="宋体" w:hAnsi="宋体"/>
          <w:color w:val="auto"/>
          <w:sz w:val="18"/>
          <w:szCs w:val="18"/>
          <w:highlight w:val="none"/>
        </w:rPr>
      </w:pPr>
      <w:r>
        <w:rPr>
          <w:rFonts w:ascii="宋体" w:hAnsi="宋体"/>
          <w:color w:val="auto"/>
          <w:sz w:val="18"/>
          <w:szCs w:val="18"/>
          <w:highlight w:val="none"/>
        </w:rPr>
        <w:t>（三）建设项目环保设施未建成、环保措施未落实、未通过</w:t>
      </w:r>
      <w:r>
        <w:rPr>
          <w:rFonts w:ascii="宋体" w:hAnsi="宋体"/>
          <w:color w:val="auto"/>
          <w:sz w:val="18"/>
          <w:szCs w:val="18"/>
          <w:highlight w:val="none"/>
        </w:rPr>
        <w:fldChar w:fldCharType="begin"/>
      </w:r>
      <w:r>
        <w:rPr>
          <w:rFonts w:ascii="宋体" w:hAnsi="宋体"/>
          <w:color w:val="auto"/>
          <w:sz w:val="18"/>
          <w:szCs w:val="18"/>
          <w:highlight w:val="none"/>
        </w:rPr>
        <w:instrText xml:space="preserve"> HYPERLINK "https://baike.sogou.com/m/fullLemma?lid=6470550&amp;g_ut=3" \t "https://baike.sogou.com/m/_blank" </w:instrText>
      </w:r>
      <w:r>
        <w:rPr>
          <w:rFonts w:ascii="宋体" w:hAnsi="宋体"/>
          <w:color w:val="auto"/>
          <w:sz w:val="18"/>
          <w:szCs w:val="18"/>
          <w:highlight w:val="none"/>
        </w:rPr>
        <w:fldChar w:fldCharType="separate"/>
      </w:r>
      <w:r>
        <w:rPr>
          <w:rFonts w:ascii="宋体" w:hAnsi="宋体"/>
          <w:color w:val="auto"/>
          <w:sz w:val="18"/>
          <w:szCs w:val="18"/>
          <w:highlight w:val="none"/>
        </w:rPr>
        <w:t>竣工环保验收</w:t>
      </w:r>
      <w:r>
        <w:rPr>
          <w:rFonts w:ascii="宋体" w:hAnsi="宋体"/>
          <w:color w:val="auto"/>
          <w:sz w:val="18"/>
          <w:szCs w:val="18"/>
          <w:highlight w:val="none"/>
        </w:rPr>
        <w:fldChar w:fldCharType="end"/>
      </w:r>
      <w:r>
        <w:rPr>
          <w:rFonts w:ascii="宋体" w:hAnsi="宋体"/>
          <w:color w:val="auto"/>
          <w:sz w:val="18"/>
          <w:szCs w:val="18"/>
          <w:highlight w:val="none"/>
        </w:rPr>
        <w:t>或者验收不合格，主体工程正式投入生产或者使用的；</w:t>
      </w:r>
    </w:p>
    <w:p w14:paraId="62449456">
      <w:pPr>
        <w:ind w:firstLine="645"/>
        <w:jc w:val="left"/>
        <w:rPr>
          <w:rFonts w:ascii="宋体" w:hAnsi="宋体"/>
          <w:color w:val="auto"/>
          <w:sz w:val="18"/>
          <w:szCs w:val="18"/>
          <w:highlight w:val="none"/>
        </w:rPr>
      </w:pPr>
      <w:r>
        <w:rPr>
          <w:rFonts w:ascii="宋体" w:hAnsi="宋体"/>
          <w:color w:val="auto"/>
          <w:sz w:val="18"/>
          <w:szCs w:val="18"/>
          <w:highlight w:val="none"/>
        </w:rPr>
        <w:t>（四）建设项目性质、规模、地点、采用的生产工艺或者防治污染、防止生态破坏的措施发生重大变动，未重新报批环境影响评价文件，擅自投入生产或者使用的；</w:t>
      </w:r>
    </w:p>
    <w:p w14:paraId="44884F6F">
      <w:pPr>
        <w:ind w:firstLine="645"/>
        <w:jc w:val="left"/>
        <w:rPr>
          <w:rFonts w:ascii="宋体" w:hAnsi="宋体"/>
          <w:color w:val="auto"/>
          <w:sz w:val="18"/>
          <w:szCs w:val="18"/>
          <w:highlight w:val="none"/>
        </w:rPr>
      </w:pPr>
      <w:r>
        <w:rPr>
          <w:rFonts w:ascii="宋体" w:hAnsi="宋体"/>
          <w:color w:val="auto"/>
          <w:sz w:val="18"/>
          <w:szCs w:val="18"/>
          <w:highlight w:val="none"/>
        </w:rPr>
        <w:t>（五）主要污染物排放总量超过控制指标的；</w:t>
      </w:r>
    </w:p>
    <w:p w14:paraId="7C871295">
      <w:pPr>
        <w:ind w:firstLine="645"/>
        <w:jc w:val="left"/>
        <w:rPr>
          <w:rFonts w:ascii="宋体" w:hAnsi="宋体"/>
          <w:color w:val="auto"/>
          <w:sz w:val="18"/>
          <w:szCs w:val="18"/>
          <w:highlight w:val="none"/>
        </w:rPr>
      </w:pPr>
      <w:r>
        <w:rPr>
          <w:rFonts w:ascii="宋体" w:hAnsi="宋体"/>
          <w:color w:val="auto"/>
          <w:sz w:val="18"/>
          <w:szCs w:val="18"/>
          <w:highlight w:val="none"/>
        </w:rPr>
        <w:t>（六）私设暗管或者利用</w:t>
      </w:r>
      <w:r>
        <w:rPr>
          <w:rFonts w:ascii="宋体" w:hAnsi="宋体"/>
          <w:color w:val="auto"/>
          <w:sz w:val="18"/>
          <w:szCs w:val="18"/>
          <w:highlight w:val="none"/>
        </w:rPr>
        <w:fldChar w:fldCharType="begin"/>
      </w:r>
      <w:r>
        <w:rPr>
          <w:rFonts w:ascii="宋体" w:hAnsi="宋体"/>
          <w:color w:val="auto"/>
          <w:sz w:val="18"/>
          <w:szCs w:val="18"/>
          <w:highlight w:val="none"/>
        </w:rPr>
        <w:instrText xml:space="preserve"> HYPERLINK "https://baike.sogou.com/m/fullLemma?lid=41657319&amp;g_ut=3" \t "https://baike.sogou.com/m/_blank" </w:instrText>
      </w:r>
      <w:r>
        <w:rPr>
          <w:rFonts w:ascii="宋体" w:hAnsi="宋体"/>
          <w:color w:val="auto"/>
          <w:sz w:val="18"/>
          <w:szCs w:val="18"/>
          <w:highlight w:val="none"/>
        </w:rPr>
        <w:fldChar w:fldCharType="separate"/>
      </w:r>
      <w:r>
        <w:rPr>
          <w:rFonts w:ascii="宋体" w:hAnsi="宋体"/>
          <w:color w:val="auto"/>
          <w:sz w:val="18"/>
          <w:szCs w:val="18"/>
          <w:highlight w:val="none"/>
        </w:rPr>
        <w:t>渗井</w:t>
      </w:r>
      <w:r>
        <w:rPr>
          <w:rFonts w:ascii="宋体" w:hAnsi="宋体"/>
          <w:color w:val="auto"/>
          <w:sz w:val="18"/>
          <w:szCs w:val="18"/>
          <w:highlight w:val="none"/>
        </w:rPr>
        <w:fldChar w:fldCharType="end"/>
      </w:r>
      <w:r>
        <w:rPr>
          <w:rFonts w:ascii="宋体" w:hAnsi="宋体"/>
          <w:color w:val="auto"/>
          <w:sz w:val="18"/>
          <w:szCs w:val="18"/>
          <w:highlight w:val="none"/>
        </w:rPr>
        <w:t>、渗坑、裂隙、溶洞等排放、倾倒、处置水污染物，或者通过私设旁路排放</w:t>
      </w:r>
      <w:r>
        <w:rPr>
          <w:rFonts w:ascii="宋体" w:hAnsi="宋体"/>
          <w:color w:val="auto"/>
          <w:sz w:val="18"/>
          <w:szCs w:val="18"/>
          <w:highlight w:val="none"/>
        </w:rPr>
        <w:fldChar w:fldCharType="begin"/>
      </w:r>
      <w:r>
        <w:rPr>
          <w:rFonts w:ascii="宋体" w:hAnsi="宋体"/>
          <w:color w:val="auto"/>
          <w:sz w:val="18"/>
          <w:szCs w:val="18"/>
          <w:highlight w:val="none"/>
        </w:rPr>
        <w:instrText xml:space="preserve"> HYPERLINK "https://baike.sogou.com/m/fullLemma?lid=7758328&amp;g_ut=3" \t "https://baike.sogou.com/m/_blank" </w:instrText>
      </w:r>
      <w:r>
        <w:rPr>
          <w:rFonts w:ascii="宋体" w:hAnsi="宋体"/>
          <w:color w:val="auto"/>
          <w:sz w:val="18"/>
          <w:szCs w:val="18"/>
          <w:highlight w:val="none"/>
        </w:rPr>
        <w:fldChar w:fldCharType="separate"/>
      </w:r>
      <w:r>
        <w:rPr>
          <w:rFonts w:ascii="宋体" w:hAnsi="宋体"/>
          <w:color w:val="auto"/>
          <w:sz w:val="18"/>
          <w:szCs w:val="18"/>
          <w:highlight w:val="none"/>
        </w:rPr>
        <w:t>大气污染物</w:t>
      </w:r>
      <w:r>
        <w:rPr>
          <w:rFonts w:ascii="宋体" w:hAnsi="宋体"/>
          <w:color w:val="auto"/>
          <w:sz w:val="18"/>
          <w:szCs w:val="18"/>
          <w:highlight w:val="none"/>
        </w:rPr>
        <w:fldChar w:fldCharType="end"/>
      </w:r>
      <w:r>
        <w:rPr>
          <w:rFonts w:ascii="宋体" w:hAnsi="宋体"/>
          <w:color w:val="auto"/>
          <w:sz w:val="18"/>
          <w:szCs w:val="18"/>
          <w:highlight w:val="none"/>
        </w:rPr>
        <w:t>的；</w:t>
      </w:r>
    </w:p>
    <w:p w14:paraId="3A9AB99E">
      <w:pPr>
        <w:ind w:firstLine="645"/>
        <w:jc w:val="left"/>
        <w:rPr>
          <w:rFonts w:ascii="宋体" w:hAnsi="宋体"/>
          <w:color w:val="auto"/>
          <w:sz w:val="18"/>
          <w:szCs w:val="18"/>
          <w:highlight w:val="none"/>
        </w:rPr>
      </w:pPr>
      <w:r>
        <w:rPr>
          <w:rFonts w:ascii="宋体" w:hAnsi="宋体"/>
          <w:color w:val="auto"/>
          <w:sz w:val="18"/>
          <w:szCs w:val="18"/>
          <w:highlight w:val="none"/>
        </w:rPr>
        <w:t>（七）非法排放、倾倒、处置危险废物，或者向无</w:t>
      </w:r>
      <w:r>
        <w:rPr>
          <w:rFonts w:ascii="宋体" w:hAnsi="宋体"/>
          <w:color w:val="auto"/>
          <w:sz w:val="18"/>
          <w:szCs w:val="18"/>
          <w:highlight w:val="none"/>
        </w:rPr>
        <w:fldChar w:fldCharType="begin"/>
      </w:r>
      <w:r>
        <w:rPr>
          <w:rFonts w:ascii="宋体" w:hAnsi="宋体"/>
          <w:color w:val="auto"/>
          <w:sz w:val="18"/>
          <w:szCs w:val="18"/>
          <w:highlight w:val="none"/>
        </w:rPr>
        <w:instrText xml:space="preserve"> HYPERLINK "https://baike.sogou.com/m/fullLemma?lid=5923292&amp;g_ut=3" \t "https://baike.sogou.com/m/_blank" </w:instrText>
      </w:r>
      <w:r>
        <w:rPr>
          <w:rFonts w:ascii="宋体" w:hAnsi="宋体"/>
          <w:color w:val="auto"/>
          <w:sz w:val="18"/>
          <w:szCs w:val="18"/>
          <w:highlight w:val="none"/>
        </w:rPr>
        <w:fldChar w:fldCharType="separate"/>
      </w:r>
      <w:r>
        <w:rPr>
          <w:rFonts w:ascii="宋体" w:hAnsi="宋体"/>
          <w:color w:val="auto"/>
          <w:sz w:val="18"/>
          <w:szCs w:val="18"/>
          <w:highlight w:val="none"/>
        </w:rPr>
        <w:t>经营许可证</w:t>
      </w:r>
      <w:r>
        <w:rPr>
          <w:rFonts w:ascii="宋体" w:hAnsi="宋体"/>
          <w:color w:val="auto"/>
          <w:sz w:val="18"/>
          <w:szCs w:val="18"/>
          <w:highlight w:val="none"/>
        </w:rPr>
        <w:fldChar w:fldCharType="end"/>
      </w:r>
      <w:r>
        <w:rPr>
          <w:rFonts w:ascii="宋体" w:hAnsi="宋体"/>
          <w:color w:val="auto"/>
          <w:sz w:val="18"/>
          <w:szCs w:val="18"/>
          <w:highlight w:val="none"/>
        </w:rPr>
        <w:t>或者超出经营许可范围的单位或个人提供或者委托其收集、贮存、利用、处置危险废物的；</w:t>
      </w:r>
    </w:p>
    <w:p w14:paraId="7F8ECD63">
      <w:pPr>
        <w:ind w:firstLine="645"/>
        <w:jc w:val="left"/>
        <w:rPr>
          <w:rFonts w:ascii="宋体" w:hAnsi="宋体"/>
          <w:color w:val="auto"/>
          <w:sz w:val="18"/>
          <w:szCs w:val="18"/>
          <w:highlight w:val="none"/>
        </w:rPr>
      </w:pPr>
      <w:r>
        <w:rPr>
          <w:rFonts w:ascii="宋体" w:hAnsi="宋体"/>
          <w:color w:val="auto"/>
          <w:sz w:val="18"/>
          <w:szCs w:val="18"/>
          <w:highlight w:val="none"/>
        </w:rPr>
        <w:t>（八）</w:t>
      </w:r>
      <w:r>
        <w:rPr>
          <w:rFonts w:ascii="宋体" w:hAnsi="宋体"/>
          <w:color w:val="auto"/>
          <w:sz w:val="18"/>
          <w:szCs w:val="18"/>
          <w:highlight w:val="none"/>
        </w:rPr>
        <w:fldChar w:fldCharType="begin"/>
      </w:r>
      <w:r>
        <w:rPr>
          <w:rFonts w:ascii="宋体" w:hAnsi="宋体"/>
          <w:color w:val="auto"/>
          <w:sz w:val="18"/>
          <w:szCs w:val="18"/>
          <w:highlight w:val="none"/>
        </w:rPr>
        <w:instrText xml:space="preserve"> HYPERLINK "https://baike.sogou.com/m/fullLemma?lid=167759803&amp;g_ut=3" \t "https://baike.sogou.com/m/_blank" </w:instrText>
      </w:r>
      <w:r>
        <w:rPr>
          <w:rFonts w:ascii="宋体" w:hAnsi="宋体"/>
          <w:color w:val="auto"/>
          <w:sz w:val="18"/>
          <w:szCs w:val="18"/>
          <w:highlight w:val="none"/>
        </w:rPr>
        <w:fldChar w:fldCharType="separate"/>
      </w:r>
      <w:r>
        <w:rPr>
          <w:rFonts w:ascii="宋体" w:hAnsi="宋体"/>
          <w:color w:val="auto"/>
          <w:sz w:val="18"/>
          <w:szCs w:val="18"/>
          <w:highlight w:val="none"/>
        </w:rPr>
        <w:t>环境违法行为</w:t>
      </w:r>
      <w:r>
        <w:rPr>
          <w:rFonts w:ascii="宋体" w:hAnsi="宋体"/>
          <w:color w:val="auto"/>
          <w:sz w:val="18"/>
          <w:szCs w:val="18"/>
          <w:highlight w:val="none"/>
        </w:rPr>
        <w:fldChar w:fldCharType="end"/>
      </w:r>
      <w:r>
        <w:rPr>
          <w:rFonts w:ascii="宋体" w:hAnsi="宋体"/>
          <w:color w:val="auto"/>
          <w:sz w:val="18"/>
          <w:szCs w:val="18"/>
          <w:highlight w:val="none"/>
        </w:rPr>
        <w:t>造成集中式生活饮用水水源取水中断的；</w:t>
      </w:r>
    </w:p>
    <w:p w14:paraId="1BB741E1">
      <w:pPr>
        <w:ind w:firstLine="645"/>
        <w:jc w:val="left"/>
        <w:rPr>
          <w:rFonts w:ascii="宋体" w:hAnsi="宋体"/>
          <w:color w:val="auto"/>
          <w:sz w:val="18"/>
          <w:szCs w:val="18"/>
          <w:highlight w:val="none"/>
        </w:rPr>
      </w:pPr>
      <w:r>
        <w:rPr>
          <w:rFonts w:ascii="宋体" w:hAnsi="宋体"/>
          <w:color w:val="auto"/>
          <w:sz w:val="18"/>
          <w:szCs w:val="18"/>
          <w:highlight w:val="none"/>
        </w:rPr>
        <w:t>（九）环境违法行为对生活饮用水水源保护区、自然保护区、</w:t>
      </w:r>
      <w:r>
        <w:rPr>
          <w:rFonts w:ascii="宋体" w:hAnsi="宋体"/>
          <w:color w:val="auto"/>
          <w:sz w:val="18"/>
          <w:szCs w:val="18"/>
          <w:highlight w:val="none"/>
        </w:rPr>
        <w:fldChar w:fldCharType="begin"/>
      </w:r>
      <w:r>
        <w:rPr>
          <w:rFonts w:ascii="宋体" w:hAnsi="宋体"/>
          <w:color w:val="auto"/>
          <w:sz w:val="18"/>
          <w:szCs w:val="18"/>
          <w:highlight w:val="none"/>
        </w:rPr>
        <w:instrText xml:space="preserve"> HYPERLINK "https://baike.sogou.com/m/fullLemma?lid=155199213&amp;g_ut=3" \t "https://baike.sogou.com/m/_blank" </w:instrText>
      </w:r>
      <w:r>
        <w:rPr>
          <w:rFonts w:ascii="宋体" w:hAnsi="宋体"/>
          <w:color w:val="auto"/>
          <w:sz w:val="18"/>
          <w:szCs w:val="18"/>
          <w:highlight w:val="none"/>
        </w:rPr>
        <w:fldChar w:fldCharType="separate"/>
      </w:r>
      <w:r>
        <w:rPr>
          <w:rFonts w:ascii="宋体" w:hAnsi="宋体"/>
          <w:color w:val="auto"/>
          <w:sz w:val="18"/>
          <w:szCs w:val="18"/>
          <w:highlight w:val="none"/>
        </w:rPr>
        <w:t>国家重点生态功能区</w:t>
      </w:r>
      <w:r>
        <w:rPr>
          <w:rFonts w:ascii="宋体" w:hAnsi="宋体"/>
          <w:color w:val="auto"/>
          <w:sz w:val="18"/>
          <w:szCs w:val="18"/>
          <w:highlight w:val="none"/>
        </w:rPr>
        <w:fldChar w:fldCharType="end"/>
      </w:r>
      <w:r>
        <w:rPr>
          <w:rFonts w:ascii="宋体" w:hAnsi="宋体"/>
          <w:color w:val="auto"/>
          <w:sz w:val="18"/>
          <w:szCs w:val="18"/>
          <w:highlight w:val="none"/>
        </w:rPr>
        <w:t>、风景名胜区、居住功能区、</w:t>
      </w:r>
      <w:r>
        <w:rPr>
          <w:rFonts w:ascii="宋体" w:hAnsi="宋体"/>
          <w:color w:val="auto"/>
          <w:sz w:val="18"/>
          <w:szCs w:val="18"/>
          <w:highlight w:val="none"/>
        </w:rPr>
        <w:fldChar w:fldCharType="begin"/>
      </w:r>
      <w:r>
        <w:rPr>
          <w:rFonts w:ascii="宋体" w:hAnsi="宋体"/>
          <w:color w:val="auto"/>
          <w:sz w:val="18"/>
          <w:szCs w:val="18"/>
          <w:highlight w:val="none"/>
        </w:rPr>
        <w:instrText xml:space="preserve"> HYPERLINK "https://baike.sogou.com/m/fullLemma?lid=7757164&amp;g_ut=3" \t "https://baike.sogou.com/m/_blank" </w:instrText>
      </w:r>
      <w:r>
        <w:rPr>
          <w:rFonts w:ascii="宋体" w:hAnsi="宋体"/>
          <w:color w:val="auto"/>
          <w:sz w:val="18"/>
          <w:szCs w:val="18"/>
          <w:highlight w:val="none"/>
        </w:rPr>
        <w:fldChar w:fldCharType="separate"/>
      </w:r>
      <w:r>
        <w:rPr>
          <w:rFonts w:ascii="宋体" w:hAnsi="宋体"/>
          <w:color w:val="auto"/>
          <w:sz w:val="18"/>
          <w:szCs w:val="18"/>
          <w:highlight w:val="none"/>
        </w:rPr>
        <w:t>基本农田保护区</w:t>
      </w:r>
      <w:r>
        <w:rPr>
          <w:rFonts w:ascii="宋体" w:hAnsi="宋体"/>
          <w:color w:val="auto"/>
          <w:sz w:val="18"/>
          <w:szCs w:val="18"/>
          <w:highlight w:val="none"/>
        </w:rPr>
        <w:fldChar w:fldCharType="end"/>
      </w:r>
      <w:r>
        <w:rPr>
          <w:rFonts w:ascii="宋体" w:hAnsi="宋体"/>
          <w:color w:val="auto"/>
          <w:sz w:val="18"/>
          <w:szCs w:val="18"/>
          <w:highlight w:val="none"/>
        </w:rPr>
        <w:t>等环境敏感区造成重大不利影响的；</w:t>
      </w:r>
    </w:p>
    <w:p w14:paraId="0B299200">
      <w:pPr>
        <w:ind w:firstLine="645"/>
        <w:jc w:val="left"/>
        <w:rPr>
          <w:rFonts w:ascii="宋体" w:hAnsi="宋体"/>
          <w:color w:val="auto"/>
          <w:sz w:val="18"/>
          <w:szCs w:val="18"/>
          <w:highlight w:val="none"/>
        </w:rPr>
      </w:pPr>
      <w:r>
        <w:rPr>
          <w:rFonts w:ascii="宋体" w:hAnsi="宋体"/>
          <w:color w:val="auto"/>
          <w:sz w:val="18"/>
          <w:szCs w:val="18"/>
          <w:highlight w:val="none"/>
        </w:rPr>
        <w:t>（十）违法从事自然资源开发、交通基础设施建设，以及其他开发建设活动，造成严重生态破坏的；</w:t>
      </w:r>
    </w:p>
    <w:p w14:paraId="343C6D78">
      <w:pPr>
        <w:ind w:firstLine="645"/>
        <w:jc w:val="left"/>
        <w:rPr>
          <w:rFonts w:ascii="宋体" w:hAnsi="宋体"/>
          <w:color w:val="auto"/>
          <w:sz w:val="18"/>
          <w:szCs w:val="18"/>
          <w:highlight w:val="none"/>
        </w:rPr>
      </w:pPr>
      <w:r>
        <w:rPr>
          <w:rFonts w:ascii="宋体" w:hAnsi="宋体"/>
          <w:color w:val="auto"/>
          <w:sz w:val="18"/>
          <w:szCs w:val="18"/>
          <w:highlight w:val="none"/>
        </w:rPr>
        <w:t>（十一）发生较大及以上突发环境事件的；</w:t>
      </w:r>
    </w:p>
    <w:p w14:paraId="2F72F4FE">
      <w:pPr>
        <w:ind w:firstLine="645"/>
        <w:jc w:val="left"/>
        <w:rPr>
          <w:rFonts w:ascii="宋体" w:hAnsi="宋体"/>
          <w:color w:val="auto"/>
          <w:sz w:val="18"/>
          <w:szCs w:val="18"/>
          <w:highlight w:val="none"/>
        </w:rPr>
      </w:pPr>
      <w:r>
        <w:rPr>
          <w:rFonts w:ascii="宋体" w:hAnsi="宋体"/>
          <w:color w:val="auto"/>
          <w:sz w:val="18"/>
          <w:szCs w:val="18"/>
          <w:highlight w:val="none"/>
        </w:rPr>
        <w:t>（十二）被环保部门挂牌督办，整改逾期未完成的；</w:t>
      </w:r>
    </w:p>
    <w:p w14:paraId="79C3C41A">
      <w:pPr>
        <w:ind w:firstLine="645"/>
        <w:jc w:val="left"/>
        <w:rPr>
          <w:rFonts w:ascii="宋体" w:hAnsi="宋体"/>
          <w:color w:val="auto"/>
          <w:sz w:val="18"/>
          <w:szCs w:val="18"/>
          <w:highlight w:val="none"/>
        </w:rPr>
      </w:pPr>
      <w:r>
        <w:rPr>
          <w:rFonts w:ascii="宋体" w:hAnsi="宋体"/>
          <w:color w:val="auto"/>
          <w:sz w:val="18"/>
          <w:szCs w:val="18"/>
          <w:highlight w:val="none"/>
        </w:rPr>
        <w:t>（十三）以暴力、威胁等方式拒绝、阻挠环保部门工作人员现场检查的；</w:t>
      </w:r>
    </w:p>
    <w:p w14:paraId="79048D75">
      <w:pPr>
        <w:ind w:firstLine="645"/>
        <w:jc w:val="left"/>
        <w:rPr>
          <w:rFonts w:hint="eastAsia" w:ascii="宋体" w:hAnsi="宋体"/>
          <w:color w:val="auto"/>
          <w:sz w:val="18"/>
          <w:szCs w:val="18"/>
          <w:highlight w:val="none"/>
        </w:rPr>
      </w:pPr>
      <w:r>
        <w:rPr>
          <w:rFonts w:ascii="宋体" w:hAnsi="宋体"/>
          <w:color w:val="auto"/>
          <w:sz w:val="18"/>
          <w:szCs w:val="18"/>
          <w:highlight w:val="none"/>
        </w:rPr>
        <w:t>（十四）违反重污染天气应急预案有关规定，对重污染天气响应不力的。</w:t>
      </w:r>
    </w:p>
    <w:p w14:paraId="33096A91">
      <w:pPr>
        <w:ind w:firstLine="645"/>
        <w:jc w:val="left"/>
        <w:rPr>
          <w:rFonts w:hint="eastAsia" w:ascii="宋体" w:hAnsi="宋体"/>
          <w:b/>
          <w:color w:val="auto"/>
          <w:sz w:val="18"/>
          <w:szCs w:val="18"/>
          <w:highlight w:val="none"/>
        </w:rPr>
      </w:pPr>
      <w:r>
        <w:rPr>
          <w:rFonts w:hint="eastAsia" w:ascii="宋体" w:hAnsi="宋体"/>
          <w:b/>
          <w:color w:val="auto"/>
          <w:sz w:val="18"/>
          <w:szCs w:val="18"/>
          <w:highlight w:val="none"/>
        </w:rPr>
        <w:t>依据：《</w:t>
      </w:r>
      <w:r>
        <w:rPr>
          <w:rFonts w:ascii="宋体" w:hAnsi="宋体"/>
          <w:b/>
          <w:color w:val="auto"/>
          <w:sz w:val="18"/>
          <w:szCs w:val="18"/>
          <w:highlight w:val="none"/>
        </w:rPr>
        <w:t>关于对环境保护领域失信生产经营单位及其有关人员开展联合惩戒的合作备忘录</w:t>
      </w:r>
      <w:r>
        <w:rPr>
          <w:rFonts w:hint="eastAsia" w:ascii="宋体" w:hAnsi="宋体"/>
          <w:b/>
          <w:color w:val="auto"/>
          <w:sz w:val="18"/>
          <w:szCs w:val="18"/>
          <w:highlight w:val="none"/>
        </w:rPr>
        <w:t>》、</w:t>
      </w:r>
      <w:r>
        <w:rPr>
          <w:rFonts w:ascii="宋体" w:hAnsi="宋体"/>
          <w:b/>
          <w:color w:val="auto"/>
          <w:sz w:val="18"/>
          <w:szCs w:val="18"/>
          <w:highlight w:val="none"/>
        </w:rPr>
        <w:t>《企业环境信用评价办法（试行）》</w:t>
      </w:r>
      <w:r>
        <w:rPr>
          <w:rFonts w:hint="eastAsia" w:ascii="宋体" w:hAnsi="宋体"/>
          <w:b/>
          <w:color w:val="auto"/>
          <w:sz w:val="18"/>
          <w:szCs w:val="18"/>
          <w:highlight w:val="none"/>
        </w:rPr>
        <w:t>（</w:t>
      </w:r>
      <w:r>
        <w:rPr>
          <w:rFonts w:ascii="宋体" w:hAnsi="宋体"/>
          <w:b/>
          <w:color w:val="auto"/>
          <w:sz w:val="18"/>
          <w:szCs w:val="18"/>
          <w:highlight w:val="none"/>
        </w:rPr>
        <w:t>环发〔2013〕150号</w:t>
      </w:r>
      <w:r>
        <w:rPr>
          <w:rFonts w:hint="eastAsia" w:ascii="宋体" w:hAnsi="宋体"/>
          <w:b/>
          <w:color w:val="auto"/>
          <w:sz w:val="18"/>
          <w:szCs w:val="18"/>
          <w:highlight w:val="none"/>
        </w:rPr>
        <w:t>）</w:t>
      </w:r>
    </w:p>
    <w:p w14:paraId="1C2FC1A1">
      <w:pPr>
        <w:ind w:firstLine="645"/>
        <w:jc w:val="left"/>
        <w:rPr>
          <w:rFonts w:ascii="宋体" w:hAnsi="宋体"/>
          <w:b/>
          <w:color w:val="auto"/>
          <w:sz w:val="18"/>
          <w:szCs w:val="18"/>
          <w:highlight w:val="none"/>
        </w:rPr>
      </w:pPr>
      <w:r>
        <w:rPr>
          <w:rFonts w:hint="eastAsia" w:ascii="宋体" w:hAnsi="宋体"/>
          <w:b/>
          <w:color w:val="auto"/>
          <w:sz w:val="18"/>
          <w:szCs w:val="18"/>
          <w:highlight w:val="none"/>
        </w:rPr>
        <w:t>三、</w:t>
      </w:r>
      <w:r>
        <w:rPr>
          <w:rFonts w:hint="eastAsia" w:ascii="宋体" w:hAnsi="宋体"/>
          <w:b/>
          <w:bCs/>
          <w:color w:val="auto"/>
          <w:sz w:val="18"/>
          <w:szCs w:val="18"/>
          <w:highlight w:val="none"/>
        </w:rPr>
        <w:t>公共资源交易领域严重失信行为</w:t>
      </w:r>
    </w:p>
    <w:p w14:paraId="3164777F">
      <w:pPr>
        <w:ind w:firstLine="645"/>
        <w:jc w:val="left"/>
        <w:rPr>
          <w:rFonts w:hint="eastAsia"/>
          <w:color w:val="auto"/>
          <w:sz w:val="18"/>
          <w:szCs w:val="18"/>
          <w:highlight w:val="none"/>
        </w:rPr>
      </w:pPr>
      <w:r>
        <w:rPr>
          <w:color w:val="auto"/>
          <w:sz w:val="18"/>
          <w:szCs w:val="18"/>
          <w:highlight w:val="none"/>
        </w:rPr>
        <w:t xml:space="preserve">（一）违反法律规定，必须进行招标的项目而不招标的，将必须进行招标的项目化整为零或者以其他任何方式规避招标的； </w:t>
      </w:r>
    </w:p>
    <w:p w14:paraId="1334C50B">
      <w:pPr>
        <w:ind w:firstLine="645"/>
        <w:jc w:val="left"/>
        <w:rPr>
          <w:rFonts w:hint="eastAsia"/>
          <w:color w:val="auto"/>
          <w:sz w:val="18"/>
          <w:szCs w:val="18"/>
          <w:highlight w:val="none"/>
        </w:rPr>
      </w:pPr>
      <w:r>
        <w:rPr>
          <w:color w:val="auto"/>
          <w:sz w:val="18"/>
          <w:szCs w:val="18"/>
          <w:highlight w:val="none"/>
        </w:rPr>
        <w:t>（二）招标代理机构违反法律规定，泄露应当保密的与招标投标活动有关的情况和资料的，或者与招标人、投标人串通损害国家利益</w:t>
      </w:r>
      <w:r>
        <w:rPr>
          <w:rFonts w:hint="eastAsia"/>
          <w:color w:val="auto"/>
          <w:sz w:val="18"/>
          <w:szCs w:val="18"/>
          <w:highlight w:val="none"/>
        </w:rPr>
        <w:t>、</w:t>
      </w:r>
      <w:r>
        <w:rPr>
          <w:color w:val="auto"/>
          <w:sz w:val="18"/>
          <w:szCs w:val="18"/>
          <w:highlight w:val="none"/>
        </w:rPr>
        <w:t>社会公共利益或者他人合法权益的；</w:t>
      </w:r>
    </w:p>
    <w:p w14:paraId="59E3A0A7">
      <w:pPr>
        <w:ind w:firstLine="645"/>
        <w:jc w:val="left"/>
        <w:rPr>
          <w:rFonts w:hint="eastAsia"/>
          <w:color w:val="auto"/>
          <w:sz w:val="18"/>
          <w:szCs w:val="18"/>
          <w:highlight w:val="none"/>
        </w:rPr>
      </w:pPr>
      <w:r>
        <w:rPr>
          <w:color w:val="auto"/>
          <w:sz w:val="18"/>
          <w:szCs w:val="18"/>
          <w:highlight w:val="none"/>
        </w:rPr>
        <w:t xml:space="preserve"> （三）招标人以不合理的条件限制或者排斥潜在投标人的，对潜在投标人实行歧视待遇的，强制要求投标人组成联合体共同投标的</w:t>
      </w:r>
      <w:r>
        <w:rPr>
          <w:rFonts w:hint="eastAsia"/>
          <w:color w:val="auto"/>
          <w:sz w:val="18"/>
          <w:szCs w:val="18"/>
          <w:highlight w:val="none"/>
        </w:rPr>
        <w:t>，</w:t>
      </w:r>
      <w:r>
        <w:rPr>
          <w:color w:val="auto"/>
          <w:sz w:val="18"/>
          <w:szCs w:val="18"/>
          <w:highlight w:val="none"/>
        </w:rPr>
        <w:t>或者限制投标人之间竞争的；</w:t>
      </w:r>
    </w:p>
    <w:p w14:paraId="5ECF81EC">
      <w:pPr>
        <w:ind w:firstLine="645"/>
        <w:jc w:val="left"/>
        <w:rPr>
          <w:rFonts w:hint="eastAsia"/>
          <w:color w:val="auto"/>
          <w:sz w:val="18"/>
          <w:szCs w:val="18"/>
          <w:highlight w:val="none"/>
        </w:rPr>
      </w:pPr>
      <w:r>
        <w:rPr>
          <w:color w:val="auto"/>
          <w:sz w:val="18"/>
          <w:szCs w:val="18"/>
          <w:highlight w:val="none"/>
        </w:rPr>
        <w:t xml:space="preserve"> （四）依法必须进行招标的项目的招标人向他人透露已获取招标文件的潜在投标人的名称、数量或者可能影响公平竞争的有关招标投标的其他情况的，或者泄露标底的；</w:t>
      </w:r>
    </w:p>
    <w:p w14:paraId="7D561C14">
      <w:pPr>
        <w:ind w:firstLine="645"/>
        <w:jc w:val="left"/>
        <w:rPr>
          <w:rFonts w:hint="eastAsia"/>
          <w:color w:val="auto"/>
          <w:sz w:val="18"/>
          <w:szCs w:val="18"/>
          <w:highlight w:val="none"/>
        </w:rPr>
      </w:pPr>
      <w:r>
        <w:rPr>
          <w:color w:val="auto"/>
          <w:sz w:val="18"/>
          <w:szCs w:val="18"/>
          <w:highlight w:val="none"/>
        </w:rPr>
        <w:t xml:space="preserve"> （五）投标人相互串通投标或者与招标人串通投标的，投标人以向招标人或者评标委员会成员行贿的手段谋取中标的； </w:t>
      </w:r>
    </w:p>
    <w:p w14:paraId="431F7251">
      <w:pPr>
        <w:ind w:firstLine="572" w:firstLineChars="318"/>
        <w:jc w:val="left"/>
        <w:rPr>
          <w:rFonts w:hint="eastAsia"/>
          <w:color w:val="auto"/>
          <w:sz w:val="18"/>
          <w:szCs w:val="18"/>
          <w:highlight w:val="none"/>
        </w:rPr>
      </w:pPr>
      <w:r>
        <w:rPr>
          <w:color w:val="auto"/>
          <w:sz w:val="18"/>
          <w:szCs w:val="18"/>
          <w:highlight w:val="none"/>
        </w:rPr>
        <w:t>（六）投标人以他人名义投标或者以其他方式弄虚作假</w:t>
      </w:r>
      <w:r>
        <w:rPr>
          <w:rFonts w:hint="eastAsia"/>
          <w:color w:val="auto"/>
          <w:sz w:val="18"/>
          <w:szCs w:val="18"/>
          <w:highlight w:val="none"/>
        </w:rPr>
        <w:t>，</w:t>
      </w:r>
      <w:r>
        <w:rPr>
          <w:color w:val="auto"/>
          <w:sz w:val="18"/>
          <w:szCs w:val="18"/>
          <w:highlight w:val="none"/>
        </w:rPr>
        <w:t>骗取中标的；</w:t>
      </w:r>
    </w:p>
    <w:p w14:paraId="03D647A2">
      <w:pPr>
        <w:ind w:firstLine="645"/>
        <w:jc w:val="left"/>
        <w:rPr>
          <w:rFonts w:hint="eastAsia"/>
          <w:color w:val="auto"/>
          <w:sz w:val="18"/>
          <w:szCs w:val="18"/>
          <w:highlight w:val="none"/>
        </w:rPr>
      </w:pPr>
      <w:r>
        <w:rPr>
          <w:color w:val="auto"/>
          <w:sz w:val="18"/>
          <w:szCs w:val="18"/>
          <w:highlight w:val="none"/>
        </w:rPr>
        <w:t xml:space="preserve"> （七）依法必须进行招标的项目，招标人违反法律规定，与投标人就投标价格、投标方案等实质性内容进行谈判的；</w:t>
      </w:r>
    </w:p>
    <w:p w14:paraId="44E637F3">
      <w:pPr>
        <w:ind w:firstLine="645"/>
        <w:jc w:val="left"/>
        <w:rPr>
          <w:rFonts w:hint="eastAsia"/>
          <w:color w:val="auto"/>
          <w:sz w:val="18"/>
          <w:szCs w:val="18"/>
          <w:highlight w:val="none"/>
        </w:rPr>
      </w:pPr>
      <w:r>
        <w:rPr>
          <w:color w:val="auto"/>
          <w:sz w:val="18"/>
          <w:szCs w:val="18"/>
          <w:highlight w:val="none"/>
        </w:rPr>
        <w:t xml:space="preserve">（八）评标委员会成员收受投标人的财物或者其他好处的，评标委员会成员或者参加评标的有关工作人员向他人透露对投标文件的评审和比较、中标候选人的推荐以及与评标有关的其他情况的； </w:t>
      </w:r>
    </w:p>
    <w:p w14:paraId="65C00D37">
      <w:pPr>
        <w:ind w:firstLine="645"/>
        <w:jc w:val="left"/>
        <w:rPr>
          <w:rFonts w:hint="eastAsia"/>
          <w:color w:val="auto"/>
          <w:sz w:val="18"/>
          <w:szCs w:val="18"/>
          <w:highlight w:val="none"/>
        </w:rPr>
      </w:pPr>
      <w:r>
        <w:rPr>
          <w:color w:val="auto"/>
          <w:sz w:val="18"/>
          <w:szCs w:val="18"/>
          <w:highlight w:val="none"/>
        </w:rPr>
        <w:t xml:space="preserve">（九）招标人在评标委员会依法推荐的中标候选人以外确定中标人的，依法必须进行招标的项目在所有投标被评标委员会否决后自行确定中标人的； </w:t>
      </w:r>
    </w:p>
    <w:p w14:paraId="64A90662">
      <w:pPr>
        <w:ind w:firstLine="645"/>
        <w:jc w:val="left"/>
        <w:rPr>
          <w:rFonts w:hint="eastAsia"/>
          <w:color w:val="auto"/>
          <w:sz w:val="18"/>
          <w:szCs w:val="18"/>
          <w:highlight w:val="none"/>
        </w:rPr>
      </w:pPr>
      <w:r>
        <w:rPr>
          <w:color w:val="auto"/>
          <w:sz w:val="18"/>
          <w:szCs w:val="18"/>
          <w:highlight w:val="none"/>
        </w:rPr>
        <w:t xml:space="preserve">（十）中标人将中标项目转让给他人的，将中标项目肢解后分别转让给他人的，违反法律规定将中标项目的部分主体、关键性工作分包给他人的，或者分包人再次分包的； </w:t>
      </w:r>
    </w:p>
    <w:p w14:paraId="005C99A5">
      <w:pPr>
        <w:ind w:firstLine="645"/>
        <w:jc w:val="left"/>
        <w:rPr>
          <w:rFonts w:hint="eastAsia"/>
          <w:color w:val="auto"/>
          <w:sz w:val="18"/>
          <w:szCs w:val="18"/>
          <w:highlight w:val="none"/>
        </w:rPr>
      </w:pPr>
      <w:r>
        <w:rPr>
          <w:color w:val="auto"/>
          <w:sz w:val="18"/>
          <w:szCs w:val="18"/>
          <w:highlight w:val="none"/>
        </w:rPr>
        <w:t xml:space="preserve">（十一）招标人与中标人不按照招标文件和中标人的投标文件订立合同的，或者招标人、中标人订立背离合同实质性内容的协议的； </w:t>
      </w:r>
    </w:p>
    <w:p w14:paraId="305EF9CD">
      <w:pPr>
        <w:ind w:firstLine="645"/>
        <w:jc w:val="left"/>
        <w:rPr>
          <w:rFonts w:hint="eastAsia"/>
          <w:color w:val="auto"/>
          <w:sz w:val="18"/>
          <w:szCs w:val="18"/>
          <w:highlight w:val="none"/>
        </w:rPr>
      </w:pPr>
      <w:r>
        <w:rPr>
          <w:color w:val="auto"/>
          <w:sz w:val="18"/>
          <w:szCs w:val="18"/>
          <w:highlight w:val="none"/>
        </w:rPr>
        <w:t xml:space="preserve">（十二）中标人不按照与招标人订立的合同履行义务，情节严重的； </w:t>
      </w:r>
    </w:p>
    <w:p w14:paraId="3DB8B5ED">
      <w:pPr>
        <w:ind w:firstLine="645"/>
        <w:jc w:val="left"/>
        <w:rPr>
          <w:rFonts w:hint="eastAsia"/>
          <w:color w:val="auto"/>
          <w:sz w:val="18"/>
          <w:szCs w:val="18"/>
          <w:highlight w:val="none"/>
        </w:rPr>
      </w:pPr>
      <w:r>
        <w:rPr>
          <w:color w:val="auto"/>
          <w:sz w:val="18"/>
          <w:szCs w:val="18"/>
          <w:highlight w:val="none"/>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11200393">
      <w:pPr>
        <w:ind w:firstLine="645"/>
        <w:jc w:val="left"/>
        <w:rPr>
          <w:rFonts w:hint="eastAsia"/>
          <w:color w:val="auto"/>
          <w:sz w:val="18"/>
          <w:szCs w:val="18"/>
          <w:highlight w:val="none"/>
        </w:rPr>
      </w:pPr>
      <w:r>
        <w:rPr>
          <w:color w:val="auto"/>
          <w:sz w:val="18"/>
          <w:szCs w:val="18"/>
          <w:highlight w:val="none"/>
        </w:rPr>
        <w:t xml:space="preserve"> （十四）采购人、采购代理机构及其工作人员存在与供应商或者采购代理机构恶意串通，在采购过程中接受贿赂或者获取其他不正当利益，在有关部门依法实施的监督检查中提供虚假情况</w:t>
      </w:r>
      <w:r>
        <w:rPr>
          <w:rFonts w:hint="eastAsia"/>
          <w:color w:val="auto"/>
          <w:sz w:val="18"/>
          <w:szCs w:val="18"/>
          <w:highlight w:val="none"/>
        </w:rPr>
        <w:t>，</w:t>
      </w:r>
      <w:r>
        <w:rPr>
          <w:color w:val="auto"/>
          <w:sz w:val="18"/>
          <w:szCs w:val="18"/>
          <w:highlight w:val="none"/>
        </w:rPr>
        <w:t>或者开标前泄露标底等情形的；</w:t>
      </w:r>
    </w:p>
    <w:p w14:paraId="2ACF293A">
      <w:pPr>
        <w:ind w:firstLine="645"/>
        <w:jc w:val="left"/>
        <w:rPr>
          <w:rFonts w:hint="eastAsia"/>
          <w:color w:val="auto"/>
          <w:sz w:val="18"/>
          <w:szCs w:val="18"/>
          <w:highlight w:val="none"/>
        </w:rPr>
      </w:pPr>
      <w:r>
        <w:rPr>
          <w:color w:val="auto"/>
          <w:sz w:val="18"/>
          <w:szCs w:val="18"/>
          <w:highlight w:val="none"/>
        </w:rPr>
        <w:t xml:space="preserve"> （十五）采购人对应当实行集中采购的政府采购项目，不委托集中采购机构实行集中采购的； </w:t>
      </w:r>
    </w:p>
    <w:p w14:paraId="0E8FE351">
      <w:pPr>
        <w:ind w:firstLine="645"/>
        <w:jc w:val="left"/>
        <w:rPr>
          <w:rFonts w:hint="eastAsia"/>
          <w:color w:val="auto"/>
          <w:sz w:val="18"/>
          <w:szCs w:val="18"/>
          <w:highlight w:val="none"/>
        </w:rPr>
      </w:pPr>
      <w:r>
        <w:rPr>
          <w:color w:val="auto"/>
          <w:sz w:val="18"/>
          <w:szCs w:val="18"/>
          <w:highlight w:val="none"/>
        </w:rPr>
        <w:t xml:space="preserve">（十六）采购人、采购代理机构违反法律规定隐匿、销毁应当保存的采购文件或者伪造、变造采购文件的； </w:t>
      </w:r>
    </w:p>
    <w:p w14:paraId="1E46497C">
      <w:pPr>
        <w:ind w:firstLine="645"/>
        <w:jc w:val="left"/>
        <w:rPr>
          <w:rFonts w:hint="eastAsia"/>
          <w:color w:val="auto"/>
          <w:sz w:val="18"/>
          <w:szCs w:val="18"/>
          <w:highlight w:val="none"/>
        </w:rPr>
      </w:pPr>
      <w:r>
        <w:rPr>
          <w:color w:val="auto"/>
          <w:sz w:val="18"/>
          <w:szCs w:val="18"/>
          <w:highlight w:val="none"/>
        </w:rPr>
        <w:t xml:space="preserve">（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 </w:t>
      </w:r>
    </w:p>
    <w:p w14:paraId="4FDCED44">
      <w:pPr>
        <w:ind w:left="704" w:leftChars="307" w:hanging="90" w:hangingChars="50"/>
        <w:jc w:val="left"/>
        <w:rPr>
          <w:rFonts w:hint="eastAsia"/>
          <w:color w:val="auto"/>
          <w:sz w:val="18"/>
          <w:szCs w:val="18"/>
          <w:highlight w:val="none"/>
        </w:rPr>
      </w:pPr>
      <w:r>
        <w:rPr>
          <w:color w:val="auto"/>
          <w:sz w:val="18"/>
          <w:szCs w:val="18"/>
          <w:highlight w:val="none"/>
        </w:rPr>
        <w:t xml:space="preserve">（十八）疫苗生产企业向县级疾病预防控制机构以外的单位或者个人销售第二类疫苗的； </w:t>
      </w:r>
    </w:p>
    <w:p w14:paraId="1AA094BA">
      <w:pPr>
        <w:ind w:left="704" w:leftChars="307" w:hanging="90" w:hangingChars="50"/>
        <w:jc w:val="left"/>
        <w:rPr>
          <w:rFonts w:hint="eastAsia" w:ascii="宋体" w:hAnsi="宋体"/>
          <w:color w:val="auto"/>
          <w:sz w:val="18"/>
          <w:szCs w:val="18"/>
          <w:highlight w:val="none"/>
        </w:rPr>
      </w:pPr>
      <w:r>
        <w:rPr>
          <w:color w:val="auto"/>
          <w:sz w:val="18"/>
          <w:szCs w:val="18"/>
          <w:highlight w:val="none"/>
        </w:rPr>
        <w:t>（十九）存在其他违反公共资源交易法律法规行为的。</w:t>
      </w:r>
    </w:p>
    <w:p w14:paraId="1F0F0FEF">
      <w:pPr>
        <w:ind w:firstLine="575" w:firstLineChars="318"/>
        <w:jc w:val="left"/>
        <w:rPr>
          <w:rFonts w:ascii="宋体" w:hAnsi="宋体"/>
          <w:b/>
          <w:color w:val="auto"/>
          <w:sz w:val="18"/>
          <w:szCs w:val="18"/>
          <w:highlight w:val="none"/>
        </w:rPr>
      </w:pPr>
      <w:r>
        <w:rPr>
          <w:rFonts w:hint="eastAsia" w:ascii="宋体" w:hAnsi="宋体"/>
          <w:b/>
          <w:color w:val="auto"/>
          <w:sz w:val="18"/>
          <w:szCs w:val="18"/>
          <w:highlight w:val="none"/>
        </w:rPr>
        <w:t>依据：《关于对公共资源交易领域严重失信主体开展联合惩戒的备忘录》</w:t>
      </w:r>
      <w:r>
        <w:rPr>
          <w:rFonts w:hint="eastAsia" w:ascii="宋体" w:hAnsi="宋体"/>
          <w:b/>
          <w:color w:val="auto"/>
          <w:sz w:val="18"/>
          <w:szCs w:val="18"/>
          <w:highlight w:val="none"/>
          <w:lang w:eastAsia="zh-CN"/>
        </w:rPr>
        <w:t>（</w:t>
      </w:r>
      <w:r>
        <w:rPr>
          <w:rFonts w:hint="eastAsia" w:ascii="宋体" w:hAnsi="宋体" w:eastAsia="宋体" w:cs="Times New Roman"/>
          <w:b/>
          <w:i w:val="0"/>
          <w:caps w:val="0"/>
          <w:color w:val="auto"/>
          <w:spacing w:val="0"/>
          <w:sz w:val="18"/>
          <w:szCs w:val="18"/>
          <w:highlight w:val="none"/>
          <w:shd w:val="clear" w:color="auto" w:fill="auto"/>
        </w:rPr>
        <w:t>发改法规〔2018〕457号</w:t>
      </w:r>
      <w:r>
        <w:rPr>
          <w:rFonts w:hint="eastAsia" w:ascii="宋体" w:hAnsi="宋体"/>
          <w:b/>
          <w:color w:val="auto"/>
          <w:sz w:val="18"/>
          <w:szCs w:val="18"/>
          <w:highlight w:val="none"/>
          <w:lang w:eastAsia="zh-CN"/>
        </w:rPr>
        <w:t>）</w:t>
      </w:r>
    </w:p>
    <w:p w14:paraId="5A4E944B">
      <w:pPr>
        <w:ind w:firstLine="645"/>
        <w:jc w:val="left"/>
        <w:rPr>
          <w:rFonts w:hint="eastAsia" w:ascii="宋体" w:hAnsi="宋体"/>
          <w:color w:val="auto"/>
          <w:sz w:val="18"/>
          <w:szCs w:val="18"/>
          <w:highlight w:val="none"/>
        </w:rPr>
      </w:pPr>
    </w:p>
    <w:p w14:paraId="0FB58EFC">
      <w:pPr>
        <w:ind w:firstLine="645"/>
        <w:jc w:val="left"/>
        <w:rPr>
          <w:rFonts w:hint="eastAsia" w:ascii="宋体" w:hAnsi="宋体"/>
          <w:b/>
          <w:bCs/>
          <w:color w:val="auto"/>
          <w:sz w:val="18"/>
          <w:szCs w:val="18"/>
          <w:highlight w:val="none"/>
        </w:rPr>
      </w:pPr>
      <w:r>
        <w:rPr>
          <w:rFonts w:hint="eastAsia" w:ascii="宋体" w:hAnsi="宋体"/>
          <w:b/>
          <w:color w:val="auto"/>
          <w:sz w:val="18"/>
          <w:szCs w:val="18"/>
          <w:highlight w:val="none"/>
        </w:rPr>
        <w:t>四、</w:t>
      </w:r>
      <w:r>
        <w:rPr>
          <w:rFonts w:hint="eastAsia" w:ascii="宋体" w:hAnsi="宋体"/>
          <w:b/>
          <w:bCs/>
          <w:color w:val="auto"/>
          <w:sz w:val="18"/>
          <w:szCs w:val="18"/>
          <w:highlight w:val="none"/>
        </w:rPr>
        <w:t>社会保险领域严重失信行为</w:t>
      </w:r>
    </w:p>
    <w:p w14:paraId="3935A08A">
      <w:pPr>
        <w:ind w:left="704" w:leftChars="307" w:hanging="90" w:hangingChars="50"/>
        <w:jc w:val="left"/>
        <w:rPr>
          <w:rFonts w:hint="eastAsia"/>
          <w:color w:val="auto"/>
          <w:sz w:val="18"/>
          <w:szCs w:val="18"/>
          <w:highlight w:val="none"/>
        </w:rPr>
      </w:pPr>
      <w:r>
        <w:rPr>
          <w:color w:val="auto"/>
          <w:sz w:val="18"/>
          <w:szCs w:val="18"/>
          <w:highlight w:val="none"/>
        </w:rPr>
        <w:t xml:space="preserve">（一）用人单位未按相关规定参加社会保险且拒不整改的； </w:t>
      </w:r>
    </w:p>
    <w:p w14:paraId="744B7A2E">
      <w:pPr>
        <w:ind w:left="704" w:leftChars="307" w:hanging="90" w:hangingChars="50"/>
        <w:jc w:val="left"/>
        <w:rPr>
          <w:rFonts w:hint="eastAsia"/>
          <w:color w:val="auto"/>
          <w:sz w:val="18"/>
          <w:szCs w:val="18"/>
          <w:highlight w:val="none"/>
        </w:rPr>
      </w:pPr>
      <w:r>
        <w:rPr>
          <w:color w:val="auto"/>
          <w:sz w:val="18"/>
          <w:szCs w:val="18"/>
          <w:highlight w:val="none"/>
        </w:rPr>
        <w:t xml:space="preserve">（二）用人单位未如实申报社会保险缴费基数且拒不整改的； </w:t>
      </w:r>
    </w:p>
    <w:p w14:paraId="69F45BE2">
      <w:pPr>
        <w:ind w:left="704" w:leftChars="307" w:hanging="90" w:hangingChars="50"/>
        <w:jc w:val="left"/>
        <w:rPr>
          <w:rFonts w:hint="eastAsia"/>
          <w:color w:val="auto"/>
          <w:sz w:val="18"/>
          <w:szCs w:val="18"/>
          <w:highlight w:val="none"/>
        </w:rPr>
      </w:pPr>
      <w:r>
        <w:rPr>
          <w:color w:val="auto"/>
          <w:sz w:val="18"/>
          <w:szCs w:val="18"/>
          <w:highlight w:val="none"/>
        </w:rPr>
        <w:t xml:space="preserve">（三）应缴纳社会保险费却拒不缴纳的； </w:t>
      </w:r>
    </w:p>
    <w:p w14:paraId="67D3A0D3">
      <w:pPr>
        <w:ind w:left="704" w:leftChars="307" w:hanging="90" w:hangingChars="50"/>
        <w:jc w:val="left"/>
        <w:rPr>
          <w:rFonts w:hint="eastAsia"/>
          <w:color w:val="auto"/>
          <w:sz w:val="18"/>
          <w:szCs w:val="18"/>
          <w:highlight w:val="none"/>
        </w:rPr>
      </w:pPr>
      <w:r>
        <w:rPr>
          <w:color w:val="auto"/>
          <w:sz w:val="18"/>
          <w:szCs w:val="18"/>
          <w:highlight w:val="none"/>
        </w:rPr>
        <w:t>（四）隐匿、转移、侵占、挪用社会保险费款、基金或者违规投资运营的；</w:t>
      </w:r>
    </w:p>
    <w:p w14:paraId="04964E4D">
      <w:pPr>
        <w:ind w:left="704" w:leftChars="307" w:hanging="90" w:hangingChars="50"/>
        <w:jc w:val="left"/>
        <w:rPr>
          <w:rFonts w:hint="eastAsia"/>
          <w:color w:val="auto"/>
          <w:sz w:val="18"/>
          <w:szCs w:val="18"/>
          <w:highlight w:val="none"/>
        </w:rPr>
      </w:pPr>
      <w:r>
        <w:rPr>
          <w:color w:val="auto"/>
          <w:sz w:val="18"/>
          <w:szCs w:val="18"/>
          <w:highlight w:val="none"/>
        </w:rPr>
        <w:t xml:space="preserve">（五）以欺诈、伪造证明材料或者其他手段参加、申报社会保险和骗取社会保险基金支出或社会保险待遇的； </w:t>
      </w:r>
    </w:p>
    <w:p w14:paraId="2C3E7C09">
      <w:pPr>
        <w:ind w:left="704" w:leftChars="307" w:hanging="90" w:hangingChars="50"/>
        <w:jc w:val="left"/>
        <w:rPr>
          <w:rFonts w:hint="eastAsia"/>
          <w:color w:val="auto"/>
          <w:sz w:val="18"/>
          <w:szCs w:val="18"/>
          <w:highlight w:val="none"/>
        </w:rPr>
      </w:pPr>
      <w:r>
        <w:rPr>
          <w:color w:val="auto"/>
          <w:sz w:val="18"/>
          <w:szCs w:val="18"/>
          <w:highlight w:val="none"/>
        </w:rPr>
        <w:t xml:space="preserve">（六）非法获取、出售或变相交易社会保险个人权益数据的； </w:t>
      </w:r>
    </w:p>
    <w:p w14:paraId="24F60C8E">
      <w:pPr>
        <w:ind w:left="704" w:leftChars="307" w:hanging="90" w:hangingChars="50"/>
        <w:jc w:val="left"/>
        <w:rPr>
          <w:rFonts w:hint="eastAsia"/>
          <w:color w:val="auto"/>
          <w:sz w:val="18"/>
          <w:szCs w:val="18"/>
          <w:highlight w:val="none"/>
        </w:rPr>
      </w:pPr>
      <w:r>
        <w:rPr>
          <w:color w:val="auto"/>
          <w:sz w:val="18"/>
          <w:szCs w:val="18"/>
          <w:highlight w:val="none"/>
        </w:rPr>
        <w:t xml:space="preserve">（七）社会保险服务机构违反服务协议或相关规定的； </w:t>
      </w:r>
    </w:p>
    <w:p w14:paraId="20982D2C">
      <w:pPr>
        <w:ind w:left="704" w:leftChars="307" w:hanging="90" w:hangingChars="50"/>
        <w:jc w:val="left"/>
        <w:rPr>
          <w:rFonts w:hint="eastAsia"/>
          <w:color w:val="auto"/>
          <w:sz w:val="18"/>
          <w:szCs w:val="18"/>
          <w:highlight w:val="none"/>
        </w:rPr>
      </w:pPr>
      <w:r>
        <w:rPr>
          <w:color w:val="auto"/>
          <w:sz w:val="18"/>
          <w:szCs w:val="18"/>
          <w:highlight w:val="none"/>
        </w:rPr>
        <w:t xml:space="preserve">（八）拒绝协助社会保险行政部门、经办机构对事故和问题进 行调查核实的；拒绝接受或协助税务部门对社会保险实施监督检查， 不如实提供与社会保险相关各项资料的； </w:t>
      </w:r>
    </w:p>
    <w:p w14:paraId="30D2A098">
      <w:pPr>
        <w:ind w:left="704" w:leftChars="307" w:hanging="90" w:hangingChars="50"/>
        <w:jc w:val="left"/>
        <w:rPr>
          <w:rFonts w:hint="eastAsia"/>
          <w:color w:val="auto"/>
          <w:sz w:val="18"/>
          <w:szCs w:val="18"/>
          <w:highlight w:val="none"/>
        </w:rPr>
      </w:pPr>
      <w:r>
        <w:rPr>
          <w:color w:val="auto"/>
          <w:sz w:val="18"/>
          <w:szCs w:val="18"/>
          <w:highlight w:val="none"/>
        </w:rPr>
        <w:t>（九）其他违反法律法规规定的。</w:t>
      </w:r>
    </w:p>
    <w:p w14:paraId="7CE8F343">
      <w:pPr>
        <w:ind w:left="1045" w:leftChars="342" w:hanging="361" w:hangingChars="200"/>
        <w:jc w:val="left"/>
        <w:rPr>
          <w:rFonts w:hint="eastAsia"/>
          <w:b/>
          <w:color w:val="auto"/>
          <w:sz w:val="18"/>
          <w:szCs w:val="18"/>
          <w:highlight w:val="none"/>
        </w:rPr>
      </w:pPr>
      <w:r>
        <w:rPr>
          <w:rFonts w:hint="eastAsia"/>
          <w:b/>
          <w:color w:val="auto"/>
          <w:sz w:val="18"/>
          <w:szCs w:val="18"/>
          <w:highlight w:val="none"/>
        </w:rPr>
        <w:t>依据：《关于对社会保险领域严重失信企业及其有关人员实施联合惩戒的合作备忘录》</w:t>
      </w:r>
      <w:r>
        <w:rPr>
          <w:rFonts w:hint="eastAsia"/>
          <w:b/>
          <w:color w:val="auto"/>
          <w:sz w:val="18"/>
          <w:szCs w:val="18"/>
          <w:highlight w:val="none"/>
          <w:lang w:eastAsia="zh-CN"/>
        </w:rPr>
        <w:t>（</w:t>
      </w:r>
      <w:r>
        <w:rPr>
          <w:rFonts w:hint="eastAsia" w:ascii="Times New Roman" w:hAnsi="Times New Roman" w:eastAsia="宋体" w:cs="Times New Roman"/>
          <w:b/>
          <w:i w:val="0"/>
          <w:caps w:val="0"/>
          <w:color w:val="auto"/>
          <w:spacing w:val="0"/>
          <w:sz w:val="18"/>
          <w:szCs w:val="18"/>
          <w:highlight w:val="none"/>
        </w:rPr>
        <w:t>发改财金〔2018〕1704号</w:t>
      </w:r>
      <w:r>
        <w:rPr>
          <w:rFonts w:hint="eastAsia"/>
          <w:b/>
          <w:color w:val="auto"/>
          <w:sz w:val="18"/>
          <w:szCs w:val="18"/>
          <w:highlight w:val="none"/>
          <w:lang w:eastAsia="zh-CN"/>
        </w:rPr>
        <w:t>）</w:t>
      </w:r>
    </w:p>
    <w:p w14:paraId="2619D6C1">
      <w:pPr>
        <w:ind w:left="704" w:leftChars="307" w:hanging="90" w:hangingChars="50"/>
        <w:jc w:val="left"/>
        <w:rPr>
          <w:color w:val="auto"/>
          <w:sz w:val="18"/>
          <w:szCs w:val="18"/>
          <w:highlight w:val="none"/>
        </w:rPr>
      </w:pPr>
    </w:p>
    <w:p w14:paraId="1C77D52C">
      <w:pPr>
        <w:jc w:val="left"/>
        <w:rPr>
          <w:rFonts w:hint="eastAsia" w:ascii="宋体" w:hAnsi="宋体"/>
          <w:b/>
          <w:bCs/>
          <w:color w:val="auto"/>
          <w:sz w:val="18"/>
          <w:szCs w:val="18"/>
          <w:highlight w:val="none"/>
        </w:rPr>
      </w:pPr>
      <w:r>
        <w:rPr>
          <w:rFonts w:hint="eastAsia" w:ascii="宋体" w:hAnsi="宋体"/>
          <w:color w:val="auto"/>
          <w:sz w:val="18"/>
          <w:szCs w:val="18"/>
          <w:highlight w:val="none"/>
        </w:rPr>
        <w:t xml:space="preserve">     </w:t>
      </w:r>
      <w:r>
        <w:rPr>
          <w:rFonts w:hint="eastAsia" w:ascii="宋体" w:hAnsi="宋体"/>
          <w:b/>
          <w:color w:val="auto"/>
          <w:sz w:val="18"/>
          <w:szCs w:val="18"/>
          <w:highlight w:val="none"/>
        </w:rPr>
        <w:t>五、建筑市场领域</w:t>
      </w:r>
      <w:r>
        <w:rPr>
          <w:rFonts w:hint="eastAsia" w:ascii="宋体" w:hAnsi="宋体"/>
          <w:b/>
          <w:bCs/>
          <w:color w:val="auto"/>
          <w:sz w:val="18"/>
          <w:szCs w:val="18"/>
          <w:highlight w:val="none"/>
        </w:rPr>
        <w:t>严重失信行为</w:t>
      </w:r>
    </w:p>
    <w:p w14:paraId="4F42FAA5">
      <w:pPr>
        <w:ind w:firstLine="360" w:firstLineChars="200"/>
        <w:jc w:val="left"/>
        <w:rPr>
          <w:color w:val="auto"/>
          <w:sz w:val="18"/>
          <w:szCs w:val="18"/>
          <w:highlight w:val="none"/>
        </w:rPr>
      </w:pPr>
      <w:r>
        <w:rPr>
          <w:color w:val="auto"/>
          <w:sz w:val="18"/>
          <w:szCs w:val="18"/>
          <w:highlight w:val="none"/>
        </w:rPr>
        <w:t>（一）利用虚假材料、以欺骗手段取得企业资质的；</w:t>
      </w:r>
    </w:p>
    <w:p w14:paraId="53C6C6BC">
      <w:pPr>
        <w:ind w:firstLine="360" w:firstLineChars="200"/>
        <w:jc w:val="left"/>
        <w:rPr>
          <w:color w:val="auto"/>
          <w:sz w:val="18"/>
          <w:szCs w:val="18"/>
          <w:highlight w:val="none"/>
        </w:rPr>
      </w:pPr>
      <w:r>
        <w:rPr>
          <w:color w:val="auto"/>
          <w:sz w:val="18"/>
          <w:szCs w:val="18"/>
          <w:highlight w:val="none"/>
        </w:rPr>
        <w:t>（二）发生转包、出借资质，受到行政处罚的；</w:t>
      </w:r>
    </w:p>
    <w:p w14:paraId="5C50AE95">
      <w:pPr>
        <w:ind w:firstLine="360" w:firstLineChars="200"/>
        <w:jc w:val="left"/>
        <w:rPr>
          <w:color w:val="auto"/>
          <w:sz w:val="18"/>
          <w:szCs w:val="18"/>
          <w:highlight w:val="none"/>
        </w:rPr>
      </w:pPr>
      <w:r>
        <w:rPr>
          <w:color w:val="auto"/>
          <w:sz w:val="18"/>
          <w:szCs w:val="18"/>
          <w:highlight w:val="none"/>
        </w:rPr>
        <w:t>（三）发生重大及以上工程质量安全事故，或1年内累计发生2次及以上较大工程质量安全事故，或发生性质恶劣、危害性严重、社会影响大的较大工程质量安全事故，受到行政处罚的；</w:t>
      </w:r>
    </w:p>
    <w:p w14:paraId="43107273">
      <w:pPr>
        <w:ind w:firstLine="360" w:firstLineChars="200"/>
        <w:jc w:val="left"/>
        <w:rPr>
          <w:color w:val="auto"/>
          <w:sz w:val="18"/>
          <w:szCs w:val="18"/>
          <w:highlight w:val="none"/>
        </w:rPr>
      </w:pPr>
      <w:r>
        <w:rPr>
          <w:color w:val="auto"/>
          <w:sz w:val="18"/>
          <w:szCs w:val="18"/>
          <w:highlight w:val="none"/>
        </w:rPr>
        <w:t>（四）经法院判决或仲裁机构裁决，认定为拖欠工程款,且拒不履行生效法律文书确定的义务的。</w:t>
      </w:r>
    </w:p>
    <w:p w14:paraId="6C94BE10">
      <w:pPr>
        <w:ind w:firstLine="360" w:firstLineChars="200"/>
        <w:jc w:val="left"/>
        <w:rPr>
          <w:color w:val="auto"/>
          <w:sz w:val="18"/>
          <w:szCs w:val="18"/>
          <w:highlight w:val="none"/>
        </w:rPr>
      </w:pPr>
      <w:r>
        <w:rPr>
          <w:color w:val="auto"/>
          <w:sz w:val="18"/>
          <w:szCs w:val="18"/>
          <w:highlight w:val="none"/>
        </w:rPr>
        <w:t>各级住房城乡建设主管部门应当参照建筑市场主体“黑名单”，对被人力资源社会保障主管部门列入拖欠农民工工资“黑名单”的建筑市场各方主体加强监管。</w:t>
      </w:r>
    </w:p>
    <w:p w14:paraId="5BA3C128">
      <w:pPr>
        <w:ind w:firstLine="361" w:firstLineChars="200"/>
        <w:jc w:val="left"/>
        <w:rPr>
          <w:rFonts w:hint="eastAsia" w:ascii="宋体" w:hAnsi="宋体"/>
          <w:color w:val="auto"/>
          <w:sz w:val="18"/>
          <w:szCs w:val="18"/>
          <w:highlight w:val="none"/>
        </w:rPr>
      </w:pPr>
      <w:r>
        <w:rPr>
          <w:rFonts w:hint="eastAsia"/>
          <w:b/>
          <w:color w:val="auto"/>
          <w:sz w:val="18"/>
          <w:szCs w:val="18"/>
          <w:highlight w:val="none"/>
        </w:rPr>
        <w:t>依据：《</w:t>
      </w:r>
      <w:r>
        <w:rPr>
          <w:b/>
          <w:color w:val="auto"/>
          <w:sz w:val="18"/>
          <w:szCs w:val="18"/>
          <w:highlight w:val="none"/>
        </w:rPr>
        <w:t>建筑市场信用管理暂行办法</w:t>
      </w:r>
      <w:r>
        <w:rPr>
          <w:rFonts w:hint="eastAsia"/>
          <w:b/>
          <w:color w:val="auto"/>
          <w:sz w:val="18"/>
          <w:szCs w:val="18"/>
          <w:highlight w:val="none"/>
        </w:rPr>
        <w:t>》</w:t>
      </w:r>
      <w:r>
        <w:rPr>
          <w:rFonts w:hint="default"/>
          <w:b/>
          <w:color w:val="auto"/>
          <w:sz w:val="18"/>
          <w:szCs w:val="18"/>
          <w:highlight w:val="none"/>
          <w:lang w:eastAsia="zh-CN"/>
        </w:rPr>
        <w:t>（</w:t>
      </w:r>
      <w:r>
        <w:rPr>
          <w:rFonts w:ascii="Times New Roman" w:hAnsi="Times New Roman" w:eastAsia="宋体" w:cs="Times New Roman"/>
          <w:b/>
          <w:i w:val="0"/>
          <w:caps w:val="0"/>
          <w:color w:val="auto"/>
          <w:spacing w:val="0"/>
          <w:sz w:val="18"/>
          <w:szCs w:val="18"/>
          <w:highlight w:val="none"/>
          <w:shd w:val="clear" w:color="auto" w:fill="auto"/>
        </w:rPr>
        <w:t>建市</w:t>
      </w:r>
      <w:r>
        <w:rPr>
          <w:rFonts w:hint="eastAsia" w:ascii="Times New Roman" w:hAnsi="Times New Roman" w:eastAsia="宋体" w:cs="Times New Roman"/>
          <w:b/>
          <w:i w:val="0"/>
          <w:caps w:val="0"/>
          <w:color w:val="auto"/>
          <w:spacing w:val="0"/>
          <w:sz w:val="18"/>
          <w:szCs w:val="18"/>
          <w:highlight w:val="none"/>
        </w:rPr>
        <w:t>〔</w:t>
      </w:r>
      <w:r>
        <w:rPr>
          <w:rFonts w:ascii="Times New Roman" w:hAnsi="Times New Roman" w:eastAsia="宋体" w:cs="Times New Roman"/>
          <w:b/>
          <w:i w:val="0"/>
          <w:caps w:val="0"/>
          <w:color w:val="auto"/>
          <w:spacing w:val="0"/>
          <w:sz w:val="18"/>
          <w:szCs w:val="18"/>
          <w:highlight w:val="none"/>
          <w:shd w:val="clear" w:color="auto" w:fill="auto"/>
        </w:rPr>
        <w:t>2017</w:t>
      </w:r>
      <w:r>
        <w:rPr>
          <w:rFonts w:hint="eastAsia" w:ascii="Times New Roman" w:hAnsi="Times New Roman" w:eastAsia="宋体" w:cs="Times New Roman"/>
          <w:b/>
          <w:i w:val="0"/>
          <w:caps w:val="0"/>
          <w:color w:val="auto"/>
          <w:spacing w:val="0"/>
          <w:sz w:val="18"/>
          <w:szCs w:val="18"/>
          <w:highlight w:val="none"/>
        </w:rPr>
        <w:t>〕</w:t>
      </w:r>
      <w:r>
        <w:rPr>
          <w:rFonts w:ascii="Times New Roman" w:hAnsi="Times New Roman" w:eastAsia="宋体" w:cs="Times New Roman"/>
          <w:b/>
          <w:i w:val="0"/>
          <w:caps w:val="0"/>
          <w:color w:val="auto"/>
          <w:spacing w:val="0"/>
          <w:sz w:val="18"/>
          <w:szCs w:val="18"/>
          <w:highlight w:val="none"/>
          <w:shd w:val="clear" w:color="auto" w:fill="auto"/>
        </w:rPr>
        <w:t>241号</w:t>
      </w:r>
      <w:r>
        <w:rPr>
          <w:rFonts w:hint="default"/>
          <w:b/>
          <w:color w:val="auto"/>
          <w:sz w:val="18"/>
          <w:szCs w:val="18"/>
          <w:highlight w:val="none"/>
          <w:lang w:eastAsia="zh-CN"/>
        </w:rPr>
        <w:t>）</w:t>
      </w:r>
    </w:p>
    <w:p w14:paraId="5358C339">
      <w:pPr>
        <w:ind w:firstLine="361" w:firstLineChars="200"/>
        <w:rPr>
          <w:rFonts w:hint="eastAsia" w:ascii="宋体" w:hAnsi="宋体"/>
          <w:b/>
          <w:color w:val="auto"/>
          <w:sz w:val="18"/>
          <w:szCs w:val="18"/>
          <w:highlight w:val="none"/>
        </w:rPr>
      </w:pPr>
    </w:p>
    <w:p w14:paraId="03BFE328">
      <w:pPr>
        <w:ind w:firstLine="361" w:firstLineChars="200"/>
        <w:rPr>
          <w:rFonts w:hint="eastAsia"/>
          <w:color w:val="auto"/>
          <w:sz w:val="18"/>
          <w:szCs w:val="18"/>
          <w:highlight w:val="none"/>
        </w:rPr>
      </w:pPr>
      <w:r>
        <w:rPr>
          <w:rFonts w:hint="eastAsia" w:ascii="宋体" w:hAnsi="宋体"/>
          <w:b/>
          <w:color w:val="auto"/>
          <w:sz w:val="18"/>
          <w:szCs w:val="18"/>
          <w:highlight w:val="none"/>
        </w:rPr>
        <w:t>六、</w:t>
      </w:r>
      <w:r>
        <w:rPr>
          <w:rFonts w:ascii="宋体" w:hAnsi="宋体"/>
          <w:b/>
          <w:color w:val="auto"/>
          <w:sz w:val="18"/>
          <w:szCs w:val="18"/>
          <w:highlight w:val="none"/>
        </w:rPr>
        <w:t>政府采购严重失信行为</w:t>
      </w:r>
    </w:p>
    <w:p w14:paraId="29DF939E">
      <w:pPr>
        <w:ind w:firstLine="615"/>
        <w:rPr>
          <w:rFonts w:hint="eastAsia" w:eastAsia="宋体"/>
          <w:color w:val="auto"/>
          <w:sz w:val="18"/>
          <w:szCs w:val="18"/>
          <w:highlight w:val="none"/>
          <w:lang w:eastAsia="zh-CN"/>
        </w:rPr>
      </w:pPr>
      <w:r>
        <w:rPr>
          <w:rFonts w:hint="eastAsia"/>
          <w:color w:val="auto"/>
          <w:sz w:val="18"/>
          <w:szCs w:val="18"/>
          <w:highlight w:val="none"/>
        </w:rPr>
        <w:t>供应商、采购代理机构在三年内受到财政部门作出下列情形之一的行政处罚，列入政府采购严重违法失信行为记录名单。</w:t>
      </w:r>
    </w:p>
    <w:p w14:paraId="61591B07">
      <w:pPr>
        <w:ind w:firstLine="615"/>
        <w:rPr>
          <w:rFonts w:hint="eastAsia" w:eastAsia="宋体"/>
          <w:color w:val="auto"/>
          <w:sz w:val="18"/>
          <w:szCs w:val="18"/>
          <w:highlight w:val="none"/>
          <w:lang w:eastAsia="zh-CN"/>
        </w:rPr>
      </w:pPr>
      <w:r>
        <w:rPr>
          <w:rFonts w:hint="eastAsia"/>
          <w:color w:val="auto"/>
          <w:sz w:val="18"/>
          <w:szCs w:val="18"/>
          <w:highlight w:val="none"/>
        </w:rPr>
        <w:t>　　（一）三万元以上罚款；</w:t>
      </w:r>
    </w:p>
    <w:p w14:paraId="157C500F">
      <w:pPr>
        <w:ind w:firstLine="615"/>
        <w:rPr>
          <w:rFonts w:hint="eastAsia" w:eastAsia="宋体"/>
          <w:color w:val="auto"/>
          <w:sz w:val="18"/>
          <w:szCs w:val="18"/>
          <w:highlight w:val="none"/>
          <w:lang w:eastAsia="zh-CN"/>
        </w:rPr>
      </w:pPr>
      <w:r>
        <w:rPr>
          <w:rFonts w:hint="eastAsia"/>
          <w:color w:val="auto"/>
          <w:sz w:val="18"/>
          <w:szCs w:val="18"/>
          <w:highlight w:val="none"/>
        </w:rPr>
        <w:t>　　（二）在一至三年内禁止参加政府采购活动（处罚期限届满的除外）；</w:t>
      </w:r>
    </w:p>
    <w:p w14:paraId="35507A80">
      <w:pPr>
        <w:ind w:firstLine="615"/>
        <w:rPr>
          <w:rFonts w:hint="eastAsia" w:eastAsia="宋体"/>
          <w:color w:val="auto"/>
          <w:sz w:val="18"/>
          <w:szCs w:val="18"/>
          <w:highlight w:val="none"/>
          <w:lang w:eastAsia="zh-CN"/>
        </w:rPr>
      </w:pPr>
      <w:r>
        <w:rPr>
          <w:rFonts w:hint="eastAsia"/>
          <w:color w:val="auto"/>
          <w:sz w:val="18"/>
          <w:szCs w:val="18"/>
          <w:highlight w:val="none"/>
        </w:rPr>
        <w:t>　　（三）在一至三年内禁止代理政府采购业务（处罚期限届满的除外）；</w:t>
      </w:r>
    </w:p>
    <w:p w14:paraId="7098DBA3">
      <w:pPr>
        <w:ind w:firstLine="615"/>
        <w:rPr>
          <w:rFonts w:hint="eastAsia"/>
          <w:color w:val="auto"/>
          <w:sz w:val="18"/>
          <w:szCs w:val="18"/>
          <w:highlight w:val="none"/>
        </w:rPr>
      </w:pPr>
      <w:r>
        <w:rPr>
          <w:rFonts w:hint="eastAsia" w:ascii="宋体" w:hAnsi="宋体"/>
          <w:color w:val="auto"/>
          <w:sz w:val="18"/>
          <w:szCs w:val="18"/>
          <w:highlight w:val="none"/>
        </w:rPr>
        <w:t xml:space="preserve">　 </w:t>
      </w:r>
      <w:r>
        <w:rPr>
          <w:rFonts w:hint="eastAsia"/>
          <w:color w:val="auto"/>
          <w:sz w:val="18"/>
          <w:szCs w:val="18"/>
          <w:highlight w:val="none"/>
        </w:rPr>
        <w:t>（四）撤销政府采购代理机构资格（仅针对《政府采购法》第78条修改前作出的处罚决定）。</w:t>
      </w:r>
    </w:p>
    <w:p w14:paraId="46F3CC65">
      <w:pPr>
        <w:ind w:firstLine="361" w:firstLineChars="200"/>
        <w:jc w:val="left"/>
        <w:rPr>
          <w:rFonts w:hint="eastAsia"/>
          <w:color w:val="auto"/>
          <w:sz w:val="18"/>
          <w:szCs w:val="18"/>
          <w:highlight w:val="none"/>
        </w:rPr>
      </w:pPr>
      <w:r>
        <w:rPr>
          <w:rFonts w:hint="eastAsia"/>
          <w:b/>
          <w:bCs/>
          <w:color w:val="auto"/>
          <w:sz w:val="18"/>
          <w:szCs w:val="18"/>
          <w:highlight w:val="none"/>
        </w:rPr>
        <w:t>依据：《关于报送政府采购严重违法失信行为信息记录的通知》</w:t>
      </w:r>
      <w:r>
        <w:rPr>
          <w:rFonts w:hint="default"/>
          <w:b/>
          <w:color w:val="auto"/>
          <w:sz w:val="18"/>
          <w:szCs w:val="18"/>
          <w:highlight w:val="none"/>
          <w:lang w:eastAsia="zh-CN"/>
        </w:rPr>
        <w:t>（</w:t>
      </w:r>
      <w:r>
        <w:rPr>
          <w:rFonts w:hint="eastAsia" w:ascii="Times New Roman" w:hAnsi="Times New Roman" w:eastAsia="宋体" w:cs="Times New Roman"/>
          <w:b/>
          <w:i w:val="0"/>
          <w:caps w:val="0"/>
          <w:color w:val="auto"/>
          <w:spacing w:val="0"/>
          <w:sz w:val="18"/>
          <w:szCs w:val="18"/>
          <w:highlight w:val="none"/>
          <w:shd w:val="clear" w:color="auto" w:fill="auto"/>
          <w:lang w:eastAsia="zh-CN"/>
        </w:rPr>
        <w:t>财办库</w:t>
      </w:r>
      <w:r>
        <w:rPr>
          <w:rFonts w:hint="eastAsia" w:ascii="Times New Roman" w:hAnsi="Times New Roman" w:eastAsia="宋体" w:cs="Times New Roman"/>
          <w:b/>
          <w:i w:val="0"/>
          <w:caps w:val="0"/>
          <w:color w:val="auto"/>
          <w:spacing w:val="0"/>
          <w:sz w:val="18"/>
          <w:szCs w:val="18"/>
          <w:highlight w:val="none"/>
        </w:rPr>
        <w:t>〔</w:t>
      </w:r>
      <w:r>
        <w:rPr>
          <w:rFonts w:ascii="Times New Roman" w:hAnsi="Times New Roman" w:eastAsia="宋体" w:cs="Times New Roman"/>
          <w:b/>
          <w:i w:val="0"/>
          <w:caps w:val="0"/>
          <w:color w:val="auto"/>
          <w:spacing w:val="0"/>
          <w:sz w:val="18"/>
          <w:szCs w:val="18"/>
          <w:highlight w:val="none"/>
          <w:shd w:val="clear" w:color="auto" w:fill="auto"/>
        </w:rPr>
        <w:t>201</w:t>
      </w:r>
      <w:r>
        <w:rPr>
          <w:rFonts w:hint="eastAsia" w:ascii="Times New Roman" w:hAnsi="Times New Roman" w:eastAsia="宋体" w:cs="Times New Roman"/>
          <w:b/>
          <w:i w:val="0"/>
          <w:caps w:val="0"/>
          <w:color w:val="auto"/>
          <w:spacing w:val="0"/>
          <w:sz w:val="18"/>
          <w:szCs w:val="18"/>
          <w:highlight w:val="none"/>
          <w:shd w:val="clear" w:color="auto" w:fill="auto"/>
          <w:lang w:val="en-US" w:eastAsia="zh-CN"/>
        </w:rPr>
        <w:t>4</w:t>
      </w:r>
      <w:r>
        <w:rPr>
          <w:rFonts w:hint="eastAsia" w:ascii="Times New Roman" w:hAnsi="Times New Roman" w:eastAsia="宋体" w:cs="Times New Roman"/>
          <w:b/>
          <w:i w:val="0"/>
          <w:caps w:val="0"/>
          <w:color w:val="auto"/>
          <w:spacing w:val="0"/>
          <w:sz w:val="18"/>
          <w:szCs w:val="18"/>
          <w:highlight w:val="none"/>
        </w:rPr>
        <w:t>〕</w:t>
      </w:r>
      <w:r>
        <w:rPr>
          <w:rFonts w:hint="eastAsia" w:ascii="Times New Roman" w:hAnsi="Times New Roman" w:eastAsia="宋体" w:cs="Times New Roman"/>
          <w:b/>
          <w:i w:val="0"/>
          <w:caps w:val="0"/>
          <w:color w:val="auto"/>
          <w:spacing w:val="0"/>
          <w:sz w:val="18"/>
          <w:szCs w:val="18"/>
          <w:highlight w:val="none"/>
          <w:shd w:val="clear" w:color="auto" w:fill="auto"/>
          <w:lang w:val="en-US" w:eastAsia="zh-CN"/>
        </w:rPr>
        <w:t>526</w:t>
      </w:r>
      <w:r>
        <w:rPr>
          <w:rFonts w:ascii="Times New Roman" w:hAnsi="Times New Roman" w:eastAsia="宋体" w:cs="Times New Roman"/>
          <w:b/>
          <w:i w:val="0"/>
          <w:caps w:val="0"/>
          <w:color w:val="auto"/>
          <w:spacing w:val="0"/>
          <w:sz w:val="18"/>
          <w:szCs w:val="18"/>
          <w:highlight w:val="none"/>
          <w:shd w:val="clear" w:color="auto" w:fill="auto"/>
        </w:rPr>
        <w:t>号</w:t>
      </w:r>
      <w:r>
        <w:rPr>
          <w:rFonts w:hint="default"/>
          <w:b/>
          <w:color w:val="auto"/>
          <w:sz w:val="18"/>
          <w:szCs w:val="18"/>
          <w:highlight w:val="none"/>
          <w:lang w:eastAsia="zh-CN"/>
        </w:rPr>
        <w:t>）</w:t>
      </w:r>
    </w:p>
    <w:p w14:paraId="223A1F0A">
      <w:pPr>
        <w:ind w:firstLine="615"/>
        <w:rPr>
          <w:rFonts w:hint="eastAsia"/>
          <w:color w:val="auto"/>
          <w:sz w:val="18"/>
          <w:szCs w:val="18"/>
          <w:highlight w:val="none"/>
        </w:rPr>
      </w:pPr>
    </w:p>
    <w:p w14:paraId="503B697A">
      <w:pPr>
        <w:ind w:firstLine="361" w:firstLineChars="200"/>
        <w:rPr>
          <w:rFonts w:hint="eastAsia" w:ascii="宋体" w:hAnsi="宋体"/>
          <w:b/>
          <w:color w:val="auto"/>
          <w:sz w:val="18"/>
          <w:szCs w:val="18"/>
          <w:highlight w:val="none"/>
        </w:rPr>
      </w:pPr>
      <w:r>
        <w:rPr>
          <w:rFonts w:hint="eastAsia" w:ascii="宋体" w:hAnsi="宋体"/>
          <w:b/>
          <w:color w:val="auto"/>
          <w:sz w:val="18"/>
          <w:szCs w:val="18"/>
          <w:highlight w:val="none"/>
        </w:rPr>
        <w:t>七、水利建设领域严重失信行为</w:t>
      </w:r>
    </w:p>
    <w:p w14:paraId="76917AEE">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360" w:firstLineChars="20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（一）1年内不良行为记录累计扣分达到20分的；</w:t>
      </w:r>
    </w:p>
    <w:p w14:paraId="50739915">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（二）"重点关注名单"公开期满后仍不整改的；</w:t>
      </w:r>
    </w:p>
    <w:p w14:paraId="0FD518AF">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（三）存在以下严重危害人民群众身体健康、生命安全和工程质量，以及特别严重违规行为之一的：</w:t>
      </w:r>
    </w:p>
    <w:p w14:paraId="20AD120D">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1.发生重大、特大质量或安全事故，并负有直接责任的；</w:t>
      </w:r>
    </w:p>
    <w:p w14:paraId="2635C26D">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2.在单位公开信息、工程相关技术成果和工程建设过程中隐瞒真实情况、弄虚作假，提供虚假材料，谋取不正当利益的；</w:t>
      </w:r>
    </w:p>
    <w:p w14:paraId="50C900CF">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3.违反有关法律、法规、规章、政策、技术标准、设计文件、合同等有关规定开展工作造成的工程质量问题，经处理后仍影响工程正常使用或减少工程使用寿命的；</w:t>
      </w:r>
    </w:p>
    <w:p w14:paraId="6B7AEB16">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4.违反规定施工，造成生态环境严重破坏且拒不修复的；</w:t>
      </w:r>
    </w:p>
    <w:p w14:paraId="0D52E324">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5.被证实恶意制造工程质量缺陷或质量隐患的；</w:t>
      </w:r>
    </w:p>
    <w:p w14:paraId="78F44753">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6.其他违反法律法规，造成严重后果或社会危害较大的。</w:t>
      </w:r>
    </w:p>
    <w:p w14:paraId="2C89A488">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（四）存在以下严重破坏市场公平竞争秩序和社会正常秩序行为之一的：</w:t>
      </w:r>
    </w:p>
    <w:p w14:paraId="2DBF0BDC">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1.不按合同约定，恶意拖欠承包人项目款的；</w:t>
      </w:r>
    </w:p>
    <w:p w14:paraId="317BDEB0">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2.隐瞒有关情况或者提供虚假材料申请资质的，在全国水利建设市场监管服务平台公开虚假信息的，以欺骗、贿赂等不正当手段取得资质等级证书的；</w:t>
      </w:r>
    </w:p>
    <w:p w14:paraId="4CC71A96">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3.出借、借用资质证书,允许他人以本单位名义或借用他人名义等弄虚作假方式承揽业务的；</w:t>
      </w:r>
    </w:p>
    <w:p w14:paraId="3F7EDB0E">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4.未取得相应资质或超越资质证书核定范围、营业范围承揽业务的；</w:t>
      </w:r>
    </w:p>
    <w:p w14:paraId="59B7CA2E">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5.操纵招标过程，谋取不正当利益的；</w:t>
      </w:r>
    </w:p>
    <w:p w14:paraId="46BE60CC">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6.与招标人或投标人串通投标的；</w:t>
      </w:r>
    </w:p>
    <w:p w14:paraId="1AB8137F">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7.以向招标人或评标委员会成员行贿的手段谋取中标的；</w:t>
      </w:r>
    </w:p>
    <w:p w14:paraId="2AE0264E">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8.中标后，无正当理由不签订合同的；</w:t>
      </w:r>
    </w:p>
    <w:p w14:paraId="390259BD">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9.转包或违法分包所承揽业务的；</w:t>
      </w:r>
    </w:p>
    <w:p w14:paraId="76DEC99A">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10.弄虚作假，以欺诈手段降低工程或设备质量的；</w:t>
      </w:r>
    </w:p>
    <w:p w14:paraId="71534370">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11.单位行贿、受贿，受到刑事处罚的；</w:t>
      </w:r>
    </w:p>
    <w:p w14:paraId="3F21A761">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12.逃税骗税、恶意逃废债务的；</w:t>
      </w:r>
    </w:p>
    <w:p w14:paraId="2D102CAE">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13.参与非法集资，受到刑事处罚的；</w:t>
      </w:r>
    </w:p>
    <w:p w14:paraId="17B39522">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14.在签订、履行合同过程中，存在合同欺诈行为，受到刑事处罚的；</w:t>
      </w:r>
    </w:p>
    <w:p w14:paraId="6BAFABB4">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15.虚构工程项目，套取资金的；</w:t>
      </w:r>
    </w:p>
    <w:p w14:paraId="6914C980">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16.克扣、无故拖欠农民工工资报酬，数额达到认定拒不支付劳动报酬罪数额标准的；</w:t>
      </w:r>
    </w:p>
    <w:p w14:paraId="340BF9CD">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17.发生社会公共事件，影响较大，并负有直接责任的。</w:t>
      </w:r>
    </w:p>
    <w:p w14:paraId="2476A4C3">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（五）存在以下拒不履行法定义务，严重影响司法机关、行政机关公信力行为之一的：</w:t>
      </w:r>
    </w:p>
    <w:p w14:paraId="01ED132B">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1.发生事故拒绝接受调查或拒绝提供有关资料的；</w:t>
      </w:r>
    </w:p>
    <w:p w14:paraId="40836915">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2.拒不执行生效的行政处罚决定的；</w:t>
      </w:r>
    </w:p>
    <w:p w14:paraId="743A9562">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3.拒不执行仲裁、法院判决结果的。</w:t>
      </w:r>
    </w:p>
    <w:p w14:paraId="1F8BFEFE">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5" w:lineRule="atLeast"/>
        <w:ind w:left="0" w:right="0" w:firstLine="0"/>
        <w:rPr>
          <w:rFonts w:hint="eastAsia" w:ascii="宋体" w:hAnsi="宋体" w:eastAsia="宋体" w:cs="宋体"/>
          <w:i w:val="0"/>
          <w:caps w:val="0"/>
          <w:color w:val="auto"/>
          <w:spacing w:val="0"/>
          <w:kern w:val="2"/>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　　（六）被相关联合惩戒部门列入"黑名单"，符合联合惩戒措施的。</w:t>
      </w:r>
    </w:p>
    <w:p w14:paraId="7ECDE8AE">
      <w:pPr>
        <w:ind w:firstLine="615"/>
        <w:rPr>
          <w:rFonts w:hint="eastAsia" w:ascii="宋体" w:hAnsi="宋体" w:eastAsia="宋体" w:cs="宋体"/>
          <w:color w:val="auto"/>
          <w:sz w:val="18"/>
          <w:szCs w:val="18"/>
          <w:highlight w:val="none"/>
        </w:rPr>
      </w:pPr>
      <w:r>
        <w:rPr>
          <w:rFonts w:hint="eastAsia" w:ascii="宋体" w:hAnsi="宋体" w:eastAsia="宋体" w:cs="宋体"/>
          <w:i w:val="0"/>
          <w:caps w:val="0"/>
          <w:color w:val="auto"/>
          <w:spacing w:val="0"/>
          <w:kern w:val="2"/>
          <w:sz w:val="18"/>
          <w:szCs w:val="18"/>
          <w:highlight w:val="none"/>
          <w:shd w:val="clear" w:color="auto" w:fill="auto"/>
        </w:rPr>
        <w:t>生产建设项目水土保持市场主体"黑名单"列入标准见</w:t>
      </w:r>
      <w:r>
        <w:rPr>
          <w:rFonts w:hint="eastAsia" w:ascii="宋体" w:hAnsi="宋体" w:eastAsia="宋体" w:cs="宋体"/>
          <w:b w:val="0"/>
          <w:bCs w:val="0"/>
          <w:i w:val="0"/>
          <w:caps w:val="0"/>
          <w:color w:val="auto"/>
          <w:spacing w:val="0"/>
          <w:sz w:val="18"/>
          <w:szCs w:val="18"/>
          <w:highlight w:val="none"/>
          <w:shd w:val="clear" w:color="auto" w:fill="auto"/>
          <w:lang w:eastAsia="zh-CN"/>
        </w:rPr>
        <w:t>《</w:t>
      </w:r>
      <w:r>
        <w:rPr>
          <w:rFonts w:hint="eastAsia" w:ascii="宋体" w:hAnsi="宋体" w:eastAsia="宋体" w:cs="宋体"/>
          <w:b w:val="0"/>
          <w:bCs w:val="0"/>
          <w:i w:val="0"/>
          <w:caps w:val="0"/>
          <w:color w:val="auto"/>
          <w:spacing w:val="0"/>
          <w:sz w:val="18"/>
          <w:szCs w:val="18"/>
          <w:highlight w:val="none"/>
          <w:shd w:val="clear" w:color="auto" w:fill="auto"/>
        </w:rPr>
        <w:t>水利建设市场主体信用信息管理办法</w:t>
      </w:r>
      <w:r>
        <w:rPr>
          <w:rFonts w:hint="eastAsia" w:ascii="宋体" w:hAnsi="宋体" w:eastAsia="宋体" w:cs="宋体"/>
          <w:b w:val="0"/>
          <w:bCs w:val="0"/>
          <w:i w:val="0"/>
          <w:caps w:val="0"/>
          <w:color w:val="auto"/>
          <w:spacing w:val="0"/>
          <w:sz w:val="18"/>
          <w:szCs w:val="18"/>
          <w:highlight w:val="none"/>
          <w:shd w:val="clear" w:color="auto" w:fill="auto"/>
          <w:lang w:eastAsia="zh-CN"/>
        </w:rPr>
        <w:t>》</w:t>
      </w:r>
      <w:r>
        <w:rPr>
          <w:rFonts w:hint="eastAsia" w:ascii="宋体" w:hAnsi="宋体" w:eastAsia="宋体" w:cs="宋体"/>
          <w:i w:val="0"/>
          <w:caps w:val="0"/>
          <w:color w:val="auto"/>
          <w:spacing w:val="0"/>
          <w:kern w:val="2"/>
          <w:sz w:val="18"/>
          <w:szCs w:val="18"/>
          <w:highlight w:val="none"/>
          <w:shd w:val="clear" w:color="auto" w:fill="auto"/>
        </w:rPr>
        <w:t>附件。</w:t>
      </w:r>
    </w:p>
    <w:p w14:paraId="13B14FEE">
      <w:pPr>
        <w:ind w:firstLine="615"/>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rPr>
        <w:t>依据：《水利建设市场主体信用评价管理办法》</w:t>
      </w:r>
      <w:r>
        <w:rPr>
          <w:rFonts w:hint="eastAsia" w:ascii="宋体" w:hAnsi="宋体" w:eastAsia="宋体" w:cs="宋体"/>
          <w:b/>
          <w:bCs/>
          <w:i w:val="0"/>
          <w:caps w:val="0"/>
          <w:color w:val="auto"/>
          <w:spacing w:val="0"/>
          <w:sz w:val="18"/>
          <w:szCs w:val="18"/>
          <w:highlight w:val="none"/>
        </w:rPr>
        <w:t>水建设〔2019〕307号</w:t>
      </w:r>
      <w:r>
        <w:rPr>
          <w:rFonts w:hint="eastAsia" w:ascii="宋体" w:hAnsi="宋体" w:eastAsia="宋体" w:cs="宋体"/>
          <w:b/>
          <w:bCs/>
          <w:i w:val="0"/>
          <w:caps w:val="0"/>
          <w:color w:val="auto"/>
          <w:spacing w:val="0"/>
          <w:sz w:val="18"/>
          <w:szCs w:val="18"/>
          <w:highlight w:val="none"/>
          <w:lang w:eastAsia="zh-CN"/>
        </w:rPr>
        <w:t>、</w:t>
      </w:r>
      <w:r>
        <w:rPr>
          <w:rFonts w:hint="eastAsia" w:ascii="宋体" w:hAnsi="宋体" w:eastAsia="宋体" w:cs="宋体"/>
          <w:b/>
          <w:bCs/>
          <w:i w:val="0"/>
          <w:caps w:val="0"/>
          <w:color w:val="auto"/>
          <w:spacing w:val="0"/>
          <w:sz w:val="18"/>
          <w:szCs w:val="18"/>
          <w:highlight w:val="none"/>
          <w:shd w:val="clear" w:color="auto" w:fill="auto"/>
          <w:lang w:eastAsia="zh-CN"/>
        </w:rPr>
        <w:t>《</w:t>
      </w:r>
      <w:r>
        <w:rPr>
          <w:rFonts w:hint="eastAsia" w:ascii="宋体" w:hAnsi="宋体" w:eastAsia="宋体" w:cs="宋体"/>
          <w:b/>
          <w:bCs/>
          <w:i w:val="0"/>
          <w:caps w:val="0"/>
          <w:color w:val="auto"/>
          <w:spacing w:val="0"/>
          <w:sz w:val="18"/>
          <w:szCs w:val="18"/>
          <w:highlight w:val="none"/>
          <w:shd w:val="clear" w:color="auto" w:fill="auto"/>
        </w:rPr>
        <w:t>水利建设市场主体信用信息管理办法</w:t>
      </w:r>
      <w:r>
        <w:rPr>
          <w:rFonts w:hint="eastAsia" w:ascii="宋体" w:hAnsi="宋体" w:eastAsia="宋体" w:cs="宋体"/>
          <w:b/>
          <w:bCs/>
          <w:i w:val="0"/>
          <w:caps w:val="0"/>
          <w:color w:val="auto"/>
          <w:spacing w:val="0"/>
          <w:sz w:val="18"/>
          <w:szCs w:val="18"/>
          <w:highlight w:val="none"/>
          <w:shd w:val="clear" w:color="auto" w:fill="auto"/>
          <w:lang w:eastAsia="zh-CN"/>
        </w:rPr>
        <w:t>》</w:t>
      </w:r>
      <w:r>
        <w:rPr>
          <w:rFonts w:hint="eastAsia" w:ascii="宋体" w:hAnsi="宋体" w:eastAsia="宋体" w:cs="宋体"/>
          <w:b/>
          <w:bCs/>
          <w:i w:val="0"/>
          <w:caps w:val="0"/>
          <w:color w:val="auto"/>
          <w:spacing w:val="0"/>
          <w:sz w:val="18"/>
          <w:szCs w:val="18"/>
          <w:highlight w:val="none"/>
          <w:shd w:val="clear" w:color="auto" w:fill="auto"/>
        </w:rPr>
        <w:t>水建设〔2019〕30</w:t>
      </w:r>
      <w:r>
        <w:rPr>
          <w:rFonts w:hint="eastAsia" w:ascii="宋体" w:hAnsi="宋体" w:eastAsia="宋体" w:cs="宋体"/>
          <w:b/>
          <w:bCs/>
          <w:i w:val="0"/>
          <w:caps w:val="0"/>
          <w:color w:val="auto"/>
          <w:spacing w:val="0"/>
          <w:sz w:val="18"/>
          <w:szCs w:val="18"/>
          <w:highlight w:val="none"/>
          <w:shd w:val="clear" w:color="auto" w:fill="auto"/>
          <w:lang w:val="en-US" w:eastAsia="zh-CN"/>
        </w:rPr>
        <w:t>6</w:t>
      </w:r>
      <w:r>
        <w:rPr>
          <w:rFonts w:hint="eastAsia" w:ascii="宋体" w:hAnsi="宋体" w:eastAsia="宋体" w:cs="宋体"/>
          <w:b/>
          <w:bCs/>
          <w:i w:val="0"/>
          <w:caps w:val="0"/>
          <w:color w:val="auto"/>
          <w:spacing w:val="0"/>
          <w:sz w:val="18"/>
          <w:szCs w:val="18"/>
          <w:highlight w:val="none"/>
          <w:shd w:val="clear" w:color="auto" w:fill="auto"/>
        </w:rPr>
        <w:t>号</w:t>
      </w:r>
    </w:p>
    <w:p w14:paraId="565A0DE6">
      <w:pPr>
        <w:ind w:firstLine="615"/>
        <w:rPr>
          <w:rFonts w:hint="eastAsia"/>
          <w:color w:val="auto"/>
          <w:sz w:val="18"/>
          <w:szCs w:val="18"/>
          <w:highlight w:val="none"/>
        </w:rPr>
      </w:pPr>
    </w:p>
    <w:p w14:paraId="32EC16F0">
      <w:pPr>
        <w:ind w:firstLine="615"/>
        <w:rPr>
          <w:rFonts w:hint="eastAsia"/>
          <w:b/>
          <w:color w:val="auto"/>
          <w:sz w:val="18"/>
          <w:szCs w:val="18"/>
          <w:highlight w:val="none"/>
        </w:rPr>
      </w:pPr>
      <w:r>
        <w:rPr>
          <w:rFonts w:hint="eastAsia" w:ascii="宋体" w:hAnsi="宋体"/>
          <w:b/>
          <w:color w:val="auto"/>
          <w:sz w:val="18"/>
          <w:szCs w:val="18"/>
          <w:highlight w:val="none"/>
        </w:rPr>
        <w:t>未列出的其他类别严重失信行为，由招标人（代理机构）根据各类别行业主管部门下发的联合惩戒文件进行判断。</w:t>
      </w:r>
    </w:p>
    <w:p w14:paraId="5B2BB1B8">
      <w:pPr>
        <w:spacing w:line="360" w:lineRule="auto"/>
        <w:rPr>
          <w:rFonts w:hint="eastAsia" w:asciiTheme="minorEastAsia" w:hAnsiTheme="minorEastAsia" w:eastAsiaTheme="minorEastAsia"/>
          <w:color w:val="auto"/>
          <w:sz w:val="18"/>
          <w:szCs w:val="18"/>
          <w:highlight w:val="none"/>
        </w:rPr>
      </w:pPr>
    </w:p>
    <w:p w14:paraId="582981FF">
      <w:pPr>
        <w:rPr>
          <w:rFonts w:hint="eastAsia"/>
          <w:color w:val="auto"/>
        </w:rPr>
      </w:pPr>
    </w:p>
    <w:p w14:paraId="76215286">
      <w:pPr>
        <w:rPr>
          <w:rFonts w:hint="eastAsia" w:eastAsiaTheme="minorEastAsia"/>
          <w:color w:val="auto"/>
          <w:lang w:eastAsia="zh-CN"/>
        </w:rPr>
      </w:pPr>
    </w:p>
    <w:p w14:paraId="3444B83A">
      <w:pPr>
        <w:pStyle w:val="22"/>
        <w:rPr>
          <w:rFonts w:hint="eastAsia" w:eastAsiaTheme="minorEastAsia"/>
          <w:color w:val="auto"/>
          <w:lang w:eastAsia="zh-CN"/>
        </w:rPr>
      </w:pPr>
    </w:p>
    <w:p w14:paraId="06491976">
      <w:pPr>
        <w:pStyle w:val="22"/>
        <w:rPr>
          <w:rFonts w:hint="eastAsia" w:eastAsiaTheme="minorEastAsia"/>
          <w:color w:val="auto"/>
          <w:lang w:eastAsia="zh-CN"/>
        </w:rPr>
      </w:pPr>
    </w:p>
    <w:p w14:paraId="7E38D89D">
      <w:pPr>
        <w:pStyle w:val="22"/>
        <w:rPr>
          <w:rFonts w:hint="eastAsia" w:eastAsiaTheme="minorEastAsia"/>
          <w:color w:val="auto"/>
          <w:lang w:eastAsia="zh-CN"/>
        </w:rPr>
      </w:pPr>
    </w:p>
    <w:p w14:paraId="614576EA">
      <w:pPr>
        <w:pStyle w:val="22"/>
        <w:rPr>
          <w:rFonts w:hint="eastAsia" w:eastAsiaTheme="minorEastAsia"/>
          <w:color w:val="auto"/>
          <w:lang w:eastAsia="zh-CN"/>
        </w:rPr>
      </w:pPr>
    </w:p>
    <w:p w14:paraId="0B1E298B">
      <w:pPr>
        <w:pStyle w:val="22"/>
        <w:rPr>
          <w:rFonts w:hint="eastAsia" w:eastAsiaTheme="minorEastAsia"/>
          <w:color w:val="auto"/>
          <w:lang w:eastAsia="zh-CN"/>
        </w:rPr>
      </w:pPr>
    </w:p>
    <w:p w14:paraId="7881D767">
      <w:pPr>
        <w:pStyle w:val="22"/>
        <w:rPr>
          <w:rFonts w:hint="eastAsia" w:eastAsiaTheme="minorEastAsia"/>
          <w:color w:val="auto"/>
          <w:lang w:eastAsia="zh-CN"/>
        </w:rPr>
      </w:pPr>
    </w:p>
    <w:p w14:paraId="5DEAD247">
      <w:pPr>
        <w:pStyle w:val="22"/>
        <w:rPr>
          <w:rFonts w:hint="eastAsia" w:eastAsiaTheme="minorEastAsia"/>
          <w:color w:val="auto"/>
          <w:lang w:eastAsia="zh-CN"/>
        </w:rPr>
      </w:pPr>
    </w:p>
    <w:p w14:paraId="5D777FC3">
      <w:pPr>
        <w:pStyle w:val="22"/>
        <w:rPr>
          <w:rFonts w:hint="eastAsia" w:eastAsiaTheme="minorEastAsia"/>
          <w:color w:val="auto"/>
          <w:lang w:eastAsia="zh-CN"/>
        </w:rPr>
      </w:pPr>
    </w:p>
    <w:p w14:paraId="7E23189D">
      <w:pPr>
        <w:pStyle w:val="22"/>
        <w:rPr>
          <w:rFonts w:hint="eastAsia" w:eastAsiaTheme="minorEastAsia"/>
          <w:color w:val="auto"/>
          <w:lang w:eastAsia="zh-CN"/>
        </w:rPr>
      </w:pPr>
    </w:p>
    <w:p w14:paraId="7292A826">
      <w:pPr>
        <w:pStyle w:val="22"/>
        <w:rPr>
          <w:rFonts w:hint="eastAsia" w:eastAsiaTheme="minorEastAsia"/>
          <w:color w:val="auto"/>
          <w:lang w:eastAsia="zh-CN"/>
        </w:rPr>
      </w:pPr>
    </w:p>
    <w:p w14:paraId="7F6F4CD0">
      <w:pPr>
        <w:pStyle w:val="22"/>
        <w:rPr>
          <w:rFonts w:hint="eastAsia" w:eastAsiaTheme="minorEastAsia"/>
          <w:color w:val="auto"/>
          <w:lang w:eastAsia="zh-CN"/>
        </w:rPr>
      </w:pPr>
    </w:p>
    <w:p w14:paraId="43E041E0">
      <w:pPr>
        <w:pStyle w:val="22"/>
        <w:rPr>
          <w:rFonts w:hint="eastAsia" w:eastAsiaTheme="minorEastAsia"/>
          <w:color w:val="auto"/>
          <w:lang w:eastAsia="zh-CN"/>
        </w:rPr>
      </w:pPr>
    </w:p>
    <w:p w14:paraId="394FC5E9">
      <w:pPr>
        <w:pStyle w:val="22"/>
        <w:jc w:val="both"/>
        <w:rPr>
          <w:rFonts w:hint="default" w:eastAsiaTheme="minorEastAsia"/>
          <w:color w:val="auto"/>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06A28">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000811171"/>
    </w:sdtPr>
    <w:sdtEndPr>
      <w:rPr>
        <w:rFonts w:asciiTheme="minorEastAsia" w:hAnsiTheme="minorEastAsia" w:eastAsiaTheme="minorEastAsia"/>
        <w:sz w:val="21"/>
        <w:szCs w:val="21"/>
      </w:rPr>
    </w:sdtEndPr>
    <w:sdtContent>
      <w:sdt>
        <w:sdtPr>
          <w:rPr>
            <w:sz w:val="21"/>
            <w:szCs w:val="21"/>
          </w:rPr>
          <w:id w:val="-1669238322"/>
        </w:sdtPr>
        <w:sdtEndPr>
          <w:rPr>
            <w:rFonts w:asciiTheme="minorEastAsia" w:hAnsiTheme="minorEastAsia" w:eastAsiaTheme="minorEastAsia"/>
            <w:sz w:val="21"/>
            <w:szCs w:val="21"/>
          </w:rPr>
        </w:sdtEndPr>
        <w:sdtContent>
          <w:p w14:paraId="05B0AE58">
            <w:pPr>
              <w:pStyle w:val="3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94</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106</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104</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1682">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3C7E9">
                          <w:pPr>
                            <w:pStyle w:val="34"/>
                            <w:rPr>
                              <w:rFonts w:hint="eastAsia" w:ascii="宋体" w:hAnsi="宋体" w:eastAsia="宋体" w:cs="宋体"/>
                              <w:b/>
                              <w:bCs/>
                              <w:sz w:val="21"/>
                              <w:szCs w:val="21"/>
                            </w:rPr>
                          </w:pPr>
                          <w:r>
                            <w:rPr>
                              <w:rFonts w:hint="eastAsia" w:ascii="宋体" w:hAnsi="宋体" w:eastAsia="宋体" w:cs="宋体"/>
                              <w:b/>
                              <w:bCs/>
                              <w:sz w:val="21"/>
                              <w:szCs w:val="21"/>
                            </w:rPr>
                            <w:t xml:space="preserve">第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 共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NUMPAGES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F63C7E9">
                    <w:pPr>
                      <w:pStyle w:val="34"/>
                      <w:rPr>
                        <w:rFonts w:hint="eastAsia" w:ascii="宋体" w:hAnsi="宋体" w:eastAsia="宋体" w:cs="宋体"/>
                        <w:b/>
                        <w:bCs/>
                        <w:sz w:val="21"/>
                        <w:szCs w:val="21"/>
                      </w:rPr>
                    </w:pPr>
                    <w:r>
                      <w:rPr>
                        <w:rFonts w:hint="eastAsia" w:ascii="宋体" w:hAnsi="宋体" w:eastAsia="宋体" w:cs="宋体"/>
                        <w:b/>
                        <w:bCs/>
                        <w:sz w:val="21"/>
                        <w:szCs w:val="21"/>
                      </w:rPr>
                      <w:t xml:space="preserve">第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 共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NUMPAGES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7028A">
    <w:pPr>
      <w:pStyle w:val="35"/>
      <w:jc w:val="both"/>
    </w:pPr>
    <w:r>
      <w:rPr>
        <w:rFonts w:hint="eastAsia"/>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竞争性谈判文件</w:t>
    </w:r>
    <w:r>
      <w:rPr>
        <w:rFonts w:hint="eastAsia" w:ascii="宋体" w:hAnsi="宋体" w:eastAsia="宋体"/>
        <w:lang w:eastAsia="zh-CN"/>
      </w:rPr>
      <w:t>示范文本（</w:t>
    </w:r>
    <w:r>
      <w:rPr>
        <w:rFonts w:hint="eastAsia" w:asciiTheme="minorEastAsia" w:hAnsiTheme="minorEastAsia" w:eastAsiaTheme="minorEastAsia"/>
      </w:rPr>
      <w:t>工程类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D853F">
    <w:pPr>
      <w:pStyle w:val="35"/>
      <w:jc w:val="both"/>
    </w:pPr>
    <w:r>
      <w:rPr>
        <w:rFonts w:hint="eastAsia"/>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竞争性谈判文件</w:t>
    </w:r>
    <w:r>
      <w:rPr>
        <w:rFonts w:hint="eastAsia" w:ascii="宋体" w:hAnsi="宋体" w:eastAsia="宋体"/>
        <w:lang w:eastAsia="zh-CN"/>
      </w:rPr>
      <w:t>示范文本（</w:t>
    </w:r>
    <w:r>
      <w:rPr>
        <w:rFonts w:hint="eastAsia" w:asciiTheme="minorEastAsia" w:hAnsiTheme="minorEastAsia" w:eastAsiaTheme="minorEastAsia"/>
      </w:rPr>
      <w:t>工程类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BCA2A">
    <w:pPr>
      <w:pStyle w:val="35"/>
      <w:jc w:val="both"/>
      <w:rPr>
        <w:rFonts w:hint="eastAsia"/>
      </w:rPr>
    </w:pPr>
    <w:r>
      <w:rPr>
        <w:rFonts w:hint="eastAsia"/>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竞争性谈判文件</w:t>
    </w:r>
    <w:r>
      <w:rPr>
        <w:rFonts w:hint="eastAsia" w:ascii="宋体" w:hAnsi="宋体" w:eastAsia="宋体"/>
        <w:lang w:eastAsia="zh-CN"/>
      </w:rPr>
      <w:t>示范文本（</w:t>
    </w:r>
    <w:r>
      <w:rPr>
        <w:rFonts w:hint="eastAsia" w:asciiTheme="minorEastAsia" w:hAnsiTheme="minorEastAsia" w:eastAsiaTheme="minorEastAsia"/>
      </w:rPr>
      <w:t>工程类</w:t>
    </w:r>
    <w:r>
      <w:rPr>
        <w:rFonts w:hint="eastAsia" w:ascii="宋体" w:hAnsi="宋体"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563F"/>
    <w:multiLevelType w:val="singleLevel"/>
    <w:tmpl w:val="97BF563F"/>
    <w:lvl w:ilvl="0" w:tentative="0">
      <w:start w:val="1"/>
      <w:numFmt w:val="decimal"/>
      <w:suff w:val="nothing"/>
      <w:lvlText w:val="（%1）"/>
      <w:lvlJc w:val="left"/>
    </w:lvl>
  </w:abstractNum>
  <w:abstractNum w:abstractNumId="1">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2">
    <w:nsid w:val="7F7E5238"/>
    <w:multiLevelType w:val="multilevel"/>
    <w:tmpl w:val="7F7E5238"/>
    <w:lvl w:ilvl="0" w:tentative="0">
      <w:start w:val="1"/>
      <w:numFmt w:val="none"/>
      <w:pStyle w:val="17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9"/>
      <w:lvlText w:val="           "/>
      <w:lvlJc w:val="left"/>
      <w:pPr>
        <w:tabs>
          <w:tab w:val="left" w:pos="1440"/>
        </w:tabs>
        <w:ind w:left="1152" w:hanging="1152"/>
      </w:pPr>
      <w:rPr>
        <w:rFonts w:hint="eastAsia"/>
      </w:rPr>
    </w:lvl>
    <w:lvl w:ilvl="6" w:tentative="0">
      <w:start w:val="1"/>
      <w:numFmt w:val="decimal"/>
      <w:pStyle w:val="181"/>
      <w:lvlText w:val="%1.%2.%3.%4.%5.%6.%7"/>
      <w:lvlJc w:val="left"/>
      <w:pPr>
        <w:tabs>
          <w:tab w:val="left" w:pos="2520"/>
        </w:tabs>
        <w:ind w:left="1296" w:hanging="1296"/>
      </w:pPr>
      <w:rPr>
        <w:rFonts w:hint="eastAsia"/>
      </w:rPr>
    </w:lvl>
    <w:lvl w:ilvl="7" w:tentative="0">
      <w:start w:val="1"/>
      <w:numFmt w:val="decimal"/>
      <w:pStyle w:val="183"/>
      <w:lvlText w:val="%1.%2.%3.%4.%5.%6.%7.%8"/>
      <w:lvlJc w:val="left"/>
      <w:pPr>
        <w:tabs>
          <w:tab w:val="left" w:pos="1440"/>
        </w:tabs>
        <w:ind w:left="1440" w:hanging="1440"/>
      </w:pPr>
      <w:rPr>
        <w:rFonts w:hint="eastAsia"/>
      </w:rPr>
    </w:lvl>
    <w:lvl w:ilvl="8" w:tentative="0">
      <w:start w:val="1"/>
      <w:numFmt w:val="decimal"/>
      <w:pStyle w:val="185"/>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ZTY5NDM3ZmZiY2RiOWRiNmIwMGE3YTQ3OTI0Yjc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385B"/>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06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448"/>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073"/>
    <w:rsid w:val="001721FA"/>
    <w:rsid w:val="00172B93"/>
    <w:rsid w:val="0018119B"/>
    <w:rsid w:val="001844AB"/>
    <w:rsid w:val="001853C7"/>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503E"/>
    <w:rsid w:val="001D53B4"/>
    <w:rsid w:val="001E1835"/>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247F"/>
    <w:rsid w:val="00264F2E"/>
    <w:rsid w:val="00271245"/>
    <w:rsid w:val="00272B17"/>
    <w:rsid w:val="00273F66"/>
    <w:rsid w:val="00274A9E"/>
    <w:rsid w:val="00276BA1"/>
    <w:rsid w:val="00280984"/>
    <w:rsid w:val="002832CF"/>
    <w:rsid w:val="002835E3"/>
    <w:rsid w:val="00284542"/>
    <w:rsid w:val="002856FD"/>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2142"/>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10B9"/>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7D7"/>
    <w:rsid w:val="004D3D4B"/>
    <w:rsid w:val="004D4557"/>
    <w:rsid w:val="004D5498"/>
    <w:rsid w:val="004D66A5"/>
    <w:rsid w:val="004D6B00"/>
    <w:rsid w:val="004E1D50"/>
    <w:rsid w:val="004E3266"/>
    <w:rsid w:val="004E38BA"/>
    <w:rsid w:val="004E3EB6"/>
    <w:rsid w:val="004E50CA"/>
    <w:rsid w:val="004F27A0"/>
    <w:rsid w:val="0050027D"/>
    <w:rsid w:val="00501382"/>
    <w:rsid w:val="00502831"/>
    <w:rsid w:val="005048FB"/>
    <w:rsid w:val="00510798"/>
    <w:rsid w:val="005119B5"/>
    <w:rsid w:val="005125F1"/>
    <w:rsid w:val="005150CC"/>
    <w:rsid w:val="00524A11"/>
    <w:rsid w:val="00527768"/>
    <w:rsid w:val="00530EA4"/>
    <w:rsid w:val="005327FB"/>
    <w:rsid w:val="00533251"/>
    <w:rsid w:val="00533FCA"/>
    <w:rsid w:val="005346EF"/>
    <w:rsid w:val="005369F1"/>
    <w:rsid w:val="005470D4"/>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4549"/>
    <w:rsid w:val="0060572E"/>
    <w:rsid w:val="00606EBA"/>
    <w:rsid w:val="00607471"/>
    <w:rsid w:val="00610A66"/>
    <w:rsid w:val="006119B8"/>
    <w:rsid w:val="00613177"/>
    <w:rsid w:val="00613F7C"/>
    <w:rsid w:val="00614BF2"/>
    <w:rsid w:val="0061557C"/>
    <w:rsid w:val="00623DE2"/>
    <w:rsid w:val="00627601"/>
    <w:rsid w:val="006300D0"/>
    <w:rsid w:val="00632012"/>
    <w:rsid w:val="00634694"/>
    <w:rsid w:val="00634D55"/>
    <w:rsid w:val="00636517"/>
    <w:rsid w:val="00636EE7"/>
    <w:rsid w:val="00637690"/>
    <w:rsid w:val="00637ED5"/>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4550"/>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1666"/>
    <w:rsid w:val="007328C6"/>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5A8"/>
    <w:rsid w:val="00845F72"/>
    <w:rsid w:val="0084791E"/>
    <w:rsid w:val="00850A91"/>
    <w:rsid w:val="008524CE"/>
    <w:rsid w:val="00857633"/>
    <w:rsid w:val="00862EAF"/>
    <w:rsid w:val="00863491"/>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32D4"/>
    <w:rsid w:val="008D633C"/>
    <w:rsid w:val="008D76DA"/>
    <w:rsid w:val="008D7DB2"/>
    <w:rsid w:val="008E449E"/>
    <w:rsid w:val="008E4BDD"/>
    <w:rsid w:val="008E770C"/>
    <w:rsid w:val="008F00F4"/>
    <w:rsid w:val="008F187F"/>
    <w:rsid w:val="008F402F"/>
    <w:rsid w:val="008F76E8"/>
    <w:rsid w:val="00904508"/>
    <w:rsid w:val="009078A1"/>
    <w:rsid w:val="00911E9C"/>
    <w:rsid w:val="0091345E"/>
    <w:rsid w:val="00917405"/>
    <w:rsid w:val="00920F7C"/>
    <w:rsid w:val="00922718"/>
    <w:rsid w:val="00924743"/>
    <w:rsid w:val="00932A87"/>
    <w:rsid w:val="00932F92"/>
    <w:rsid w:val="00934CAE"/>
    <w:rsid w:val="0093560E"/>
    <w:rsid w:val="0094257D"/>
    <w:rsid w:val="009443B6"/>
    <w:rsid w:val="00946F68"/>
    <w:rsid w:val="0095467C"/>
    <w:rsid w:val="00954A61"/>
    <w:rsid w:val="00955C6F"/>
    <w:rsid w:val="00956789"/>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75185"/>
    <w:rsid w:val="00A754A0"/>
    <w:rsid w:val="00A757C3"/>
    <w:rsid w:val="00A75E5B"/>
    <w:rsid w:val="00A75F4B"/>
    <w:rsid w:val="00A7684A"/>
    <w:rsid w:val="00A77B8B"/>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0C9B"/>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2C7B"/>
    <w:rsid w:val="00B84FCA"/>
    <w:rsid w:val="00B9089F"/>
    <w:rsid w:val="00B9127B"/>
    <w:rsid w:val="00B91826"/>
    <w:rsid w:val="00B91AEE"/>
    <w:rsid w:val="00B93568"/>
    <w:rsid w:val="00B95F5A"/>
    <w:rsid w:val="00B96EAD"/>
    <w:rsid w:val="00BA4B7C"/>
    <w:rsid w:val="00BA79F5"/>
    <w:rsid w:val="00BA7EA7"/>
    <w:rsid w:val="00BB30B2"/>
    <w:rsid w:val="00BB3AB6"/>
    <w:rsid w:val="00BB766D"/>
    <w:rsid w:val="00BC007B"/>
    <w:rsid w:val="00BC26BA"/>
    <w:rsid w:val="00BC35F8"/>
    <w:rsid w:val="00BC403F"/>
    <w:rsid w:val="00BC481B"/>
    <w:rsid w:val="00BD08DF"/>
    <w:rsid w:val="00BD2D29"/>
    <w:rsid w:val="00BD617C"/>
    <w:rsid w:val="00BE18D7"/>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13A88"/>
    <w:rsid w:val="00C220FC"/>
    <w:rsid w:val="00C24DFA"/>
    <w:rsid w:val="00C24F9D"/>
    <w:rsid w:val="00C2521C"/>
    <w:rsid w:val="00C30182"/>
    <w:rsid w:val="00C31FC9"/>
    <w:rsid w:val="00C37581"/>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23D"/>
    <w:rsid w:val="00CB14E5"/>
    <w:rsid w:val="00CB218D"/>
    <w:rsid w:val="00CB377B"/>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2CF8"/>
    <w:rsid w:val="00D14585"/>
    <w:rsid w:val="00D153C8"/>
    <w:rsid w:val="00D169F2"/>
    <w:rsid w:val="00D20EFF"/>
    <w:rsid w:val="00D236BB"/>
    <w:rsid w:val="00D3019D"/>
    <w:rsid w:val="00D31324"/>
    <w:rsid w:val="00D4386E"/>
    <w:rsid w:val="00D51432"/>
    <w:rsid w:val="00D53ED8"/>
    <w:rsid w:val="00D541A0"/>
    <w:rsid w:val="00D54BB8"/>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0F82"/>
    <w:rsid w:val="00D945DC"/>
    <w:rsid w:val="00D95E90"/>
    <w:rsid w:val="00D96126"/>
    <w:rsid w:val="00DA2FD5"/>
    <w:rsid w:val="00DB0C86"/>
    <w:rsid w:val="00DB4B1C"/>
    <w:rsid w:val="00DB5085"/>
    <w:rsid w:val="00DB619F"/>
    <w:rsid w:val="00DB7211"/>
    <w:rsid w:val="00DC1062"/>
    <w:rsid w:val="00DC132C"/>
    <w:rsid w:val="00DC181A"/>
    <w:rsid w:val="00DC5727"/>
    <w:rsid w:val="00DD149F"/>
    <w:rsid w:val="00DD43F0"/>
    <w:rsid w:val="00DD44DE"/>
    <w:rsid w:val="00DE09AB"/>
    <w:rsid w:val="00DE352F"/>
    <w:rsid w:val="00DE4A3F"/>
    <w:rsid w:val="00DE5A99"/>
    <w:rsid w:val="00DF4367"/>
    <w:rsid w:val="00DF7291"/>
    <w:rsid w:val="00E03FF0"/>
    <w:rsid w:val="00E0574A"/>
    <w:rsid w:val="00E1243D"/>
    <w:rsid w:val="00E12742"/>
    <w:rsid w:val="00E146D4"/>
    <w:rsid w:val="00E14815"/>
    <w:rsid w:val="00E21D37"/>
    <w:rsid w:val="00E220ED"/>
    <w:rsid w:val="00E22B44"/>
    <w:rsid w:val="00E233AD"/>
    <w:rsid w:val="00E2457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4BB4"/>
    <w:rsid w:val="00ED5C9F"/>
    <w:rsid w:val="00EE050C"/>
    <w:rsid w:val="00EE2113"/>
    <w:rsid w:val="00EE34D0"/>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BE4"/>
    <w:rsid w:val="00F32155"/>
    <w:rsid w:val="00F32A81"/>
    <w:rsid w:val="00F40C82"/>
    <w:rsid w:val="00F4197F"/>
    <w:rsid w:val="00F41F2C"/>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B5DC9"/>
    <w:rsid w:val="00FC1439"/>
    <w:rsid w:val="00FC3F65"/>
    <w:rsid w:val="00FC5007"/>
    <w:rsid w:val="00FC724B"/>
    <w:rsid w:val="00FC7910"/>
    <w:rsid w:val="00FD01E0"/>
    <w:rsid w:val="00FD50FC"/>
    <w:rsid w:val="00FE1627"/>
    <w:rsid w:val="00FE2D4E"/>
    <w:rsid w:val="00FE4C3C"/>
    <w:rsid w:val="00FF092F"/>
    <w:rsid w:val="00FF0DA7"/>
    <w:rsid w:val="00FF2DF6"/>
    <w:rsid w:val="00FF44E0"/>
    <w:rsid w:val="00FF6C72"/>
    <w:rsid w:val="012F5F9F"/>
    <w:rsid w:val="015659DA"/>
    <w:rsid w:val="01993D60"/>
    <w:rsid w:val="024143A5"/>
    <w:rsid w:val="02486573"/>
    <w:rsid w:val="024B505A"/>
    <w:rsid w:val="02563346"/>
    <w:rsid w:val="02785724"/>
    <w:rsid w:val="035B12CD"/>
    <w:rsid w:val="035F40DD"/>
    <w:rsid w:val="03C769FB"/>
    <w:rsid w:val="03EF075E"/>
    <w:rsid w:val="04531FA4"/>
    <w:rsid w:val="04643CEC"/>
    <w:rsid w:val="04A34BCA"/>
    <w:rsid w:val="04FF037E"/>
    <w:rsid w:val="057535C8"/>
    <w:rsid w:val="058645FB"/>
    <w:rsid w:val="05AC0D47"/>
    <w:rsid w:val="05B2719F"/>
    <w:rsid w:val="062C3E14"/>
    <w:rsid w:val="06982838"/>
    <w:rsid w:val="06CE52A8"/>
    <w:rsid w:val="06DB0175"/>
    <w:rsid w:val="06F46FA5"/>
    <w:rsid w:val="0726460B"/>
    <w:rsid w:val="074D717F"/>
    <w:rsid w:val="078F7797"/>
    <w:rsid w:val="07AA2823"/>
    <w:rsid w:val="07C16525"/>
    <w:rsid w:val="08404F36"/>
    <w:rsid w:val="08BA6A96"/>
    <w:rsid w:val="094E1602"/>
    <w:rsid w:val="09601869"/>
    <w:rsid w:val="09903C9B"/>
    <w:rsid w:val="09D41DD9"/>
    <w:rsid w:val="09F2400E"/>
    <w:rsid w:val="09F61D50"/>
    <w:rsid w:val="0A1F6903"/>
    <w:rsid w:val="0A5D2729"/>
    <w:rsid w:val="0A6D6A59"/>
    <w:rsid w:val="0A7B04A7"/>
    <w:rsid w:val="0A9450C5"/>
    <w:rsid w:val="0AD0266C"/>
    <w:rsid w:val="0AD835BA"/>
    <w:rsid w:val="0AF87D87"/>
    <w:rsid w:val="0B381467"/>
    <w:rsid w:val="0B495EAF"/>
    <w:rsid w:val="0B6D7C36"/>
    <w:rsid w:val="0B7C060F"/>
    <w:rsid w:val="0BD115F6"/>
    <w:rsid w:val="0BE33FF4"/>
    <w:rsid w:val="0C030754"/>
    <w:rsid w:val="0C220F90"/>
    <w:rsid w:val="0C605569"/>
    <w:rsid w:val="0C6852C9"/>
    <w:rsid w:val="0CB60B87"/>
    <w:rsid w:val="0CB67574"/>
    <w:rsid w:val="0D464D9C"/>
    <w:rsid w:val="0DC42165"/>
    <w:rsid w:val="0DE5281D"/>
    <w:rsid w:val="0E1409F6"/>
    <w:rsid w:val="0E7D41B0"/>
    <w:rsid w:val="0ECC12D1"/>
    <w:rsid w:val="0F046CBD"/>
    <w:rsid w:val="0F0E7B3C"/>
    <w:rsid w:val="0F4C2412"/>
    <w:rsid w:val="0F5F2AC0"/>
    <w:rsid w:val="0F960BD1"/>
    <w:rsid w:val="0FB5389E"/>
    <w:rsid w:val="0FBF0E36"/>
    <w:rsid w:val="0FEC74DF"/>
    <w:rsid w:val="0FF92A7A"/>
    <w:rsid w:val="10147E01"/>
    <w:rsid w:val="103D2038"/>
    <w:rsid w:val="1056270F"/>
    <w:rsid w:val="106C6E05"/>
    <w:rsid w:val="109E6C9D"/>
    <w:rsid w:val="10DB1C9F"/>
    <w:rsid w:val="10FA59A4"/>
    <w:rsid w:val="11401B02"/>
    <w:rsid w:val="11511F61"/>
    <w:rsid w:val="11727E03"/>
    <w:rsid w:val="11956312"/>
    <w:rsid w:val="11C95F9C"/>
    <w:rsid w:val="11E96D11"/>
    <w:rsid w:val="12067E67"/>
    <w:rsid w:val="12072620"/>
    <w:rsid w:val="12A2241B"/>
    <w:rsid w:val="12F062D3"/>
    <w:rsid w:val="12FC1310"/>
    <w:rsid w:val="132E570D"/>
    <w:rsid w:val="133236CD"/>
    <w:rsid w:val="134E49AB"/>
    <w:rsid w:val="14082ABE"/>
    <w:rsid w:val="14257B28"/>
    <w:rsid w:val="143C0CA7"/>
    <w:rsid w:val="14442136"/>
    <w:rsid w:val="14445DAD"/>
    <w:rsid w:val="145315DE"/>
    <w:rsid w:val="146A2E8A"/>
    <w:rsid w:val="14863CD0"/>
    <w:rsid w:val="149A3C1F"/>
    <w:rsid w:val="1534197E"/>
    <w:rsid w:val="155935A3"/>
    <w:rsid w:val="155E4C4D"/>
    <w:rsid w:val="156F29B6"/>
    <w:rsid w:val="15C40F54"/>
    <w:rsid w:val="160752E5"/>
    <w:rsid w:val="166D1BA8"/>
    <w:rsid w:val="16AB2484"/>
    <w:rsid w:val="171001C9"/>
    <w:rsid w:val="17544559"/>
    <w:rsid w:val="17750F09"/>
    <w:rsid w:val="1784011D"/>
    <w:rsid w:val="17C05F2B"/>
    <w:rsid w:val="1804388A"/>
    <w:rsid w:val="18673E19"/>
    <w:rsid w:val="187C5E9B"/>
    <w:rsid w:val="18B1525A"/>
    <w:rsid w:val="18D75E11"/>
    <w:rsid w:val="18F5648F"/>
    <w:rsid w:val="19305E57"/>
    <w:rsid w:val="194219B0"/>
    <w:rsid w:val="19792055"/>
    <w:rsid w:val="19A370D2"/>
    <w:rsid w:val="19E155F7"/>
    <w:rsid w:val="1A385A6D"/>
    <w:rsid w:val="1AA23BEB"/>
    <w:rsid w:val="1B46240B"/>
    <w:rsid w:val="1B5E4E2C"/>
    <w:rsid w:val="1B622567"/>
    <w:rsid w:val="1B723200"/>
    <w:rsid w:val="1B852F33"/>
    <w:rsid w:val="1B86317D"/>
    <w:rsid w:val="1BAB04C0"/>
    <w:rsid w:val="1BF17BC4"/>
    <w:rsid w:val="1C5523E0"/>
    <w:rsid w:val="1D392227"/>
    <w:rsid w:val="1D7D3B91"/>
    <w:rsid w:val="1DA13929"/>
    <w:rsid w:val="1DC065AE"/>
    <w:rsid w:val="1DE52AD1"/>
    <w:rsid w:val="1E25455A"/>
    <w:rsid w:val="1E4E06A3"/>
    <w:rsid w:val="1E711203"/>
    <w:rsid w:val="1F3276F4"/>
    <w:rsid w:val="1F5A7E41"/>
    <w:rsid w:val="1FA83694"/>
    <w:rsid w:val="1FC102B2"/>
    <w:rsid w:val="1FDB75C6"/>
    <w:rsid w:val="1FEE0D9C"/>
    <w:rsid w:val="206155F1"/>
    <w:rsid w:val="20A514D9"/>
    <w:rsid w:val="20C11F53"/>
    <w:rsid w:val="20E05A27"/>
    <w:rsid w:val="20FD356C"/>
    <w:rsid w:val="21110DC5"/>
    <w:rsid w:val="216A4E75"/>
    <w:rsid w:val="217F0425"/>
    <w:rsid w:val="21815F4B"/>
    <w:rsid w:val="21A14AFA"/>
    <w:rsid w:val="21A25EC1"/>
    <w:rsid w:val="21B836AC"/>
    <w:rsid w:val="21BF0821"/>
    <w:rsid w:val="21DA1AFF"/>
    <w:rsid w:val="226F2247"/>
    <w:rsid w:val="22BD7457"/>
    <w:rsid w:val="23237677"/>
    <w:rsid w:val="23563407"/>
    <w:rsid w:val="23907598"/>
    <w:rsid w:val="23920114"/>
    <w:rsid w:val="23E06A22"/>
    <w:rsid w:val="242C3F8C"/>
    <w:rsid w:val="2449262D"/>
    <w:rsid w:val="24673AC7"/>
    <w:rsid w:val="246F40D7"/>
    <w:rsid w:val="24747FE9"/>
    <w:rsid w:val="24774A18"/>
    <w:rsid w:val="24A06DFA"/>
    <w:rsid w:val="24DC01AE"/>
    <w:rsid w:val="25396B3D"/>
    <w:rsid w:val="256750CB"/>
    <w:rsid w:val="256F0520"/>
    <w:rsid w:val="25891872"/>
    <w:rsid w:val="25B10902"/>
    <w:rsid w:val="265F201B"/>
    <w:rsid w:val="26A525CE"/>
    <w:rsid w:val="26AB5DFD"/>
    <w:rsid w:val="26D97A21"/>
    <w:rsid w:val="273E043A"/>
    <w:rsid w:val="278A787E"/>
    <w:rsid w:val="27AA76B5"/>
    <w:rsid w:val="27B506FD"/>
    <w:rsid w:val="27E85AF1"/>
    <w:rsid w:val="28090FC9"/>
    <w:rsid w:val="28F03607"/>
    <w:rsid w:val="29183639"/>
    <w:rsid w:val="29491A44"/>
    <w:rsid w:val="296333CC"/>
    <w:rsid w:val="297406FE"/>
    <w:rsid w:val="29B368CB"/>
    <w:rsid w:val="29BD7BDA"/>
    <w:rsid w:val="29D55431"/>
    <w:rsid w:val="29E7300B"/>
    <w:rsid w:val="2A0C2A72"/>
    <w:rsid w:val="2A0E67EA"/>
    <w:rsid w:val="2A2B739C"/>
    <w:rsid w:val="2A742AF1"/>
    <w:rsid w:val="2A75353F"/>
    <w:rsid w:val="2A8A2314"/>
    <w:rsid w:val="2AAF1D7B"/>
    <w:rsid w:val="2ACD3FAF"/>
    <w:rsid w:val="2B2D4A4E"/>
    <w:rsid w:val="2B6535CE"/>
    <w:rsid w:val="2B806CA3"/>
    <w:rsid w:val="2B9B0870"/>
    <w:rsid w:val="2BED6E09"/>
    <w:rsid w:val="2BFE7B5C"/>
    <w:rsid w:val="2C5B070C"/>
    <w:rsid w:val="2C6B6962"/>
    <w:rsid w:val="2CC31B0E"/>
    <w:rsid w:val="2CC459BD"/>
    <w:rsid w:val="2CD51FBA"/>
    <w:rsid w:val="2CE33635"/>
    <w:rsid w:val="2D03015C"/>
    <w:rsid w:val="2D1633EB"/>
    <w:rsid w:val="2D4349FC"/>
    <w:rsid w:val="2D5001B8"/>
    <w:rsid w:val="2D6D7CCB"/>
    <w:rsid w:val="2DA27975"/>
    <w:rsid w:val="2DB2017D"/>
    <w:rsid w:val="2DB96575"/>
    <w:rsid w:val="2DFA27F2"/>
    <w:rsid w:val="2E3D3BD6"/>
    <w:rsid w:val="2E5E35C3"/>
    <w:rsid w:val="2E6A7D67"/>
    <w:rsid w:val="2E7C1A67"/>
    <w:rsid w:val="2E876B6B"/>
    <w:rsid w:val="2EC21951"/>
    <w:rsid w:val="2F5466C5"/>
    <w:rsid w:val="2F6D3FB3"/>
    <w:rsid w:val="2F8F217B"/>
    <w:rsid w:val="2FA67E29"/>
    <w:rsid w:val="2FDA1A60"/>
    <w:rsid w:val="2FDE4371"/>
    <w:rsid w:val="30202DD3"/>
    <w:rsid w:val="30260C85"/>
    <w:rsid w:val="302E5052"/>
    <w:rsid w:val="30522E72"/>
    <w:rsid w:val="30550CCF"/>
    <w:rsid w:val="3095556F"/>
    <w:rsid w:val="30977539"/>
    <w:rsid w:val="309C68FD"/>
    <w:rsid w:val="30A35D7D"/>
    <w:rsid w:val="30A70E54"/>
    <w:rsid w:val="31524602"/>
    <w:rsid w:val="3154664E"/>
    <w:rsid w:val="31F167D5"/>
    <w:rsid w:val="320F1351"/>
    <w:rsid w:val="32114704"/>
    <w:rsid w:val="32126E35"/>
    <w:rsid w:val="32C24615"/>
    <w:rsid w:val="32D94B0D"/>
    <w:rsid w:val="33152997"/>
    <w:rsid w:val="3321791E"/>
    <w:rsid w:val="33437504"/>
    <w:rsid w:val="33681AA0"/>
    <w:rsid w:val="3381002D"/>
    <w:rsid w:val="33DC1366"/>
    <w:rsid w:val="33EF143A"/>
    <w:rsid w:val="342A06C4"/>
    <w:rsid w:val="3433408B"/>
    <w:rsid w:val="34873421"/>
    <w:rsid w:val="34BD32E6"/>
    <w:rsid w:val="34C702FA"/>
    <w:rsid w:val="350E7D08"/>
    <w:rsid w:val="352F467A"/>
    <w:rsid w:val="358636D8"/>
    <w:rsid w:val="360A60B7"/>
    <w:rsid w:val="361D268E"/>
    <w:rsid w:val="366457CC"/>
    <w:rsid w:val="367E1190"/>
    <w:rsid w:val="36880D31"/>
    <w:rsid w:val="36D533A8"/>
    <w:rsid w:val="3700570C"/>
    <w:rsid w:val="371B0810"/>
    <w:rsid w:val="377E398B"/>
    <w:rsid w:val="37806443"/>
    <w:rsid w:val="379753A2"/>
    <w:rsid w:val="37A20571"/>
    <w:rsid w:val="37A37610"/>
    <w:rsid w:val="37C325D4"/>
    <w:rsid w:val="37F51776"/>
    <w:rsid w:val="388859B9"/>
    <w:rsid w:val="388A00C0"/>
    <w:rsid w:val="389175E4"/>
    <w:rsid w:val="38AF2CB3"/>
    <w:rsid w:val="38C8541F"/>
    <w:rsid w:val="38D40BFF"/>
    <w:rsid w:val="394A0EC1"/>
    <w:rsid w:val="395B14CA"/>
    <w:rsid w:val="39B0341A"/>
    <w:rsid w:val="3A0E1EEE"/>
    <w:rsid w:val="3A190B5C"/>
    <w:rsid w:val="3A1D091B"/>
    <w:rsid w:val="3A323E2F"/>
    <w:rsid w:val="3AC058DE"/>
    <w:rsid w:val="3ACD1DA9"/>
    <w:rsid w:val="3AF61300"/>
    <w:rsid w:val="3B80785F"/>
    <w:rsid w:val="3B92336A"/>
    <w:rsid w:val="3B9731AE"/>
    <w:rsid w:val="3BBF3204"/>
    <w:rsid w:val="3BC74A4B"/>
    <w:rsid w:val="3BEB3449"/>
    <w:rsid w:val="3C7D3715"/>
    <w:rsid w:val="3C8F37BA"/>
    <w:rsid w:val="3CD93B58"/>
    <w:rsid w:val="3D464925"/>
    <w:rsid w:val="3D6D7E22"/>
    <w:rsid w:val="3DB86D41"/>
    <w:rsid w:val="3DF338D5"/>
    <w:rsid w:val="3DF8538F"/>
    <w:rsid w:val="3E2E0DB1"/>
    <w:rsid w:val="3E654273"/>
    <w:rsid w:val="3E7F7210"/>
    <w:rsid w:val="3E8E1868"/>
    <w:rsid w:val="3EC82FB3"/>
    <w:rsid w:val="3ECB780D"/>
    <w:rsid w:val="3ED930B3"/>
    <w:rsid w:val="3F3426F2"/>
    <w:rsid w:val="3F890995"/>
    <w:rsid w:val="3F8F0431"/>
    <w:rsid w:val="3FB36075"/>
    <w:rsid w:val="4004001B"/>
    <w:rsid w:val="40254DC4"/>
    <w:rsid w:val="407B7BAD"/>
    <w:rsid w:val="40E35E83"/>
    <w:rsid w:val="414A4154"/>
    <w:rsid w:val="416D4089"/>
    <w:rsid w:val="41D56EB3"/>
    <w:rsid w:val="4210237A"/>
    <w:rsid w:val="424741EF"/>
    <w:rsid w:val="42842924"/>
    <w:rsid w:val="42BA0E65"/>
    <w:rsid w:val="42D00689"/>
    <w:rsid w:val="430D368B"/>
    <w:rsid w:val="432506D7"/>
    <w:rsid w:val="439671DC"/>
    <w:rsid w:val="439B3F9B"/>
    <w:rsid w:val="43B81849"/>
    <w:rsid w:val="43DD46A1"/>
    <w:rsid w:val="43F9776B"/>
    <w:rsid w:val="44240C8C"/>
    <w:rsid w:val="445A5081"/>
    <w:rsid w:val="446F51DD"/>
    <w:rsid w:val="447D2D74"/>
    <w:rsid w:val="449B0822"/>
    <w:rsid w:val="44FF0CFF"/>
    <w:rsid w:val="454839C7"/>
    <w:rsid w:val="45A84D0A"/>
    <w:rsid w:val="45F66658"/>
    <w:rsid w:val="46306827"/>
    <w:rsid w:val="464F5D68"/>
    <w:rsid w:val="465C4C5A"/>
    <w:rsid w:val="469E3992"/>
    <w:rsid w:val="46B3519C"/>
    <w:rsid w:val="47024B89"/>
    <w:rsid w:val="470D3C59"/>
    <w:rsid w:val="471F398D"/>
    <w:rsid w:val="4770243A"/>
    <w:rsid w:val="479A2D50"/>
    <w:rsid w:val="47B71C23"/>
    <w:rsid w:val="47FA40E1"/>
    <w:rsid w:val="485338EE"/>
    <w:rsid w:val="485853A8"/>
    <w:rsid w:val="485E6108"/>
    <w:rsid w:val="48665B32"/>
    <w:rsid w:val="48743B3D"/>
    <w:rsid w:val="48877A3B"/>
    <w:rsid w:val="4897496B"/>
    <w:rsid w:val="48AB372A"/>
    <w:rsid w:val="49193E5A"/>
    <w:rsid w:val="49836455"/>
    <w:rsid w:val="49A32653"/>
    <w:rsid w:val="49A5461D"/>
    <w:rsid w:val="49B276EA"/>
    <w:rsid w:val="49BF2A4F"/>
    <w:rsid w:val="4A084BAC"/>
    <w:rsid w:val="4A48783C"/>
    <w:rsid w:val="4A630440"/>
    <w:rsid w:val="4ACB6469"/>
    <w:rsid w:val="4AD2709A"/>
    <w:rsid w:val="4AF13892"/>
    <w:rsid w:val="4B144A8E"/>
    <w:rsid w:val="4B2A0430"/>
    <w:rsid w:val="4B511754"/>
    <w:rsid w:val="4B5936E6"/>
    <w:rsid w:val="4B771FE9"/>
    <w:rsid w:val="4B8220D3"/>
    <w:rsid w:val="4BBC7D76"/>
    <w:rsid w:val="4C687B84"/>
    <w:rsid w:val="4C7A5AD6"/>
    <w:rsid w:val="4CCB12D0"/>
    <w:rsid w:val="4D151ABA"/>
    <w:rsid w:val="4D245859"/>
    <w:rsid w:val="4D2D3C7D"/>
    <w:rsid w:val="4D4759EB"/>
    <w:rsid w:val="4D545FE5"/>
    <w:rsid w:val="4DD76D6F"/>
    <w:rsid w:val="4DFD64CE"/>
    <w:rsid w:val="4E0F7520"/>
    <w:rsid w:val="4E121B55"/>
    <w:rsid w:val="4E1776B9"/>
    <w:rsid w:val="4E606D65"/>
    <w:rsid w:val="4EA15069"/>
    <w:rsid w:val="4ECC43FA"/>
    <w:rsid w:val="4EE31744"/>
    <w:rsid w:val="4F3F2244"/>
    <w:rsid w:val="4F4641AC"/>
    <w:rsid w:val="4F4C10BA"/>
    <w:rsid w:val="4FBA06F6"/>
    <w:rsid w:val="4FC350DF"/>
    <w:rsid w:val="500718A1"/>
    <w:rsid w:val="505C7A00"/>
    <w:rsid w:val="50942CF5"/>
    <w:rsid w:val="50E023DF"/>
    <w:rsid w:val="50E35A2B"/>
    <w:rsid w:val="51491D32"/>
    <w:rsid w:val="51973BEE"/>
    <w:rsid w:val="522065DA"/>
    <w:rsid w:val="52426781"/>
    <w:rsid w:val="524B1726"/>
    <w:rsid w:val="52C8137C"/>
    <w:rsid w:val="52CB277F"/>
    <w:rsid w:val="534053B7"/>
    <w:rsid w:val="53D55AFF"/>
    <w:rsid w:val="540F3DCC"/>
    <w:rsid w:val="542E3461"/>
    <w:rsid w:val="54574A01"/>
    <w:rsid w:val="545C79CC"/>
    <w:rsid w:val="54A11C73"/>
    <w:rsid w:val="54C82ABF"/>
    <w:rsid w:val="54CD3304"/>
    <w:rsid w:val="54FE1085"/>
    <w:rsid w:val="55086591"/>
    <w:rsid w:val="55131DDA"/>
    <w:rsid w:val="5565357E"/>
    <w:rsid w:val="556C28C7"/>
    <w:rsid w:val="55FF3307"/>
    <w:rsid w:val="565B309E"/>
    <w:rsid w:val="567A0BDF"/>
    <w:rsid w:val="56894032"/>
    <w:rsid w:val="56C1680E"/>
    <w:rsid w:val="56C66210"/>
    <w:rsid w:val="56E25C15"/>
    <w:rsid w:val="57F705DA"/>
    <w:rsid w:val="5809250B"/>
    <w:rsid w:val="580A7D41"/>
    <w:rsid w:val="58170ED4"/>
    <w:rsid w:val="5818245E"/>
    <w:rsid w:val="586E4B2E"/>
    <w:rsid w:val="5874483B"/>
    <w:rsid w:val="589866DF"/>
    <w:rsid w:val="58CB5722"/>
    <w:rsid w:val="58F509F1"/>
    <w:rsid w:val="592665BD"/>
    <w:rsid w:val="59EA607C"/>
    <w:rsid w:val="5A4F5EDF"/>
    <w:rsid w:val="5AD54636"/>
    <w:rsid w:val="5B5C4D58"/>
    <w:rsid w:val="5BC509AC"/>
    <w:rsid w:val="5BF44F90"/>
    <w:rsid w:val="5C391541"/>
    <w:rsid w:val="5C425CFC"/>
    <w:rsid w:val="5C855BE8"/>
    <w:rsid w:val="5C8B76A2"/>
    <w:rsid w:val="5C8C51C9"/>
    <w:rsid w:val="5CA01A5A"/>
    <w:rsid w:val="5D1350D5"/>
    <w:rsid w:val="5D3F7DD0"/>
    <w:rsid w:val="5D5F050F"/>
    <w:rsid w:val="5D755C5D"/>
    <w:rsid w:val="5D8320A5"/>
    <w:rsid w:val="5DAE2BA3"/>
    <w:rsid w:val="5DBA499B"/>
    <w:rsid w:val="5DC6470A"/>
    <w:rsid w:val="5DF97B87"/>
    <w:rsid w:val="5E053485"/>
    <w:rsid w:val="5E2558D5"/>
    <w:rsid w:val="5E9241C4"/>
    <w:rsid w:val="5EAA7B88"/>
    <w:rsid w:val="5EAE07E6"/>
    <w:rsid w:val="5ED60E54"/>
    <w:rsid w:val="5EFD415C"/>
    <w:rsid w:val="5F304531"/>
    <w:rsid w:val="5F722862"/>
    <w:rsid w:val="5FBB632F"/>
    <w:rsid w:val="5FC77254"/>
    <w:rsid w:val="5FCF5CED"/>
    <w:rsid w:val="5FF217E7"/>
    <w:rsid w:val="60665609"/>
    <w:rsid w:val="60705C16"/>
    <w:rsid w:val="60A00F9E"/>
    <w:rsid w:val="60BF2E38"/>
    <w:rsid w:val="60C34F31"/>
    <w:rsid w:val="61202D3A"/>
    <w:rsid w:val="6151078F"/>
    <w:rsid w:val="61B96A60"/>
    <w:rsid w:val="61C96577"/>
    <w:rsid w:val="625642AF"/>
    <w:rsid w:val="6295006F"/>
    <w:rsid w:val="62F67840"/>
    <w:rsid w:val="6300246C"/>
    <w:rsid w:val="63C17E4E"/>
    <w:rsid w:val="63CB4828"/>
    <w:rsid w:val="63FF2724"/>
    <w:rsid w:val="640F6E0B"/>
    <w:rsid w:val="64234664"/>
    <w:rsid w:val="64250B7E"/>
    <w:rsid w:val="64A357A5"/>
    <w:rsid w:val="64DB07C0"/>
    <w:rsid w:val="64EA414E"/>
    <w:rsid w:val="652118A7"/>
    <w:rsid w:val="652266CA"/>
    <w:rsid w:val="65424FBE"/>
    <w:rsid w:val="65847385"/>
    <w:rsid w:val="659D0447"/>
    <w:rsid w:val="661F39AA"/>
    <w:rsid w:val="66552ACF"/>
    <w:rsid w:val="66707862"/>
    <w:rsid w:val="66A009FE"/>
    <w:rsid w:val="66D165FA"/>
    <w:rsid w:val="67220C03"/>
    <w:rsid w:val="67277FC8"/>
    <w:rsid w:val="67980EC5"/>
    <w:rsid w:val="67C40888"/>
    <w:rsid w:val="67C41CBB"/>
    <w:rsid w:val="68FE6526"/>
    <w:rsid w:val="692C7EA4"/>
    <w:rsid w:val="692F6511"/>
    <w:rsid w:val="696C260A"/>
    <w:rsid w:val="698B2F83"/>
    <w:rsid w:val="69A006B2"/>
    <w:rsid w:val="6A0746FF"/>
    <w:rsid w:val="6A0B3BD1"/>
    <w:rsid w:val="6A11203B"/>
    <w:rsid w:val="6A350C4E"/>
    <w:rsid w:val="6A3B3D97"/>
    <w:rsid w:val="6A3E0F3F"/>
    <w:rsid w:val="6A7379C8"/>
    <w:rsid w:val="6A8A5BA2"/>
    <w:rsid w:val="6AC124E1"/>
    <w:rsid w:val="6ACD70D8"/>
    <w:rsid w:val="6B0F2FA0"/>
    <w:rsid w:val="6B2C72B3"/>
    <w:rsid w:val="6B3E1D84"/>
    <w:rsid w:val="6B4A24D7"/>
    <w:rsid w:val="6B5B0B88"/>
    <w:rsid w:val="6B6C68F1"/>
    <w:rsid w:val="6B7A5C96"/>
    <w:rsid w:val="6B7B4D86"/>
    <w:rsid w:val="6B7E3736"/>
    <w:rsid w:val="6B8200B1"/>
    <w:rsid w:val="6BA95B9A"/>
    <w:rsid w:val="6BEE5558"/>
    <w:rsid w:val="6C030DB1"/>
    <w:rsid w:val="6C21592D"/>
    <w:rsid w:val="6C6121CE"/>
    <w:rsid w:val="6C8934D3"/>
    <w:rsid w:val="6D54588F"/>
    <w:rsid w:val="6D674868"/>
    <w:rsid w:val="6D6904D2"/>
    <w:rsid w:val="6D94212F"/>
    <w:rsid w:val="6DB10387"/>
    <w:rsid w:val="6E087F44"/>
    <w:rsid w:val="6E1312A6"/>
    <w:rsid w:val="6E184B0E"/>
    <w:rsid w:val="6E1B45FE"/>
    <w:rsid w:val="6E1E43FA"/>
    <w:rsid w:val="6E2A0774"/>
    <w:rsid w:val="6E4B6C92"/>
    <w:rsid w:val="6E672132"/>
    <w:rsid w:val="6E6C4E5A"/>
    <w:rsid w:val="6E812F69"/>
    <w:rsid w:val="6E9A64E4"/>
    <w:rsid w:val="6EA243DF"/>
    <w:rsid w:val="6EB72579"/>
    <w:rsid w:val="6EE669BA"/>
    <w:rsid w:val="6EFE5E0E"/>
    <w:rsid w:val="6F215C44"/>
    <w:rsid w:val="6F23376B"/>
    <w:rsid w:val="6F3F7718"/>
    <w:rsid w:val="703D6AAE"/>
    <w:rsid w:val="705838E8"/>
    <w:rsid w:val="708E2E66"/>
    <w:rsid w:val="70A63B8D"/>
    <w:rsid w:val="70C66AA3"/>
    <w:rsid w:val="71037A09"/>
    <w:rsid w:val="716A5681"/>
    <w:rsid w:val="718524BB"/>
    <w:rsid w:val="71E73175"/>
    <w:rsid w:val="721211E6"/>
    <w:rsid w:val="722D2A4B"/>
    <w:rsid w:val="72565C05"/>
    <w:rsid w:val="726247CD"/>
    <w:rsid w:val="72743DB7"/>
    <w:rsid w:val="727447D3"/>
    <w:rsid w:val="72834520"/>
    <w:rsid w:val="728B23FD"/>
    <w:rsid w:val="72B03567"/>
    <w:rsid w:val="72B94304"/>
    <w:rsid w:val="72C62AF2"/>
    <w:rsid w:val="730A0F49"/>
    <w:rsid w:val="736E72E6"/>
    <w:rsid w:val="73B61051"/>
    <w:rsid w:val="73BE79EF"/>
    <w:rsid w:val="73C963C3"/>
    <w:rsid w:val="74017DF2"/>
    <w:rsid w:val="74797BF2"/>
    <w:rsid w:val="747F7695"/>
    <w:rsid w:val="74AE38FD"/>
    <w:rsid w:val="74FC2405"/>
    <w:rsid w:val="75157FF9"/>
    <w:rsid w:val="753F634B"/>
    <w:rsid w:val="75622B13"/>
    <w:rsid w:val="756B19C7"/>
    <w:rsid w:val="759D21DD"/>
    <w:rsid w:val="75DC7411"/>
    <w:rsid w:val="7628596B"/>
    <w:rsid w:val="76487F5B"/>
    <w:rsid w:val="76797C2F"/>
    <w:rsid w:val="767B240F"/>
    <w:rsid w:val="76E3565A"/>
    <w:rsid w:val="76FC1307"/>
    <w:rsid w:val="774C5829"/>
    <w:rsid w:val="775678A3"/>
    <w:rsid w:val="77680C40"/>
    <w:rsid w:val="77C4074D"/>
    <w:rsid w:val="78970D25"/>
    <w:rsid w:val="78D41F79"/>
    <w:rsid w:val="795F2373"/>
    <w:rsid w:val="79685252"/>
    <w:rsid w:val="79921C19"/>
    <w:rsid w:val="79955265"/>
    <w:rsid w:val="79984D55"/>
    <w:rsid w:val="799B26EC"/>
    <w:rsid w:val="79D35D8D"/>
    <w:rsid w:val="79ED32F3"/>
    <w:rsid w:val="79FA090D"/>
    <w:rsid w:val="7A097A01"/>
    <w:rsid w:val="7A3F3423"/>
    <w:rsid w:val="7A9E45ED"/>
    <w:rsid w:val="7AFD5272"/>
    <w:rsid w:val="7B021ACD"/>
    <w:rsid w:val="7B1E7CC8"/>
    <w:rsid w:val="7B8C2698"/>
    <w:rsid w:val="7BB2234C"/>
    <w:rsid w:val="7BC02054"/>
    <w:rsid w:val="7BC938EC"/>
    <w:rsid w:val="7BF546E1"/>
    <w:rsid w:val="7C312D2E"/>
    <w:rsid w:val="7CDC6BBC"/>
    <w:rsid w:val="7CF41716"/>
    <w:rsid w:val="7D3B4910"/>
    <w:rsid w:val="7D76260A"/>
    <w:rsid w:val="7DCF70C0"/>
    <w:rsid w:val="7E235535"/>
    <w:rsid w:val="7EDE2FD4"/>
    <w:rsid w:val="7EE10F4C"/>
    <w:rsid w:val="7EED5B43"/>
    <w:rsid w:val="7EFB6730"/>
    <w:rsid w:val="7EFE5597"/>
    <w:rsid w:val="7F017CB2"/>
    <w:rsid w:val="7F285D26"/>
    <w:rsid w:val="7F4A08A0"/>
    <w:rsid w:val="7F5B485B"/>
    <w:rsid w:val="7FBA7615"/>
    <w:rsid w:val="7FBF128D"/>
    <w:rsid w:val="7FC543CA"/>
    <w:rsid w:val="7FEC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nhideWhenUsed="0" w:uiPriority="0" w:semiHidden="0"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6">
    <w:name w:val="heading 1"/>
    <w:basedOn w:val="1"/>
    <w:next w:val="1"/>
    <w:link w:val="9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104"/>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8">
    <w:name w:val="heading 3"/>
    <w:basedOn w:val="1"/>
    <w:next w:val="1"/>
    <w:link w:val="93"/>
    <w:unhideWhenUsed/>
    <w:qFormat/>
    <w:uiPriority w:val="0"/>
    <w:pPr>
      <w:keepNext/>
      <w:keepLines/>
      <w:spacing w:before="260" w:after="260" w:line="416" w:lineRule="auto"/>
      <w:outlineLvl w:val="2"/>
    </w:pPr>
    <w:rPr>
      <w:b/>
      <w:bCs/>
      <w:sz w:val="32"/>
      <w:szCs w:val="32"/>
    </w:rPr>
  </w:style>
  <w:style w:type="paragraph" w:styleId="9">
    <w:name w:val="heading 4"/>
    <w:basedOn w:val="1"/>
    <w:next w:val="1"/>
    <w:link w:val="98"/>
    <w:qFormat/>
    <w:uiPriority w:val="0"/>
    <w:pPr>
      <w:keepNext/>
      <w:keepLines/>
      <w:spacing w:before="280" w:after="290" w:line="376" w:lineRule="auto"/>
      <w:outlineLvl w:val="3"/>
    </w:pPr>
    <w:rPr>
      <w:b/>
      <w:bCs/>
      <w:sz w:val="28"/>
      <w:szCs w:val="28"/>
    </w:rPr>
  </w:style>
  <w:style w:type="paragraph" w:styleId="10">
    <w:name w:val="heading 5"/>
    <w:basedOn w:val="1"/>
    <w:next w:val="1"/>
    <w:link w:val="105"/>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11">
    <w:name w:val="heading 6"/>
    <w:basedOn w:val="10"/>
    <w:next w:val="1"/>
    <w:link w:val="106"/>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12">
    <w:name w:val="heading 7"/>
    <w:basedOn w:val="11"/>
    <w:next w:val="1"/>
    <w:link w:val="107"/>
    <w:qFormat/>
    <w:uiPriority w:val="0"/>
    <w:pPr>
      <w:tabs>
        <w:tab w:val="left" w:pos="1800"/>
        <w:tab w:val="clear" w:pos="1440"/>
      </w:tabs>
      <w:ind w:left="1276" w:hanging="1276"/>
      <w:outlineLvl w:val="6"/>
    </w:pPr>
  </w:style>
  <w:style w:type="paragraph" w:styleId="13">
    <w:name w:val="heading 8"/>
    <w:basedOn w:val="1"/>
    <w:next w:val="1"/>
    <w:link w:val="108"/>
    <w:qFormat/>
    <w:uiPriority w:val="0"/>
    <w:pPr>
      <w:keepNext/>
      <w:keepLines/>
      <w:spacing w:line="400" w:lineRule="exact"/>
      <w:jc w:val="center"/>
      <w:outlineLvl w:val="7"/>
    </w:pPr>
    <w:rPr>
      <w:rFonts w:eastAsia="黑体" w:cs="Times New Roman"/>
      <w:kern w:val="2"/>
      <w:sz w:val="32"/>
      <w:szCs w:val="32"/>
      <w:lang w:val="zh-CN"/>
    </w:rPr>
  </w:style>
  <w:style w:type="paragraph" w:styleId="14">
    <w:name w:val="heading 9"/>
    <w:basedOn w:val="1"/>
    <w:next w:val="1"/>
    <w:link w:val="109"/>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link w:val="114"/>
    <w:unhideWhenUsed/>
    <w:qFormat/>
    <w:uiPriority w:val="0"/>
    <w:pPr>
      <w:spacing w:after="120"/>
      <w:ind w:left="420" w:leftChars="200"/>
    </w:pPr>
    <w:rPr>
      <w:rFonts w:asciiTheme="minorHAnsi" w:hAnsiTheme="minorHAnsi"/>
      <w:kern w:val="2"/>
      <w:sz w:val="21"/>
      <w:szCs w:val="22"/>
    </w:rPr>
  </w:style>
  <w:style w:type="paragraph" w:styleId="4">
    <w:name w:val="envelope return"/>
    <w:basedOn w:val="1"/>
    <w:next w:val="5"/>
    <w:qFormat/>
    <w:uiPriority w:val="0"/>
    <w:pPr>
      <w:snapToGrid w:val="0"/>
    </w:pPr>
    <w:rPr>
      <w:rFonts w:ascii="Arial" w:hAnsi="Arial"/>
    </w:rPr>
  </w:style>
  <w:style w:type="paragraph" w:styleId="5">
    <w:name w:val="toc 7"/>
    <w:basedOn w:val="1"/>
    <w:next w:val="1"/>
    <w:unhideWhenUsed/>
    <w:qFormat/>
    <w:uiPriority w:val="39"/>
    <w:pPr>
      <w:ind w:left="1260"/>
      <w:jc w:val="left"/>
    </w:pPr>
    <w:rPr>
      <w:rFonts w:ascii="Calibri" w:hAnsi="Calibri" w:cs="Calibri"/>
      <w:kern w:val="2"/>
      <w:sz w:val="18"/>
      <w:szCs w:val="18"/>
    </w:rPr>
  </w:style>
  <w:style w:type="paragraph" w:styleId="15">
    <w:name w:val="List 3"/>
    <w:basedOn w:val="1"/>
    <w:qFormat/>
    <w:uiPriority w:val="0"/>
    <w:pPr>
      <w:ind w:left="100" w:leftChars="400" w:hanging="200" w:hangingChars="200"/>
    </w:pPr>
    <w:rPr>
      <w:rFonts w:ascii="Calibri" w:hAnsi="Calibri" w:cs="Times New Roman"/>
      <w:kern w:val="2"/>
      <w:sz w:val="21"/>
      <w:szCs w:val="22"/>
    </w:rPr>
  </w:style>
  <w:style w:type="paragraph" w:styleId="16">
    <w:name w:val="Normal Indent"/>
    <w:basedOn w:val="1"/>
    <w:qFormat/>
    <w:uiPriority w:val="0"/>
    <w:pPr>
      <w:autoSpaceDE w:val="0"/>
      <w:autoSpaceDN w:val="0"/>
      <w:adjustRightInd w:val="0"/>
      <w:ind w:firstLine="420"/>
      <w:jc w:val="left"/>
    </w:pPr>
    <w:rPr>
      <w:rFonts w:hAnsi="Times New Roman" w:cs="Times New Roman"/>
      <w:sz w:val="24"/>
    </w:rPr>
  </w:style>
  <w:style w:type="paragraph" w:styleId="17">
    <w:name w:val="caption"/>
    <w:basedOn w:val="1"/>
    <w:next w:val="1"/>
    <w:qFormat/>
    <w:uiPriority w:val="0"/>
    <w:pPr>
      <w:spacing w:before="152" w:after="160"/>
    </w:pPr>
    <w:rPr>
      <w:rFonts w:ascii="Arial" w:hAnsi="Arial" w:eastAsia="黑体" w:cs="Arial"/>
      <w:kern w:val="2"/>
    </w:rPr>
  </w:style>
  <w:style w:type="paragraph" w:styleId="18">
    <w:name w:val="Document Map"/>
    <w:basedOn w:val="1"/>
    <w:link w:val="154"/>
    <w:qFormat/>
    <w:uiPriority w:val="0"/>
    <w:pPr>
      <w:shd w:val="clear" w:color="auto" w:fill="000080"/>
    </w:pPr>
    <w:rPr>
      <w:rFonts w:ascii="Calibri" w:hAnsi="Calibri" w:cs="Times New Roman"/>
      <w:bCs/>
      <w:kern w:val="2"/>
      <w:sz w:val="21"/>
      <w:szCs w:val="32"/>
      <w:lang w:val="zh-CN"/>
    </w:rPr>
  </w:style>
  <w:style w:type="paragraph" w:styleId="19">
    <w:name w:val="annotation text"/>
    <w:basedOn w:val="1"/>
    <w:link w:val="90"/>
    <w:qFormat/>
    <w:uiPriority w:val="0"/>
    <w:pPr>
      <w:jc w:val="left"/>
    </w:pPr>
    <w:rPr>
      <w:rFonts w:ascii="Arial" w:hAnsi="Arial" w:eastAsia="黑体" w:cs="Arial"/>
    </w:rPr>
  </w:style>
  <w:style w:type="paragraph" w:styleId="20">
    <w:name w:val="Salutation"/>
    <w:basedOn w:val="1"/>
    <w:next w:val="1"/>
    <w:link w:val="120"/>
    <w:qFormat/>
    <w:uiPriority w:val="0"/>
    <w:rPr>
      <w:rFonts w:ascii="仿宋_GB2312" w:hAnsi="Times New Roman" w:eastAsia="仿宋_GB2312" w:cs="Times New Roman"/>
      <w:kern w:val="2"/>
      <w:sz w:val="28"/>
      <w:lang w:val="zh-CN"/>
    </w:rPr>
  </w:style>
  <w:style w:type="paragraph" w:styleId="21">
    <w:name w:val="Body Text 3"/>
    <w:basedOn w:val="1"/>
    <w:link w:val="140"/>
    <w:qFormat/>
    <w:uiPriority w:val="0"/>
    <w:pPr>
      <w:adjustRightInd w:val="0"/>
      <w:snapToGrid w:val="0"/>
    </w:pPr>
    <w:rPr>
      <w:rFonts w:ascii="仿宋_GB2312" w:eastAsia="仿宋_GB2312" w:cs="Times New Roman"/>
      <w:bCs/>
      <w:color w:val="000000"/>
      <w:kern w:val="2"/>
      <w:sz w:val="24"/>
      <w:szCs w:val="32"/>
      <w:lang w:val="zh-CN"/>
    </w:rPr>
  </w:style>
  <w:style w:type="paragraph" w:styleId="22">
    <w:name w:val="Body Text"/>
    <w:basedOn w:val="1"/>
    <w:next w:val="23"/>
    <w:link w:val="99"/>
    <w:qFormat/>
    <w:uiPriority w:val="0"/>
    <w:pPr>
      <w:spacing w:after="120"/>
    </w:pPr>
    <w:rPr>
      <w:rFonts w:ascii="@微软简标宋" w:hAnsi="@微软简标宋" w:eastAsia="@微软简标宋" w:cs="@微软简标宋"/>
      <w:szCs w:val="24"/>
      <w:lang w:val="zh-CN"/>
    </w:rPr>
  </w:style>
  <w:style w:type="paragraph" w:styleId="23">
    <w:name w:val="Plain Text"/>
    <w:basedOn w:val="1"/>
    <w:link w:val="79"/>
    <w:qFormat/>
    <w:uiPriority w:val="0"/>
    <w:rPr>
      <w:rFonts w:hAnsi="Courier New" w:eastAsiaTheme="minorEastAsia"/>
      <w:szCs w:val="22"/>
    </w:rPr>
  </w:style>
  <w:style w:type="paragraph" w:styleId="24">
    <w:name w:val="List 2"/>
    <w:basedOn w:val="1"/>
    <w:qFormat/>
    <w:uiPriority w:val="0"/>
    <w:pPr>
      <w:ind w:left="100" w:leftChars="200" w:hanging="200" w:hangingChars="200"/>
    </w:pPr>
    <w:rPr>
      <w:rFonts w:ascii="Calibri" w:hAnsi="Calibri" w:cs="Times New Roman"/>
      <w:kern w:val="2"/>
      <w:sz w:val="21"/>
      <w:szCs w:val="22"/>
    </w:rPr>
  </w:style>
  <w:style w:type="paragraph" w:styleId="25">
    <w:name w:val="List Continue"/>
    <w:basedOn w:val="1"/>
    <w:qFormat/>
    <w:uiPriority w:val="0"/>
    <w:pPr>
      <w:spacing w:after="120"/>
      <w:ind w:left="420" w:leftChars="200"/>
    </w:pPr>
    <w:rPr>
      <w:rFonts w:ascii="Calibri" w:hAnsi="Calibri" w:cs="Times New Roman"/>
      <w:kern w:val="2"/>
      <w:sz w:val="21"/>
      <w:szCs w:val="22"/>
    </w:rPr>
  </w:style>
  <w:style w:type="paragraph" w:styleId="26">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7">
    <w:name w:val="index 4"/>
    <w:basedOn w:val="1"/>
    <w:next w:val="1"/>
    <w:qFormat/>
    <w:uiPriority w:val="0"/>
    <w:pPr>
      <w:ind w:left="600" w:leftChars="600"/>
    </w:pPr>
    <w:rPr>
      <w:rFonts w:ascii="Times New Roman" w:hAnsi="Times New Roman" w:cs="Times New Roman"/>
      <w:kern w:val="2"/>
      <w:sz w:val="21"/>
      <w:szCs w:val="24"/>
    </w:rPr>
  </w:style>
  <w:style w:type="paragraph" w:styleId="28">
    <w:name w:val="toc 5"/>
    <w:basedOn w:val="1"/>
    <w:next w:val="1"/>
    <w:unhideWhenUsed/>
    <w:qFormat/>
    <w:uiPriority w:val="39"/>
    <w:pPr>
      <w:ind w:left="840"/>
      <w:jc w:val="left"/>
    </w:pPr>
    <w:rPr>
      <w:rFonts w:ascii="Calibri" w:hAnsi="Calibri" w:cs="Calibri"/>
      <w:kern w:val="2"/>
      <w:sz w:val="18"/>
      <w:szCs w:val="18"/>
    </w:rPr>
  </w:style>
  <w:style w:type="paragraph" w:styleId="29">
    <w:name w:val="toc 3"/>
    <w:basedOn w:val="1"/>
    <w:next w:val="1"/>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30">
    <w:name w:val="toc 8"/>
    <w:basedOn w:val="1"/>
    <w:next w:val="1"/>
    <w:unhideWhenUsed/>
    <w:qFormat/>
    <w:uiPriority w:val="39"/>
    <w:pPr>
      <w:ind w:left="1470"/>
      <w:jc w:val="left"/>
    </w:pPr>
    <w:rPr>
      <w:rFonts w:ascii="Calibri" w:hAnsi="Calibri" w:cs="Calibri"/>
      <w:kern w:val="2"/>
      <w:sz w:val="18"/>
      <w:szCs w:val="18"/>
    </w:rPr>
  </w:style>
  <w:style w:type="paragraph" w:styleId="31">
    <w:name w:val="Date"/>
    <w:basedOn w:val="1"/>
    <w:next w:val="1"/>
    <w:link w:val="86"/>
    <w:qFormat/>
    <w:uiPriority w:val="0"/>
    <w:rPr>
      <w:rFonts w:ascii="Arial" w:hAnsi="Arial" w:cs="Arial"/>
      <w:b/>
      <w:sz w:val="28"/>
    </w:rPr>
  </w:style>
  <w:style w:type="paragraph" w:styleId="32">
    <w:name w:val="Body Text Indent 2"/>
    <w:basedOn w:val="1"/>
    <w:link w:val="136"/>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3">
    <w:name w:val="Balloon Text"/>
    <w:basedOn w:val="1"/>
    <w:link w:val="73"/>
    <w:unhideWhenUsed/>
    <w:qFormat/>
    <w:uiPriority w:val="0"/>
    <w:rPr>
      <w:sz w:val="18"/>
      <w:szCs w:val="18"/>
    </w:rPr>
  </w:style>
  <w:style w:type="paragraph" w:styleId="34">
    <w:name w:val="footer"/>
    <w:basedOn w:val="1"/>
    <w:link w:val="78"/>
    <w:unhideWhenUsed/>
    <w:qFormat/>
    <w:uiPriority w:val="99"/>
    <w:pPr>
      <w:tabs>
        <w:tab w:val="center" w:pos="4153"/>
        <w:tab w:val="right" w:pos="8306"/>
      </w:tabs>
      <w:snapToGrid w:val="0"/>
      <w:jc w:val="left"/>
    </w:pPr>
    <w:rPr>
      <w:sz w:val="18"/>
      <w:szCs w:val="18"/>
    </w:rPr>
  </w:style>
  <w:style w:type="paragraph" w:styleId="35">
    <w:name w:val="header"/>
    <w:basedOn w:val="1"/>
    <w:link w:val="77"/>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pPr>
      <w:widowControl/>
      <w:spacing w:after="100" w:line="276" w:lineRule="auto"/>
      <w:jc w:val="left"/>
    </w:pPr>
    <w:rPr>
      <w:rFonts w:asciiTheme="minorHAnsi" w:hAnsiTheme="minorHAnsi" w:eastAsiaTheme="minorEastAsia"/>
      <w:sz w:val="22"/>
      <w:szCs w:val="22"/>
    </w:rPr>
  </w:style>
  <w:style w:type="paragraph" w:styleId="37">
    <w:name w:val="List Continue 4"/>
    <w:basedOn w:val="1"/>
    <w:qFormat/>
    <w:uiPriority w:val="0"/>
    <w:pPr>
      <w:spacing w:after="120"/>
      <w:ind w:left="1680" w:leftChars="800"/>
    </w:pPr>
    <w:rPr>
      <w:rFonts w:ascii="Calibri" w:hAnsi="Calibri" w:cs="Times New Roman"/>
      <w:kern w:val="2"/>
      <w:sz w:val="21"/>
      <w:szCs w:val="22"/>
    </w:rPr>
  </w:style>
  <w:style w:type="paragraph" w:styleId="38">
    <w:name w:val="toc 4"/>
    <w:basedOn w:val="1"/>
    <w:next w:val="1"/>
    <w:unhideWhenUsed/>
    <w:qFormat/>
    <w:uiPriority w:val="39"/>
    <w:pPr>
      <w:ind w:left="630"/>
      <w:jc w:val="left"/>
    </w:pPr>
    <w:rPr>
      <w:rFonts w:ascii="Calibri" w:hAnsi="Calibri" w:cs="Calibri"/>
      <w:kern w:val="2"/>
      <w:sz w:val="18"/>
      <w:szCs w:val="18"/>
    </w:rPr>
  </w:style>
  <w:style w:type="paragraph" w:styleId="39">
    <w:name w:val="index heading"/>
    <w:basedOn w:val="1"/>
    <w:next w:val="40"/>
    <w:semiHidden/>
    <w:qFormat/>
    <w:uiPriority w:val="0"/>
    <w:rPr>
      <w:rFonts w:ascii="Times New Roman" w:hAnsi="Times New Roman" w:cs="Times New Roman"/>
      <w:kern w:val="2"/>
      <w:sz w:val="21"/>
      <w:szCs w:val="24"/>
    </w:rPr>
  </w:style>
  <w:style w:type="paragraph" w:styleId="40">
    <w:name w:val="index 1"/>
    <w:basedOn w:val="1"/>
    <w:next w:val="1"/>
    <w:qFormat/>
    <w:uiPriority w:val="0"/>
    <w:pPr>
      <w:jc w:val="center"/>
    </w:pPr>
    <w:rPr>
      <w:rFonts w:ascii="Arial" w:hAnsi="Arial" w:eastAsia="Arial" w:cs="Arial"/>
      <w:b/>
      <w:bCs/>
      <w:sz w:val="28"/>
    </w:rPr>
  </w:style>
  <w:style w:type="paragraph" w:styleId="41">
    <w:name w:val="Subtitle"/>
    <w:basedOn w:val="1"/>
    <w:link w:val="228"/>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2">
    <w:name w:val="List"/>
    <w:basedOn w:val="1"/>
    <w:qFormat/>
    <w:uiPriority w:val="0"/>
    <w:pPr>
      <w:ind w:left="200" w:hanging="200" w:hangingChars="200"/>
    </w:pPr>
    <w:rPr>
      <w:rFonts w:ascii="Calibri" w:hAnsi="Calibri" w:cs="Times New Roman"/>
      <w:kern w:val="2"/>
      <w:sz w:val="21"/>
      <w:szCs w:val="22"/>
    </w:rPr>
  </w:style>
  <w:style w:type="paragraph" w:styleId="43">
    <w:name w:val="footnote text"/>
    <w:basedOn w:val="1"/>
    <w:link w:val="116"/>
    <w:unhideWhenUsed/>
    <w:qFormat/>
    <w:uiPriority w:val="0"/>
    <w:pPr>
      <w:snapToGrid w:val="0"/>
      <w:jc w:val="left"/>
    </w:pPr>
    <w:rPr>
      <w:rFonts w:ascii="Times New Roman" w:hAnsi="Times New Roman" w:cs="Times New Roman"/>
      <w:kern w:val="2"/>
      <w:sz w:val="18"/>
      <w:szCs w:val="18"/>
      <w:lang w:val="zh-CN"/>
    </w:rPr>
  </w:style>
  <w:style w:type="paragraph" w:styleId="44">
    <w:name w:val="toc 6"/>
    <w:basedOn w:val="1"/>
    <w:next w:val="1"/>
    <w:unhideWhenUsed/>
    <w:qFormat/>
    <w:uiPriority w:val="39"/>
    <w:pPr>
      <w:ind w:left="1050"/>
      <w:jc w:val="left"/>
    </w:pPr>
    <w:rPr>
      <w:rFonts w:ascii="Calibri" w:hAnsi="Calibri" w:cs="Calibri"/>
      <w:kern w:val="2"/>
      <w:sz w:val="18"/>
      <w:szCs w:val="18"/>
    </w:rPr>
  </w:style>
  <w:style w:type="paragraph" w:styleId="45">
    <w:name w:val="Body Text Indent 3"/>
    <w:basedOn w:val="1"/>
    <w:link w:val="135"/>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6">
    <w:name w:val="toc 2"/>
    <w:basedOn w:val="1"/>
    <w:next w:val="1"/>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7">
    <w:name w:val="toc 9"/>
    <w:basedOn w:val="1"/>
    <w:next w:val="1"/>
    <w:unhideWhenUsed/>
    <w:qFormat/>
    <w:uiPriority w:val="39"/>
    <w:pPr>
      <w:ind w:left="1680"/>
      <w:jc w:val="left"/>
    </w:pPr>
    <w:rPr>
      <w:rFonts w:ascii="Calibri" w:hAnsi="Calibri" w:cs="Calibri"/>
      <w:kern w:val="2"/>
      <w:sz w:val="18"/>
      <w:szCs w:val="18"/>
    </w:rPr>
  </w:style>
  <w:style w:type="paragraph" w:styleId="48">
    <w:name w:val="Body Text 2"/>
    <w:basedOn w:val="1"/>
    <w:link w:val="139"/>
    <w:qFormat/>
    <w:uiPriority w:val="0"/>
    <w:pPr>
      <w:spacing w:line="360" w:lineRule="auto"/>
    </w:pPr>
    <w:rPr>
      <w:rFonts w:hAnsi="Times New Roman" w:cs="Times New Roman"/>
      <w:spacing w:val="-20"/>
      <w:kern w:val="2"/>
      <w:sz w:val="28"/>
      <w:lang w:val="zh-CN"/>
    </w:rPr>
  </w:style>
  <w:style w:type="paragraph" w:styleId="49">
    <w:name w:val="List 4"/>
    <w:basedOn w:val="1"/>
    <w:qFormat/>
    <w:uiPriority w:val="0"/>
    <w:pPr>
      <w:ind w:left="100" w:leftChars="600" w:hanging="200" w:hangingChars="200"/>
    </w:pPr>
    <w:rPr>
      <w:rFonts w:ascii="Calibri" w:hAnsi="Calibri" w:cs="Times New Roman"/>
      <w:kern w:val="2"/>
      <w:sz w:val="21"/>
      <w:szCs w:val="22"/>
    </w:rPr>
  </w:style>
  <w:style w:type="paragraph" w:styleId="50">
    <w:name w:val="List Continue 2"/>
    <w:basedOn w:val="1"/>
    <w:qFormat/>
    <w:uiPriority w:val="0"/>
    <w:pPr>
      <w:spacing w:after="120"/>
      <w:ind w:left="840" w:leftChars="400"/>
    </w:pPr>
    <w:rPr>
      <w:rFonts w:ascii="Calibri" w:hAnsi="Calibri" w:cs="Times New Roman"/>
      <w:kern w:val="2"/>
      <w:sz w:val="21"/>
      <w:szCs w:val="22"/>
    </w:rPr>
  </w:style>
  <w:style w:type="paragraph" w:styleId="51">
    <w:name w:val="Normal (Web)"/>
    <w:basedOn w:val="1"/>
    <w:qFormat/>
    <w:uiPriority w:val="0"/>
    <w:pPr>
      <w:widowControl/>
      <w:spacing w:before="100" w:beforeAutospacing="1" w:after="100" w:afterAutospacing="1"/>
      <w:jc w:val="left"/>
    </w:pPr>
    <w:rPr>
      <w:rFonts w:cs="宋体"/>
      <w:color w:val="0066CC"/>
      <w:sz w:val="24"/>
      <w:szCs w:val="24"/>
    </w:rPr>
  </w:style>
  <w:style w:type="paragraph" w:styleId="52">
    <w:name w:val="Title"/>
    <w:basedOn w:val="7"/>
    <w:next w:val="1"/>
    <w:link w:val="143"/>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9"/>
    <w:next w:val="19"/>
    <w:link w:val="101"/>
    <w:unhideWhenUsed/>
    <w:qFormat/>
    <w:uiPriority w:val="0"/>
    <w:rPr>
      <w:rFonts w:ascii="宋体" w:hAnsi="宋体" w:eastAsia="宋体" w:cstheme="minorBidi"/>
      <w:b/>
      <w:bCs/>
    </w:rPr>
  </w:style>
  <w:style w:type="paragraph" w:styleId="54">
    <w:name w:val="Body Text First Indent"/>
    <w:basedOn w:val="22"/>
    <w:next w:val="1"/>
    <w:semiHidden/>
    <w:unhideWhenUsed/>
    <w:qFormat/>
    <w:uiPriority w:val="99"/>
    <w:pPr>
      <w:ind w:firstLine="420" w:firstLineChars="100"/>
    </w:pPr>
  </w:style>
  <w:style w:type="table" w:styleId="56">
    <w:name w:val="Table Grid"/>
    <w:basedOn w:val="5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semiHidden/>
    <w:unhideWhenUsed/>
    <w:qFormat/>
    <w:uiPriority w:val="99"/>
    <w:rPr>
      <w:color w:val="800080" w:themeColor="followedHyperlink"/>
      <w:u w:val="single"/>
      <w14:textFill>
        <w14:solidFill>
          <w14:schemeClr w14:val="folHlink"/>
        </w14:solidFill>
      </w14:textFill>
    </w:rPr>
  </w:style>
  <w:style w:type="character" w:styleId="61">
    <w:name w:val="Emphasis"/>
    <w:qFormat/>
    <w:uiPriority w:val="0"/>
    <w:rPr>
      <w:color w:val="CC0033"/>
    </w:rPr>
  </w:style>
  <w:style w:type="character" w:styleId="62">
    <w:name w:val="HTML Definition"/>
    <w:basedOn w:val="57"/>
    <w:semiHidden/>
    <w:unhideWhenUsed/>
    <w:qFormat/>
    <w:uiPriority w:val="99"/>
  </w:style>
  <w:style w:type="character" w:styleId="63">
    <w:name w:val="HTML Typewriter"/>
    <w:basedOn w:val="57"/>
    <w:semiHidden/>
    <w:unhideWhenUsed/>
    <w:qFormat/>
    <w:uiPriority w:val="99"/>
    <w:rPr>
      <w:rFonts w:ascii="monospace" w:hAnsi="monospace" w:eastAsia="monospace" w:cs="monospace"/>
      <w:sz w:val="20"/>
    </w:rPr>
  </w:style>
  <w:style w:type="character" w:styleId="64">
    <w:name w:val="HTML Acronym"/>
    <w:basedOn w:val="57"/>
    <w:semiHidden/>
    <w:unhideWhenUsed/>
    <w:qFormat/>
    <w:uiPriority w:val="99"/>
  </w:style>
  <w:style w:type="character" w:styleId="65">
    <w:name w:val="HTML Variable"/>
    <w:basedOn w:val="57"/>
    <w:semiHidden/>
    <w:unhideWhenUsed/>
    <w:qFormat/>
    <w:uiPriority w:val="99"/>
    <w:rPr>
      <w:bdr w:val="single" w:color="EBEBEB" w:sz="6" w:space="0"/>
    </w:rPr>
  </w:style>
  <w:style w:type="character" w:styleId="66">
    <w:name w:val="Hyperlink"/>
    <w:basedOn w:val="57"/>
    <w:unhideWhenUsed/>
    <w:qFormat/>
    <w:uiPriority w:val="99"/>
    <w:rPr>
      <w:color w:val="0000FF" w:themeColor="hyperlink"/>
      <w:u w:val="single"/>
      <w14:textFill>
        <w14:solidFill>
          <w14:schemeClr w14:val="hlink"/>
        </w14:solidFill>
      </w14:textFill>
    </w:rPr>
  </w:style>
  <w:style w:type="character" w:styleId="67">
    <w:name w:val="HTML Code"/>
    <w:basedOn w:val="57"/>
    <w:semiHidden/>
    <w:unhideWhenUsed/>
    <w:qFormat/>
    <w:uiPriority w:val="99"/>
    <w:rPr>
      <w:rFonts w:hint="default" w:ascii="monospace" w:hAnsi="monospace" w:eastAsia="monospace" w:cs="monospace"/>
      <w:sz w:val="20"/>
    </w:rPr>
  </w:style>
  <w:style w:type="character" w:styleId="68">
    <w:name w:val="annotation reference"/>
    <w:basedOn w:val="57"/>
    <w:unhideWhenUsed/>
    <w:qFormat/>
    <w:uiPriority w:val="0"/>
    <w:rPr>
      <w:sz w:val="21"/>
      <w:szCs w:val="21"/>
    </w:rPr>
  </w:style>
  <w:style w:type="character" w:styleId="69">
    <w:name w:val="HTML Cite"/>
    <w:basedOn w:val="57"/>
    <w:semiHidden/>
    <w:unhideWhenUsed/>
    <w:qFormat/>
    <w:uiPriority w:val="99"/>
  </w:style>
  <w:style w:type="character" w:styleId="70">
    <w:name w:val="footnote reference"/>
    <w:unhideWhenUsed/>
    <w:qFormat/>
    <w:uiPriority w:val="0"/>
    <w:rPr>
      <w:vertAlign w:val="superscript"/>
    </w:rPr>
  </w:style>
  <w:style w:type="character" w:styleId="71">
    <w:name w:val="HTML Keyboard"/>
    <w:basedOn w:val="57"/>
    <w:semiHidden/>
    <w:unhideWhenUsed/>
    <w:qFormat/>
    <w:uiPriority w:val="99"/>
    <w:rPr>
      <w:rFonts w:hint="default" w:ascii="monospace" w:hAnsi="monospace" w:eastAsia="monospace" w:cs="monospace"/>
      <w:sz w:val="20"/>
    </w:rPr>
  </w:style>
  <w:style w:type="character" w:styleId="72">
    <w:name w:val="HTML Sample"/>
    <w:qFormat/>
    <w:uiPriority w:val="0"/>
    <w:rPr>
      <w:rFonts w:hint="default" w:ascii="monospace" w:hAnsi="monospace" w:eastAsia="monospace" w:cs="monospace"/>
      <w:sz w:val="21"/>
      <w:szCs w:val="21"/>
    </w:rPr>
  </w:style>
  <w:style w:type="character" w:customStyle="1" w:styleId="73">
    <w:name w:val="批注框文本 Char"/>
    <w:basedOn w:val="57"/>
    <w:link w:val="33"/>
    <w:qFormat/>
    <w:uiPriority w:val="0"/>
    <w:rPr>
      <w:rFonts w:ascii="@仿宋_GB2312" w:hAnsi="@仿宋_GB2312" w:eastAsia="@仿宋_GB2312" w:cs="@仿宋_GB2312"/>
      <w:sz w:val="18"/>
      <w:szCs w:val="18"/>
    </w:rPr>
  </w:style>
  <w:style w:type="paragraph" w:customStyle="1" w:styleId="74">
    <w:name w:val="正文（缩进）"/>
    <w:basedOn w:val="1"/>
    <w:qFormat/>
    <w:uiPriority w:val="0"/>
    <w:pPr>
      <w:widowControl/>
      <w:spacing w:before="156" w:after="156"/>
      <w:ind w:firstLine="480" w:firstLineChars="200"/>
      <w:jc w:val="left"/>
    </w:pPr>
    <w:rPr>
      <w:sz w:val="24"/>
      <w:szCs w:val="24"/>
    </w:rPr>
  </w:style>
  <w:style w:type="paragraph" w:customStyle="1" w:styleId="75">
    <w:name w:val="xl31"/>
    <w:basedOn w:val="1"/>
    <w:qFormat/>
    <w:uiPriority w:val="0"/>
    <w:pPr>
      <w:widowControl/>
      <w:spacing w:before="100" w:beforeAutospacing="1" w:after="100" w:afterAutospacing="1"/>
      <w:jc w:val="center"/>
    </w:pPr>
    <w:rPr>
      <w:b/>
      <w:bCs/>
      <w:sz w:val="28"/>
      <w:szCs w:val="28"/>
    </w:rPr>
  </w:style>
  <w:style w:type="paragraph" w:customStyle="1" w:styleId="76">
    <w:name w:val="D&amp;L"/>
    <w:basedOn w:val="35"/>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7">
    <w:name w:val="页眉 Char"/>
    <w:basedOn w:val="57"/>
    <w:link w:val="35"/>
    <w:qFormat/>
    <w:uiPriority w:val="99"/>
    <w:rPr>
      <w:rFonts w:ascii="@仿宋_GB2312" w:hAnsi="@仿宋_GB2312" w:eastAsia="@仿宋_GB2312" w:cs="@仿宋_GB2312"/>
      <w:sz w:val="18"/>
      <w:szCs w:val="18"/>
    </w:rPr>
  </w:style>
  <w:style w:type="character" w:customStyle="1" w:styleId="78">
    <w:name w:val="页脚 Char"/>
    <w:basedOn w:val="57"/>
    <w:link w:val="34"/>
    <w:qFormat/>
    <w:uiPriority w:val="99"/>
    <w:rPr>
      <w:rFonts w:ascii="@仿宋_GB2312" w:hAnsi="@仿宋_GB2312" w:eastAsia="@仿宋_GB2312" w:cs="@仿宋_GB2312"/>
      <w:sz w:val="18"/>
      <w:szCs w:val="18"/>
    </w:rPr>
  </w:style>
  <w:style w:type="character" w:customStyle="1" w:styleId="79">
    <w:name w:val="纯文本 Char"/>
    <w:link w:val="23"/>
    <w:qFormat/>
    <w:uiPriority w:val="0"/>
    <w:rPr>
      <w:rFonts w:ascii="宋体" w:hAnsi="Courier New"/>
    </w:rPr>
  </w:style>
  <w:style w:type="character" w:customStyle="1" w:styleId="80">
    <w:name w:val="纯文本 字符1"/>
    <w:basedOn w:val="57"/>
    <w:semiHidden/>
    <w:qFormat/>
    <w:uiPriority w:val="99"/>
    <w:rPr>
      <w:rFonts w:hAnsi="Courier New" w:cs="Courier New" w:asciiTheme="minorEastAsia"/>
      <w:szCs w:val="20"/>
    </w:rPr>
  </w:style>
  <w:style w:type="character" w:customStyle="1" w:styleId="81">
    <w:name w:val="未处理的提及1"/>
    <w:basedOn w:val="57"/>
    <w:semiHidden/>
    <w:unhideWhenUsed/>
    <w:qFormat/>
    <w:uiPriority w:val="99"/>
    <w:rPr>
      <w:color w:val="605E5C"/>
      <w:shd w:val="clear" w:color="auto" w:fill="E1DFDD"/>
    </w:rPr>
  </w:style>
  <w:style w:type="paragraph" w:styleId="82">
    <w:name w:val="List Paragraph"/>
    <w:basedOn w:val="1"/>
    <w:qFormat/>
    <w:uiPriority w:val="34"/>
    <w:pPr>
      <w:ind w:firstLine="420" w:firstLineChars="200"/>
    </w:pPr>
  </w:style>
  <w:style w:type="paragraph" w:customStyle="1" w:styleId="83">
    <w:name w:val="Char Char Char Char Char Char Char1 Char"/>
    <w:basedOn w:val="1"/>
    <w:qFormat/>
    <w:uiPriority w:val="0"/>
    <w:rPr>
      <w:rFonts w:ascii="Arial" w:hAnsi="Arial" w:cs="Arial"/>
      <w:sz w:val="24"/>
    </w:rPr>
  </w:style>
  <w:style w:type="table" w:customStyle="1" w:styleId="84">
    <w:name w:val="网格表 1 浅色1"/>
    <w:basedOn w:val="5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5">
    <w:name w:val="日期 字符"/>
    <w:basedOn w:val="57"/>
    <w:semiHidden/>
    <w:qFormat/>
    <w:uiPriority w:val="99"/>
    <w:rPr>
      <w:rFonts w:ascii="@仿宋_GB2312" w:hAnsi="@仿宋_GB2312" w:eastAsia="@仿宋_GB2312" w:cs="@仿宋_GB2312"/>
      <w:szCs w:val="20"/>
    </w:rPr>
  </w:style>
  <w:style w:type="character" w:customStyle="1" w:styleId="86">
    <w:name w:val="日期 Char"/>
    <w:link w:val="31"/>
    <w:qFormat/>
    <w:uiPriority w:val="0"/>
    <w:rPr>
      <w:rFonts w:ascii="Arial" w:hAnsi="Arial" w:eastAsia="宋体" w:cs="Arial"/>
      <w:b/>
      <w:sz w:val="28"/>
      <w:szCs w:val="20"/>
    </w:rPr>
  </w:style>
  <w:style w:type="character" w:customStyle="1" w:styleId="87">
    <w:name w:val="纯文本 Char1"/>
    <w:link w:val="88"/>
    <w:qFormat/>
    <w:locked/>
    <w:uiPriority w:val="99"/>
    <w:rPr>
      <w:rFonts w:ascii="Arial" w:hAnsi="Arial" w:eastAsia="Arial"/>
      <w:kern w:val="2"/>
      <w:sz w:val="21"/>
      <w:lang w:val="en-US" w:eastAsia="zh-CN" w:bidi="ar-SA"/>
    </w:rPr>
  </w:style>
  <w:style w:type="paragraph" w:customStyle="1" w:styleId="88">
    <w:name w:val="纯文本1"/>
    <w:basedOn w:val="1"/>
    <w:link w:val="87"/>
    <w:qFormat/>
    <w:uiPriority w:val="0"/>
    <w:rPr>
      <w:rFonts w:ascii="Arial" w:hAnsi="Arial" w:eastAsia="Arial"/>
    </w:rPr>
  </w:style>
  <w:style w:type="character" w:customStyle="1" w:styleId="89">
    <w:name w:val="批注文字 Char"/>
    <w:basedOn w:val="57"/>
    <w:qFormat/>
    <w:uiPriority w:val="0"/>
    <w:rPr>
      <w:rFonts w:ascii="@仿宋_GB2312" w:hAnsi="@仿宋_GB2312" w:eastAsia="@仿宋_GB2312" w:cs="@仿宋_GB2312"/>
      <w:szCs w:val="20"/>
    </w:rPr>
  </w:style>
  <w:style w:type="character" w:customStyle="1" w:styleId="90">
    <w:name w:val="批注文字 Char1"/>
    <w:link w:val="19"/>
    <w:qFormat/>
    <w:uiPriority w:val="99"/>
    <w:rPr>
      <w:rFonts w:ascii="Arial" w:hAnsi="Arial" w:eastAsia="黑体" w:cs="Arial"/>
      <w:szCs w:val="20"/>
    </w:rPr>
  </w:style>
  <w:style w:type="character" w:customStyle="1" w:styleId="91">
    <w:name w:val="标题 1 Char"/>
    <w:basedOn w:val="57"/>
    <w:link w:val="6"/>
    <w:qFormat/>
    <w:uiPriority w:val="0"/>
    <w:rPr>
      <w:rFonts w:ascii="@仿宋_GB2312" w:hAnsi="@仿宋_GB2312" w:eastAsia="@仿宋_GB2312" w:cs="@仿宋_GB2312"/>
      <w:b/>
      <w:bCs/>
      <w:kern w:val="44"/>
      <w:sz w:val="44"/>
      <w:szCs w:val="44"/>
    </w:rPr>
  </w:style>
  <w:style w:type="paragraph" w:customStyle="1" w:styleId="92">
    <w:name w:val="TOC 标题1"/>
    <w:basedOn w:val="6"/>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3">
    <w:name w:val="标题 3 Char"/>
    <w:basedOn w:val="57"/>
    <w:link w:val="8"/>
    <w:qFormat/>
    <w:uiPriority w:val="0"/>
    <w:rPr>
      <w:rFonts w:ascii="@仿宋_GB2312" w:hAnsi="@仿宋_GB2312" w:eastAsia="@仿宋_GB2312" w:cs="@仿宋_GB2312"/>
      <w:b/>
      <w:bCs/>
      <w:sz w:val="32"/>
      <w:szCs w:val="32"/>
    </w:rPr>
  </w:style>
  <w:style w:type="character" w:customStyle="1" w:styleId="94">
    <w:name w:val="fontstyle01"/>
    <w:basedOn w:val="57"/>
    <w:qFormat/>
    <w:uiPriority w:val="0"/>
    <w:rPr>
      <w:rFonts w:hint="eastAsia" w:ascii="宋体" w:hAnsi="宋体" w:eastAsia="宋体"/>
      <w:color w:val="000000"/>
      <w:sz w:val="22"/>
      <w:szCs w:val="22"/>
    </w:rPr>
  </w:style>
  <w:style w:type="character" w:customStyle="1" w:styleId="95">
    <w:name w:val="fontstyle21"/>
    <w:basedOn w:val="57"/>
    <w:qFormat/>
    <w:uiPriority w:val="0"/>
    <w:rPr>
      <w:rFonts w:hint="default" w:ascii="TimesNewRomanPSMT" w:hAnsi="TimesNewRomanPSMT"/>
      <w:color w:val="000000"/>
      <w:sz w:val="22"/>
      <w:szCs w:val="22"/>
    </w:rPr>
  </w:style>
  <w:style w:type="character" w:customStyle="1" w:styleId="96">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7">
    <w:name w:val="标题 4 字符"/>
    <w:basedOn w:val="57"/>
    <w:semiHidden/>
    <w:qFormat/>
    <w:uiPriority w:val="9"/>
    <w:rPr>
      <w:rFonts w:asciiTheme="majorHAnsi" w:hAnsiTheme="majorHAnsi" w:eastAsiaTheme="majorEastAsia" w:cstheme="majorBidi"/>
      <w:b/>
      <w:bCs/>
      <w:sz w:val="28"/>
      <w:szCs w:val="28"/>
    </w:rPr>
  </w:style>
  <w:style w:type="character" w:customStyle="1" w:styleId="98">
    <w:name w:val="标题 4 Char"/>
    <w:link w:val="9"/>
    <w:qFormat/>
    <w:uiPriority w:val="0"/>
    <w:rPr>
      <w:rFonts w:ascii="@仿宋_GB2312" w:hAnsi="@仿宋_GB2312" w:eastAsia="@仿宋_GB2312" w:cs="@仿宋_GB2312"/>
      <w:b/>
      <w:bCs/>
      <w:sz w:val="28"/>
      <w:szCs w:val="28"/>
    </w:rPr>
  </w:style>
  <w:style w:type="character" w:customStyle="1" w:styleId="99">
    <w:name w:val="正文文本 Char"/>
    <w:basedOn w:val="57"/>
    <w:link w:val="22"/>
    <w:qFormat/>
    <w:uiPriority w:val="0"/>
    <w:rPr>
      <w:rFonts w:ascii="@微软简标宋" w:hAnsi="@微软简标宋" w:eastAsia="@微软简标宋" w:cs="@微软简标宋"/>
      <w:szCs w:val="24"/>
      <w:lang w:val="zh-CN" w:eastAsia="zh-CN"/>
    </w:rPr>
  </w:style>
  <w:style w:type="table" w:customStyle="1" w:styleId="100">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批注主题 Char"/>
    <w:basedOn w:val="90"/>
    <w:link w:val="53"/>
    <w:qFormat/>
    <w:uiPriority w:val="0"/>
    <w:rPr>
      <w:rFonts w:ascii="Arial" w:hAnsi="Arial" w:eastAsia="黑体" w:cs="Arial"/>
      <w:b/>
      <w:bCs/>
      <w:szCs w:val="20"/>
    </w:rPr>
  </w:style>
  <w:style w:type="paragraph" w:customStyle="1" w:styleId="102">
    <w:name w:val="普通 (Web)"/>
    <w:basedOn w:val="1"/>
    <w:qFormat/>
    <w:uiPriority w:val="0"/>
    <w:pPr>
      <w:widowControl/>
      <w:spacing w:before="100" w:beforeAutospacing="1" w:after="100" w:afterAutospacing="1"/>
      <w:jc w:val="left"/>
    </w:pPr>
    <w:rPr>
      <w:rFonts w:cs="Times New Roman"/>
      <w:sz w:val="24"/>
      <w:szCs w:val="24"/>
    </w:rPr>
  </w:style>
  <w:style w:type="table" w:customStyle="1" w:styleId="103">
    <w:name w:val="网格型2"/>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4">
    <w:name w:val="标题 2 Char"/>
    <w:basedOn w:val="57"/>
    <w:link w:val="7"/>
    <w:qFormat/>
    <w:uiPriority w:val="0"/>
    <w:rPr>
      <w:rFonts w:ascii="Cambria" w:hAnsi="Cambria" w:cs="Times New Roman"/>
      <w:b/>
      <w:bCs/>
      <w:kern w:val="2"/>
      <w:sz w:val="32"/>
      <w:szCs w:val="32"/>
      <w:lang w:val="zh-CN" w:eastAsia="zh-CN"/>
    </w:rPr>
  </w:style>
  <w:style w:type="character" w:customStyle="1" w:styleId="105">
    <w:name w:val="标题 5 Char"/>
    <w:basedOn w:val="57"/>
    <w:link w:val="10"/>
    <w:qFormat/>
    <w:uiPriority w:val="0"/>
    <w:rPr>
      <w:rFonts w:ascii="Calibri" w:hAnsi="Calibri" w:cs="Times New Roman"/>
      <w:b/>
      <w:bCs/>
      <w:kern w:val="2"/>
      <w:sz w:val="28"/>
      <w:szCs w:val="28"/>
      <w:lang w:val="zh-CN" w:eastAsia="zh-CN"/>
    </w:rPr>
  </w:style>
  <w:style w:type="character" w:customStyle="1" w:styleId="106">
    <w:name w:val="标题 6 Char"/>
    <w:basedOn w:val="57"/>
    <w:link w:val="11"/>
    <w:qFormat/>
    <w:uiPriority w:val="0"/>
    <w:rPr>
      <w:rFonts w:ascii="Times New Roman" w:hAnsi="Times New Roman" w:cs="Times New Roman"/>
      <w:b/>
      <w:bCs/>
      <w:kern w:val="2"/>
      <w:sz w:val="30"/>
      <w:szCs w:val="18"/>
      <w:lang w:val="zh-CN" w:eastAsia="zh-CN"/>
    </w:rPr>
  </w:style>
  <w:style w:type="character" w:customStyle="1" w:styleId="107">
    <w:name w:val="标题 7 Char"/>
    <w:basedOn w:val="57"/>
    <w:link w:val="12"/>
    <w:qFormat/>
    <w:uiPriority w:val="0"/>
    <w:rPr>
      <w:rFonts w:ascii="Times New Roman" w:hAnsi="Times New Roman" w:cs="Times New Roman"/>
      <w:b/>
      <w:bCs/>
      <w:kern w:val="2"/>
      <w:sz w:val="30"/>
      <w:szCs w:val="18"/>
      <w:lang w:val="zh-CN" w:eastAsia="zh-CN"/>
    </w:rPr>
  </w:style>
  <w:style w:type="character" w:customStyle="1" w:styleId="108">
    <w:name w:val="标题 8 Char"/>
    <w:basedOn w:val="57"/>
    <w:link w:val="13"/>
    <w:qFormat/>
    <w:uiPriority w:val="0"/>
    <w:rPr>
      <w:rFonts w:eastAsia="黑体" w:cs="Times New Roman"/>
      <w:kern w:val="2"/>
      <w:sz w:val="32"/>
      <w:szCs w:val="32"/>
      <w:lang w:val="zh-CN" w:eastAsia="zh-CN"/>
    </w:rPr>
  </w:style>
  <w:style w:type="character" w:customStyle="1" w:styleId="109">
    <w:name w:val="标题 9 Char"/>
    <w:basedOn w:val="57"/>
    <w:link w:val="14"/>
    <w:qFormat/>
    <w:uiPriority w:val="0"/>
    <w:rPr>
      <w:rFonts w:ascii="Cambria" w:hAnsi="Cambria" w:cs="Times New Roman"/>
      <w:kern w:val="2"/>
      <w:sz w:val="21"/>
      <w:szCs w:val="21"/>
      <w:lang w:val="zh-CN" w:eastAsia="zh-CN"/>
    </w:rPr>
  </w:style>
  <w:style w:type="character" w:customStyle="1" w:styleId="110">
    <w:name w:val="纯文本 Char2"/>
    <w:qFormat/>
    <w:uiPriority w:val="0"/>
    <w:rPr>
      <w:rFonts w:ascii="宋体" w:hAnsi="Courier New"/>
    </w:rPr>
  </w:style>
  <w:style w:type="table" w:customStyle="1" w:styleId="111">
    <w:name w:val="网格型3"/>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表 1 浅色11"/>
    <w:basedOn w:val="55"/>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13">
    <w:name w:val="TOC 标题2"/>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14">
    <w:name w:val="正文文本缩进 Char"/>
    <w:basedOn w:val="57"/>
    <w:link w:val="3"/>
    <w:qFormat/>
    <w:uiPriority w:val="0"/>
    <w:rPr>
      <w:rFonts w:asciiTheme="minorHAnsi" w:hAnsiTheme="minorHAnsi"/>
      <w:kern w:val="2"/>
      <w:sz w:val="21"/>
      <w:szCs w:val="22"/>
    </w:rPr>
  </w:style>
  <w:style w:type="paragraph" w:customStyle="1" w:styleId="115">
    <w:name w:val="Char"/>
    <w:basedOn w:val="1"/>
    <w:qFormat/>
    <w:uiPriority w:val="0"/>
    <w:rPr>
      <w:rFonts w:ascii="Tahoma" w:hAnsi="Tahoma" w:cs="Times New Roman"/>
      <w:sz w:val="24"/>
    </w:rPr>
  </w:style>
  <w:style w:type="character" w:customStyle="1" w:styleId="116">
    <w:name w:val="脚注文本 Char"/>
    <w:basedOn w:val="57"/>
    <w:link w:val="43"/>
    <w:qFormat/>
    <w:uiPriority w:val="0"/>
    <w:rPr>
      <w:rFonts w:ascii="Times New Roman" w:hAnsi="Times New Roman" w:cs="Times New Roman"/>
      <w:kern w:val="2"/>
      <w:sz w:val="18"/>
      <w:szCs w:val="18"/>
      <w:lang w:val="zh-CN" w:eastAsia="zh-CN"/>
    </w:rPr>
  </w:style>
  <w:style w:type="paragraph" w:customStyle="1" w:styleId="117">
    <w:name w:val="样式 标题 3 + (中文) 黑体 小四 非加粗 段前: 7.8 磅 段后: 0 磅 行距: 固定值 20 磅"/>
    <w:basedOn w:val="8"/>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8">
    <w:name w:val="样式 标题 2 + Times New Roman 四号 非加粗 段前: 5 磅 段后: 0 磅 行距: 固定值 20..."/>
    <w:basedOn w:val="7"/>
    <w:qFormat/>
    <w:uiPriority w:val="0"/>
    <w:pPr>
      <w:spacing w:before="100" w:after="0" w:line="400" w:lineRule="exact"/>
    </w:pPr>
    <w:rPr>
      <w:rFonts w:ascii="Times New Roman" w:hAnsi="Times New Roman" w:eastAsia="黑体" w:cs="宋体"/>
      <w:b w:val="0"/>
      <w:bCs w:val="0"/>
      <w:sz w:val="28"/>
      <w:szCs w:val="20"/>
    </w:rPr>
  </w:style>
  <w:style w:type="paragraph" w:customStyle="1" w:styleId="119">
    <w:name w:val="Normal_2"/>
    <w:qFormat/>
    <w:uiPriority w:val="0"/>
    <w:rPr>
      <w:rFonts w:ascii="Times New Roman" w:hAnsi="Times New Roman" w:eastAsia="Times New Roman" w:cs="Times New Roman"/>
      <w:sz w:val="24"/>
      <w:szCs w:val="24"/>
      <w:lang w:val="en-US" w:eastAsia="zh-CN" w:bidi="ar-SA"/>
    </w:rPr>
  </w:style>
  <w:style w:type="character" w:customStyle="1" w:styleId="120">
    <w:name w:val="称呼 Char"/>
    <w:basedOn w:val="57"/>
    <w:link w:val="20"/>
    <w:qFormat/>
    <w:uiPriority w:val="0"/>
    <w:rPr>
      <w:rFonts w:ascii="仿宋_GB2312" w:hAnsi="Times New Roman" w:eastAsia="仿宋_GB2312" w:cs="Times New Roman"/>
      <w:kern w:val="2"/>
      <w:sz w:val="28"/>
      <w:lang w:val="zh-CN" w:eastAsia="zh-CN"/>
    </w:rPr>
  </w:style>
  <w:style w:type="paragraph" w:customStyle="1" w:styleId="12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2">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Normal_1"/>
    <w:qFormat/>
    <w:uiPriority w:val="0"/>
    <w:rPr>
      <w:rFonts w:ascii="Times New Roman" w:hAnsi="Times New Roman" w:eastAsia="Times New Roman" w:cs="Times New Roman"/>
      <w:sz w:val="24"/>
      <w:szCs w:val="24"/>
      <w:lang w:val="en-US" w:eastAsia="zh-CN" w:bidi="ar-SA"/>
    </w:rPr>
  </w:style>
  <w:style w:type="paragraph" w:customStyle="1" w:styleId="127">
    <w:name w:val="Normal_3"/>
    <w:qFormat/>
    <w:uiPriority w:val="0"/>
    <w:rPr>
      <w:rFonts w:ascii="Times New Roman" w:hAnsi="Times New Roman" w:eastAsia="Times New Roman" w:cs="Times New Roman"/>
      <w:sz w:val="24"/>
      <w:szCs w:val="24"/>
      <w:lang w:val="en-US" w:eastAsia="zh-CN" w:bidi="ar-SA"/>
    </w:rPr>
  </w:style>
  <w:style w:type="paragraph" w:customStyle="1" w:styleId="128">
    <w:name w:val="Char Char Char Char Char Char"/>
    <w:basedOn w:val="1"/>
    <w:qFormat/>
    <w:uiPriority w:val="0"/>
    <w:rPr>
      <w:rFonts w:ascii="Tahoma" w:hAnsi="Tahoma" w:cs="Times New Roman"/>
      <w:kern w:val="2"/>
      <w:sz w:val="24"/>
    </w:rPr>
  </w:style>
  <w:style w:type="paragraph" w:customStyle="1" w:styleId="129">
    <w:name w:val="Blockquote"/>
    <w:basedOn w:val="1"/>
    <w:link w:val="130"/>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30">
    <w:name w:val="Blockquote Char"/>
    <w:link w:val="129"/>
    <w:qFormat/>
    <w:uiPriority w:val="0"/>
    <w:rPr>
      <w:rFonts w:ascii="Times New Roman" w:hAnsi="Times New Roman" w:cs="Times New Roman"/>
      <w:sz w:val="24"/>
      <w:lang w:val="zh-CN" w:eastAsia="zh-CN"/>
    </w:rPr>
  </w:style>
  <w:style w:type="paragraph" w:customStyle="1" w:styleId="131">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32">
    <w:name w:val="样式1"/>
    <w:basedOn w:val="1"/>
    <w:next w:val="9"/>
    <w:qFormat/>
    <w:uiPriority w:val="0"/>
    <w:pPr>
      <w:spacing w:line="360" w:lineRule="auto"/>
      <w:ind w:firstLine="420" w:firstLineChars="200"/>
    </w:pPr>
    <w:rPr>
      <w:rFonts w:cs="Times New Roman"/>
      <w:kern w:val="2"/>
      <w:sz w:val="21"/>
      <w:szCs w:val="21"/>
    </w:rPr>
  </w:style>
  <w:style w:type="character" w:customStyle="1" w:styleId="133">
    <w:name w:val="tdrownotice1"/>
    <w:qFormat/>
    <w:uiPriority w:val="0"/>
    <w:rPr>
      <w:sz w:val="22"/>
    </w:rPr>
  </w:style>
  <w:style w:type="paragraph" w:customStyle="1" w:styleId="134">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35">
    <w:name w:val="正文文本缩进 3 Char"/>
    <w:basedOn w:val="57"/>
    <w:link w:val="45"/>
    <w:qFormat/>
    <w:uiPriority w:val="0"/>
    <w:rPr>
      <w:rFonts w:hAnsi="MS Sans Serif" w:cs="Times New Roman"/>
      <w:bCs/>
      <w:color w:val="000000"/>
      <w:sz w:val="24"/>
      <w:lang w:val="zh-CN" w:eastAsia="zh-CN"/>
    </w:rPr>
  </w:style>
  <w:style w:type="character" w:customStyle="1" w:styleId="136">
    <w:name w:val="正文文本缩进 2 Char"/>
    <w:basedOn w:val="57"/>
    <w:link w:val="32"/>
    <w:qFormat/>
    <w:uiPriority w:val="0"/>
    <w:rPr>
      <w:rFonts w:hAnsi="MS Sans Serif" w:cs="Times New Roman"/>
      <w:bCs/>
      <w:spacing w:val="12"/>
      <w:sz w:val="24"/>
      <w:lang w:val="zh-CN" w:eastAsia="zh-CN"/>
    </w:rPr>
  </w:style>
  <w:style w:type="paragraph" w:customStyle="1" w:styleId="137">
    <w:name w:val="目录"/>
    <w:basedOn w:val="1"/>
    <w:qFormat/>
    <w:uiPriority w:val="0"/>
    <w:pPr>
      <w:widowControl/>
      <w:jc w:val="center"/>
    </w:pPr>
    <w:rPr>
      <w:rFonts w:hAnsi="Calibri" w:cs="Times New Roman"/>
      <w:b/>
      <w:sz w:val="36"/>
    </w:rPr>
  </w:style>
  <w:style w:type="paragraph" w:customStyle="1" w:styleId="138">
    <w:name w:val="目录文字"/>
    <w:basedOn w:val="1"/>
    <w:qFormat/>
    <w:uiPriority w:val="0"/>
    <w:pPr>
      <w:widowControl/>
      <w:spacing w:line="480" w:lineRule="auto"/>
      <w:jc w:val="left"/>
    </w:pPr>
    <w:rPr>
      <w:rFonts w:cs="Times New Roman"/>
      <w:sz w:val="24"/>
    </w:rPr>
  </w:style>
  <w:style w:type="character" w:customStyle="1" w:styleId="139">
    <w:name w:val="正文文本 2 Char"/>
    <w:basedOn w:val="57"/>
    <w:link w:val="48"/>
    <w:qFormat/>
    <w:uiPriority w:val="0"/>
    <w:rPr>
      <w:rFonts w:hAnsi="Times New Roman" w:cs="Times New Roman"/>
      <w:spacing w:val="-20"/>
      <w:kern w:val="2"/>
      <w:sz w:val="28"/>
      <w:lang w:val="zh-CN" w:eastAsia="zh-CN"/>
    </w:rPr>
  </w:style>
  <w:style w:type="character" w:customStyle="1" w:styleId="140">
    <w:name w:val="正文文本 3 Char"/>
    <w:basedOn w:val="57"/>
    <w:link w:val="21"/>
    <w:qFormat/>
    <w:uiPriority w:val="0"/>
    <w:rPr>
      <w:rFonts w:ascii="仿宋_GB2312" w:eastAsia="仿宋_GB2312" w:cs="Times New Roman"/>
      <w:bCs/>
      <w:color w:val="000000"/>
      <w:kern w:val="2"/>
      <w:sz w:val="24"/>
      <w:szCs w:val="32"/>
      <w:lang w:val="zh-CN" w:eastAsia="zh-CN"/>
    </w:rPr>
  </w:style>
  <w:style w:type="paragraph" w:customStyle="1" w:styleId="14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42">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43">
    <w:name w:val="标题 Char"/>
    <w:basedOn w:val="57"/>
    <w:link w:val="52"/>
    <w:qFormat/>
    <w:uiPriority w:val="0"/>
    <w:rPr>
      <w:rFonts w:eastAsia="黑体" w:cs="Times New Roman"/>
      <w:b/>
      <w:smallCaps/>
      <w:snapToGrid w:val="0"/>
      <w:kern w:val="2"/>
      <w:sz w:val="44"/>
      <w:szCs w:val="24"/>
      <w:lang w:val="zh-CN" w:eastAsia="zh-CN"/>
    </w:rPr>
  </w:style>
  <w:style w:type="paragraph" w:customStyle="1" w:styleId="144">
    <w:name w:val="段落1 Char"/>
    <w:basedOn w:val="23"/>
    <w:qFormat/>
    <w:uiPriority w:val="0"/>
    <w:pPr>
      <w:spacing w:line="360" w:lineRule="auto"/>
    </w:pPr>
    <w:rPr>
      <w:rFonts w:ascii="Times New Roman" w:hAnsi="Times New Roman" w:eastAsia="宋体" w:cs="Times New Roman"/>
      <w:kern w:val="2"/>
      <w:sz w:val="24"/>
      <w:szCs w:val="21"/>
      <w:lang w:val="zh-CN"/>
    </w:rPr>
  </w:style>
  <w:style w:type="paragraph" w:customStyle="1" w:styleId="145">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6">
    <w:name w:val="简单回函地址"/>
    <w:basedOn w:val="1"/>
    <w:qFormat/>
    <w:uiPriority w:val="0"/>
    <w:rPr>
      <w:rFonts w:ascii="Calibri" w:hAnsi="Calibri" w:cs="Times New Roman"/>
      <w:kern w:val="2"/>
      <w:sz w:val="21"/>
      <w:szCs w:val="22"/>
    </w:rPr>
  </w:style>
  <w:style w:type="paragraph" w:customStyle="1" w:styleId="147">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8">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9">
    <w:name w:val="t_tag"/>
    <w:basedOn w:val="57"/>
    <w:qFormat/>
    <w:uiPriority w:val="0"/>
  </w:style>
  <w:style w:type="table" w:customStyle="1" w:styleId="150">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1">
    <w:name w:val="批注框文本 Char1"/>
    <w:basedOn w:val="57"/>
    <w:qFormat/>
    <w:uiPriority w:val="0"/>
    <w:rPr>
      <w:rFonts w:ascii="Times New Roman" w:hAnsi="Times New Roman" w:eastAsia="宋体" w:cs="Times New Roman"/>
      <w:sz w:val="18"/>
      <w:szCs w:val="18"/>
    </w:rPr>
  </w:style>
  <w:style w:type="character" w:customStyle="1" w:styleId="152">
    <w:name w:val="批注主题 Char1"/>
    <w:basedOn w:val="90"/>
    <w:qFormat/>
    <w:uiPriority w:val="0"/>
    <w:rPr>
      <w:rFonts w:ascii="@仿宋_GB2312" w:hAnsi="@仿宋_GB2312" w:eastAsia="@仿宋_GB2312" w:cs="@仿宋_GB2312"/>
      <w:b/>
      <w:bCs/>
      <w:szCs w:val="20"/>
    </w:rPr>
  </w:style>
  <w:style w:type="paragraph" w:customStyle="1" w:styleId="153">
    <w:name w:val="Char10 Char Char Char Char Char Char Char Char Char"/>
    <w:basedOn w:val="1"/>
    <w:next w:val="1"/>
    <w:qFormat/>
    <w:uiPriority w:val="0"/>
    <w:rPr>
      <w:rFonts w:ascii="Calibri" w:hAnsi="Calibri" w:cs="Times New Roman"/>
      <w:kern w:val="2"/>
      <w:sz w:val="21"/>
      <w:szCs w:val="22"/>
    </w:rPr>
  </w:style>
  <w:style w:type="character" w:customStyle="1" w:styleId="154">
    <w:name w:val="文档结构图 Char"/>
    <w:basedOn w:val="57"/>
    <w:link w:val="18"/>
    <w:qFormat/>
    <w:uiPriority w:val="0"/>
    <w:rPr>
      <w:rFonts w:ascii="Calibri" w:hAnsi="Calibri" w:cs="Times New Roman"/>
      <w:bCs/>
      <w:kern w:val="2"/>
      <w:sz w:val="21"/>
      <w:szCs w:val="32"/>
      <w:shd w:val="clear" w:color="auto" w:fill="000080"/>
      <w:lang w:val="zh-CN" w:eastAsia="zh-CN"/>
    </w:rPr>
  </w:style>
  <w:style w:type="character" w:customStyle="1" w:styleId="155">
    <w:name w:val="标题 1 Char1"/>
    <w:qFormat/>
    <w:uiPriority w:val="0"/>
    <w:rPr>
      <w:rFonts w:ascii="Calibri" w:hAnsi="Calibri" w:eastAsia="宋体"/>
      <w:b/>
      <w:kern w:val="44"/>
      <w:sz w:val="44"/>
      <w:szCs w:val="44"/>
    </w:rPr>
  </w:style>
  <w:style w:type="character" w:customStyle="1" w:styleId="156">
    <w:name w:val="标题 3 Char1"/>
    <w:semiHidden/>
    <w:qFormat/>
    <w:uiPriority w:val="0"/>
    <w:rPr>
      <w:rFonts w:ascii="Calibri" w:hAnsi="Calibri" w:eastAsia="宋体"/>
      <w:b/>
      <w:kern w:val="2"/>
      <w:sz w:val="32"/>
    </w:rPr>
  </w:style>
  <w:style w:type="character" w:customStyle="1" w:styleId="157">
    <w:name w:val="标题 4 Char1"/>
    <w:semiHidden/>
    <w:qFormat/>
    <w:uiPriority w:val="0"/>
    <w:rPr>
      <w:rFonts w:ascii="Cambria" w:hAnsi="Cambria" w:eastAsia="宋体"/>
      <w:b/>
      <w:kern w:val="2"/>
      <w:sz w:val="28"/>
      <w:szCs w:val="28"/>
    </w:rPr>
  </w:style>
  <w:style w:type="character" w:customStyle="1" w:styleId="158">
    <w:name w:val="标题 5 Char1"/>
    <w:semiHidden/>
    <w:qFormat/>
    <w:uiPriority w:val="0"/>
    <w:rPr>
      <w:rFonts w:ascii="Calibri" w:hAnsi="Calibri" w:eastAsia="宋体"/>
      <w:b/>
      <w:kern w:val="2"/>
      <w:sz w:val="28"/>
      <w:szCs w:val="28"/>
    </w:rPr>
  </w:style>
  <w:style w:type="character" w:customStyle="1" w:styleId="159">
    <w:name w:val="标题 6 Char1"/>
    <w:semiHidden/>
    <w:qFormat/>
    <w:uiPriority w:val="0"/>
    <w:rPr>
      <w:rFonts w:ascii="Cambria" w:hAnsi="Cambria" w:eastAsia="宋体"/>
      <w:b/>
      <w:kern w:val="2"/>
      <w:sz w:val="24"/>
      <w:szCs w:val="24"/>
    </w:rPr>
  </w:style>
  <w:style w:type="character" w:customStyle="1" w:styleId="160">
    <w:name w:val="标题 7 Char1"/>
    <w:semiHidden/>
    <w:qFormat/>
    <w:uiPriority w:val="0"/>
    <w:rPr>
      <w:rFonts w:ascii="Calibri" w:hAnsi="Calibri" w:eastAsia="宋体"/>
      <w:b/>
      <w:kern w:val="2"/>
      <w:sz w:val="24"/>
      <w:szCs w:val="24"/>
    </w:rPr>
  </w:style>
  <w:style w:type="character" w:customStyle="1" w:styleId="161">
    <w:name w:val="标题 8 Char1"/>
    <w:semiHidden/>
    <w:qFormat/>
    <w:uiPriority w:val="0"/>
    <w:rPr>
      <w:rFonts w:ascii="Cambria" w:hAnsi="Cambria" w:eastAsia="宋体"/>
      <w:kern w:val="2"/>
      <w:sz w:val="24"/>
      <w:szCs w:val="24"/>
    </w:rPr>
  </w:style>
  <w:style w:type="character" w:customStyle="1" w:styleId="162">
    <w:name w:val="标题 9 Char1"/>
    <w:semiHidden/>
    <w:qFormat/>
    <w:uiPriority w:val="0"/>
    <w:rPr>
      <w:rFonts w:ascii="Cambria" w:hAnsi="Cambria" w:eastAsia="宋体"/>
      <w:kern w:val="2"/>
      <w:sz w:val="21"/>
      <w:szCs w:val="21"/>
    </w:rPr>
  </w:style>
  <w:style w:type="paragraph" w:customStyle="1" w:styleId="163">
    <w:name w:val="MsoNormal"/>
    <w:basedOn w:val="164"/>
    <w:qFormat/>
    <w:uiPriority w:val="0"/>
    <w:rPr>
      <w:rFonts w:ascii="Calibri" w:hAnsi="Calibri" w:eastAsia="Calibri"/>
      <w:sz w:val="21"/>
    </w:rPr>
  </w:style>
  <w:style w:type="paragraph" w:customStyle="1" w:styleId="164">
    <w:name w:val="Normal_0"/>
    <w:qFormat/>
    <w:uiPriority w:val="0"/>
    <w:rPr>
      <w:rFonts w:ascii="Times New Roman" w:hAnsi="Times New Roman" w:eastAsia="宋体" w:cs="Times New Roman"/>
      <w:sz w:val="24"/>
      <w:szCs w:val="24"/>
      <w:lang w:val="en-US" w:eastAsia="zh-CN" w:bidi="ar-SA"/>
    </w:rPr>
  </w:style>
  <w:style w:type="paragraph" w:customStyle="1" w:styleId="165">
    <w:name w:val="标题 2_0"/>
    <w:basedOn w:val="166"/>
    <w:next w:val="167"/>
    <w:link w:val="168"/>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标题 2 Char_0"/>
    <w:link w:val="165"/>
    <w:qFormat/>
    <w:uiPriority w:val="0"/>
    <w:rPr>
      <w:rFonts w:ascii="黑体" w:eastAsia="黑体" w:cs="Times New Roman"/>
      <w:b/>
      <w:smallCaps/>
      <w:snapToGrid w:val="0"/>
      <w:sz w:val="36"/>
      <w:szCs w:val="24"/>
      <w:lang w:val="zh-CN" w:eastAsia="zh-CN"/>
    </w:rPr>
  </w:style>
  <w:style w:type="paragraph" w:customStyle="1" w:styleId="169">
    <w:name w:val="纯文本_0"/>
    <w:basedOn w:val="167"/>
    <w:link w:val="170"/>
    <w:qFormat/>
    <w:uiPriority w:val="99"/>
    <w:rPr>
      <w:rFonts w:ascii="宋体" w:hAnsi="Courier New"/>
      <w:szCs w:val="21"/>
    </w:rPr>
  </w:style>
  <w:style w:type="character" w:customStyle="1" w:styleId="170">
    <w:name w:val="Texte Char1"/>
    <w:link w:val="169"/>
    <w:qFormat/>
    <w:uiPriority w:val="99"/>
    <w:rPr>
      <w:rFonts w:hAnsi="Courier New" w:cs="Times New Roman"/>
      <w:kern w:val="2"/>
      <w:sz w:val="21"/>
      <w:szCs w:val="21"/>
    </w:rPr>
  </w:style>
  <w:style w:type="paragraph" w:customStyle="1" w:styleId="171">
    <w:name w:val="纯文本_1"/>
    <w:basedOn w:val="172"/>
    <w:link w:val="173"/>
    <w:qFormat/>
    <w:uiPriority w:val="0"/>
    <w:rPr>
      <w:rFonts w:ascii="宋体" w:hAnsi="Courier New"/>
      <w:szCs w:val="21"/>
      <w:lang w:val="zh-CN"/>
    </w:rPr>
  </w:style>
  <w:style w:type="paragraph" w:customStyle="1" w:styleId="17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纯文本 Char1_0"/>
    <w:link w:val="171"/>
    <w:qFormat/>
    <w:uiPriority w:val="0"/>
    <w:rPr>
      <w:rFonts w:hAnsi="Courier New" w:cs="Times New Roman"/>
      <w:kern w:val="2"/>
      <w:sz w:val="21"/>
      <w:szCs w:val="21"/>
      <w:lang w:val="zh-CN" w:eastAsia="zh-CN"/>
    </w:rPr>
  </w:style>
  <w:style w:type="paragraph" w:customStyle="1" w:styleId="174">
    <w:name w:val="标题 3_0"/>
    <w:basedOn w:val="175"/>
    <w:next w:val="176"/>
    <w:link w:val="187"/>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缩进_0"/>
    <w:basedOn w:val="175"/>
    <w:unhideWhenUsed/>
    <w:qFormat/>
    <w:uiPriority w:val="0"/>
    <w:pPr>
      <w:ind w:firstLine="420" w:firstLineChars="200"/>
    </w:pPr>
    <w:rPr>
      <w:rFonts w:ascii="Calibri" w:hAnsi="Calibri"/>
      <w:bCs/>
      <w:szCs w:val="32"/>
    </w:rPr>
  </w:style>
  <w:style w:type="paragraph" w:customStyle="1" w:styleId="177">
    <w:name w:val="标题 1_0"/>
    <w:basedOn w:val="175"/>
    <w:next w:val="175"/>
    <w:link w:val="178"/>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8">
    <w:name w:val="标题 1 Char_0"/>
    <w:link w:val="177"/>
    <w:qFormat/>
    <w:uiPriority w:val="0"/>
    <w:rPr>
      <w:rFonts w:ascii="黑体" w:hAnsi="Times New Roman" w:eastAsia="黑体" w:cs="Times New Roman"/>
      <w:sz w:val="52"/>
      <w:lang w:val="zh-CN" w:eastAsia="zh-CN"/>
    </w:rPr>
  </w:style>
  <w:style w:type="paragraph" w:customStyle="1" w:styleId="179">
    <w:name w:val="标题 6_0"/>
    <w:basedOn w:val="175"/>
    <w:next w:val="175"/>
    <w:link w:val="180"/>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80">
    <w:name w:val="标题 6 Char_0"/>
    <w:link w:val="179"/>
    <w:qFormat/>
    <w:uiPriority w:val="0"/>
    <w:rPr>
      <w:rFonts w:ascii="Arial" w:hAnsi="Arial" w:eastAsia="黑体" w:cs="Times New Roman"/>
      <w:b/>
      <w:bCs/>
      <w:sz w:val="24"/>
      <w:szCs w:val="24"/>
      <w:lang w:val="zh-CN" w:eastAsia="zh-CN"/>
    </w:rPr>
  </w:style>
  <w:style w:type="paragraph" w:customStyle="1" w:styleId="181">
    <w:name w:val="标题 7_0"/>
    <w:basedOn w:val="175"/>
    <w:next w:val="175"/>
    <w:link w:val="182"/>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82">
    <w:name w:val="标题 7 Char_0"/>
    <w:link w:val="181"/>
    <w:qFormat/>
    <w:uiPriority w:val="0"/>
    <w:rPr>
      <w:rFonts w:ascii="Times New Roman" w:hAnsi="Times New Roman" w:cs="Times New Roman"/>
      <w:b/>
      <w:bCs/>
      <w:sz w:val="24"/>
      <w:szCs w:val="24"/>
      <w:lang w:val="zh-CN" w:eastAsia="zh-CN"/>
    </w:rPr>
  </w:style>
  <w:style w:type="paragraph" w:customStyle="1" w:styleId="183">
    <w:name w:val="标题 8_0"/>
    <w:basedOn w:val="175"/>
    <w:next w:val="175"/>
    <w:link w:val="184"/>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84">
    <w:name w:val="标题 8 Char_0"/>
    <w:link w:val="183"/>
    <w:qFormat/>
    <w:uiPriority w:val="0"/>
    <w:rPr>
      <w:rFonts w:ascii="Arial" w:hAnsi="Arial" w:eastAsia="黑体" w:cs="Times New Roman"/>
      <w:sz w:val="24"/>
      <w:szCs w:val="24"/>
      <w:lang w:val="zh-CN" w:eastAsia="zh-CN"/>
    </w:rPr>
  </w:style>
  <w:style w:type="paragraph" w:customStyle="1" w:styleId="185">
    <w:name w:val="标题 9_0"/>
    <w:basedOn w:val="175"/>
    <w:next w:val="175"/>
    <w:link w:val="186"/>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6">
    <w:name w:val="标题 9 Char_0"/>
    <w:link w:val="185"/>
    <w:qFormat/>
    <w:uiPriority w:val="0"/>
    <w:rPr>
      <w:rFonts w:ascii="Arial" w:hAnsi="Arial" w:eastAsia="黑体" w:cs="Times New Roman"/>
      <w:sz w:val="21"/>
      <w:szCs w:val="21"/>
      <w:lang w:val="zh-CN" w:eastAsia="zh-CN"/>
    </w:rPr>
  </w:style>
  <w:style w:type="character" w:customStyle="1" w:styleId="187">
    <w:name w:val="标题 3 Char_0"/>
    <w:link w:val="174"/>
    <w:qFormat/>
    <w:uiPriority w:val="0"/>
    <w:rPr>
      <w:rFonts w:ascii="Times New Roman" w:hAnsi="Times New Roman" w:cs="Times New Roman"/>
      <w:b/>
      <w:sz w:val="32"/>
      <w:lang w:val="zh-CN" w:eastAsia="zh-CN"/>
    </w:rPr>
  </w:style>
  <w:style w:type="paragraph" w:customStyle="1" w:styleId="188">
    <w:name w:val="Blockquote_0"/>
    <w:basedOn w:val="175"/>
    <w:link w:val="189"/>
    <w:qFormat/>
    <w:uiPriority w:val="0"/>
    <w:pPr>
      <w:autoSpaceDE w:val="0"/>
      <w:autoSpaceDN w:val="0"/>
      <w:adjustRightInd w:val="0"/>
      <w:spacing w:before="100" w:after="100"/>
      <w:ind w:left="360" w:right="360"/>
      <w:jc w:val="left"/>
    </w:pPr>
    <w:rPr>
      <w:kern w:val="0"/>
      <w:sz w:val="24"/>
      <w:szCs w:val="20"/>
      <w:lang w:val="zh-CN"/>
    </w:rPr>
  </w:style>
  <w:style w:type="character" w:customStyle="1" w:styleId="189">
    <w:name w:val="Blockquote Char_0"/>
    <w:link w:val="188"/>
    <w:qFormat/>
    <w:locked/>
    <w:uiPriority w:val="0"/>
    <w:rPr>
      <w:rFonts w:ascii="Times New Roman" w:hAnsi="Times New Roman" w:cs="Times New Roman"/>
      <w:sz w:val="24"/>
      <w:lang w:val="zh-CN" w:eastAsia="zh-CN"/>
    </w:rPr>
  </w:style>
  <w:style w:type="paragraph" w:customStyle="1" w:styleId="190">
    <w:name w:val="标题 4_0"/>
    <w:basedOn w:val="175"/>
    <w:next w:val="175"/>
    <w:link w:val="191"/>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91">
    <w:name w:val="标题 4 Char_0"/>
    <w:link w:val="190"/>
    <w:qFormat/>
    <w:uiPriority w:val="0"/>
    <w:rPr>
      <w:rFonts w:ascii="Arial" w:hAnsi="Arial" w:eastAsia="黑体" w:cs="Times New Roman"/>
      <w:sz w:val="28"/>
      <w:lang w:val="zh-CN" w:eastAsia="zh-CN"/>
    </w:rPr>
  </w:style>
  <w:style w:type="paragraph" w:customStyle="1" w:styleId="192">
    <w:name w:val="纯文本_2"/>
    <w:basedOn w:val="175"/>
    <w:link w:val="193"/>
    <w:qFormat/>
    <w:uiPriority w:val="0"/>
    <w:rPr>
      <w:rFonts w:ascii="宋体" w:hAnsi="Courier New"/>
      <w:szCs w:val="21"/>
      <w:lang w:val="zh-CN"/>
    </w:rPr>
  </w:style>
  <w:style w:type="character" w:customStyle="1" w:styleId="193">
    <w:name w:val="纯文本 Char1_1"/>
    <w:link w:val="192"/>
    <w:qFormat/>
    <w:uiPriority w:val="0"/>
    <w:rPr>
      <w:rFonts w:hAnsi="Courier New" w:cs="Times New Roman"/>
      <w:kern w:val="2"/>
      <w:sz w:val="21"/>
      <w:szCs w:val="21"/>
      <w:lang w:val="zh-CN" w:eastAsia="zh-CN"/>
    </w:rPr>
  </w:style>
  <w:style w:type="paragraph" w:customStyle="1" w:styleId="194">
    <w:name w:val="Blockquote_0_1"/>
    <w:basedOn w:val="195"/>
    <w:link w:val="196"/>
    <w:qFormat/>
    <w:uiPriority w:val="0"/>
    <w:pPr>
      <w:autoSpaceDE w:val="0"/>
      <w:autoSpaceDN w:val="0"/>
      <w:adjustRightInd w:val="0"/>
      <w:spacing w:before="100" w:after="100"/>
      <w:ind w:left="360" w:right="360"/>
      <w:jc w:val="left"/>
    </w:pPr>
    <w:rPr>
      <w:kern w:val="0"/>
      <w:sz w:val="24"/>
      <w:szCs w:val="20"/>
      <w:lang w:val="zh-CN"/>
    </w:rPr>
  </w:style>
  <w:style w:type="paragraph" w:customStyle="1" w:styleId="19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6">
    <w:name w:val="Blockquote Char_0_1"/>
    <w:link w:val="194"/>
    <w:qFormat/>
    <w:locked/>
    <w:uiPriority w:val="0"/>
    <w:rPr>
      <w:rFonts w:ascii="Times New Roman" w:hAnsi="Times New Roman" w:cs="Times New Roman"/>
      <w:sz w:val="24"/>
      <w:lang w:val="zh-CN" w:eastAsia="zh-CN"/>
    </w:rPr>
  </w:style>
  <w:style w:type="paragraph" w:customStyle="1" w:styleId="197">
    <w:name w:val="正文文本_0"/>
    <w:basedOn w:val="175"/>
    <w:link w:val="198"/>
    <w:qFormat/>
    <w:uiPriority w:val="0"/>
    <w:pPr>
      <w:spacing w:after="120"/>
    </w:pPr>
    <w:rPr>
      <w:lang w:val="zh-CN"/>
    </w:rPr>
  </w:style>
  <w:style w:type="character" w:customStyle="1" w:styleId="198">
    <w:name w:val="正文文本 Char_0"/>
    <w:link w:val="197"/>
    <w:qFormat/>
    <w:uiPriority w:val="0"/>
    <w:rPr>
      <w:rFonts w:ascii="Times New Roman" w:hAnsi="Times New Roman" w:cs="Times New Roman"/>
      <w:kern w:val="2"/>
      <w:sz w:val="21"/>
      <w:szCs w:val="24"/>
      <w:lang w:val="zh-CN" w:eastAsia="zh-CN"/>
    </w:rPr>
  </w:style>
  <w:style w:type="paragraph" w:customStyle="1" w:styleId="199">
    <w:name w:val="普通(网站)_0"/>
    <w:basedOn w:val="175"/>
    <w:qFormat/>
    <w:uiPriority w:val="0"/>
    <w:pPr>
      <w:widowControl/>
      <w:spacing w:before="100" w:beforeAutospacing="1" w:after="100" w:afterAutospacing="1"/>
      <w:jc w:val="left"/>
    </w:pPr>
    <w:rPr>
      <w:rFonts w:ascii="宋体" w:hAnsi="宋体"/>
      <w:kern w:val="0"/>
      <w:sz w:val="24"/>
    </w:rPr>
  </w:style>
  <w:style w:type="paragraph" w:customStyle="1" w:styleId="20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脚注文本_0"/>
    <w:basedOn w:val="123"/>
    <w:link w:val="203"/>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203">
    <w:name w:val="脚注文本 Char_0"/>
    <w:link w:val="202"/>
    <w:qFormat/>
    <w:uiPriority w:val="0"/>
    <w:rPr>
      <w:rFonts w:ascii="Times New Roman" w:hAnsi="Times New Roman" w:cs="Times New Roman"/>
      <w:sz w:val="18"/>
      <w:lang w:val="zh-CN" w:eastAsia="zh-CN"/>
    </w:rPr>
  </w:style>
  <w:style w:type="paragraph" w:customStyle="1" w:styleId="204">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20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10">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1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1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1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1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20">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21">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2">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23">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4">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25">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6">
    <w:name w:val="Char Char Char Char Char"/>
    <w:basedOn w:val="1"/>
    <w:qFormat/>
    <w:uiPriority w:val="0"/>
    <w:rPr>
      <w:rFonts w:ascii="Tahoma" w:hAnsi="Tahoma" w:cs="Times New Roman"/>
      <w:kern w:val="2"/>
      <w:sz w:val="24"/>
    </w:rPr>
  </w:style>
  <w:style w:type="paragraph" w:customStyle="1" w:styleId="227">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8">
    <w:name w:val="副标题 Char"/>
    <w:basedOn w:val="57"/>
    <w:link w:val="41"/>
    <w:qFormat/>
    <w:uiPriority w:val="0"/>
    <w:rPr>
      <w:rFonts w:ascii="Arial" w:hAnsi="Arial" w:cs="Times New Roman"/>
      <w:b/>
      <w:bCs/>
      <w:kern w:val="28"/>
      <w:sz w:val="32"/>
      <w:szCs w:val="32"/>
      <w:lang w:val="zh-CN" w:eastAsia="zh-CN"/>
    </w:rPr>
  </w:style>
  <w:style w:type="character" w:customStyle="1" w:styleId="229">
    <w:name w:val="Char Char"/>
    <w:qFormat/>
    <w:uiPriority w:val="0"/>
    <w:rPr>
      <w:rFonts w:ascii="宋体" w:hAnsi="Courier New" w:eastAsia="宋体" w:cs="Courier New"/>
      <w:kern w:val="2"/>
      <w:sz w:val="21"/>
      <w:szCs w:val="21"/>
      <w:lang w:val="en-US" w:eastAsia="zh-CN" w:bidi="ar-SA"/>
    </w:rPr>
  </w:style>
  <w:style w:type="character" w:customStyle="1" w:styleId="230">
    <w:name w:val="标题4 Char Char"/>
    <w:link w:val="231"/>
    <w:qFormat/>
    <w:uiPriority w:val="0"/>
    <w:rPr>
      <w:rFonts w:ascii="Arial" w:hAnsi="Arial"/>
      <w:b/>
      <w:bCs/>
      <w:sz w:val="24"/>
      <w:szCs w:val="32"/>
    </w:rPr>
  </w:style>
  <w:style w:type="paragraph" w:customStyle="1" w:styleId="231">
    <w:name w:val="标题4"/>
    <w:basedOn w:val="7"/>
    <w:next w:val="27"/>
    <w:link w:val="230"/>
    <w:qFormat/>
    <w:uiPriority w:val="0"/>
    <w:pPr>
      <w:spacing w:before="0" w:after="0" w:line="413" w:lineRule="auto"/>
    </w:pPr>
    <w:rPr>
      <w:rFonts w:ascii="Arial" w:hAnsi="Arial" w:cstheme="minorBidi"/>
      <w:kern w:val="0"/>
      <w:sz w:val="24"/>
      <w:lang w:val="en-US"/>
    </w:rPr>
  </w:style>
  <w:style w:type="character" w:customStyle="1" w:styleId="232">
    <w:name w:val="明显引用 Char"/>
    <w:link w:val="233"/>
    <w:qFormat/>
    <w:uiPriority w:val="0"/>
    <w:rPr>
      <w:b/>
      <w:bCs/>
      <w:i/>
      <w:iCs/>
      <w:color w:val="4F81BD"/>
    </w:rPr>
  </w:style>
  <w:style w:type="paragraph" w:styleId="233">
    <w:name w:val="Intense Quote"/>
    <w:basedOn w:val="1"/>
    <w:next w:val="1"/>
    <w:link w:val="232"/>
    <w:qFormat/>
    <w:uiPriority w:val="0"/>
    <w:pPr>
      <w:pBdr>
        <w:bottom w:val="single" w:color="4F81BD" w:themeColor="accent1" w:sz="4" w:space="4"/>
      </w:pBdr>
      <w:spacing w:before="200" w:after="280"/>
      <w:ind w:left="936" w:right="936"/>
    </w:pPr>
    <w:rPr>
      <w:b/>
      <w:bCs/>
      <w:i/>
      <w:iCs/>
      <w:color w:val="4F81BD"/>
    </w:rPr>
  </w:style>
  <w:style w:type="paragraph" w:customStyle="1" w:styleId="234">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5">
    <w:name w:val="明显引用 Char1"/>
    <w:basedOn w:val="57"/>
    <w:qFormat/>
    <w:uiPriority w:val="30"/>
    <w:rPr>
      <w:rFonts w:ascii="Times New Roman" w:hAnsi="Times New Roman" w:eastAsia="宋体" w:cs="Times New Roman"/>
      <w:i/>
      <w:iCs/>
      <w:color w:val="5B9BD5"/>
      <w:szCs w:val="24"/>
    </w:rPr>
  </w:style>
  <w:style w:type="character" w:customStyle="1" w:styleId="236">
    <w:name w:val="标题5 Char Char"/>
    <w:link w:val="237"/>
    <w:qFormat/>
    <w:uiPriority w:val="0"/>
    <w:rPr>
      <w:rFonts w:ascii="Arial" w:hAnsi="Arial"/>
      <w:b/>
      <w:bCs/>
      <w:sz w:val="24"/>
      <w:szCs w:val="32"/>
    </w:rPr>
  </w:style>
  <w:style w:type="paragraph" w:customStyle="1" w:styleId="237">
    <w:name w:val="标题5"/>
    <w:basedOn w:val="8"/>
    <w:link w:val="236"/>
    <w:qFormat/>
    <w:uiPriority w:val="0"/>
    <w:pPr>
      <w:spacing w:line="413" w:lineRule="auto"/>
      <w:jc w:val="left"/>
    </w:pPr>
    <w:rPr>
      <w:rFonts w:ascii="Arial" w:hAnsi="Arial"/>
      <w:sz w:val="24"/>
    </w:rPr>
  </w:style>
  <w:style w:type="character" w:customStyle="1" w:styleId="238">
    <w:name w:val="引用 Char"/>
    <w:link w:val="239"/>
    <w:qFormat/>
    <w:uiPriority w:val="0"/>
    <w:rPr>
      <w:i/>
      <w:iCs/>
      <w:color w:val="000000"/>
    </w:rPr>
  </w:style>
  <w:style w:type="paragraph" w:styleId="239">
    <w:name w:val="Quote"/>
    <w:basedOn w:val="1"/>
    <w:next w:val="1"/>
    <w:link w:val="238"/>
    <w:qFormat/>
    <w:uiPriority w:val="0"/>
    <w:rPr>
      <w:i/>
      <w:iCs/>
      <w:color w:val="000000"/>
    </w:rPr>
  </w:style>
  <w:style w:type="paragraph" w:customStyle="1" w:styleId="240">
    <w:name w:val="引用1"/>
    <w:basedOn w:val="1"/>
    <w:next w:val="1"/>
    <w:qFormat/>
    <w:uiPriority w:val="0"/>
    <w:rPr>
      <w:rFonts w:ascii="Calibri" w:hAnsi="Calibri" w:cs="Times New Roman"/>
      <w:i/>
      <w:iCs/>
      <w:color w:val="000000"/>
      <w:kern w:val="2"/>
      <w:sz w:val="21"/>
      <w:szCs w:val="22"/>
    </w:rPr>
  </w:style>
  <w:style w:type="character" w:customStyle="1" w:styleId="241">
    <w:name w:val="引用 Char1"/>
    <w:basedOn w:val="57"/>
    <w:qFormat/>
    <w:uiPriority w:val="29"/>
    <w:rPr>
      <w:rFonts w:ascii="Times New Roman" w:hAnsi="Times New Roman" w:eastAsia="宋体" w:cs="Times New Roman"/>
      <w:i/>
      <w:iCs/>
      <w:color w:val="404040"/>
      <w:szCs w:val="24"/>
    </w:rPr>
  </w:style>
  <w:style w:type="character" w:customStyle="1" w:styleId="242">
    <w:name w:val="ask-title2"/>
    <w:qFormat/>
    <w:uiPriority w:val="0"/>
  </w:style>
  <w:style w:type="character" w:customStyle="1" w:styleId="243">
    <w:name w:val="正文文本 Char1"/>
    <w:qFormat/>
    <w:uiPriority w:val="0"/>
    <w:rPr>
      <w:kern w:val="2"/>
      <w:sz w:val="21"/>
      <w:szCs w:val="22"/>
    </w:rPr>
  </w:style>
  <w:style w:type="character" w:customStyle="1" w:styleId="244">
    <w:name w:val="不明显强调1"/>
    <w:qFormat/>
    <w:uiPriority w:val="0"/>
    <w:rPr>
      <w:i/>
      <w:iCs/>
      <w:color w:val="808080"/>
    </w:rPr>
  </w:style>
  <w:style w:type="character" w:customStyle="1" w:styleId="245">
    <w:name w:val="明显参考1"/>
    <w:qFormat/>
    <w:uiPriority w:val="0"/>
    <w:rPr>
      <w:b/>
      <w:bCs/>
      <w:smallCaps/>
      <w:color w:val="C0504D"/>
      <w:spacing w:val="5"/>
      <w:u w:val="single"/>
    </w:rPr>
  </w:style>
  <w:style w:type="character" w:customStyle="1" w:styleId="246">
    <w:name w:val="书籍标题1"/>
    <w:qFormat/>
    <w:uiPriority w:val="0"/>
    <w:rPr>
      <w:b/>
      <w:bCs/>
      <w:smallCaps/>
      <w:spacing w:val="5"/>
    </w:rPr>
  </w:style>
  <w:style w:type="character" w:customStyle="1" w:styleId="247">
    <w:name w:val="日期 Char1"/>
    <w:qFormat/>
    <w:uiPriority w:val="0"/>
    <w:rPr>
      <w:kern w:val="2"/>
      <w:sz w:val="21"/>
      <w:szCs w:val="22"/>
    </w:rPr>
  </w:style>
  <w:style w:type="character" w:customStyle="1" w:styleId="248">
    <w:name w:val="明显强调1"/>
    <w:qFormat/>
    <w:uiPriority w:val="0"/>
    <w:rPr>
      <w:b/>
      <w:bCs/>
      <w:i/>
      <w:iCs/>
      <w:color w:val="4F81BD"/>
    </w:rPr>
  </w:style>
  <w:style w:type="character" w:customStyle="1" w:styleId="249">
    <w:name w:val="textcontents"/>
    <w:qFormat/>
    <w:uiPriority w:val="0"/>
    <w:rPr>
      <w:rFonts w:cs="Times New Roman"/>
    </w:rPr>
  </w:style>
  <w:style w:type="character" w:customStyle="1" w:styleId="250">
    <w:name w:val="不明显参考1"/>
    <w:qFormat/>
    <w:uiPriority w:val="0"/>
    <w:rPr>
      <w:smallCaps/>
      <w:color w:val="C0504D"/>
      <w:u w:val="single"/>
    </w:rPr>
  </w:style>
  <w:style w:type="character" w:customStyle="1" w:styleId="251">
    <w:name w:val="批注文字 Char Char"/>
    <w:qFormat/>
    <w:uiPriority w:val="0"/>
    <w:rPr>
      <w:rFonts w:ascii="宋体" w:hAnsi="Times New Roman" w:eastAsia="宋体" w:cs="Times New Roman"/>
      <w:sz w:val="28"/>
      <w:szCs w:val="20"/>
    </w:rPr>
  </w:style>
  <w:style w:type="character" w:customStyle="1" w:styleId="252">
    <w:name w:val="文档结构图 Char1"/>
    <w:qFormat/>
    <w:uiPriority w:val="0"/>
    <w:rPr>
      <w:rFonts w:ascii="宋体"/>
      <w:kern w:val="2"/>
      <w:sz w:val="18"/>
      <w:szCs w:val="18"/>
    </w:rPr>
  </w:style>
  <w:style w:type="paragraph" w:customStyle="1" w:styleId="253">
    <w:name w:val="修订1"/>
    <w:qFormat/>
    <w:uiPriority w:val="0"/>
    <w:rPr>
      <w:rFonts w:ascii="Times New Roman" w:hAnsi="Times New Roman" w:eastAsia="宋体" w:cs="Times New Roman"/>
      <w:kern w:val="2"/>
      <w:sz w:val="21"/>
      <w:szCs w:val="24"/>
      <w:lang w:val="en-US" w:eastAsia="zh-CN" w:bidi="ar-SA"/>
    </w:rPr>
  </w:style>
  <w:style w:type="character" w:customStyle="1" w:styleId="254">
    <w:name w:val="页脚 Char1"/>
    <w:semiHidden/>
    <w:qFormat/>
    <w:uiPriority w:val="99"/>
    <w:rPr>
      <w:kern w:val="2"/>
      <w:sz w:val="18"/>
      <w:szCs w:val="18"/>
    </w:rPr>
  </w:style>
  <w:style w:type="character" w:customStyle="1" w:styleId="255">
    <w:name w:val="批注框文本 Char2"/>
    <w:semiHidden/>
    <w:qFormat/>
    <w:uiPriority w:val="99"/>
    <w:rPr>
      <w:kern w:val="2"/>
      <w:sz w:val="18"/>
      <w:szCs w:val="18"/>
    </w:rPr>
  </w:style>
  <w:style w:type="character" w:customStyle="1" w:styleId="256">
    <w:name w:val="批注主题 Char2"/>
    <w:semiHidden/>
    <w:qFormat/>
    <w:uiPriority w:val="99"/>
    <w:rPr>
      <w:b/>
      <w:bCs/>
      <w:kern w:val="2"/>
      <w:sz w:val="21"/>
      <w:szCs w:val="22"/>
    </w:rPr>
  </w:style>
  <w:style w:type="character" w:customStyle="1" w:styleId="257">
    <w:name w:val="文档结构图 Char2"/>
    <w:semiHidden/>
    <w:qFormat/>
    <w:uiPriority w:val="99"/>
    <w:rPr>
      <w:rFonts w:ascii="宋体"/>
      <w:kern w:val="2"/>
      <w:sz w:val="18"/>
      <w:szCs w:val="18"/>
    </w:rPr>
  </w:style>
  <w:style w:type="character" w:customStyle="1" w:styleId="258">
    <w:name w:val="页眉 Char1"/>
    <w:semiHidden/>
    <w:qFormat/>
    <w:uiPriority w:val="99"/>
    <w:rPr>
      <w:kern w:val="2"/>
      <w:sz w:val="18"/>
      <w:szCs w:val="18"/>
    </w:rPr>
  </w:style>
  <w:style w:type="character" w:customStyle="1" w:styleId="259">
    <w:name w:val="日期 Char2"/>
    <w:semiHidden/>
    <w:qFormat/>
    <w:uiPriority w:val="99"/>
    <w:rPr>
      <w:kern w:val="2"/>
      <w:sz w:val="21"/>
      <w:szCs w:val="22"/>
    </w:rPr>
  </w:style>
  <w:style w:type="character" w:customStyle="1" w:styleId="260">
    <w:name w:val="正文文本 Char2"/>
    <w:semiHidden/>
    <w:qFormat/>
    <w:uiPriority w:val="99"/>
    <w:rPr>
      <w:kern w:val="2"/>
      <w:sz w:val="21"/>
      <w:szCs w:val="22"/>
    </w:rPr>
  </w:style>
  <w:style w:type="character" w:customStyle="1" w:styleId="261">
    <w:name w:val="标题 Char1"/>
    <w:qFormat/>
    <w:uiPriority w:val="10"/>
    <w:rPr>
      <w:rFonts w:ascii="Cambria" w:hAnsi="Cambria" w:cs="Times New Roman"/>
      <w:b/>
      <w:bCs/>
      <w:kern w:val="2"/>
      <w:sz w:val="32"/>
      <w:szCs w:val="32"/>
    </w:rPr>
  </w:style>
  <w:style w:type="character" w:customStyle="1" w:styleId="262">
    <w:name w:val="副标题 Char1"/>
    <w:qFormat/>
    <w:uiPriority w:val="11"/>
    <w:rPr>
      <w:rFonts w:ascii="Cambria" w:hAnsi="Cambria" w:cs="Times New Roman"/>
      <w:b/>
      <w:bCs/>
      <w:kern w:val="28"/>
      <w:sz w:val="32"/>
      <w:szCs w:val="32"/>
    </w:rPr>
  </w:style>
  <w:style w:type="paragraph" w:customStyle="1" w:styleId="263">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6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6">
    <w:name w:val="正文2 Char"/>
    <w:link w:val="267"/>
    <w:qFormat/>
    <w:uiPriority w:val="0"/>
    <w:rPr>
      <w:rFonts w:ascii="楷体" w:eastAsia="楷体"/>
      <w:b/>
      <w:color w:val="0000FF"/>
    </w:rPr>
  </w:style>
  <w:style w:type="paragraph" w:customStyle="1" w:styleId="267">
    <w:name w:val="正文2"/>
    <w:link w:val="266"/>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8">
    <w:name w:val="p0"/>
    <w:basedOn w:val="1"/>
    <w:qFormat/>
    <w:uiPriority w:val="0"/>
    <w:pPr>
      <w:widowControl/>
      <w:spacing w:before="100" w:beforeAutospacing="1" w:after="100" w:afterAutospacing="1"/>
      <w:jc w:val="left"/>
    </w:pPr>
    <w:rPr>
      <w:rFonts w:cs="宋体"/>
      <w:sz w:val="24"/>
      <w:szCs w:val="24"/>
    </w:rPr>
  </w:style>
  <w:style w:type="character" w:customStyle="1" w:styleId="269">
    <w:name w:val="正文文本 (2)_"/>
    <w:link w:val="270"/>
    <w:qFormat/>
    <w:locked/>
    <w:uiPriority w:val="99"/>
    <w:rPr>
      <w:rFonts w:ascii="MingLiU" w:eastAsia="MingLiU" w:cs="MingLiU"/>
      <w:spacing w:val="20"/>
      <w:sz w:val="22"/>
      <w:shd w:val="clear" w:color="auto" w:fill="FFFFFF"/>
    </w:rPr>
  </w:style>
  <w:style w:type="paragraph" w:customStyle="1" w:styleId="270">
    <w:name w:val="正文文本 (2)1"/>
    <w:basedOn w:val="1"/>
    <w:link w:val="269"/>
    <w:qFormat/>
    <w:uiPriority w:val="99"/>
    <w:pPr>
      <w:shd w:val="clear" w:color="auto" w:fill="FFFFFF"/>
      <w:spacing w:before="300" w:line="439" w:lineRule="exact"/>
      <w:jc w:val="distribute"/>
    </w:pPr>
    <w:rPr>
      <w:rFonts w:ascii="MingLiU" w:eastAsia="MingLiU" w:cs="MingLiU"/>
      <w:spacing w:val="20"/>
      <w:sz w:val="22"/>
    </w:rPr>
  </w:style>
  <w:style w:type="character" w:customStyle="1" w:styleId="271">
    <w:name w:val="正文文本 (2) + 间距 0 pt5"/>
    <w:qFormat/>
    <w:uiPriority w:val="99"/>
    <w:rPr>
      <w:rFonts w:ascii="MingLiU" w:eastAsia="MingLiU" w:cs="MingLiU"/>
      <w:spacing w:val="0"/>
      <w:sz w:val="22"/>
      <w:shd w:val="clear" w:color="auto" w:fill="FFFFFF"/>
    </w:rPr>
  </w:style>
  <w:style w:type="character" w:customStyle="1" w:styleId="272">
    <w:name w:val="访问过的超链接1"/>
    <w:basedOn w:val="57"/>
    <w:semiHidden/>
    <w:unhideWhenUsed/>
    <w:qFormat/>
    <w:uiPriority w:val="99"/>
    <w:rPr>
      <w:color w:val="954F72"/>
      <w:u w:val="single"/>
    </w:rPr>
  </w:style>
  <w:style w:type="character" w:customStyle="1" w:styleId="273">
    <w:name w:val="明显引用 Char2"/>
    <w:basedOn w:val="57"/>
    <w:qFormat/>
    <w:uiPriority w:val="30"/>
    <w:rPr>
      <w:b/>
      <w:bCs/>
      <w:i/>
      <w:iCs/>
      <w:color w:val="4F81BD" w:themeColor="accent1"/>
      <w14:textFill>
        <w14:solidFill>
          <w14:schemeClr w14:val="accent1"/>
        </w14:solidFill>
      </w14:textFill>
    </w:rPr>
  </w:style>
  <w:style w:type="character" w:customStyle="1" w:styleId="274">
    <w:name w:val="引用 Char2"/>
    <w:basedOn w:val="57"/>
    <w:qFormat/>
    <w:uiPriority w:val="29"/>
    <w:rPr>
      <w:i/>
      <w:iCs/>
      <w:color w:val="000000" w:themeColor="text1"/>
      <w14:textFill>
        <w14:solidFill>
          <w14:schemeClr w14:val="tx1"/>
        </w14:solidFill>
      </w14:textFill>
    </w:rPr>
  </w:style>
  <w:style w:type="table" w:customStyle="1" w:styleId="275">
    <w:name w:val="网格型4"/>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6">
    <w:name w:val="Table Normal"/>
    <w:semiHidden/>
    <w:unhideWhenUsed/>
    <w:qFormat/>
    <w:uiPriority w:val="0"/>
    <w:tblPr>
      <w:tblCellMar>
        <w:top w:w="0" w:type="dxa"/>
        <w:left w:w="0" w:type="dxa"/>
        <w:bottom w:w="0" w:type="dxa"/>
        <w:right w:w="0" w:type="dxa"/>
      </w:tblCellMar>
    </w:tblPr>
  </w:style>
  <w:style w:type="paragraph" w:customStyle="1" w:styleId="277">
    <w:name w:val="Table Text"/>
    <w:basedOn w:val="1"/>
    <w:semiHidden/>
    <w:qFormat/>
    <w:uiPriority w:val="0"/>
    <w:rPr>
      <w:rFonts w:ascii="Arial" w:hAnsi="Arial" w:eastAsia="Arial" w:cs="Arial"/>
      <w:sz w:val="21"/>
      <w:szCs w:val="21"/>
      <w:lang w:val="en-US" w:eastAsia="en-US" w:bidi="ar-SA"/>
    </w:rPr>
  </w:style>
  <w:style w:type="character" w:customStyle="1" w:styleId="278">
    <w:name w:val="hover"/>
    <w:basedOn w:val="57"/>
    <w:qFormat/>
    <w:uiPriority w:val="0"/>
    <w:rPr>
      <w:color w:val="2590EB"/>
      <w:shd w:val="clear" w:fill="E9F4FD"/>
    </w:rPr>
  </w:style>
  <w:style w:type="character" w:customStyle="1" w:styleId="279">
    <w:name w:val="hover1"/>
    <w:basedOn w:val="57"/>
    <w:qFormat/>
    <w:uiPriority w:val="0"/>
    <w:rPr>
      <w:color w:val="2590EB"/>
    </w:rPr>
  </w:style>
  <w:style w:type="character" w:customStyle="1" w:styleId="280">
    <w:name w:val="hover2"/>
    <w:basedOn w:val="57"/>
    <w:qFormat/>
    <w:uiPriority w:val="0"/>
    <w:rPr>
      <w:color w:val="2590EB"/>
    </w:rPr>
  </w:style>
  <w:style w:type="character" w:customStyle="1" w:styleId="281">
    <w:name w:val="hover3"/>
    <w:basedOn w:val="5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4CFDD-AEC3-4BBC-9B81-C7151120817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113</Pages>
  <Words>14732</Words>
  <Characters>15980</Characters>
  <Lines>445</Lines>
  <Paragraphs>125</Paragraphs>
  <TotalTime>2</TotalTime>
  <ScaleCrop>false</ScaleCrop>
  <LinksUpToDate>false</LinksUpToDate>
  <CharactersWithSpaces>16125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2021-12-20T01:22:00Z</dcterms:created>
  <dc:creator>Anakin</dc:creator>
  <cp:lastModifiedBy>芦树青</cp:lastModifiedBy>
  <cp:lastPrinted>2019-12-07T15:20:00Z</cp:lastPrinted>
  <dcterms:modified xsi:type="dcterms:W3CDTF">2025-03-31T07:12:02Z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4A08D05B009B40EBAD772F00E0DDA772_13</vt:lpwstr>
  </property>
  <property fmtid="{D5CDD505-2E9C-101B-9397-08002B2CF9AE}" pid="4" name="KSOTemplateDocerSaveRecord">
    <vt:lpwstr>eyJoZGlkIjoiMjA1ZWIzYTFkOWI5MWFkMWFiNTFjMThlNWEwOTIwNjUiLCJ1c2VySWQiOiI0MTQ4NzI2NTUifQ==</vt:lpwstr>
  </property>
</Properties>
</file>