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20BFDB">
      <w:pPr>
        <w:spacing w:line="360" w:lineRule="auto"/>
        <w:jc w:val="center"/>
        <w:outlineLvl w:val="0"/>
        <w:rPr>
          <w:rFonts w:asciiTheme="minorEastAsia" w:hAnsiTheme="minorEastAsia" w:eastAsiaTheme="minorEastAsia"/>
          <w:b/>
          <w:color w:val="auto"/>
          <w:sz w:val="28"/>
          <w:highlight w:val="none"/>
        </w:rPr>
      </w:pPr>
      <w:bookmarkStart w:id="0" w:name="_Toc12846"/>
      <w:r>
        <w:rPr>
          <w:rFonts w:hint="eastAsia" w:asciiTheme="minorEastAsia" w:hAnsiTheme="minorEastAsia" w:eastAsiaTheme="minorEastAsia"/>
          <w:b/>
          <w:color w:val="auto"/>
          <w:sz w:val="28"/>
          <w:highlight w:val="none"/>
        </w:rPr>
        <w:t>第三章  采购需求</w:t>
      </w:r>
      <w:bookmarkEnd w:id="0"/>
    </w:p>
    <w:p w14:paraId="4D392FA2">
      <w:pPr>
        <w:spacing w:line="360" w:lineRule="auto"/>
        <w:rPr>
          <w:rFonts w:asciiTheme="minorEastAsia" w:hAnsiTheme="minorEastAsia" w:eastAsiaTheme="minorEastAsia"/>
          <w:b/>
          <w:color w:val="auto"/>
          <w:sz w:val="24"/>
          <w:highlight w:val="none"/>
        </w:rPr>
      </w:pPr>
      <w:r>
        <w:rPr>
          <w:rFonts w:hint="eastAsia" w:asciiTheme="minorEastAsia" w:hAnsiTheme="minorEastAsia" w:eastAsiaTheme="minorEastAsia"/>
          <w:b/>
          <w:color w:val="auto"/>
          <w:sz w:val="24"/>
          <w:highlight w:val="none"/>
        </w:rPr>
        <w:t>前注：</w:t>
      </w:r>
    </w:p>
    <w:p w14:paraId="38A8436F">
      <w:pPr>
        <w:spacing w:line="360" w:lineRule="auto"/>
        <w:ind w:firstLine="435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bookmarkStart w:id="1" w:name="_Toc4514"/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1.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本采购需求中提出的服务方案仅为参考，如无明确限制，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供应商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可以进行优化，提供满足采购人实际需要的更优（或者性能实质上不低于的）服务方案，且此方案须经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谈判小组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评审认可。</w:t>
      </w:r>
    </w:p>
    <w:p w14:paraId="43C2E4E8">
      <w:pPr>
        <w:spacing w:line="360" w:lineRule="auto"/>
        <w:ind w:firstLine="435"/>
        <w:rPr>
          <w:rFonts w:hint="eastAsia" w:ascii="宋体" w:hAnsi="宋体" w:eastAsia="宋体"/>
          <w:color w:val="auto"/>
          <w:sz w:val="24"/>
          <w:szCs w:val="18"/>
          <w:highlight w:val="yellow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2.</w:t>
      </w:r>
      <w:r>
        <w:rPr>
          <w:rFonts w:ascii="宋体" w:hAnsi="宋体" w:eastAsia="宋体" w:cs="宋体"/>
          <w:sz w:val="24"/>
          <w:szCs w:val="24"/>
          <w:highlight w:val="none"/>
        </w:rPr>
        <w:t>政府采购政策（包括但不限于下列具体政策要求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：</w:t>
      </w:r>
    </w:p>
    <w:p w14:paraId="16FF19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（1）如属于《节能产品政府采购品目清单》中政府强制采购的节能产品，则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供应商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所投产品须具有市场监管总局公布的《参与实施政府采购节能产品认证机构目录》中的认证机构出具的、处于有效期内的节能产品认证证书。</w:t>
      </w:r>
    </w:p>
    <w:p w14:paraId="7F1021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（2）如涉及商品包装和快递包装，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供应商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应当执行《关于印发〈商品包装政府采购需求标准（试行）〉、〈快递包装政府采购需求标准（试行）〉的通知》（财办库〔2020〕123号）、《安徽省财政厅关于贯彻落实政府绿色采购有关政策的通知》（皖财购〔2023〕853号）的要求，提供符合需求标准的绿色包装、绿色运输，同时，采购人将对包装材料和运输环节作为履约验收条款进行验收。</w:t>
      </w:r>
    </w:p>
    <w:p w14:paraId="37BD1294">
      <w:pPr>
        <w:spacing w:line="360" w:lineRule="auto"/>
        <w:ind w:firstLine="437"/>
        <w:outlineLvl w:val="1"/>
        <w:rPr>
          <w:rFonts w:ascii="宋体" w:hAnsi="宋体" w:eastAsia="宋体"/>
          <w:b/>
          <w:color w:val="auto"/>
          <w:sz w:val="24"/>
          <w:szCs w:val="18"/>
          <w:highlight w:val="none"/>
        </w:rPr>
      </w:pPr>
      <w:bookmarkStart w:id="2" w:name="_Toc24918"/>
      <w:r>
        <w:rPr>
          <w:rFonts w:hint="eastAsia" w:ascii="宋体" w:hAnsi="宋体" w:eastAsia="宋体"/>
          <w:b/>
          <w:color w:val="auto"/>
          <w:sz w:val="24"/>
          <w:szCs w:val="18"/>
          <w:highlight w:val="none"/>
        </w:rPr>
        <w:t>一、采购需求前附表</w:t>
      </w:r>
      <w:bookmarkEnd w:id="1"/>
      <w:bookmarkEnd w:id="2"/>
    </w:p>
    <w:tbl>
      <w:tblPr>
        <w:tblStyle w:val="3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1855"/>
        <w:gridCol w:w="5958"/>
      </w:tblGrid>
      <w:tr w14:paraId="58ADB6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416" w:type="pct"/>
            <w:vAlign w:val="center"/>
          </w:tcPr>
          <w:p w14:paraId="23320F90">
            <w:pPr>
              <w:pStyle w:val="5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jc w:val="center"/>
              <w:textAlignment w:val="auto"/>
              <w:rPr>
                <w:rFonts w:ascii="宋体" w:hAnsi="宋体" w:eastAsia="宋体"/>
                <w:b/>
                <w:color w:val="auto"/>
                <w:kern w:val="2"/>
                <w:highlight w:val="none"/>
              </w:rPr>
            </w:pPr>
            <w:r>
              <w:rPr>
                <w:rFonts w:hint="eastAsia" w:ascii="宋体" w:hAnsi="宋体" w:eastAsia="宋体"/>
                <w:b/>
                <w:color w:val="auto"/>
                <w:kern w:val="2"/>
                <w:highlight w:val="none"/>
              </w:rPr>
              <w:t>序号</w:t>
            </w:r>
          </w:p>
        </w:tc>
        <w:tc>
          <w:tcPr>
            <w:tcW w:w="1088" w:type="pct"/>
            <w:vAlign w:val="center"/>
          </w:tcPr>
          <w:p w14:paraId="20A339B8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条款名称</w:t>
            </w:r>
          </w:p>
        </w:tc>
        <w:tc>
          <w:tcPr>
            <w:tcW w:w="3495" w:type="pct"/>
            <w:vAlign w:val="center"/>
          </w:tcPr>
          <w:p w14:paraId="74C5C1A1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内容、说明与要求</w:t>
            </w:r>
          </w:p>
        </w:tc>
      </w:tr>
      <w:tr w14:paraId="761ED0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416" w:type="pct"/>
            <w:vAlign w:val="center"/>
          </w:tcPr>
          <w:p w14:paraId="48C64058">
            <w:pPr>
              <w:pStyle w:val="5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textAlignment w:val="auto"/>
              <w:rPr>
                <w:rFonts w:ascii="宋体" w:hAnsi="宋体" w:eastAsia="宋体"/>
                <w:bCs/>
                <w:color w:val="auto"/>
                <w:kern w:val="2"/>
                <w:highlight w:val="none"/>
              </w:rPr>
            </w:pPr>
            <w:r>
              <w:rPr>
                <w:rFonts w:hint="eastAsia" w:ascii="宋体" w:hAnsi="宋体" w:eastAsia="宋体"/>
                <w:bCs/>
                <w:color w:val="auto"/>
                <w:kern w:val="2"/>
                <w:highlight w:val="none"/>
              </w:rPr>
              <w:t>1</w:t>
            </w:r>
          </w:p>
        </w:tc>
        <w:tc>
          <w:tcPr>
            <w:tcW w:w="1088" w:type="pct"/>
            <w:vAlign w:val="center"/>
          </w:tcPr>
          <w:p w14:paraId="4F210ED0">
            <w:pPr>
              <w:pStyle w:val="6"/>
              <w:widowControl w:val="0"/>
              <w:spacing w:before="0" w:beforeAutospacing="0" w:after="0" w:afterAutospacing="0" w:line="360" w:lineRule="auto"/>
              <w:rPr>
                <w:rFonts w:ascii="宋体" w:hAnsi="宋体" w:eastAsia="宋体"/>
                <w:b w:val="0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/>
                <w:b w:val="0"/>
                <w:color w:val="auto"/>
                <w:sz w:val="24"/>
                <w:highlight w:val="none"/>
              </w:rPr>
              <w:t>付款方式</w:t>
            </w:r>
          </w:p>
        </w:tc>
        <w:tc>
          <w:tcPr>
            <w:tcW w:w="3495" w:type="pct"/>
            <w:vAlign w:val="center"/>
          </w:tcPr>
          <w:p w14:paraId="41E548F6">
            <w:pPr>
              <w:pStyle w:val="6"/>
              <w:widowControl w:val="0"/>
              <w:spacing w:before="0" w:beforeAutospacing="0" w:after="0" w:afterAutospacing="0" w:line="360" w:lineRule="auto"/>
              <w:jc w:val="both"/>
              <w:rPr>
                <w:rFonts w:ascii="宋体" w:hAnsi="宋体" w:eastAsia="宋体"/>
                <w:b w:val="0"/>
                <w:color w:val="auto"/>
                <w:sz w:val="24"/>
                <w:highlight w:val="none"/>
                <w:u w:val="single"/>
              </w:rPr>
            </w:pPr>
            <w:r>
              <w:rPr>
                <w:rFonts w:hint="eastAsia" w:ascii="宋体" w:hAnsi="宋体" w:eastAsia="宋体"/>
                <w:b w:val="0"/>
                <w:color w:val="auto"/>
                <w:sz w:val="24"/>
                <w:highlight w:val="none"/>
                <w:u w:val="none"/>
              </w:rPr>
              <w:t>每季度考核一次，满分100分。第1-3季度，每季按合同金额的20%作为本季度支付最高金额；第四季度考核结束后，本年度四次考核的平均分，为本年考核得分（分值及付款比例同季度考核），并支付余款。季度考核分值与季度服务费关系：考核得分90分以上（含90分）按本季度实际服务费支付，75分（含75分）至90分（不含90分）支付本季度实际服务费的90%，60分（含60分）到75分（不含75分）支付本季度实际服务费的80%；本季度核得分低于60分的不予付款并解除合同；本年度平均分80分及以上的可续签下一年度合同；2025年义务教育优质均衡督导评估认定申报县(市、区)教育质量监测现场测试（模拟测试）中发生故障的云电脑数量超过3%，则终止合同，并追究成交供应商的违约责任。</w:t>
            </w:r>
          </w:p>
        </w:tc>
      </w:tr>
      <w:tr w14:paraId="2D19BB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416" w:type="pct"/>
            <w:vAlign w:val="center"/>
          </w:tcPr>
          <w:p w14:paraId="1A782F08">
            <w:pPr>
              <w:pStyle w:val="5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textAlignment w:val="auto"/>
              <w:rPr>
                <w:rFonts w:ascii="宋体" w:hAnsi="宋体" w:eastAsia="宋体"/>
                <w:bCs/>
                <w:color w:val="auto"/>
                <w:kern w:val="2"/>
                <w:highlight w:val="none"/>
              </w:rPr>
            </w:pPr>
            <w:r>
              <w:rPr>
                <w:rFonts w:hint="eastAsia" w:ascii="宋体" w:hAnsi="宋体" w:eastAsia="宋体"/>
                <w:bCs/>
                <w:color w:val="auto"/>
                <w:kern w:val="2"/>
                <w:highlight w:val="none"/>
              </w:rPr>
              <w:t>2</w:t>
            </w:r>
          </w:p>
        </w:tc>
        <w:tc>
          <w:tcPr>
            <w:tcW w:w="1088" w:type="pct"/>
            <w:vAlign w:val="center"/>
          </w:tcPr>
          <w:p w14:paraId="62509338">
            <w:pPr>
              <w:pStyle w:val="6"/>
              <w:widowControl w:val="0"/>
              <w:spacing w:before="0" w:beforeAutospacing="0" w:after="0" w:afterAutospacing="0" w:line="360" w:lineRule="auto"/>
              <w:rPr>
                <w:rFonts w:ascii="宋体" w:hAnsi="宋体" w:eastAsia="宋体"/>
                <w:b w:val="0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/>
                <w:b w:val="0"/>
                <w:color w:val="auto"/>
                <w:sz w:val="24"/>
                <w:highlight w:val="none"/>
              </w:rPr>
              <w:t>服务地点</w:t>
            </w:r>
          </w:p>
        </w:tc>
        <w:tc>
          <w:tcPr>
            <w:tcW w:w="3495" w:type="pct"/>
            <w:vAlign w:val="center"/>
          </w:tcPr>
          <w:p w14:paraId="5FAE3F2A">
            <w:pPr>
              <w:pStyle w:val="6"/>
              <w:widowControl w:val="0"/>
              <w:spacing w:before="0" w:beforeAutospacing="0" w:after="0" w:afterAutospacing="0" w:line="360" w:lineRule="auto"/>
              <w:jc w:val="both"/>
              <w:rPr>
                <w:rFonts w:ascii="宋体" w:hAnsi="宋体" w:eastAsia="宋体"/>
                <w:b w:val="0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/>
                <w:b w:val="0"/>
                <w:color w:val="auto"/>
                <w:sz w:val="24"/>
                <w:highlight w:val="none"/>
                <w:lang w:val="en-US" w:eastAsia="zh-CN"/>
              </w:rPr>
              <w:t>安庆经开区范围内所属中小学幼儿园</w:t>
            </w:r>
          </w:p>
        </w:tc>
      </w:tr>
      <w:tr w14:paraId="30686A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416" w:type="pct"/>
            <w:vAlign w:val="center"/>
          </w:tcPr>
          <w:p w14:paraId="6C0485E6">
            <w:pPr>
              <w:pStyle w:val="5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textAlignment w:val="auto"/>
              <w:rPr>
                <w:rFonts w:ascii="宋体" w:hAnsi="宋体" w:eastAsia="宋体"/>
                <w:bCs/>
                <w:color w:val="auto"/>
                <w:kern w:val="2"/>
                <w:highlight w:val="none"/>
              </w:rPr>
            </w:pPr>
            <w:r>
              <w:rPr>
                <w:rFonts w:hint="eastAsia" w:ascii="宋体" w:hAnsi="宋体" w:eastAsia="宋体"/>
                <w:bCs/>
                <w:color w:val="auto"/>
                <w:kern w:val="2"/>
                <w:highlight w:val="none"/>
              </w:rPr>
              <w:t>3</w:t>
            </w:r>
          </w:p>
        </w:tc>
        <w:tc>
          <w:tcPr>
            <w:tcW w:w="1088" w:type="pct"/>
            <w:vAlign w:val="center"/>
          </w:tcPr>
          <w:p w14:paraId="0B76CE5B">
            <w:pPr>
              <w:pStyle w:val="6"/>
              <w:widowControl w:val="0"/>
              <w:spacing w:before="0" w:beforeAutospacing="0" w:after="0" w:afterAutospacing="0" w:line="360" w:lineRule="auto"/>
              <w:rPr>
                <w:rFonts w:ascii="宋体" w:hAnsi="宋体" w:eastAsia="宋体"/>
                <w:b w:val="0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/>
                <w:b w:val="0"/>
                <w:color w:val="auto"/>
                <w:sz w:val="24"/>
                <w:highlight w:val="none"/>
              </w:rPr>
              <w:t>服务期限</w:t>
            </w:r>
          </w:p>
        </w:tc>
        <w:tc>
          <w:tcPr>
            <w:tcW w:w="3495" w:type="pct"/>
            <w:vAlign w:val="center"/>
          </w:tcPr>
          <w:p w14:paraId="1D6B3BE8">
            <w:pPr>
              <w:pStyle w:val="6"/>
              <w:widowControl w:val="0"/>
              <w:spacing w:before="0" w:beforeAutospacing="0" w:after="0" w:afterAutospacing="0" w:line="360" w:lineRule="auto"/>
              <w:jc w:val="both"/>
              <w:rPr>
                <w:rFonts w:ascii="宋体" w:hAnsi="宋体" w:eastAsia="宋体"/>
                <w:b w:val="0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/>
                <w:b w:val="0"/>
                <w:color w:val="auto"/>
                <w:sz w:val="24"/>
                <w:highlight w:val="none"/>
              </w:rPr>
              <w:t>服务期自合同签订之日起365日历天（合同签订七个日历日内完成机房实施，15个日历日内全部完成），采用1+1+1模式，即先签订第一年合同，合同履行期间经考核达到考核标准要求的可续签合同，最多续签两年。</w:t>
            </w:r>
          </w:p>
        </w:tc>
      </w:tr>
      <w:tr w14:paraId="542D83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416" w:type="pct"/>
            <w:vAlign w:val="center"/>
          </w:tcPr>
          <w:p w14:paraId="5FC19727">
            <w:pPr>
              <w:pStyle w:val="5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textAlignment w:val="auto"/>
              <w:rPr>
                <w:rFonts w:asciiTheme="majorEastAsia" w:hAnsiTheme="majorEastAsia" w:eastAsiaTheme="majorEastAsia"/>
                <w:bCs/>
                <w:color w:val="auto"/>
                <w:kern w:val="2"/>
                <w:highlight w:val="none"/>
              </w:rPr>
            </w:pPr>
            <w:r>
              <w:rPr>
                <w:rFonts w:asciiTheme="majorEastAsia" w:hAnsiTheme="majorEastAsia" w:eastAsiaTheme="majorEastAsia"/>
                <w:bCs/>
                <w:color w:val="auto"/>
                <w:kern w:val="2"/>
                <w:highlight w:val="none"/>
              </w:rPr>
              <w:t>4</w:t>
            </w:r>
          </w:p>
        </w:tc>
        <w:tc>
          <w:tcPr>
            <w:tcW w:w="1088" w:type="pct"/>
            <w:vAlign w:val="center"/>
          </w:tcPr>
          <w:p w14:paraId="126DE3B9">
            <w:pPr>
              <w:pStyle w:val="6"/>
              <w:widowControl w:val="0"/>
              <w:spacing w:before="0" w:beforeAutospacing="0" w:after="0" w:afterAutospacing="0" w:line="360" w:lineRule="auto"/>
              <w:rPr>
                <w:rFonts w:ascii="宋体" w:hAnsi="宋体" w:eastAsia="宋体" w:cs="@仿宋_GB2312"/>
                <w:b w:val="0"/>
                <w:bCs/>
                <w:color w:val="auto"/>
                <w:kern w:val="0"/>
                <w:sz w:val="24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b w:val="0"/>
                <w:color w:val="auto"/>
                <w:sz w:val="24"/>
                <w:highlight w:val="none"/>
              </w:rPr>
              <w:t>本项目采购标的名称及所属行业</w:t>
            </w:r>
          </w:p>
        </w:tc>
        <w:tc>
          <w:tcPr>
            <w:tcW w:w="3495" w:type="pct"/>
            <w:vAlign w:val="center"/>
          </w:tcPr>
          <w:p w14:paraId="50ED84E5">
            <w:pPr>
              <w:spacing w:line="360" w:lineRule="auto"/>
              <w:jc w:val="left"/>
              <w:rPr>
                <w:rFonts w:asciiTheme="minorEastAsia" w:hAnsiTheme="minorEastAsia" w:eastAsiaTheme="minorEastAsia"/>
                <w:color w:val="auto"/>
                <w:sz w:val="24"/>
                <w:highlight w:val="none"/>
              </w:rPr>
            </w:pPr>
            <w:r>
              <w:rPr>
                <w:rFonts w:hint="eastAsia" w:asciiTheme="minorEastAsia" w:hAnsiTheme="minorEastAsia" w:eastAsiaTheme="minorEastAsia"/>
                <w:color w:val="auto"/>
                <w:sz w:val="24"/>
                <w:highlight w:val="none"/>
              </w:rPr>
              <w:t>标的名称：</w:t>
            </w:r>
            <w:r>
              <w:rPr>
                <w:rFonts w:hint="eastAsia" w:ascii="宋体" w:hAnsi="宋体" w:eastAsia="宋体"/>
                <w:b w:val="0"/>
                <w:color w:val="auto"/>
                <w:sz w:val="24"/>
                <w:highlight w:val="none"/>
                <w:u w:val="none"/>
              </w:rPr>
              <w:t>安庆经开区2025年度教育系统“云桌面”服务采购项目</w:t>
            </w:r>
          </w:p>
          <w:p w14:paraId="3862D684">
            <w:pPr>
              <w:spacing w:line="360" w:lineRule="auto"/>
              <w:jc w:val="left"/>
              <w:rPr>
                <w:rFonts w:hint="default" w:cs="@仿宋_GB2312" w:asciiTheme="minorEastAsia" w:hAnsiTheme="minorEastAsia" w:eastAsiaTheme="minorEastAsia"/>
                <w:color w:val="auto"/>
                <w:kern w:val="2"/>
                <w:sz w:val="24"/>
                <w:highlight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/>
                <w:color w:val="auto"/>
                <w:sz w:val="24"/>
                <w:highlight w:val="none"/>
              </w:rPr>
              <w:t>所属行业：</w:t>
            </w:r>
            <w:r>
              <w:rPr>
                <w:rFonts w:hint="eastAsia" w:asciiTheme="minorEastAsia" w:hAnsiTheme="minorEastAsia" w:eastAsiaTheme="minorEastAsia"/>
                <w:color w:val="auto"/>
                <w:sz w:val="24"/>
                <w:highlight w:val="none"/>
                <w:lang w:val="en-US" w:eastAsia="zh-CN"/>
              </w:rPr>
              <w:t>软件和信息技术服务业</w:t>
            </w:r>
          </w:p>
        </w:tc>
      </w:tr>
    </w:tbl>
    <w:p w14:paraId="5CC4BBAC">
      <w:pPr>
        <w:spacing w:line="360" w:lineRule="auto"/>
        <w:ind w:firstLine="482" w:firstLineChars="200"/>
        <w:outlineLvl w:val="1"/>
        <w:rPr>
          <w:rFonts w:ascii="宋体" w:hAnsi="宋体" w:eastAsia="宋体"/>
          <w:b/>
          <w:color w:val="auto"/>
          <w:sz w:val="24"/>
          <w:szCs w:val="18"/>
          <w:highlight w:val="none"/>
        </w:rPr>
      </w:pPr>
      <w:bookmarkStart w:id="3" w:name="_Toc9389"/>
      <w:bookmarkStart w:id="4" w:name="_Toc12926"/>
      <w:bookmarkStart w:id="5" w:name="_Hlk16461016"/>
      <w:r>
        <w:rPr>
          <w:rFonts w:hint="eastAsia" w:ascii="宋体" w:hAnsi="宋体" w:eastAsia="宋体"/>
          <w:b/>
          <w:color w:val="auto"/>
          <w:sz w:val="24"/>
          <w:szCs w:val="18"/>
          <w:highlight w:val="none"/>
        </w:rPr>
        <w:t>二、项目概况</w:t>
      </w:r>
      <w:bookmarkEnd w:id="3"/>
      <w:bookmarkEnd w:id="4"/>
    </w:p>
    <w:p w14:paraId="6A9617A4">
      <w:pPr>
        <w:spacing w:line="360" w:lineRule="auto"/>
        <w:ind w:firstLine="480" w:firstLineChars="200"/>
        <w:rPr>
          <w:rFonts w:hint="eastAsia" w:ascii="宋体" w:hAnsi="宋体" w:eastAsia="宋体" w:cs="@仿宋_GB2312"/>
          <w:b w:val="0"/>
          <w:bCs/>
          <w:color w:val="auto"/>
          <w:kern w:val="0"/>
          <w:sz w:val="24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@仿宋_GB2312"/>
          <w:b w:val="0"/>
          <w:bCs/>
          <w:color w:val="auto"/>
          <w:kern w:val="0"/>
          <w:sz w:val="24"/>
          <w:szCs w:val="28"/>
          <w:highlight w:val="none"/>
          <w:lang w:val="en-US" w:eastAsia="zh-CN" w:bidi="ar-SA"/>
        </w:rPr>
        <w:t>为提升经开区教育系统息化建设水平，部分学校计算机房、办公电脑老旧，拟结合使用云桌面（云计算机），对经开区中小学机房、一师一机、幼儿园一教室一机和办公用电脑进行更新升级（包括部分网络、线路改造）。拟采购云桌面（云计算机）服务项目，采购云桌面约1332套左右。</w:t>
      </w:r>
    </w:p>
    <w:p w14:paraId="3A7579C2">
      <w:pPr>
        <w:numPr>
          <w:ilvl w:val="0"/>
          <w:numId w:val="1"/>
        </w:numPr>
        <w:spacing w:line="360" w:lineRule="auto"/>
        <w:ind w:firstLine="482" w:firstLineChars="200"/>
        <w:outlineLvl w:val="1"/>
        <w:rPr>
          <w:rFonts w:hint="eastAsia" w:ascii="宋体" w:hAnsi="宋体" w:eastAsia="宋体"/>
          <w:b/>
          <w:color w:val="auto"/>
          <w:sz w:val="24"/>
          <w:szCs w:val="18"/>
          <w:highlight w:val="none"/>
        </w:rPr>
      </w:pPr>
      <w:bookmarkStart w:id="6" w:name="_Toc24967"/>
      <w:bookmarkStart w:id="7" w:name="_Toc4312"/>
      <w:r>
        <w:rPr>
          <w:rFonts w:hint="eastAsia" w:ascii="宋体" w:hAnsi="宋体" w:eastAsia="宋体"/>
          <w:b/>
          <w:color w:val="auto"/>
          <w:sz w:val="24"/>
          <w:szCs w:val="18"/>
          <w:highlight w:val="none"/>
        </w:rPr>
        <w:t>服务需求</w:t>
      </w:r>
      <w:bookmarkEnd w:id="6"/>
      <w:bookmarkEnd w:id="7"/>
    </w:p>
    <w:p w14:paraId="59E154EB">
      <w:pPr>
        <w:spacing w:line="480" w:lineRule="exact"/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</w:rPr>
        <w:t>一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</w:rPr>
        <w:t>、</w:t>
      </w:r>
      <w:r>
        <w:rPr>
          <w:rFonts w:ascii="宋体" w:hAnsi="宋体" w:eastAsia="宋体" w:cs="宋体"/>
          <w:b/>
          <w:bCs/>
          <w:color w:val="000000"/>
          <w:kern w:val="0"/>
          <w:sz w:val="24"/>
          <w:szCs w:val="24"/>
        </w:rPr>
        <w:t>服务内容清单</w:t>
      </w:r>
    </w:p>
    <w:tbl>
      <w:tblPr>
        <w:tblStyle w:val="3"/>
        <w:tblW w:w="5364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1595"/>
        <w:gridCol w:w="4569"/>
        <w:gridCol w:w="739"/>
        <w:gridCol w:w="1414"/>
      </w:tblGrid>
      <w:tr w14:paraId="58E783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</w:trPr>
        <w:tc>
          <w:tcPr>
            <w:tcW w:w="45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86469E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872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7BBD7B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服务内容</w:t>
            </w:r>
          </w:p>
        </w:tc>
        <w:tc>
          <w:tcPr>
            <w:tcW w:w="2498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F8FE96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服务要求</w:t>
            </w:r>
          </w:p>
        </w:tc>
        <w:tc>
          <w:tcPr>
            <w:tcW w:w="404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6E7627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单位</w:t>
            </w:r>
          </w:p>
        </w:tc>
        <w:tc>
          <w:tcPr>
            <w:tcW w:w="773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B72138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数量</w:t>
            </w:r>
          </w:p>
        </w:tc>
      </w:tr>
      <w:tr w14:paraId="21FA3E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451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002632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872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3ECA83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教师办公云桌面服务</w:t>
            </w:r>
          </w:p>
        </w:tc>
        <w:tc>
          <w:tcPr>
            <w:tcW w:w="2498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F49A8A">
            <w:pPr>
              <w:widowControl/>
              <w:spacing w:line="440" w:lineRule="exact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bidi="ar"/>
              </w:rPr>
              <w:t>1、CPU≥4核、主频≥3GHZ，内存≥16G，系统盘≥100G，数据盘≥500G，正版操作系统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。</w:t>
            </w:r>
            <w:r>
              <w:rPr>
                <w:rStyle w:val="7"/>
                <w:rFonts w:hint="default"/>
                <w:color w:val="auto"/>
                <w:sz w:val="24"/>
                <w:szCs w:val="24"/>
                <w:highlight w:val="none"/>
                <w:lang w:bidi="ar"/>
              </w:rPr>
              <w:br w:type="textWrapping"/>
            </w:r>
            <w:r>
              <w:rPr>
                <w:rStyle w:val="7"/>
                <w:rFonts w:hint="default"/>
                <w:color w:val="auto"/>
                <w:sz w:val="24"/>
                <w:szCs w:val="24"/>
                <w:highlight w:val="none"/>
                <w:lang w:bidi="ar"/>
              </w:rPr>
              <w:t>2、屏幕尺寸（对角）≥23寸</w:t>
            </w:r>
            <w:r>
              <w:rPr>
                <w:rStyle w:val="7"/>
                <w:rFonts w:hint="eastAsia" w:eastAsia="宋体"/>
                <w:color w:val="auto"/>
                <w:sz w:val="24"/>
                <w:szCs w:val="24"/>
                <w:highlight w:val="none"/>
                <w:lang w:eastAsia="zh-CN" w:bidi="ar"/>
              </w:rPr>
              <w:t>。</w:t>
            </w:r>
            <w:r>
              <w:rPr>
                <w:rStyle w:val="7"/>
                <w:rFonts w:hint="default"/>
                <w:color w:val="auto"/>
                <w:sz w:val="24"/>
                <w:szCs w:val="24"/>
                <w:highlight w:val="none"/>
                <w:lang w:bidi="ar"/>
              </w:rPr>
              <w:br w:type="textWrapping"/>
            </w:r>
            <w:r>
              <w:rPr>
                <w:rStyle w:val="7"/>
                <w:rFonts w:hint="default"/>
                <w:color w:val="auto"/>
                <w:sz w:val="24"/>
                <w:szCs w:val="24"/>
                <w:highlight w:val="none"/>
                <w:lang w:bidi="ar"/>
              </w:rPr>
              <w:t>3、X86架构云终端</w:t>
            </w:r>
            <w:r>
              <w:rPr>
                <w:rStyle w:val="7"/>
                <w:rFonts w:hint="eastAsia" w:eastAsia="宋体"/>
                <w:color w:val="auto"/>
                <w:sz w:val="24"/>
                <w:szCs w:val="24"/>
                <w:highlight w:val="none"/>
                <w:lang w:eastAsia="zh-CN" w:bidi="ar"/>
              </w:rPr>
              <w:t>。</w:t>
            </w:r>
            <w:r>
              <w:rPr>
                <w:rStyle w:val="7"/>
                <w:rFonts w:hint="default"/>
                <w:color w:val="auto"/>
                <w:sz w:val="24"/>
                <w:szCs w:val="24"/>
                <w:highlight w:val="none"/>
                <w:lang w:bidi="ar"/>
              </w:rPr>
              <w:br w:type="textWrapping"/>
            </w:r>
            <w:r>
              <w:rPr>
                <w:rStyle w:val="7"/>
                <w:rFonts w:hint="default"/>
                <w:color w:val="auto"/>
                <w:sz w:val="24"/>
                <w:szCs w:val="24"/>
                <w:highlight w:val="none"/>
                <w:lang w:bidi="ar"/>
              </w:rPr>
              <w:t>4、键盘鼠标</w:t>
            </w:r>
            <w:r>
              <w:rPr>
                <w:rStyle w:val="7"/>
                <w:rFonts w:hint="eastAsia" w:eastAsia="宋体"/>
                <w:color w:val="auto"/>
                <w:sz w:val="24"/>
                <w:szCs w:val="24"/>
                <w:highlight w:val="none"/>
                <w:lang w:eastAsia="zh-CN" w:bidi="ar"/>
              </w:rPr>
              <w:t>。</w:t>
            </w:r>
          </w:p>
        </w:tc>
        <w:tc>
          <w:tcPr>
            <w:tcW w:w="404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4D801D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套</w:t>
            </w:r>
          </w:p>
        </w:tc>
        <w:tc>
          <w:tcPr>
            <w:tcW w:w="773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CDEE30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约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740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（据实）</w:t>
            </w:r>
          </w:p>
        </w:tc>
      </w:tr>
      <w:tr w14:paraId="184887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451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DE358F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872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42EFA6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微机室云桌面服务</w:t>
            </w:r>
          </w:p>
        </w:tc>
        <w:tc>
          <w:tcPr>
            <w:tcW w:w="2498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2C1BF2">
            <w:pPr>
              <w:widowControl/>
              <w:spacing w:line="440" w:lineRule="exact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1、CPU≥4核、主频≥2.4GHZ，内存≥8G，系统盘≥80G，数据盘≥100G，正版操作系统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eastAsia="zh-CN" w:bidi="ar"/>
              </w:rPr>
              <w:t>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2、屏幕尺寸（对角）≥21</w:t>
            </w:r>
            <w:r>
              <w:rPr>
                <w:rStyle w:val="7"/>
                <w:rFonts w:hint="default"/>
                <w:color w:val="auto"/>
                <w:sz w:val="24"/>
                <w:szCs w:val="24"/>
                <w:highlight w:val="none"/>
                <w:lang w:bidi="ar"/>
              </w:rPr>
              <w:t>寸</w:t>
            </w:r>
            <w:r>
              <w:rPr>
                <w:rStyle w:val="7"/>
                <w:rFonts w:hint="eastAsia" w:eastAsia="宋体"/>
                <w:color w:val="auto"/>
                <w:sz w:val="24"/>
                <w:szCs w:val="24"/>
                <w:highlight w:val="none"/>
                <w:lang w:eastAsia="zh-CN" w:bidi="ar"/>
              </w:rPr>
              <w:t>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3、ARM或X86架构云</w:t>
            </w:r>
            <w:r>
              <w:rPr>
                <w:rStyle w:val="7"/>
                <w:rFonts w:hint="default"/>
                <w:color w:val="auto"/>
                <w:sz w:val="24"/>
                <w:szCs w:val="24"/>
                <w:highlight w:val="none"/>
                <w:lang w:bidi="ar"/>
              </w:rPr>
              <w:t>终端</w:t>
            </w:r>
            <w:r>
              <w:rPr>
                <w:rStyle w:val="7"/>
                <w:rFonts w:hint="eastAsia" w:eastAsia="宋体"/>
                <w:color w:val="auto"/>
                <w:sz w:val="24"/>
                <w:szCs w:val="24"/>
                <w:highlight w:val="none"/>
                <w:lang w:eastAsia="zh-CN" w:bidi="ar"/>
              </w:rPr>
              <w:t>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4、键盘鼠标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eastAsia="zh-CN" w:bidi="ar"/>
              </w:rPr>
              <w:t>。</w:t>
            </w:r>
          </w:p>
        </w:tc>
        <w:tc>
          <w:tcPr>
            <w:tcW w:w="404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190F28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套</w:t>
            </w:r>
          </w:p>
        </w:tc>
        <w:tc>
          <w:tcPr>
            <w:tcW w:w="773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6849EE">
            <w:pPr>
              <w:widowControl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约592（含教师操作机11台、学生用机581台），并综合利用225台旧显示器</w:t>
            </w:r>
          </w:p>
        </w:tc>
      </w:tr>
    </w:tbl>
    <w:p w14:paraId="379674C0">
      <w:pPr>
        <w:spacing w:line="440" w:lineRule="exact"/>
        <w:rPr>
          <w:rFonts w:hint="eastAsia" w:ascii="宋体" w:hAnsi="宋体" w:eastAsia="宋体"/>
          <w:b/>
          <w:bCs/>
          <w:sz w:val="24"/>
          <w:szCs w:val="24"/>
        </w:rPr>
      </w:pPr>
      <w:r>
        <w:rPr>
          <w:rStyle w:val="8"/>
          <w:rFonts w:hint="eastAsia" w:eastAsia="宋体"/>
          <w:b/>
          <w:bCs/>
          <w:sz w:val="24"/>
          <w:szCs w:val="24"/>
          <w:lang w:val="en-US" w:eastAsia="zh-CN"/>
        </w:rPr>
        <w:t>（二）、</w:t>
      </w:r>
      <w:r>
        <w:rPr>
          <w:rStyle w:val="8"/>
          <w:rFonts w:hint="default"/>
          <w:b/>
          <w:bCs/>
          <w:sz w:val="24"/>
          <w:szCs w:val="24"/>
        </w:rPr>
        <w:t>具体服务要求</w:t>
      </w:r>
    </w:p>
    <w:tbl>
      <w:tblPr>
        <w:tblStyle w:val="3"/>
        <w:tblW w:w="963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709"/>
        <w:gridCol w:w="992"/>
        <w:gridCol w:w="7229"/>
      </w:tblGrid>
      <w:tr w14:paraId="0F8FFE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79A40DAF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14:paraId="7B089E80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服务内容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664C0D27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服务要求</w:t>
            </w:r>
          </w:p>
        </w:tc>
      </w:tr>
      <w:tr w14:paraId="0A24FF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</w:tcPr>
          <w:p w14:paraId="6F0B38D5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6860D3FD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教师办公云桌面服务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0547B3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教师办公云桌面配置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526B1F94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软件技术要求：</w:t>
            </w:r>
          </w:p>
          <w:p w14:paraId="6F06D04B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CPU≥4核、主频≥3GHZ，内存≥16G，系统盘≥100G，数据盘≥500G，正版操作系统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；</w:t>
            </w:r>
          </w:p>
          <w:p w14:paraId="4BF74692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2、要求云桌面与云终端解耦，可与至少3家不同品牌的云终端进行适配使用。</w:t>
            </w:r>
          </w:p>
          <w:p w14:paraId="4C20EB81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3、支持创建多种镜像类型，包括公共镜像、自定义镜像。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中提供产品功能截图并加盖供应商公章）。</w:t>
            </w:r>
          </w:p>
          <w:p w14:paraId="1D6BBC66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4、高可用性，支持云桌面数据备份，故障时切换到备用云桌面。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中提供产品功能截图并加盖供应商公章）。</w:t>
            </w:r>
          </w:p>
          <w:p w14:paraId="1D95960C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5、支持通过账号密码、手机号码等多种认证方式登录云桌面，支持通过邮箱或手机短信验证码重置云桌面密码。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</w:t>
            </w:r>
          </w:p>
          <w:p w14:paraId="34847C85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6、在云桌面系统损坏时支持“救援模式”启动云桌面，以便用户对重要数据进行备份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中提供产品功能截图并加盖供应商公章）。</w:t>
            </w:r>
            <w:r>
              <w:rPr>
                <w:rFonts w:hint="eastAsia" w:ascii="宋体" w:hAnsi="宋体" w:eastAsia="宋体" w:cs="宋体"/>
                <w:b/>
                <w:bCs/>
                <w:color w:val="30C0B4" w:themeColor="accent5"/>
                <w:kern w:val="0"/>
                <w:sz w:val="24"/>
                <w:szCs w:val="24"/>
                <w14:textFill>
                  <w14:solidFill>
                    <w14:schemeClr w14:val="accent5"/>
                  </w14:solidFill>
                </w14:textFill>
              </w:rPr>
              <w:t xml:space="preserve">  </w:t>
            </w:r>
          </w:p>
          <w:p w14:paraId="4BF60E98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7、提供用户自助报障通道，客户可通过此通道自行报障。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中提供产品功能截图或承诺书并加盖供应商公章）</w:t>
            </w:r>
          </w:p>
          <w:p w14:paraId="2F9572A0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8、画面质量清晰流畅，传输自定义模式支持个性化设置视频帧率、图像帧率、图像色彩。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中提供产品功能截图并加盖供应商公章）。</w:t>
            </w:r>
          </w:p>
          <w:p w14:paraId="4D52FB03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9、在本地终端（手机、云终端、PC）和网络打印机网络互通的情况下，支持通过云桌面使用打印机功能。</w:t>
            </w:r>
          </w:p>
          <w:p w14:paraId="635ABD01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10、支持云桌面设置IP或Mac地址访问权限，可绑定客户端上网带宽的IP地址、客户端分配使用的IP地址、MAC列表。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中提供产品功能截图并加盖供应商公章）。</w:t>
            </w:r>
          </w:p>
          <w:p w14:paraId="0DC3975B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11、要求云桌面控制台内置防火墙功能，满足即开即用，快速部署需求。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中提供产品功能截图并加盖供应商公章）。</w:t>
            </w:r>
          </w:p>
          <w:p w14:paraId="60C72206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12、支持多种高级加密标准算法，包括但不限于标准加密(AES-128)、高安全加密（AES-192）、最高安全加密等级（AES-256）等加密模式。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中提供产品功能截图并加盖供应商公章）。</w:t>
            </w:r>
          </w:p>
          <w:p w14:paraId="7585165A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13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、云桌面支持多端接入，除云终端登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录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方式外，还应包括台式计算机/笔记本、手机、平板、触控一体机等硬件产品，以适应移动环境、应急使用、家庭教学、触控一体机教学的多种场景。</w:t>
            </w:r>
          </w:p>
          <w:p w14:paraId="54404B19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14、云桌面移动端接入时，支持横屏、竖屏模式，提升用户操作体验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t>中提供产品功能截图并加盖供应商公章）。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15、提供AI生态功能，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支持各类第三方AI应用接入使用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，支持构建云端AI问答智库，支持教师上传教学课件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t>(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t>中提供产品功能截图并加盖供应商公章）。</w:t>
            </w:r>
          </w:p>
          <w:p w14:paraId="683831D9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u w:val="none"/>
              </w:rPr>
              <w:t>16、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u w:val="none"/>
                <w:lang w:val="en-US" w:eastAsia="zh-CN"/>
              </w:rPr>
              <w:t>投入本项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u w:val="none"/>
              </w:rPr>
              <w:t>后端资源池中CPU物理核数不少于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u w:val="none"/>
                <w:lang w:val="en-US" w:eastAsia="zh-CN"/>
              </w:rPr>
              <w:t>云桌面台数*4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u w:val="none"/>
              </w:rPr>
              <w:t>核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u w:val="none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(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中需提供相关操作界面清晰截图并加盖供应商公章)。</w:t>
            </w:r>
          </w:p>
        </w:tc>
      </w:tr>
      <w:tr w14:paraId="144560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0" w:hRule="atLeast"/>
          <w:jc w:val="center"/>
        </w:trPr>
        <w:tc>
          <w:tcPr>
            <w:tcW w:w="704" w:type="dxa"/>
            <w:vMerge w:val="continue"/>
            <w:vAlign w:val="center"/>
          </w:tcPr>
          <w:p w14:paraId="25E3BA6E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vAlign w:val="center"/>
          </w:tcPr>
          <w:p w14:paraId="4F2A00DF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01A6B58C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教师办公云终端配置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2AD8E0FC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1、架构/形态：X86构架云终端一体机+显示器；可以无线网络连接终端服务器。</w:t>
            </w:r>
          </w:p>
          <w:p w14:paraId="08C990ED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2、显示器：屏幕尺寸≥23寸，IPS面板，低蓝光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  <w:t>响应文件中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t>提供所投商品彩页或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  <w:t>合同签订后项目实施前提供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t>检测报告）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，屏幕比例16:9或16:10，分辨率≥1920*1080，刷新率≥60Hz，窄边框设计，水平及垂直可视角度≥178°，亮度≥250 cd/m²，对比度≥1,000:1，输入信号VGA、HDMI；</w:t>
            </w:r>
          </w:p>
          <w:p w14:paraId="02C45CAF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3、X86构架云终端：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外置接口 USB3.0≥2、USB2.0≥2、HDMI≥1、VGA≥1、耳机麦克风二合一接口≥1，处理器核心数≥2、主频≥2.5GHZ，内存≥4G，存储≥32G，显卡1个（≥2G显存），支持100/1000M自适以太网口，支持蓝牙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；</w:t>
            </w:r>
          </w:p>
          <w:p w14:paraId="232C7072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4、外设设备：键盘鼠标，有线标准、USB接口的鼠标及键盘，键盘按键数量≥104key、线材≥1.5m；3健鼠标、鼠标线材≥1.5m。</w:t>
            </w:r>
          </w:p>
        </w:tc>
      </w:tr>
      <w:tr w14:paraId="5ED8FD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</w:tcPr>
          <w:p w14:paraId="0130B406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78D37C57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微机室云桌面服务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25F146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微机室云桌面配置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0311D0A9">
            <w:pPr>
              <w:widowControl/>
              <w:numPr>
                <w:ilvl w:val="0"/>
                <w:numId w:val="2"/>
              </w:numPr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CPU≥4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核、主频≥2.4GHZ，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内存≥8G，系统盘≥80G，数据盘≥100G，正版操作系统。</w:t>
            </w:r>
          </w:p>
          <w:p w14:paraId="1AB9A1A3">
            <w:pPr>
              <w:widowControl/>
              <w:numPr>
                <w:ilvl w:val="0"/>
                <w:numId w:val="0"/>
              </w:numPr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2、要求云桌面与瘦终端解耦，可与至少3家不同品牌的瘦终端进行适配使用。</w:t>
            </w:r>
          </w:p>
          <w:p w14:paraId="43EDD8EA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3、支持集中管理模式，可通过集中管理平台实现对云桌面的批量管理，包括批量开关机、重装、变更规格、变更镜像、变更管控策略等。</w:t>
            </w:r>
          </w:p>
          <w:p w14:paraId="37095C3F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4、支持创建多种镜像类型，包括公共镜像、自定义镜像。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</w:t>
            </w:r>
          </w:p>
          <w:p w14:paraId="1CB4354D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5、高可用性，支持云桌面数据备份，故障时切换到备用云桌面。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</w:t>
            </w:r>
          </w:p>
          <w:p w14:paraId="365776A8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6、支持设置超过一定时间没有操作则自动断开云桌面连接。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</w:t>
            </w:r>
          </w:p>
          <w:p w14:paraId="4737277C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8、在云桌面系统损坏时支持“救援模式”启动云桌面，以便用户对重要数据进行备份；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</w:t>
            </w:r>
          </w:p>
          <w:p w14:paraId="6A2E4970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9、提供用户自助报障通道，客户可通过此通道自行报障。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中提供产品功能截图或承诺书并加盖供应商公章）</w:t>
            </w:r>
          </w:p>
          <w:p w14:paraId="4FC1CD67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10、画面质量清晰流畅，传输自定义模式支持个性化设置视频帧率、图像帧率、图像色彩。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</w:t>
            </w:r>
          </w:p>
          <w:p w14:paraId="5C8B77B6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11、支持本地系统与云桌面之间文件及剪切板策略管控，可根据实际需求配置拷入及拷出权限。</w:t>
            </w:r>
          </w:p>
          <w:p w14:paraId="60ECC1CC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13、支持云桌面设置IP或Mac地址访问权限，可绑定客户端上网带宽的IP地址、客户端分配使用的IP地址、MAC列表。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</w:t>
            </w:r>
          </w:p>
          <w:p w14:paraId="22E87746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14、要求云桌面控制台内置防火墙功能，满足即开即用，快速部署需求。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中提供产品功能截图并加盖供应商公章）。</w:t>
            </w:r>
          </w:p>
          <w:p w14:paraId="195BFB7F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15、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u w:val="none"/>
                <w:lang w:val="en-US" w:eastAsia="zh-CN"/>
              </w:rPr>
              <w:t>投入本项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u w:val="none"/>
              </w:rPr>
              <w:t>后端资源池中CPU物理核数不少于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u w:val="none"/>
                <w:lang w:val="en-US" w:eastAsia="zh-CN"/>
              </w:rPr>
              <w:t>云桌面台数*4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u w:val="none"/>
              </w:rPr>
              <w:t xml:space="preserve">核 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 (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中需提供实际相关操作界面清晰截图并加盖供应商公章)。</w:t>
            </w:r>
          </w:p>
        </w:tc>
      </w:tr>
      <w:tr w14:paraId="327F8B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7" w:hRule="atLeast"/>
          <w:jc w:val="center"/>
        </w:trPr>
        <w:tc>
          <w:tcPr>
            <w:tcW w:w="704" w:type="dxa"/>
            <w:vMerge w:val="continue"/>
            <w:vAlign w:val="center"/>
          </w:tcPr>
          <w:p w14:paraId="0CE7D058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vAlign w:val="center"/>
          </w:tcPr>
          <w:p w14:paraId="53A538E7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B002B68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微机室云终端学生机配置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486EC10E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1、架构/形态：ARM或X86构架云终端+显示器；</w:t>
            </w:r>
          </w:p>
          <w:p w14:paraId="0E6E76D6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2、显示器：屏幕尺寸≥21寸，IPS屏，屏幕比例16:9或16:10，低蓝光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  <w:t>响应文件中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t>提供所投商品彩页或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  <w:t>合同签订后项目实施前提供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t>检测报告）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，分辨率≥1920*1080，刷新率≥60Hz，亮度≥250nits，对比度≥1,000:1，输入信号VGA、HDMI；</w:t>
            </w:r>
          </w:p>
          <w:p w14:paraId="7080A173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3、ARM或X86构架云终端：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外置接口USB3.0≥1、USB2.0≥2、HDMI≥1，耳机麦克风二合一接口≥1，处理器核心数≥2、主频≥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2.0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u w:val="none"/>
              </w:rPr>
              <w:t>GHZ，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 xml:space="preserve"> 内存≥2G，存储≥8G，支持100/1000M自适以太网口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；</w:t>
            </w:r>
          </w:p>
          <w:p w14:paraId="615124DD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4、外设：键盘鼠标，有线标准、USB接口的鼠标及键盘，键盘按键数量≥104key、线材≥1.5m；3健鼠标、鼠标线材≥1.5m；每个微机教室配耳机（可收听、可通话）35副。</w:t>
            </w:r>
          </w:p>
        </w:tc>
      </w:tr>
      <w:tr w14:paraId="637781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050302ED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14:paraId="3F151835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技术服务要求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29FED083">
            <w:pPr>
              <w:widowControl/>
              <w:numPr>
                <w:ilvl w:val="0"/>
                <w:numId w:val="0"/>
              </w:numPr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 w:bidi="ar-SA"/>
              </w:rPr>
              <w:t>1.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机房配置符合学校使用的正版电子教室软件，支持屏幕广播、文件分发、屏幕录制、演示等功能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教师办公用机要能接通党政内网、财政专网等内网。</w:t>
            </w:r>
          </w:p>
          <w:p w14:paraId="255BE18C">
            <w:pPr>
              <w:widowControl/>
              <w:numPr>
                <w:ilvl w:val="0"/>
                <w:numId w:val="0"/>
              </w:numPr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 w:bidi="ar-SA"/>
              </w:rPr>
              <w:t>2.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每台云电脑运行网络速率：下行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≥300M、上行≥100M，连接 DNS 时延≦ 10ms；计算机教室、 办公区分开架设专网（专线条数应视各学校实际需求进行配置）。</w:t>
            </w:r>
          </w:p>
          <w:p w14:paraId="10CA8B33">
            <w:pPr>
              <w:widowControl/>
              <w:numPr>
                <w:ilvl w:val="0"/>
                <w:numId w:val="0"/>
              </w:numPr>
              <w:spacing w:line="440" w:lineRule="exact"/>
              <w:jc w:val="left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  <w:t>3.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光纤网络到楼层，超五类及以上网线到桌面；</w:t>
            </w:r>
            <w:r>
              <w:rPr>
                <w:rStyle w:val="4"/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交换机、网关技术参数及数量依据各学校实际需求进行配置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，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val="en-US" w:eastAsia="zh-CN"/>
              </w:rPr>
              <w:t>并由成交供应商提供，报价时需考虑此项费用。</w:t>
            </w:r>
          </w:p>
          <w:p w14:paraId="41B68340">
            <w:pPr>
              <w:widowControl/>
              <w:numPr>
                <w:ilvl w:val="0"/>
                <w:numId w:val="0"/>
              </w:numPr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 w:bidi="ar-SA"/>
              </w:rPr>
              <w:t>4.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服务器进行物理隔离，数据进行实时镜像备份，数据安全等由成交供应商负责实施，确保数据安全。</w:t>
            </w:r>
          </w:p>
          <w:p w14:paraId="1D931FBC">
            <w:pPr>
              <w:widowControl/>
              <w:numPr>
                <w:ilvl w:val="0"/>
                <w:numId w:val="0"/>
              </w:numPr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 w:bidi="ar-SA"/>
              </w:rPr>
              <w:t>5.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合同到期后，成立供应商要确保无偿将数据按采购人指定方式，全部安全转移。安全转移后，对服务器存储数据进行安全删除，并不得对外泄露。</w:t>
            </w:r>
          </w:p>
          <w:p w14:paraId="129BA1A9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6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供应商提供云桌面软硬件开通安装、使用培训等服务(至少1次)，确保各单位云桌面使用者可正常使用，系统运行稳定。</w:t>
            </w:r>
          </w:p>
          <w:p w14:paraId="118E1FD2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7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当发生故障用户提出故障服务请求时，供应商应及时响应，如在2个工作日内无法排障，供应商须提供性能相当的备机供采购人使用。</w:t>
            </w:r>
          </w:p>
          <w:p w14:paraId="76258A44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u w:val="none"/>
              </w:rPr>
              <w:t>8.属于交钥匙工程，供应商负责采购人能够按照采购需求正常使用所有设备，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包括但不限于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u w:val="none"/>
              </w:rPr>
              <w:t>所有主材、辅材均由供应商负责实施，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所有设备如使用中出现问题并由供应商进行更换，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u w:val="none"/>
              </w:rPr>
              <w:t>采购人不另行增加任何费用。</w:t>
            </w:r>
          </w:p>
          <w:p w14:paraId="51DB2234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9.机房云桌面要符合优质均衡发展国家检测要求。供应商要确保整套系统处软硬件及时更新维护，保证系统流畅使用。</w:t>
            </w:r>
          </w:p>
          <w:p w14:paraId="2D1009BA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10.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4"/>
                <w:szCs w:val="24"/>
                <w:highlight w:val="none"/>
              </w:rPr>
              <w:t>具体实施数量据实确定，人员增减需在申请的次月起执行，利用的显示器在报价中进行核减，并由供应商负责维修和更换。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服务期满后利旧部分的资产归采购人所有。</w:t>
            </w:r>
            <w:bookmarkStart w:id="10" w:name="_GoBack"/>
            <w:bookmarkEnd w:id="10"/>
          </w:p>
        </w:tc>
      </w:tr>
      <w:tr w14:paraId="5A74E6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  <w:jc w:val="center"/>
        </w:trPr>
        <w:tc>
          <w:tcPr>
            <w:tcW w:w="9634" w:type="dxa"/>
            <w:gridSpan w:val="4"/>
            <w:shd w:val="clear" w:color="auto" w:fill="auto"/>
            <w:vAlign w:val="center"/>
          </w:tcPr>
          <w:p w14:paraId="415B6F37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：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成交供应商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在合同签订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后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，必须按照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谈判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文件要求实现相对应的功能，如果不满足按照虚假响应处理并上报相关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/>
              </w:rPr>
              <w:t>监管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  <w:t>部门。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  <w:lang w:eastAsia="zh-CN"/>
              </w:rPr>
              <w:t>响应文件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highlight w:val="none"/>
              </w:rPr>
              <w:t>中提供以上内容承诺（承诺函格式自拟）并加盖供应商公章。</w:t>
            </w:r>
          </w:p>
        </w:tc>
      </w:tr>
    </w:tbl>
    <w:p w14:paraId="55448E59">
      <w:pPr>
        <w:numPr>
          <w:ilvl w:val="0"/>
          <w:numId w:val="0"/>
        </w:numPr>
        <w:spacing w:line="360" w:lineRule="auto"/>
        <w:outlineLvl w:val="1"/>
        <w:rPr>
          <w:rFonts w:hint="eastAsia" w:ascii="宋体" w:hAnsi="宋体" w:eastAsia="宋体"/>
          <w:b/>
          <w:color w:val="auto"/>
          <w:sz w:val="24"/>
          <w:szCs w:val="24"/>
          <w:highlight w:val="none"/>
        </w:rPr>
      </w:pPr>
    </w:p>
    <w:p w14:paraId="192C0872">
      <w:pPr>
        <w:widowControl/>
        <w:spacing w:line="440" w:lineRule="exact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</w:rPr>
        <w:t>三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eastAsia="zh-CN"/>
        </w:rPr>
        <w:t>）</w:t>
      </w:r>
      <w:r>
        <w:rPr>
          <w:rFonts w:ascii="宋体" w:hAnsi="宋体" w:eastAsia="宋体" w:cs="宋体"/>
          <w:b/>
          <w:bCs/>
          <w:color w:val="000000"/>
          <w:kern w:val="0"/>
          <w:sz w:val="24"/>
          <w:szCs w:val="24"/>
        </w:rPr>
        <w:t>、考核办法</w:t>
      </w:r>
    </w:p>
    <w:p w14:paraId="2C3C0580">
      <w:pPr>
        <w:spacing w:line="440" w:lineRule="exact"/>
        <w:ind w:firstLine="480" w:firstLineChars="200"/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  <w:u w:val="none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  <w:u w:val="none"/>
        </w:rPr>
        <w:t>每季度考核一次，满分100分。第1-3季度，每季按合同金额的20%作为本季度支付最高金额；第四季度考核结束后，本年度四次考核的平均分，为本年考核得分（分值及付款比例同季度考核），并支付余款。季度考核分值与季度服务费关系：考核得分90分以上（含90分）按本季度实际服务费支付，75分（含75分）至90分（不含90分）支付本季度实际服务费的90%，60分（含60分）到75分（不含75分）支付本季度实际服务费的80%；本季度核得分低于60分的不予付款并解除合同；本年度平均分80分及以上的可续签下一年度合同；2025年义务教育优质均衡督导评估认定申报县(市、区)教育质量监测现场测试（模拟测试）中发生故障的云电脑数量超过3%，则终止合同，并追究成交供应商的违约责任。</w:t>
      </w:r>
    </w:p>
    <w:tbl>
      <w:tblPr>
        <w:tblStyle w:val="3"/>
        <w:tblW w:w="8639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4"/>
        <w:gridCol w:w="5220"/>
        <w:gridCol w:w="1855"/>
      </w:tblGrid>
      <w:tr w14:paraId="1FDBECD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B5BFDD4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考核项目</w:t>
            </w:r>
          </w:p>
        </w:tc>
        <w:tc>
          <w:tcPr>
            <w:tcW w:w="522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227B80A7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考核内容</w:t>
            </w:r>
          </w:p>
        </w:tc>
        <w:tc>
          <w:tcPr>
            <w:tcW w:w="185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FBBFA7E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分值</w:t>
            </w:r>
          </w:p>
        </w:tc>
      </w:tr>
      <w:tr w14:paraId="7B64806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4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 w14:paraId="4E189EA3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日常维护</w:t>
            </w:r>
          </w:p>
        </w:tc>
        <w:tc>
          <w:tcPr>
            <w:tcW w:w="522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2623F57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每月通过云桌面管理平台远程或现场巡查一遍并做好记录，未达到的每次扣2分</w:t>
            </w:r>
          </w:p>
        </w:tc>
        <w:tc>
          <w:tcPr>
            <w:tcW w:w="185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 w14:paraId="64478759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50分(本栏共50分，扣完为止）</w:t>
            </w:r>
          </w:p>
        </w:tc>
      </w:tr>
      <w:tr w14:paraId="5A665DB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4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CC71E36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220" w:type="dxa"/>
            <w:tcBorders>
              <w:right w:val="single" w:color="000000" w:sz="6" w:space="0"/>
            </w:tcBorders>
            <w:vAlign w:val="center"/>
          </w:tcPr>
          <w:p w14:paraId="5E3085EC">
            <w:pPr>
              <w:widowControl/>
              <w:spacing w:line="440" w:lineRule="exact"/>
              <w:jc w:val="left"/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未经甲方书面同意，擅自改变网络、云桌面服务器、云终端配置的，每次扣2分</w:t>
            </w:r>
          </w:p>
        </w:tc>
        <w:tc>
          <w:tcPr>
            <w:tcW w:w="185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7ABF9164">
            <w:pPr>
              <w:widowControl/>
              <w:spacing w:line="440" w:lineRule="exact"/>
              <w:jc w:val="left"/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 w14:paraId="74D913F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4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 w14:paraId="6A4B0270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应急保障</w:t>
            </w:r>
          </w:p>
        </w:tc>
        <w:tc>
          <w:tcPr>
            <w:tcW w:w="522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A2D8B32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故障电话不接听（10分钟内回拨完成通话的除外）每次扣2分</w:t>
            </w:r>
          </w:p>
        </w:tc>
        <w:tc>
          <w:tcPr>
            <w:tcW w:w="185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C4871C9">
            <w:pPr>
              <w:widowControl/>
              <w:spacing w:line="440" w:lineRule="exact"/>
              <w:jc w:val="left"/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 w14:paraId="0CE91C7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4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C6B50E7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220" w:type="dxa"/>
            <w:tcBorders>
              <w:right w:val="single" w:color="000000" w:sz="6" w:space="0"/>
            </w:tcBorders>
            <w:vAlign w:val="center"/>
          </w:tcPr>
          <w:p w14:paraId="1B283C4D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故障报修2小时内未响应，维修完毕8小时后未电话回访的，每次扣2分</w:t>
            </w:r>
          </w:p>
        </w:tc>
        <w:tc>
          <w:tcPr>
            <w:tcW w:w="185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0CE94212">
            <w:pPr>
              <w:widowControl/>
              <w:spacing w:line="440" w:lineRule="exact"/>
              <w:jc w:val="left"/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 w14:paraId="3F24F49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4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76DC850F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220" w:type="dxa"/>
            <w:tcBorders>
              <w:right w:val="single" w:color="000000" w:sz="6" w:space="0"/>
            </w:tcBorders>
            <w:vAlign w:val="center"/>
          </w:tcPr>
          <w:p w14:paraId="41BFD8F6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重大活动和任务期间，对甲方的要求不响应、不落实的，每次扣2分</w:t>
            </w:r>
          </w:p>
        </w:tc>
        <w:tc>
          <w:tcPr>
            <w:tcW w:w="185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7BAF14E">
            <w:pPr>
              <w:widowControl/>
              <w:spacing w:line="440" w:lineRule="exact"/>
              <w:jc w:val="left"/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 w14:paraId="3014870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4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 w14:paraId="6FA448D3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安全事故</w:t>
            </w:r>
          </w:p>
        </w:tc>
        <w:tc>
          <w:tcPr>
            <w:tcW w:w="522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47B2B31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违规操作导致信息、数据、资料等泄露的，每起扣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10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分，造成重大影响的，扣5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分</w:t>
            </w:r>
          </w:p>
        </w:tc>
        <w:tc>
          <w:tcPr>
            <w:tcW w:w="185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3E0414F7">
            <w:pPr>
              <w:widowControl/>
              <w:spacing w:line="440" w:lineRule="exact"/>
              <w:jc w:val="left"/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 w14:paraId="5762B57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4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4008EC95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220" w:type="dxa"/>
            <w:tcBorders>
              <w:right w:val="single" w:color="000000" w:sz="6" w:space="0"/>
            </w:tcBorders>
            <w:vAlign w:val="center"/>
          </w:tcPr>
          <w:p w14:paraId="732E7D15">
            <w:pPr>
              <w:widowControl/>
              <w:spacing w:line="440" w:lineRule="exact"/>
              <w:jc w:val="left"/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未经甲方书面同意，擅自将本项目中的设备、链路和资源（人员和维修工具除外），向其他单位、个人和社会组织开通开放、提供服务或混合使用的，每次扣5分</w:t>
            </w:r>
          </w:p>
        </w:tc>
        <w:tc>
          <w:tcPr>
            <w:tcW w:w="185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3E305757">
            <w:pPr>
              <w:widowControl/>
              <w:spacing w:line="440" w:lineRule="exact"/>
              <w:jc w:val="left"/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 w14:paraId="0D402E5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4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 w14:paraId="7C0F6EA8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人员管理</w:t>
            </w:r>
          </w:p>
        </w:tc>
        <w:tc>
          <w:tcPr>
            <w:tcW w:w="522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74C3D5BB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本项目运维人员新增、变更，未提前报备的，每人次扣1分</w:t>
            </w:r>
          </w:p>
        </w:tc>
        <w:tc>
          <w:tcPr>
            <w:tcW w:w="185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C6FF934">
            <w:pPr>
              <w:widowControl/>
              <w:spacing w:line="440" w:lineRule="exact"/>
              <w:jc w:val="left"/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 w14:paraId="23C1604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4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78004408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5220" w:type="dxa"/>
            <w:tcBorders>
              <w:right w:val="single" w:color="000000" w:sz="6" w:space="0"/>
            </w:tcBorders>
            <w:vAlign w:val="center"/>
          </w:tcPr>
          <w:p w14:paraId="141CD6A5">
            <w:pPr>
              <w:widowControl/>
              <w:spacing w:line="440" w:lineRule="exact"/>
              <w:jc w:val="left"/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每年与运维人员签订安全保密责任书，未达到的每人次扣1分</w:t>
            </w:r>
          </w:p>
        </w:tc>
        <w:tc>
          <w:tcPr>
            <w:tcW w:w="185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916E893">
            <w:pPr>
              <w:widowControl/>
              <w:spacing w:line="440" w:lineRule="exact"/>
              <w:jc w:val="left"/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 w14:paraId="37E3F86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7DDE926">
            <w:pPr>
              <w:widowControl/>
              <w:spacing w:line="4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满意度调查</w:t>
            </w:r>
          </w:p>
        </w:tc>
        <w:tc>
          <w:tcPr>
            <w:tcW w:w="522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CF0F189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满意度调查分为：非常满意、满意、基本满意、不满意</w:t>
            </w:r>
          </w:p>
          <w:p w14:paraId="6760A16D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1、满意度达80%以上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（含80%）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的为非常满意，得50分；</w:t>
            </w:r>
          </w:p>
          <w:p w14:paraId="6854AF0D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2、满意度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70（含70%）-80%（不含80%）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的为满意，得40分；</w:t>
            </w:r>
          </w:p>
          <w:p w14:paraId="0F86774B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3、满意度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60（含60%）-70%（不含70%）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的为基本满意，得30分；</w:t>
            </w:r>
          </w:p>
          <w:p w14:paraId="735F180F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4、满意度低于60%的为不满意，不得分。</w:t>
            </w:r>
          </w:p>
        </w:tc>
        <w:tc>
          <w:tcPr>
            <w:tcW w:w="185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CC378AF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50分（本栏共50分，每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3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highlight w:val="none"/>
              </w:rPr>
              <w:t>个月由采购人调查一次，根据满意度赋分）</w:t>
            </w:r>
          </w:p>
        </w:tc>
      </w:tr>
    </w:tbl>
    <w:p w14:paraId="4EBFB3BA">
      <w:pPr>
        <w:spacing w:line="360" w:lineRule="auto"/>
        <w:ind w:firstLine="482" w:firstLineChars="200"/>
        <w:rPr>
          <w:rFonts w:ascii="宋体" w:hAnsi="宋体" w:eastAsia="宋体"/>
          <w:b/>
          <w:color w:val="auto"/>
          <w:sz w:val="24"/>
          <w:szCs w:val="18"/>
          <w:highlight w:val="none"/>
        </w:rPr>
      </w:pPr>
    </w:p>
    <w:p w14:paraId="78EFC889">
      <w:pPr>
        <w:spacing w:line="360" w:lineRule="auto"/>
        <w:ind w:firstLine="482" w:firstLineChars="200"/>
        <w:outlineLvl w:val="1"/>
        <w:rPr>
          <w:rFonts w:hint="eastAsia" w:ascii="宋体" w:hAnsi="宋体" w:eastAsia="宋体"/>
          <w:b/>
          <w:color w:val="auto"/>
          <w:sz w:val="24"/>
          <w:szCs w:val="18"/>
          <w:highlight w:val="none"/>
          <w:lang w:eastAsia="zh-CN"/>
        </w:rPr>
      </w:pPr>
      <w:bookmarkStart w:id="8" w:name="_Toc6830"/>
      <w:bookmarkStart w:id="9" w:name="_Toc20190"/>
      <w:r>
        <w:rPr>
          <w:rFonts w:hint="eastAsia" w:ascii="宋体" w:hAnsi="宋体" w:eastAsia="宋体"/>
          <w:b/>
          <w:color w:val="auto"/>
          <w:sz w:val="24"/>
          <w:szCs w:val="18"/>
          <w:highlight w:val="none"/>
          <w:lang w:val="en-US" w:eastAsia="zh-CN"/>
        </w:rPr>
        <w:t>四</w:t>
      </w:r>
      <w:r>
        <w:rPr>
          <w:rFonts w:hint="eastAsia" w:ascii="宋体" w:hAnsi="宋体" w:eastAsia="宋体"/>
          <w:b/>
          <w:color w:val="auto"/>
          <w:sz w:val="24"/>
          <w:szCs w:val="18"/>
          <w:highlight w:val="none"/>
        </w:rPr>
        <w:t>、</w:t>
      </w:r>
      <w:bookmarkEnd w:id="8"/>
      <w:bookmarkEnd w:id="9"/>
      <w:r>
        <w:rPr>
          <w:rFonts w:hint="eastAsia" w:ascii="宋体" w:hAnsi="宋体" w:eastAsia="宋体"/>
          <w:b/>
          <w:color w:val="auto"/>
          <w:sz w:val="24"/>
          <w:szCs w:val="18"/>
          <w:highlight w:val="none"/>
          <w:lang w:val="en-US" w:eastAsia="zh-CN"/>
        </w:rPr>
        <w:t>验收</w:t>
      </w:r>
    </w:p>
    <w:p w14:paraId="5D49D6E6">
      <w:pPr>
        <w:spacing w:line="360" w:lineRule="auto"/>
        <w:ind w:firstLine="480" w:firstLineChars="200"/>
        <w:rPr>
          <w:rFonts w:hint="default" w:ascii="宋体" w:hAnsi="宋体" w:eastAsia="宋体"/>
          <w:b w:val="0"/>
          <w:bCs/>
          <w:color w:val="auto"/>
          <w:sz w:val="24"/>
          <w:szCs w:val="18"/>
          <w:highlight w:val="none"/>
          <w:lang w:val="en-US" w:eastAsia="zh-CN"/>
        </w:rPr>
      </w:pPr>
      <w:r>
        <w:rPr>
          <w:rFonts w:hint="eastAsia" w:ascii="宋体" w:hAnsi="宋体" w:eastAsia="宋体"/>
          <w:b w:val="0"/>
          <w:bCs/>
          <w:color w:val="auto"/>
          <w:sz w:val="24"/>
          <w:szCs w:val="18"/>
          <w:highlight w:val="none"/>
          <w:lang w:val="en-US" w:eastAsia="zh-CN"/>
        </w:rPr>
        <w:t>采购人、成交供应商及采购人邀请的第三方共同实施验收工作，结果和验收报告经三方确认后生效。</w:t>
      </w:r>
    </w:p>
    <w:p w14:paraId="5DDF1870">
      <w:pPr>
        <w:spacing w:line="360" w:lineRule="auto"/>
        <w:ind w:firstLine="482" w:firstLineChars="200"/>
        <w:rPr>
          <w:rFonts w:hint="eastAsia" w:ascii="宋体" w:hAnsi="宋体" w:eastAsia="宋体"/>
          <w:b/>
          <w:color w:val="auto"/>
          <w:sz w:val="24"/>
          <w:szCs w:val="18"/>
          <w:highlight w:val="none"/>
        </w:rPr>
      </w:pPr>
    </w:p>
    <w:p w14:paraId="710AB0E8">
      <w:pPr>
        <w:spacing w:line="360" w:lineRule="auto"/>
        <w:ind w:firstLine="482" w:firstLineChars="200"/>
        <w:rPr>
          <w:rFonts w:hint="eastAsia" w:ascii="宋体" w:hAnsi="宋体" w:eastAsia="宋体"/>
          <w:b w:val="0"/>
          <w:bCs/>
          <w:color w:val="auto"/>
          <w:sz w:val="24"/>
          <w:szCs w:val="18"/>
          <w:highlight w:val="none"/>
        </w:rPr>
      </w:pPr>
      <w:r>
        <w:rPr>
          <w:rFonts w:hint="eastAsia" w:ascii="宋体" w:hAnsi="宋体" w:eastAsia="宋体"/>
          <w:b/>
          <w:bCs w:val="0"/>
          <w:color w:val="auto"/>
          <w:sz w:val="24"/>
          <w:szCs w:val="18"/>
          <w:highlight w:val="none"/>
        </w:rPr>
        <w:t>备注：</w:t>
      </w:r>
      <w:r>
        <w:rPr>
          <w:rFonts w:hint="eastAsia" w:ascii="宋体" w:hAnsi="宋体" w:eastAsia="宋体"/>
          <w:b w:val="0"/>
          <w:bCs/>
          <w:color w:val="auto"/>
          <w:sz w:val="24"/>
          <w:szCs w:val="18"/>
          <w:highlight w:val="none"/>
        </w:rPr>
        <w:t>响应人应按照谈判文件要求提供证明材料。若响应人提供了竞争性谈判文件未要求的证明材料，谈判小组将不予评审。</w:t>
      </w:r>
    </w:p>
    <w:p w14:paraId="16FB18B7">
      <w:pPr>
        <w:spacing w:line="360" w:lineRule="auto"/>
        <w:ind w:firstLine="480" w:firstLineChars="200"/>
      </w:pPr>
      <w:r>
        <w:rPr>
          <w:rFonts w:hint="eastAsia" w:ascii="宋体" w:hAnsi="宋体" w:eastAsia="宋体"/>
          <w:b w:val="0"/>
          <w:bCs/>
          <w:color w:val="auto"/>
          <w:sz w:val="24"/>
          <w:szCs w:val="18"/>
          <w:highlight w:val="none"/>
        </w:rPr>
        <w:t>响应人提供的证明材料须清晰的反映评审内容，如因材料模糊不清，导致谈判小组无法辨认的，谈判小组可以不予认可，一切后果由响应人自行承担。</w:t>
      </w:r>
      <w:bookmarkEnd w:id="5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@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2C812E"/>
    <w:multiLevelType w:val="singleLevel"/>
    <w:tmpl w:val="CB2C812E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DFD40E4A"/>
    <w:multiLevelType w:val="singleLevel"/>
    <w:tmpl w:val="DFD40E4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196F81"/>
    <w:rsid w:val="27460347"/>
    <w:rsid w:val="48196F81"/>
    <w:rsid w:val="63782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@仿宋_GB2312" w:hAnsi="@仿宋_GB2312" w:eastAsia="@仿宋_GB2312" w:cs="@仿宋_GB2312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5">
    <w:name w:val="D&amp;L"/>
    <w:basedOn w:val="2"/>
    <w:qFormat/>
    <w:uiPriority w:val="0"/>
    <w:pPr>
      <w:pBdr>
        <w:bottom w:val="thinThickSmallGap" w:color="auto" w:sz="18" w:space="1"/>
      </w:pBdr>
      <w:adjustRightInd w:val="0"/>
      <w:snapToGrid/>
      <w:spacing w:line="240" w:lineRule="atLeast"/>
      <w:textAlignment w:val="baseline"/>
    </w:pPr>
    <w:rPr>
      <w:kern w:val="0"/>
      <w:sz w:val="24"/>
      <w:szCs w:val="20"/>
    </w:rPr>
  </w:style>
  <w:style w:type="paragraph" w:customStyle="1" w:styleId="6">
    <w:name w:val="xl31"/>
    <w:basedOn w:val="1"/>
    <w:qFormat/>
    <w:uiPriority w:val="0"/>
    <w:pPr>
      <w:widowControl/>
      <w:spacing w:before="100" w:beforeAutospacing="1" w:after="100" w:afterAutospacing="1"/>
      <w:jc w:val="center"/>
    </w:pPr>
    <w:rPr>
      <w:b/>
      <w:bCs/>
      <w:kern w:val="0"/>
      <w:sz w:val="28"/>
      <w:szCs w:val="28"/>
    </w:rPr>
  </w:style>
  <w:style w:type="character" w:customStyle="1" w:styleId="7">
    <w:name w:val="font31"/>
    <w:basedOn w:val="4"/>
    <w:autoRedefine/>
    <w:qFormat/>
    <w:uiPriority w:val="0"/>
    <w:rPr>
      <w:rFonts w:hint="eastAsia" w:ascii="宋体" w:hAnsi="宋体" w:eastAsia="宋体" w:cs="宋体"/>
      <w:color w:val="FF0000"/>
      <w:sz w:val="18"/>
      <w:szCs w:val="18"/>
      <w:u w:val="none"/>
    </w:rPr>
  </w:style>
  <w:style w:type="character" w:customStyle="1" w:styleId="8">
    <w:name w:val="fontstyle01"/>
    <w:basedOn w:val="4"/>
    <w:qFormat/>
    <w:uiPriority w:val="0"/>
    <w:rPr>
      <w:rFonts w:hint="eastAsia" w:ascii="宋体" w:hAnsi="宋体" w:eastAsia="宋体"/>
      <w:color w:val="000000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4631</Words>
  <Characters>5034</Characters>
  <Lines>0</Lines>
  <Paragraphs>0</Paragraphs>
  <TotalTime>0</TotalTime>
  <ScaleCrop>false</ScaleCrop>
  <LinksUpToDate>false</LinksUpToDate>
  <CharactersWithSpaces>5048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2025-03-31T08:02:00Z</dcterms:created>
  <dc:creator>NTKO</dc:creator>
  <cp:lastModifiedBy>NTKO</cp:lastModifiedBy>
  <dcterms:modified xsi:type="dcterms:W3CDTF">2025-03-31T08:55:34Z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2722240A1BA64EC3A7FF0A563F388E3F_11</vt:lpwstr>
  </property>
  <property fmtid="{D5CDD505-2E9C-101B-9397-08002B2CF9AE}" pid="4" name="KSOTemplateDocerSaveRecord">
    <vt:lpwstr>eyJoZGlkIjoiYTg0MTM2OTgzZWYzMDE3ZjJjZDgyMzM1Y2M5NTYyZGIiLCJ1c2VySWQiOiI4MDc5MDQxNzAifQ==</vt:lpwstr>
  </property>
</Properties>
</file>