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版本号：N513211202500002920250313001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国企改革重组清产核资专项审计服务项目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N5132112025000029</w:t>
      </w:r>
    </w:p>
    <w:p>
      <w:pPr>
        <w:pStyle w:val="null3"/>
        <w:jc w:val="center"/>
        <w:outlineLvl w:val="2"/>
      </w:pPr>
      <w:r>
        <w:rPr>
          <w:rFonts w:ascii="仿宋_GB2312" w:hAnsi="仿宋_GB2312" w:cs="仿宋_GB2312" w:eastAsia="仿宋_GB2312"/>
          <w:sz w:val="28"/>
          <w:b/>
        </w:rPr>
        <w:t>阿坝藏族羌族自治州国有资产监督管理委员会</w:t>
      </w:r>
    </w:p>
    <w:p>
      <w:pPr>
        <w:pStyle w:val="null3"/>
        <w:jc w:val="center"/>
        <w:outlineLvl w:val="2"/>
      </w:pPr>
      <w:r>
        <w:rPr>
          <w:rFonts w:ascii="仿宋_GB2312" w:hAnsi="仿宋_GB2312" w:cs="仿宋_GB2312" w:eastAsia="仿宋_GB2312"/>
          <w:sz w:val="28"/>
          <w:b/>
        </w:rPr>
        <w:t>四川中意招标有限公司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四川中意招标有限公司</w:t>
      </w:r>
      <w:r>
        <w:rPr>
          <w:rFonts w:ascii="仿宋_GB2312" w:hAnsi="仿宋_GB2312" w:cs="仿宋_GB2312" w:eastAsia="仿宋_GB2312"/>
        </w:rPr>
        <w:t xml:space="preserve"> （以下简称“代理机构”）受 </w:t>
      </w:r>
      <w:r>
        <w:rPr>
          <w:rFonts w:ascii="仿宋_GB2312" w:hAnsi="仿宋_GB2312" w:cs="仿宋_GB2312" w:eastAsia="仿宋_GB2312"/>
        </w:rPr>
        <w:t>阿坝藏族羌族自治州国有资产监督管理委员会</w:t>
      </w:r>
      <w:r>
        <w:rPr>
          <w:rFonts w:ascii="仿宋_GB2312" w:hAnsi="仿宋_GB2312" w:cs="仿宋_GB2312" w:eastAsia="仿宋_GB2312"/>
        </w:rPr>
        <w:t xml:space="preserve"> 委托，拟对 </w:t>
      </w:r>
      <w:r>
        <w:rPr>
          <w:rFonts w:ascii="仿宋_GB2312" w:hAnsi="仿宋_GB2312" w:cs="仿宋_GB2312" w:eastAsia="仿宋_GB2312"/>
        </w:rPr>
        <w:t>国企改革重组清产核资专项审计服务项目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阿坝藏族羌族自治州州本级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N5132112025000029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国企改革重组清产核资专项审计服务项目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按照国有企业改革重组要求，拟对阿坝州大九寨文化旅游投资发展集团有限责任公司、阿坝州国有资产投资管理有限公司等7户国有企业股权进行划转，按照国资监管要求需对阿坝州大九寨文化旅游投资发展集团有限责任公司、阿坝州国有资产投资管理有限公司等7户监管企业及其合并范围内分子公司共计43户企业全覆盖开展清产核资及财务审计，结合清产核资企业的实际情况，拟定本次清产核资工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1、供应商具有国家行政主管部门颁发的会计师事务所执业证书。（描述：供应商具有国家行政主管部门颁发的会计师事务所执业证书。（提供复印件））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阿坝藏族羌族自治州国有资产监督管理委员会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马尔康镇达尔玛街55号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624011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桑吉卓玛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13350447770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四川中意招标有限公司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成都市高新区天府大道1700号新世纪环球中心E3门栋6楼2-1-611-615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028-87050033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根据[四川省财政厅关于印发《四川省政府采购营商环境指标提升专项行动工作方案》的通知（川财采〔2020〕74号）]及招标代理委托协议约定，按照成本支出加合理利润原则，本项目代理服务费收取金额为：7500元，由中标（成交）供应商支付，中标（成交）通知发出后二个工作日内由中标（成交）供应商一次性支付至采购代理机构。交款账号如下： 收款单位：四川中意招标有限公司 开 户 行：平安银行成都金融城支行 银行账号：30205508003401（备注：如因中标/成交人原因自愿放弃中标/成交资格或项目废标或因质疑投诉取消中标/成交资格等情况发生，由中标/成交人承担相关一切损失）</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阿坝藏族羌族自治州国有资产监督管理委员会</w:t>
      </w:r>
      <w:r>
        <w:rPr>
          <w:rFonts w:ascii="仿宋_GB2312" w:hAnsi="仿宋_GB2312" w:cs="仿宋_GB2312" w:eastAsia="仿宋_GB2312"/>
        </w:rPr>
        <w:t xml:space="preserve"> 和 </w:t>
      </w:r>
      <w:r>
        <w:rPr>
          <w:rFonts w:ascii="仿宋_GB2312" w:hAnsi="仿宋_GB2312" w:cs="仿宋_GB2312" w:eastAsia="仿宋_GB2312"/>
        </w:rPr>
        <w:t>四川中意招标有限公司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阿坝藏族羌族自治州国有资产监督管理委员会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四川中意招标有限公司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按照本项目技术要求及合同约定验收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按照本项目商务要求及合同约定验收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合同约定标准进行验收；采购人与供应商双方如对质量要求和技术指标的约定标准有相互抵触或异议的事项，由采购人在采购文件及响应文件中按质量要求和技术指标比较优胜的原则确定该项的约定标准进行验收；其他未尽事宜应严格按照《财政部关于进一步加强政府采购需求和履约验收管理的指导意见》(财库〔2016〕205号)、《政府采购需求管理办法》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阿坝藏族羌族自治州国有资产监督管理委员会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四川中意招标有限公司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联系人：桑吉卓玛</w:t>
      </w:r>
    </w:p>
    <w:p>
      <w:pPr>
        <w:pStyle w:val="null3"/>
        <w:jc w:val="left"/>
      </w:pPr>
      <w:r>
        <w:rPr>
          <w:rFonts w:ascii="仿宋_GB2312" w:hAnsi="仿宋_GB2312" w:cs="仿宋_GB2312" w:eastAsia="仿宋_GB2312"/>
        </w:rPr>
        <w:t>联系电话：13350447770</w:t>
      </w:r>
    </w:p>
    <w:p>
      <w:pPr>
        <w:pStyle w:val="null3"/>
        <w:jc w:val="left"/>
      </w:pPr>
      <w:r>
        <w:rPr>
          <w:rFonts w:ascii="仿宋_GB2312" w:hAnsi="仿宋_GB2312" w:cs="仿宋_GB2312" w:eastAsia="仿宋_GB2312"/>
        </w:rPr>
        <w:t>地址：马尔康镇达尔玛街55号</w:t>
      </w:r>
    </w:p>
    <w:p>
      <w:pPr>
        <w:pStyle w:val="null3"/>
        <w:jc w:val="left"/>
      </w:pPr>
      <w:r>
        <w:rPr>
          <w:rFonts w:ascii="仿宋_GB2312" w:hAnsi="仿宋_GB2312" w:cs="仿宋_GB2312" w:eastAsia="仿宋_GB2312"/>
        </w:rPr>
        <w:t>邮编：624011</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联系人：袁女士</w:t>
      </w:r>
    </w:p>
    <w:p>
      <w:pPr>
        <w:pStyle w:val="null3"/>
        <w:jc w:val="left"/>
      </w:pPr>
      <w:r>
        <w:rPr>
          <w:rFonts w:ascii="仿宋_GB2312" w:hAnsi="仿宋_GB2312" w:cs="仿宋_GB2312" w:eastAsia="仿宋_GB2312"/>
        </w:rPr>
        <w:t>联系电话：028-87050033</w:t>
      </w:r>
    </w:p>
    <w:p>
      <w:pPr>
        <w:pStyle w:val="null3"/>
        <w:jc w:val="left"/>
      </w:pPr>
      <w:r>
        <w:rPr>
          <w:rFonts w:ascii="仿宋_GB2312" w:hAnsi="仿宋_GB2312" w:cs="仿宋_GB2312" w:eastAsia="仿宋_GB2312"/>
        </w:rPr>
        <w:t>地址：成都市高新区天府大道1700号新世纪环球中心E3门栋6楼2-1-611-615</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C23030000 审计服务</w:t>
            </w:r>
          </w:p>
        </w:tc>
        <w:tc>
          <w:tcPr>
            <w:tcW w:type="dxa" w:w="821"/>
          </w:tcPr>
          <w:p>
            <w:pPr>
              <w:pStyle w:val="null3"/>
              <w:jc w:val="left"/>
            </w:pPr>
            <w:r>
              <w:rPr>
                <w:rFonts w:ascii="仿宋_GB2312" w:hAnsi="仿宋_GB2312" w:cs="仿宋_GB2312" w:eastAsia="仿宋_GB2312"/>
              </w:rPr>
              <w:t>国企改革重组清产核资专项审计服务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国企改革重组清产核资专项审计服务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标的名称：国企改革重组清产核资专项审计服务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ind w:firstLine="472"/>
              <w:jc w:val="both"/>
            </w:pPr>
            <w:r>
              <w:rPr>
                <w:rFonts w:ascii="仿宋_GB2312" w:hAnsi="仿宋_GB2312" w:cs="仿宋_GB2312" w:eastAsia="仿宋_GB2312"/>
              </w:rPr>
              <w:t>（一）清产核资目标</w:t>
            </w:r>
          </w:p>
          <w:p>
            <w:pPr>
              <w:pStyle w:val="null3"/>
              <w:jc w:val="left"/>
            </w:pPr>
            <w:r>
              <w:rPr>
                <w:rFonts w:ascii="仿宋_GB2312" w:hAnsi="仿宋_GB2312" w:cs="仿宋_GB2312" w:eastAsia="仿宋_GB2312"/>
              </w:rPr>
              <w:t>1、全面摸清“家底”，真实、完整地反映企业规模、结构管理情况和财务状况，全面清查核实国有企业各项资产损失情况，根据国家清产核资有关政策规定进行处理，帮助企业解决历史遗留问题，推动资产优化组合，促进闲置资产有效利用。</w:t>
            </w:r>
          </w:p>
          <w:p>
            <w:pPr>
              <w:pStyle w:val="null3"/>
              <w:jc w:val="left"/>
            </w:pPr>
            <w:r>
              <w:rPr>
                <w:rFonts w:ascii="仿宋_GB2312" w:hAnsi="仿宋_GB2312" w:cs="仿宋_GB2312" w:eastAsia="仿宋_GB2312"/>
              </w:rPr>
              <w:t>2、核实资产、负债、权益等状况，为国有企业战略性重组改革涉及股权划转提供客观、真实、合理的依据。</w:t>
            </w:r>
          </w:p>
          <w:p>
            <w:pPr>
              <w:pStyle w:val="null3"/>
              <w:jc w:val="left"/>
            </w:pPr>
            <w:r>
              <w:rPr>
                <w:rFonts w:ascii="仿宋_GB2312" w:hAnsi="仿宋_GB2312" w:cs="仿宋_GB2312" w:eastAsia="仿宋_GB2312"/>
              </w:rPr>
              <w:t>3、通过本次清产核资为重组改革股权划转提供详实的基础资料。</w:t>
            </w:r>
          </w:p>
          <w:p>
            <w:pPr>
              <w:pStyle w:val="null3"/>
              <w:jc w:val="left"/>
            </w:pPr>
            <w:r>
              <w:rPr>
                <w:rFonts w:ascii="仿宋_GB2312" w:hAnsi="仿宋_GB2312" w:cs="仿宋_GB2312" w:eastAsia="仿宋_GB2312"/>
              </w:rPr>
              <w:t>（二）清产核资范围</w:t>
            </w:r>
          </w:p>
          <w:p>
            <w:pPr>
              <w:pStyle w:val="null3"/>
              <w:jc w:val="left"/>
            </w:pPr>
            <w:r>
              <w:rPr>
                <w:rFonts w:ascii="仿宋_GB2312" w:hAnsi="仿宋_GB2312" w:cs="仿宋_GB2312" w:eastAsia="仿宋_GB2312"/>
              </w:rPr>
              <w:t>本次清产核资范围涉及以下7户企业及其合并范围内的分子公司共计分子公司43户企业。其中一级企业如下：</w:t>
            </w:r>
          </w:p>
          <w:p>
            <w:pPr>
              <w:pStyle w:val="null3"/>
              <w:jc w:val="left"/>
            </w:pPr>
            <w:r>
              <w:rPr>
                <w:rFonts w:ascii="仿宋_GB2312" w:hAnsi="仿宋_GB2312" w:cs="仿宋_GB2312" w:eastAsia="仿宋_GB2312"/>
              </w:rPr>
              <w:t>（1）阿坝州大九寨文化旅游投资发展集团有限责任公司</w:t>
            </w:r>
          </w:p>
          <w:p>
            <w:pPr>
              <w:pStyle w:val="null3"/>
              <w:jc w:val="left"/>
            </w:pPr>
            <w:r>
              <w:rPr>
                <w:rFonts w:ascii="仿宋_GB2312" w:hAnsi="仿宋_GB2312" w:cs="仿宋_GB2312" w:eastAsia="仿宋_GB2312"/>
              </w:rPr>
              <w:t>（2）阿坝州国有资产投资管理有限公司</w:t>
            </w:r>
          </w:p>
          <w:p>
            <w:pPr>
              <w:pStyle w:val="null3"/>
              <w:jc w:val="left"/>
            </w:pPr>
            <w:r>
              <w:rPr>
                <w:rFonts w:ascii="仿宋_GB2312" w:hAnsi="仿宋_GB2312" w:cs="仿宋_GB2312" w:eastAsia="仿宋_GB2312"/>
              </w:rPr>
              <w:t>（3）阿坝州清捷能源投资集团有限公司</w:t>
            </w:r>
          </w:p>
          <w:p>
            <w:pPr>
              <w:pStyle w:val="null3"/>
              <w:jc w:val="left"/>
            </w:pPr>
            <w:r>
              <w:rPr>
                <w:rFonts w:ascii="仿宋_GB2312" w:hAnsi="仿宋_GB2312" w:cs="仿宋_GB2312" w:eastAsia="仿宋_GB2312"/>
              </w:rPr>
              <w:t>（4）阿坝州净土阿坝农业投资发展有限责任公司</w:t>
            </w:r>
          </w:p>
          <w:p>
            <w:pPr>
              <w:pStyle w:val="null3"/>
              <w:jc w:val="left"/>
            </w:pPr>
            <w:r>
              <w:rPr>
                <w:rFonts w:ascii="仿宋_GB2312" w:hAnsi="仿宋_GB2312" w:cs="仿宋_GB2312" w:eastAsia="仿宋_GB2312"/>
              </w:rPr>
              <w:t>（5）阿坝州盐业有限责任公司</w:t>
            </w:r>
          </w:p>
          <w:p>
            <w:pPr>
              <w:pStyle w:val="null3"/>
              <w:jc w:val="left"/>
            </w:pPr>
            <w:r>
              <w:rPr>
                <w:rFonts w:ascii="仿宋_GB2312" w:hAnsi="仿宋_GB2312" w:cs="仿宋_GB2312" w:eastAsia="仿宋_GB2312"/>
              </w:rPr>
              <w:t>（6）四川阿坝交通建设投资有限责任公司</w:t>
            </w:r>
          </w:p>
          <w:p>
            <w:pPr>
              <w:pStyle w:val="null3"/>
              <w:jc w:val="left"/>
            </w:pPr>
            <w:r>
              <w:rPr>
                <w:rFonts w:ascii="仿宋_GB2312" w:hAnsi="仿宋_GB2312" w:cs="仿宋_GB2312" w:eastAsia="仿宋_GB2312"/>
              </w:rPr>
              <w:t>（7）阿坝州城乡发展集团有限责任公司</w:t>
            </w:r>
          </w:p>
          <w:p>
            <w:pPr>
              <w:pStyle w:val="null3"/>
              <w:jc w:val="left"/>
            </w:pPr>
            <w:r>
              <w:rPr>
                <w:rFonts w:ascii="仿宋_GB2312" w:hAnsi="仿宋_GB2312" w:cs="仿宋_GB2312" w:eastAsia="仿宋_GB2312"/>
              </w:rPr>
              <w:t>本次纳入清产核资范围内的7户一级企业及其分子公司资产规模情况如下表所示：</w:t>
            </w:r>
          </w:p>
          <w:tbl>
            <w:tblPr>
              <w:tblBorders>
                <w:top w:val="single"/>
                <w:left w:val="single"/>
                <w:bottom w:val="single"/>
                <w:right w:val="single"/>
                <w:insideH w:val="single"/>
                <w:insideV w:val="single"/>
              </w:tblBorders>
            </w:tblPr>
            <w:tblGrid>
              <w:gridCol w:w="1400"/>
              <w:gridCol w:w="1400"/>
              <w:gridCol w:w="1400"/>
              <w:gridCol w:w="1400"/>
            </w:tblGrid>
            <w:tr>
              <w:tc>
                <w:tcPr>
                  <w:tcW w:type="dxa" w:w="1400"/>
                </w:tcPr>
                <w:p>
                  <w:pPr>
                    <w:pStyle w:val="null3"/>
                    <w:jc w:val="left"/>
                  </w:pPr>
                  <w:r>
                    <w:rPr>
                      <w:rFonts w:ascii="仿宋_GB2312" w:hAnsi="仿宋_GB2312" w:cs="仿宋_GB2312" w:eastAsia="仿宋_GB2312"/>
                    </w:rPr>
                    <w:t>序号</w:t>
                  </w:r>
                </w:p>
              </w:tc>
              <w:tc>
                <w:tcPr>
                  <w:tcW w:type="dxa" w:w="1400"/>
                </w:tcPr>
                <w:p>
                  <w:pPr>
                    <w:pStyle w:val="null3"/>
                    <w:jc w:val="left"/>
                  </w:pPr>
                  <w:r>
                    <w:rPr>
                      <w:rFonts w:ascii="仿宋_GB2312" w:hAnsi="仿宋_GB2312" w:cs="仿宋_GB2312" w:eastAsia="仿宋_GB2312"/>
                    </w:rPr>
                    <w:t>公司名称</w:t>
                  </w:r>
                </w:p>
              </w:tc>
              <w:tc>
                <w:tcPr>
                  <w:tcW w:type="dxa" w:w="1400"/>
                </w:tcPr>
                <w:p>
                  <w:pPr>
                    <w:pStyle w:val="null3"/>
                    <w:jc w:val="left"/>
                  </w:pPr>
                  <w:r>
                    <w:rPr>
                      <w:rFonts w:ascii="仿宋_GB2312" w:hAnsi="仿宋_GB2312" w:cs="仿宋_GB2312" w:eastAsia="仿宋_GB2312"/>
                    </w:rPr>
                    <w:t>资产总额</w:t>
                  </w:r>
                </w:p>
                <w:p>
                  <w:pPr>
                    <w:pStyle w:val="null3"/>
                    <w:jc w:val="left"/>
                  </w:pPr>
                  <w:r>
                    <w:rPr>
                      <w:rFonts w:ascii="仿宋_GB2312" w:hAnsi="仿宋_GB2312" w:cs="仿宋_GB2312" w:eastAsia="仿宋_GB2312"/>
                    </w:rPr>
                    <w:t>（万元）</w:t>
                  </w:r>
                </w:p>
              </w:tc>
              <w:tc>
                <w:tcPr>
                  <w:tcW w:type="dxa" w:w="1400"/>
                </w:tcPr>
                <w:p>
                  <w:pPr>
                    <w:pStyle w:val="null3"/>
                    <w:jc w:val="left"/>
                  </w:pPr>
                  <w:r>
                    <w:rPr>
                      <w:rFonts w:ascii="仿宋_GB2312" w:hAnsi="仿宋_GB2312" w:cs="仿宋_GB2312" w:eastAsia="仿宋_GB2312"/>
                    </w:rPr>
                    <w:t>备注</w:t>
                  </w:r>
                </w:p>
              </w:tc>
            </w:tr>
            <w:tr>
              <w:tc>
                <w:tcPr>
                  <w:tcW w:type="dxa" w:w="1400"/>
                </w:tcPr>
                <w:p>
                  <w:pPr>
                    <w:pStyle w:val="null3"/>
                    <w:jc w:val="left"/>
                  </w:pPr>
                  <w:r>
                    <w:rPr>
                      <w:rFonts w:ascii="仿宋_GB2312" w:hAnsi="仿宋_GB2312" w:cs="仿宋_GB2312" w:eastAsia="仿宋_GB2312"/>
                    </w:rPr>
                    <w:t>1</w:t>
                  </w:r>
                </w:p>
              </w:tc>
              <w:tc>
                <w:tcPr>
                  <w:tcW w:type="dxa" w:w="1400"/>
                </w:tcPr>
                <w:p>
                  <w:pPr>
                    <w:pStyle w:val="null3"/>
                    <w:jc w:val="left"/>
                  </w:pPr>
                  <w:r>
                    <w:rPr>
                      <w:rFonts w:ascii="仿宋_GB2312" w:hAnsi="仿宋_GB2312" w:cs="仿宋_GB2312" w:eastAsia="仿宋_GB2312"/>
                    </w:rPr>
                    <w:t>阿坝州大九寨文化旅游投资发展集团有限责任公司</w:t>
                  </w:r>
                </w:p>
              </w:tc>
              <w:tc>
                <w:tcPr>
                  <w:tcW w:type="dxa" w:w="1400"/>
                </w:tcPr>
                <w:p>
                  <w:pPr>
                    <w:pStyle w:val="null3"/>
                    <w:jc w:val="left"/>
                  </w:pPr>
                  <w:r>
                    <w:rPr>
                      <w:rFonts w:ascii="仿宋_GB2312" w:hAnsi="仿宋_GB2312" w:cs="仿宋_GB2312" w:eastAsia="仿宋_GB2312"/>
                    </w:rPr>
                    <w:t>263,883.39</w:t>
                  </w:r>
                </w:p>
              </w:tc>
              <w:tc>
                <w:tcPr>
                  <w:tcW w:type="dxa" w:w="1400"/>
                </w:tcPr>
                <w:p>
                  <w:pPr>
                    <w:pStyle w:val="null3"/>
                    <w:jc w:val="left"/>
                  </w:pPr>
                  <w:r>
                    <w:rPr>
                      <w:rFonts w:ascii="仿宋_GB2312" w:hAnsi="仿宋_GB2312" w:cs="仿宋_GB2312" w:eastAsia="仿宋_GB2312"/>
                    </w:rPr>
                    <w:t>2023年末数据</w:t>
                  </w:r>
                </w:p>
              </w:tc>
            </w:tr>
            <w:tr>
              <w:tc>
                <w:tcPr>
                  <w:tcW w:type="dxa" w:w="1400"/>
                </w:tcPr>
                <w:p>
                  <w:pPr>
                    <w:pStyle w:val="null3"/>
                    <w:jc w:val="left"/>
                  </w:pPr>
                  <w:r>
                    <w:rPr>
                      <w:rFonts w:ascii="仿宋_GB2312" w:hAnsi="仿宋_GB2312" w:cs="仿宋_GB2312" w:eastAsia="仿宋_GB2312"/>
                    </w:rPr>
                    <w:t>1-1</w:t>
                  </w:r>
                </w:p>
              </w:tc>
              <w:tc>
                <w:tcPr>
                  <w:tcW w:type="dxa" w:w="1400"/>
                </w:tcPr>
                <w:p>
                  <w:pPr>
                    <w:pStyle w:val="null3"/>
                    <w:jc w:val="left"/>
                  </w:pPr>
                  <w:r>
                    <w:rPr>
                      <w:rFonts w:ascii="仿宋_GB2312" w:hAnsi="仿宋_GB2312" w:cs="仿宋_GB2312" w:eastAsia="仿宋_GB2312"/>
                    </w:rPr>
                    <w:t>阿坝州大九寨文化旅游投资发展集团总部</w:t>
                  </w:r>
                </w:p>
              </w:tc>
              <w:tc>
                <w:tcPr>
                  <w:tcW w:type="dxa" w:w="1400"/>
                </w:tcPr>
                <w:p>
                  <w:pPr>
                    <w:pStyle w:val="null3"/>
                    <w:jc w:val="left"/>
                  </w:pPr>
                  <w:r>
                    <w:rPr>
                      <w:rFonts w:ascii="仿宋_GB2312" w:hAnsi="仿宋_GB2312" w:cs="仿宋_GB2312" w:eastAsia="仿宋_GB2312"/>
                    </w:rPr>
                    <w:t xml:space="preserve"> 242,439.17</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1-2</w:t>
                  </w:r>
                </w:p>
              </w:tc>
              <w:tc>
                <w:tcPr>
                  <w:tcW w:type="dxa" w:w="1400"/>
                </w:tcPr>
                <w:p>
                  <w:pPr>
                    <w:pStyle w:val="null3"/>
                    <w:jc w:val="left"/>
                  </w:pPr>
                  <w:r>
                    <w:rPr>
                      <w:rFonts w:ascii="仿宋_GB2312" w:hAnsi="仿宋_GB2312" w:cs="仿宋_GB2312" w:eastAsia="仿宋_GB2312"/>
                    </w:rPr>
                    <w:t>九寨沟旅游分公司</w:t>
                  </w:r>
                </w:p>
              </w:tc>
              <w:tc>
                <w:tcPr>
                  <w:tcW w:type="dxa" w:w="1400"/>
                </w:tcPr>
                <w:p>
                  <w:pPr>
                    <w:pStyle w:val="null3"/>
                    <w:jc w:val="left"/>
                  </w:pPr>
                  <w:r>
                    <w:rPr>
                      <w:rFonts w:ascii="仿宋_GB2312" w:hAnsi="仿宋_GB2312" w:cs="仿宋_GB2312" w:eastAsia="仿宋_GB2312"/>
                    </w:rPr>
                    <w:t xml:space="preserve"> 135,131.45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1-3</w:t>
                  </w:r>
                </w:p>
              </w:tc>
              <w:tc>
                <w:tcPr>
                  <w:tcW w:type="dxa" w:w="1400"/>
                </w:tcPr>
                <w:p>
                  <w:pPr>
                    <w:pStyle w:val="null3"/>
                    <w:jc w:val="left"/>
                  </w:pPr>
                  <w:r>
                    <w:rPr>
                      <w:rFonts w:ascii="仿宋_GB2312" w:hAnsi="仿宋_GB2312" w:cs="仿宋_GB2312" w:eastAsia="仿宋_GB2312"/>
                    </w:rPr>
                    <w:t>黄龙索道分公司</w:t>
                  </w:r>
                </w:p>
              </w:tc>
              <w:tc>
                <w:tcPr>
                  <w:tcW w:type="dxa" w:w="1400"/>
                </w:tcPr>
                <w:p>
                  <w:pPr>
                    <w:pStyle w:val="null3"/>
                    <w:jc w:val="left"/>
                  </w:pPr>
                  <w:r>
                    <w:rPr>
                      <w:rFonts w:ascii="仿宋_GB2312" w:hAnsi="仿宋_GB2312" w:cs="仿宋_GB2312" w:eastAsia="仿宋_GB2312"/>
                    </w:rPr>
                    <w:t xml:space="preserve"> 98,688.69</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1-4</w:t>
                  </w:r>
                </w:p>
              </w:tc>
              <w:tc>
                <w:tcPr>
                  <w:tcW w:type="dxa" w:w="1400"/>
                </w:tcPr>
                <w:p>
                  <w:pPr>
                    <w:pStyle w:val="null3"/>
                    <w:jc w:val="left"/>
                  </w:pPr>
                  <w:r>
                    <w:rPr>
                      <w:rFonts w:ascii="仿宋_GB2312" w:hAnsi="仿宋_GB2312" w:cs="仿宋_GB2312" w:eastAsia="仿宋_GB2312"/>
                    </w:rPr>
                    <w:t>四姑娘山观光分公司</w:t>
                  </w:r>
                </w:p>
              </w:tc>
              <w:tc>
                <w:tcPr>
                  <w:tcW w:type="dxa" w:w="1400"/>
                </w:tcPr>
                <w:p>
                  <w:pPr>
                    <w:pStyle w:val="null3"/>
                    <w:jc w:val="left"/>
                  </w:pPr>
                  <w:r>
                    <w:rPr>
                      <w:rFonts w:ascii="仿宋_GB2312" w:hAnsi="仿宋_GB2312" w:cs="仿宋_GB2312" w:eastAsia="仿宋_GB2312"/>
                    </w:rPr>
                    <w:t xml:space="preserve"> 16,487.01</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1-5</w:t>
                  </w:r>
                </w:p>
              </w:tc>
              <w:tc>
                <w:tcPr>
                  <w:tcW w:type="dxa" w:w="1400"/>
                </w:tcPr>
                <w:p>
                  <w:pPr>
                    <w:pStyle w:val="null3"/>
                    <w:jc w:val="left"/>
                  </w:pPr>
                  <w:r>
                    <w:rPr>
                      <w:rFonts w:ascii="仿宋_GB2312" w:hAnsi="仿宋_GB2312" w:cs="仿宋_GB2312" w:eastAsia="仿宋_GB2312"/>
                    </w:rPr>
                    <w:t>大冰川旅游分公司</w:t>
                  </w:r>
                </w:p>
              </w:tc>
              <w:tc>
                <w:tcPr>
                  <w:tcW w:type="dxa" w:w="1400"/>
                </w:tcPr>
                <w:p>
                  <w:pPr>
                    <w:pStyle w:val="null3"/>
                    <w:jc w:val="left"/>
                  </w:pPr>
                  <w:r>
                    <w:rPr>
                      <w:rFonts w:ascii="仿宋_GB2312" w:hAnsi="仿宋_GB2312" w:cs="仿宋_GB2312" w:eastAsia="仿宋_GB2312"/>
                    </w:rPr>
                    <w:t xml:space="preserve"> 18,245.16</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1-6</w:t>
                  </w:r>
                </w:p>
              </w:tc>
              <w:tc>
                <w:tcPr>
                  <w:tcW w:type="dxa" w:w="1400"/>
                </w:tcPr>
                <w:p>
                  <w:pPr>
                    <w:pStyle w:val="null3"/>
                    <w:jc w:val="left"/>
                  </w:pPr>
                  <w:r>
                    <w:rPr>
                      <w:rFonts w:ascii="仿宋_GB2312" w:hAnsi="仿宋_GB2312" w:cs="仿宋_GB2312" w:eastAsia="仿宋_GB2312"/>
                    </w:rPr>
                    <w:t>达古冰山大酒店分公司</w:t>
                  </w:r>
                </w:p>
              </w:tc>
              <w:tc>
                <w:tcPr>
                  <w:tcW w:type="dxa" w:w="1400"/>
                </w:tcPr>
                <w:p>
                  <w:pPr>
                    <w:pStyle w:val="null3"/>
                    <w:jc w:val="left"/>
                  </w:pPr>
                  <w:r>
                    <w:rPr>
                      <w:rFonts w:ascii="仿宋_GB2312" w:hAnsi="仿宋_GB2312" w:cs="仿宋_GB2312" w:eastAsia="仿宋_GB2312"/>
                    </w:rPr>
                    <w:t xml:space="preserve"> 10,564.28</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1-7</w:t>
                  </w:r>
                </w:p>
              </w:tc>
              <w:tc>
                <w:tcPr>
                  <w:tcW w:type="dxa" w:w="1400"/>
                </w:tcPr>
                <w:p>
                  <w:pPr>
                    <w:pStyle w:val="null3"/>
                    <w:jc w:val="left"/>
                  </w:pPr>
                  <w:r>
                    <w:rPr>
                      <w:rFonts w:ascii="仿宋_GB2312" w:hAnsi="仿宋_GB2312" w:cs="仿宋_GB2312" w:eastAsia="仿宋_GB2312"/>
                    </w:rPr>
                    <w:t>九寨沟欣旅汽车安全综合检测有限责任公司</w:t>
                  </w:r>
                </w:p>
              </w:tc>
              <w:tc>
                <w:tcPr>
                  <w:tcW w:type="dxa" w:w="1400"/>
                </w:tcPr>
                <w:p>
                  <w:pPr>
                    <w:pStyle w:val="null3"/>
                    <w:jc w:val="left"/>
                  </w:pPr>
                  <w:r>
                    <w:rPr>
                      <w:rFonts w:ascii="仿宋_GB2312" w:hAnsi="仿宋_GB2312" w:cs="仿宋_GB2312" w:eastAsia="仿宋_GB2312"/>
                    </w:rPr>
                    <w:t xml:space="preserve"> 484.43</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1-8</w:t>
                  </w:r>
                </w:p>
              </w:tc>
              <w:tc>
                <w:tcPr>
                  <w:tcW w:type="dxa" w:w="1400"/>
                </w:tcPr>
                <w:p>
                  <w:pPr>
                    <w:pStyle w:val="null3"/>
                    <w:jc w:val="left"/>
                  </w:pPr>
                  <w:r>
                    <w:rPr>
                      <w:rFonts w:ascii="仿宋_GB2312" w:hAnsi="仿宋_GB2312" w:cs="仿宋_GB2312" w:eastAsia="仿宋_GB2312"/>
                    </w:rPr>
                    <w:t>阿坝州麟翔源酒店有限责任公司</w:t>
                  </w:r>
                </w:p>
              </w:tc>
              <w:tc>
                <w:tcPr>
                  <w:tcW w:type="dxa" w:w="1400"/>
                </w:tcPr>
                <w:p>
                  <w:pPr>
                    <w:pStyle w:val="null3"/>
                    <w:jc w:val="left"/>
                  </w:pPr>
                  <w:r>
                    <w:rPr>
                      <w:rFonts w:ascii="仿宋_GB2312" w:hAnsi="仿宋_GB2312" w:cs="仿宋_GB2312" w:eastAsia="仿宋_GB2312"/>
                    </w:rPr>
                    <w:t xml:space="preserve"> 149.91</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1-9</w:t>
                  </w:r>
                </w:p>
              </w:tc>
              <w:tc>
                <w:tcPr>
                  <w:tcW w:type="dxa" w:w="1400"/>
                </w:tcPr>
                <w:p>
                  <w:pPr>
                    <w:pStyle w:val="null3"/>
                    <w:jc w:val="left"/>
                  </w:pPr>
                  <w:r>
                    <w:rPr>
                      <w:rFonts w:ascii="仿宋_GB2312" w:hAnsi="仿宋_GB2312" w:cs="仿宋_GB2312" w:eastAsia="仿宋_GB2312"/>
                    </w:rPr>
                    <w:t>四川九寨黄龙机场旅游客运有限责任公司</w:t>
                  </w:r>
                </w:p>
              </w:tc>
              <w:tc>
                <w:tcPr>
                  <w:tcW w:type="dxa" w:w="1400"/>
                </w:tcPr>
                <w:p>
                  <w:pPr>
                    <w:pStyle w:val="null3"/>
                    <w:jc w:val="left"/>
                  </w:pPr>
                  <w:r>
                    <w:rPr>
                      <w:rFonts w:ascii="仿宋_GB2312" w:hAnsi="仿宋_GB2312" w:cs="仿宋_GB2312" w:eastAsia="仿宋_GB2312"/>
                    </w:rPr>
                    <w:t xml:space="preserve"> 296.62</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1-10</w:t>
                  </w:r>
                </w:p>
              </w:tc>
              <w:tc>
                <w:tcPr>
                  <w:tcW w:type="dxa" w:w="1400"/>
                </w:tcPr>
                <w:p>
                  <w:pPr>
                    <w:pStyle w:val="null3"/>
                    <w:jc w:val="left"/>
                  </w:pPr>
                  <w:r>
                    <w:rPr>
                      <w:rFonts w:ascii="仿宋_GB2312" w:hAnsi="仿宋_GB2312" w:cs="仿宋_GB2312" w:eastAsia="仿宋_GB2312"/>
                    </w:rPr>
                    <w:t>小金县双桥沟文化旅游发展有限责任公司</w:t>
                  </w:r>
                </w:p>
              </w:tc>
              <w:tc>
                <w:tcPr>
                  <w:tcW w:type="dxa" w:w="1400"/>
                </w:tcPr>
                <w:p>
                  <w:pPr>
                    <w:pStyle w:val="null3"/>
                    <w:jc w:val="left"/>
                  </w:pPr>
                  <w:r>
                    <w:rPr>
                      <w:rFonts w:ascii="仿宋_GB2312" w:hAnsi="仿宋_GB2312" w:cs="仿宋_GB2312" w:eastAsia="仿宋_GB2312"/>
                    </w:rPr>
                    <w:t xml:space="preserve"> 615.45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1-11</w:t>
                  </w:r>
                </w:p>
              </w:tc>
              <w:tc>
                <w:tcPr>
                  <w:tcW w:type="dxa" w:w="1400"/>
                </w:tcPr>
                <w:p>
                  <w:pPr>
                    <w:pStyle w:val="null3"/>
                    <w:jc w:val="left"/>
                  </w:pPr>
                  <w:r>
                    <w:rPr>
                      <w:rFonts w:ascii="仿宋_GB2312" w:hAnsi="仿宋_GB2312" w:cs="仿宋_GB2312" w:eastAsia="仿宋_GB2312"/>
                    </w:rPr>
                    <w:t>四川阿坝州新四姑娘山大酒店有限责任公司</w:t>
                  </w:r>
                </w:p>
              </w:tc>
              <w:tc>
                <w:tcPr>
                  <w:tcW w:type="dxa" w:w="1400"/>
                </w:tcPr>
                <w:p>
                  <w:pPr>
                    <w:pStyle w:val="null3"/>
                    <w:jc w:val="left"/>
                  </w:pPr>
                  <w:r>
                    <w:rPr>
                      <w:rFonts w:ascii="仿宋_GB2312" w:hAnsi="仿宋_GB2312" w:cs="仿宋_GB2312" w:eastAsia="仿宋_GB2312"/>
                    </w:rPr>
                    <w:t xml:space="preserve"> 14,025.06</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1-12</w:t>
                  </w:r>
                </w:p>
              </w:tc>
              <w:tc>
                <w:tcPr>
                  <w:tcW w:type="dxa" w:w="1400"/>
                </w:tcPr>
                <w:p>
                  <w:pPr>
                    <w:pStyle w:val="null3"/>
                    <w:jc w:val="left"/>
                  </w:pPr>
                  <w:r>
                    <w:rPr>
                      <w:rFonts w:ascii="仿宋_GB2312" w:hAnsi="仿宋_GB2312" w:cs="仿宋_GB2312" w:eastAsia="仿宋_GB2312"/>
                    </w:rPr>
                    <w:t>阿坝州千里行旅游服务有限责任公司</w:t>
                  </w:r>
                </w:p>
              </w:tc>
              <w:tc>
                <w:tcPr>
                  <w:tcW w:type="dxa" w:w="1400"/>
                </w:tcPr>
                <w:p>
                  <w:pPr>
                    <w:pStyle w:val="null3"/>
                    <w:jc w:val="left"/>
                  </w:pPr>
                  <w:r>
                    <w:rPr>
                      <w:rFonts w:ascii="仿宋_GB2312" w:hAnsi="仿宋_GB2312" w:cs="仿宋_GB2312" w:eastAsia="仿宋_GB2312"/>
                    </w:rPr>
                    <w:t xml:space="preserve"> 679.34</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1-13</w:t>
                  </w:r>
                </w:p>
              </w:tc>
              <w:tc>
                <w:tcPr>
                  <w:tcW w:type="dxa" w:w="1400"/>
                </w:tcPr>
                <w:p>
                  <w:pPr>
                    <w:pStyle w:val="null3"/>
                    <w:jc w:val="left"/>
                  </w:pPr>
                  <w:r>
                    <w:rPr>
                      <w:rFonts w:ascii="仿宋_GB2312" w:hAnsi="仿宋_GB2312" w:cs="仿宋_GB2312" w:eastAsia="仿宋_GB2312"/>
                    </w:rPr>
                    <w:t>马尔康星火文化发展有限责任公司</w:t>
                  </w:r>
                </w:p>
              </w:tc>
              <w:tc>
                <w:tcPr>
                  <w:tcW w:type="dxa" w:w="1400"/>
                </w:tcPr>
                <w:p>
                  <w:pPr>
                    <w:pStyle w:val="null3"/>
                    <w:jc w:val="left"/>
                  </w:pPr>
                  <w:r>
                    <w:rPr>
                      <w:rFonts w:ascii="仿宋_GB2312" w:hAnsi="仿宋_GB2312" w:cs="仿宋_GB2312" w:eastAsia="仿宋_GB2312"/>
                    </w:rPr>
                    <w:t xml:space="preserve"> 74,685.66</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1-14</w:t>
                  </w:r>
                </w:p>
              </w:tc>
              <w:tc>
                <w:tcPr>
                  <w:tcW w:type="dxa" w:w="1400"/>
                </w:tcPr>
                <w:p>
                  <w:pPr>
                    <w:pStyle w:val="null3"/>
                    <w:jc w:val="left"/>
                  </w:pPr>
                  <w:r>
                    <w:rPr>
                      <w:rFonts w:ascii="仿宋_GB2312" w:hAnsi="仿宋_GB2312" w:cs="仿宋_GB2312" w:eastAsia="仿宋_GB2312"/>
                    </w:rPr>
                    <w:t>四川九寨通用航空有限责任公司</w:t>
                  </w:r>
                </w:p>
              </w:tc>
              <w:tc>
                <w:tcPr>
                  <w:tcW w:type="dxa" w:w="1400"/>
                </w:tcPr>
                <w:p>
                  <w:pPr>
                    <w:pStyle w:val="null3"/>
                    <w:jc w:val="left"/>
                  </w:pPr>
                  <w:r>
                    <w:rPr>
                      <w:rFonts w:ascii="仿宋_GB2312" w:hAnsi="仿宋_GB2312" w:cs="仿宋_GB2312" w:eastAsia="仿宋_GB2312"/>
                    </w:rPr>
                    <w:t xml:space="preserve"> 5,750.69</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1-15</w:t>
                  </w:r>
                </w:p>
              </w:tc>
              <w:tc>
                <w:tcPr>
                  <w:tcW w:type="dxa" w:w="1400"/>
                </w:tcPr>
                <w:p>
                  <w:pPr>
                    <w:pStyle w:val="null3"/>
                    <w:jc w:val="left"/>
                  </w:pPr>
                  <w:r>
                    <w:rPr>
                      <w:rFonts w:ascii="仿宋_GB2312" w:hAnsi="仿宋_GB2312" w:cs="仿宋_GB2312" w:eastAsia="仿宋_GB2312"/>
                    </w:rPr>
                    <w:t>阿坝州卧龙大熊猫旅游有限责任公司（合并）</w:t>
                  </w:r>
                </w:p>
              </w:tc>
              <w:tc>
                <w:tcPr>
                  <w:tcW w:type="dxa" w:w="1400"/>
                </w:tcPr>
                <w:p>
                  <w:pPr>
                    <w:pStyle w:val="null3"/>
                    <w:jc w:val="left"/>
                  </w:pPr>
                  <w:r>
                    <w:rPr>
                      <w:rFonts w:ascii="仿宋_GB2312" w:hAnsi="仿宋_GB2312" w:cs="仿宋_GB2312" w:eastAsia="仿宋_GB2312"/>
                    </w:rPr>
                    <w:t xml:space="preserve"> 1,876.05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1-16</w:t>
                  </w:r>
                </w:p>
              </w:tc>
              <w:tc>
                <w:tcPr>
                  <w:tcW w:type="dxa" w:w="1400"/>
                </w:tcPr>
                <w:p>
                  <w:pPr>
                    <w:pStyle w:val="null3"/>
                    <w:jc w:val="left"/>
                  </w:pPr>
                  <w:r>
                    <w:rPr>
                      <w:rFonts w:ascii="仿宋_GB2312" w:hAnsi="仿宋_GB2312" w:cs="仿宋_GB2312" w:eastAsia="仿宋_GB2312"/>
                    </w:rPr>
                    <w:t>松潘黄龙国际饭店有限责任公司</w:t>
                  </w:r>
                </w:p>
              </w:tc>
              <w:tc>
                <w:tcPr>
                  <w:tcW w:type="dxa" w:w="1400"/>
                </w:tcPr>
                <w:p>
                  <w:pPr>
                    <w:pStyle w:val="null3"/>
                    <w:jc w:val="left"/>
                  </w:pPr>
                  <w:r>
                    <w:rPr>
                      <w:rFonts w:ascii="仿宋_GB2312" w:hAnsi="仿宋_GB2312" w:cs="仿宋_GB2312" w:eastAsia="仿宋_GB2312"/>
                    </w:rPr>
                    <w:t xml:space="preserve"> 414.25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1-17</w:t>
                  </w:r>
                </w:p>
              </w:tc>
              <w:tc>
                <w:tcPr>
                  <w:tcW w:type="dxa" w:w="1400"/>
                </w:tcPr>
                <w:p>
                  <w:pPr>
                    <w:pStyle w:val="null3"/>
                    <w:jc w:val="left"/>
                  </w:pPr>
                  <w:r>
                    <w:rPr>
                      <w:rFonts w:ascii="仿宋_GB2312" w:hAnsi="仿宋_GB2312" w:cs="仿宋_GB2312" w:eastAsia="仿宋_GB2312"/>
                    </w:rPr>
                    <w:t>阿坝州岷源山庄旅游酒店有限公司</w:t>
                  </w:r>
                </w:p>
              </w:tc>
              <w:tc>
                <w:tcPr>
                  <w:tcW w:type="dxa" w:w="1400"/>
                </w:tcPr>
                <w:p>
                  <w:pPr>
                    <w:pStyle w:val="null3"/>
                    <w:jc w:val="left"/>
                  </w:pPr>
                  <w:r>
                    <w:rPr>
                      <w:rFonts w:ascii="仿宋_GB2312" w:hAnsi="仿宋_GB2312" w:cs="仿宋_GB2312" w:eastAsia="仿宋_GB2312"/>
                    </w:rPr>
                    <w:t xml:space="preserve"> 3,696.52</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1-18</w:t>
                  </w:r>
                </w:p>
              </w:tc>
              <w:tc>
                <w:tcPr>
                  <w:tcW w:type="dxa" w:w="1400"/>
                </w:tcPr>
                <w:p>
                  <w:pPr>
                    <w:pStyle w:val="null3"/>
                    <w:jc w:val="left"/>
                  </w:pPr>
                  <w:r>
                    <w:rPr>
                      <w:rFonts w:ascii="仿宋_GB2312" w:hAnsi="仿宋_GB2312" w:cs="仿宋_GB2312" w:eastAsia="仿宋_GB2312"/>
                    </w:rPr>
                    <w:t>阿坝州川龙山庄有限责任公司</w:t>
                  </w:r>
                </w:p>
              </w:tc>
              <w:tc>
                <w:tcPr>
                  <w:tcW w:type="dxa" w:w="1400"/>
                </w:tcPr>
                <w:p>
                  <w:pPr>
                    <w:pStyle w:val="null3"/>
                    <w:jc w:val="left"/>
                  </w:pPr>
                  <w:r>
                    <w:rPr>
                      <w:rFonts w:ascii="仿宋_GB2312" w:hAnsi="仿宋_GB2312" w:cs="仿宋_GB2312" w:eastAsia="仿宋_GB2312"/>
                    </w:rPr>
                    <w:t xml:space="preserve"> 441.83</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1-19</w:t>
                  </w:r>
                </w:p>
              </w:tc>
              <w:tc>
                <w:tcPr>
                  <w:tcW w:type="dxa" w:w="1400"/>
                </w:tcPr>
                <w:p>
                  <w:pPr>
                    <w:pStyle w:val="null3"/>
                    <w:jc w:val="left"/>
                  </w:pPr>
                  <w:r>
                    <w:rPr>
                      <w:rFonts w:ascii="仿宋_GB2312" w:hAnsi="仿宋_GB2312" w:cs="仿宋_GB2312" w:eastAsia="仿宋_GB2312"/>
                    </w:rPr>
                    <w:t>阿坝州四姑娘山金林宾馆有限责任公司</w:t>
                  </w:r>
                </w:p>
              </w:tc>
              <w:tc>
                <w:tcPr>
                  <w:tcW w:type="dxa" w:w="1400"/>
                </w:tcPr>
                <w:p>
                  <w:pPr>
                    <w:pStyle w:val="null3"/>
                    <w:jc w:val="left"/>
                  </w:pPr>
                  <w:r>
                    <w:rPr>
                      <w:rFonts w:ascii="仿宋_GB2312" w:hAnsi="仿宋_GB2312" w:cs="仿宋_GB2312" w:eastAsia="仿宋_GB2312"/>
                    </w:rPr>
                    <w:t xml:space="preserve"> 312.23</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2</w:t>
                  </w:r>
                </w:p>
              </w:tc>
              <w:tc>
                <w:tcPr>
                  <w:tcW w:type="dxa" w:w="1400"/>
                </w:tcPr>
                <w:p>
                  <w:pPr>
                    <w:pStyle w:val="null3"/>
                    <w:jc w:val="left"/>
                  </w:pPr>
                  <w:r>
                    <w:rPr>
                      <w:rFonts w:ascii="仿宋_GB2312" w:hAnsi="仿宋_GB2312" w:cs="仿宋_GB2312" w:eastAsia="仿宋_GB2312"/>
                    </w:rPr>
                    <w:t>阿坝州国有资产投资管理有限公司</w:t>
                  </w:r>
                </w:p>
              </w:tc>
              <w:tc>
                <w:tcPr>
                  <w:tcW w:type="dxa" w:w="1400"/>
                </w:tcPr>
                <w:p>
                  <w:pPr>
                    <w:pStyle w:val="null3"/>
                    <w:jc w:val="left"/>
                  </w:pPr>
                  <w:r>
                    <w:rPr>
                      <w:rFonts w:ascii="仿宋_GB2312" w:hAnsi="仿宋_GB2312" w:cs="仿宋_GB2312" w:eastAsia="仿宋_GB2312"/>
                    </w:rPr>
                    <w:t>553,797.47</w:t>
                  </w:r>
                </w:p>
              </w:tc>
              <w:tc>
                <w:tcPr>
                  <w:tcW w:type="dxa" w:w="1400"/>
                </w:tcPr>
                <w:p>
                  <w:pPr>
                    <w:pStyle w:val="null3"/>
                    <w:jc w:val="left"/>
                  </w:pPr>
                  <w:r>
                    <w:rPr>
                      <w:rFonts w:ascii="仿宋_GB2312" w:hAnsi="仿宋_GB2312" w:cs="仿宋_GB2312" w:eastAsia="仿宋_GB2312"/>
                    </w:rPr>
                    <w:t>2024年末数据</w:t>
                  </w:r>
                </w:p>
              </w:tc>
            </w:tr>
            <w:tr>
              <w:tc>
                <w:tcPr>
                  <w:tcW w:type="dxa" w:w="1400"/>
                </w:tcPr>
                <w:p>
                  <w:pPr>
                    <w:pStyle w:val="null3"/>
                    <w:jc w:val="left"/>
                  </w:pPr>
                  <w:r>
                    <w:rPr>
                      <w:rFonts w:ascii="仿宋_GB2312" w:hAnsi="仿宋_GB2312" w:cs="仿宋_GB2312" w:eastAsia="仿宋_GB2312"/>
                    </w:rPr>
                    <w:t>2-1</w:t>
                  </w:r>
                </w:p>
              </w:tc>
              <w:tc>
                <w:tcPr>
                  <w:tcW w:type="dxa" w:w="1400"/>
                </w:tcPr>
                <w:p>
                  <w:pPr>
                    <w:pStyle w:val="null3"/>
                    <w:jc w:val="left"/>
                  </w:pPr>
                  <w:r>
                    <w:rPr>
                      <w:rFonts w:ascii="仿宋_GB2312" w:hAnsi="仿宋_GB2312" w:cs="仿宋_GB2312" w:eastAsia="仿宋_GB2312"/>
                    </w:rPr>
                    <w:t>国投公司本部及资产经营分公司</w:t>
                  </w:r>
                </w:p>
              </w:tc>
              <w:tc>
                <w:tcPr>
                  <w:tcW w:type="dxa" w:w="1400"/>
                </w:tcPr>
                <w:p>
                  <w:pPr>
                    <w:pStyle w:val="null3"/>
                    <w:jc w:val="left"/>
                  </w:pPr>
                  <w:r>
                    <w:rPr>
                      <w:rFonts w:ascii="仿宋_GB2312" w:hAnsi="仿宋_GB2312" w:cs="仿宋_GB2312" w:eastAsia="仿宋_GB2312"/>
                    </w:rPr>
                    <w:t>479,520.82</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2-2</w:t>
                  </w:r>
                </w:p>
              </w:tc>
              <w:tc>
                <w:tcPr>
                  <w:tcW w:type="dxa" w:w="1400"/>
                </w:tcPr>
                <w:p>
                  <w:pPr>
                    <w:pStyle w:val="null3"/>
                    <w:jc w:val="left"/>
                  </w:pPr>
                  <w:r>
                    <w:rPr>
                      <w:rFonts w:ascii="仿宋_GB2312" w:hAnsi="仿宋_GB2312" w:cs="仿宋_GB2312" w:eastAsia="仿宋_GB2312"/>
                    </w:rPr>
                    <w:t>国投公司</w:t>
                  </w:r>
                </w:p>
              </w:tc>
              <w:tc>
                <w:tcPr>
                  <w:tcW w:type="dxa" w:w="1400"/>
                </w:tcPr>
                <w:p>
                  <w:pPr>
                    <w:pStyle w:val="null3"/>
                    <w:jc w:val="left"/>
                  </w:pPr>
                  <w:r>
                    <w:rPr>
                      <w:rFonts w:ascii="仿宋_GB2312" w:hAnsi="仿宋_GB2312" w:cs="仿宋_GB2312" w:eastAsia="仿宋_GB2312"/>
                    </w:rPr>
                    <w:t>68,138.22</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2-3</w:t>
                  </w:r>
                </w:p>
              </w:tc>
              <w:tc>
                <w:tcPr>
                  <w:tcW w:type="dxa" w:w="1400"/>
                </w:tcPr>
                <w:p>
                  <w:pPr>
                    <w:pStyle w:val="null3"/>
                    <w:jc w:val="left"/>
                  </w:pPr>
                  <w:r>
                    <w:rPr>
                      <w:rFonts w:ascii="仿宋_GB2312" w:hAnsi="仿宋_GB2312" w:cs="仿宋_GB2312" w:eastAsia="仿宋_GB2312"/>
                    </w:rPr>
                    <w:t>担保公司</w:t>
                  </w:r>
                </w:p>
              </w:tc>
              <w:tc>
                <w:tcPr>
                  <w:tcW w:type="dxa" w:w="1400"/>
                </w:tcPr>
                <w:p>
                  <w:pPr>
                    <w:pStyle w:val="null3"/>
                    <w:jc w:val="left"/>
                  </w:pPr>
                  <w:r>
                    <w:rPr>
                      <w:rFonts w:ascii="仿宋_GB2312" w:hAnsi="仿宋_GB2312" w:cs="仿宋_GB2312" w:eastAsia="仿宋_GB2312"/>
                    </w:rPr>
                    <w:t>24,575.97</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2-4</w:t>
                  </w:r>
                </w:p>
              </w:tc>
              <w:tc>
                <w:tcPr>
                  <w:tcW w:type="dxa" w:w="1400"/>
                </w:tcPr>
                <w:p>
                  <w:pPr>
                    <w:pStyle w:val="null3"/>
                    <w:jc w:val="left"/>
                  </w:pPr>
                  <w:r>
                    <w:rPr>
                      <w:rFonts w:ascii="仿宋_GB2312" w:hAnsi="仿宋_GB2312" w:cs="仿宋_GB2312" w:eastAsia="仿宋_GB2312"/>
                    </w:rPr>
                    <w:t>小贷公司</w:t>
                  </w:r>
                </w:p>
              </w:tc>
              <w:tc>
                <w:tcPr>
                  <w:tcW w:type="dxa" w:w="1400"/>
                </w:tcPr>
                <w:p>
                  <w:pPr>
                    <w:pStyle w:val="null3"/>
                    <w:jc w:val="left"/>
                  </w:pPr>
                  <w:r>
                    <w:rPr>
                      <w:rFonts w:ascii="仿宋_GB2312" w:hAnsi="仿宋_GB2312" w:cs="仿宋_GB2312" w:eastAsia="仿宋_GB2312"/>
                    </w:rPr>
                    <w:t>12,744.26</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2-5</w:t>
                  </w:r>
                </w:p>
              </w:tc>
              <w:tc>
                <w:tcPr>
                  <w:tcW w:type="dxa" w:w="1400"/>
                </w:tcPr>
                <w:p>
                  <w:pPr>
                    <w:pStyle w:val="null3"/>
                    <w:jc w:val="left"/>
                  </w:pPr>
                  <w:r>
                    <w:rPr>
                      <w:rFonts w:ascii="仿宋_GB2312" w:hAnsi="仿宋_GB2312" w:cs="仿宋_GB2312" w:eastAsia="仿宋_GB2312"/>
                    </w:rPr>
                    <w:t>培训公司</w:t>
                  </w:r>
                </w:p>
              </w:tc>
              <w:tc>
                <w:tcPr>
                  <w:tcW w:type="dxa" w:w="1400"/>
                </w:tcPr>
                <w:p>
                  <w:pPr>
                    <w:pStyle w:val="null3"/>
                    <w:jc w:val="left"/>
                  </w:pPr>
                  <w:r>
                    <w:rPr>
                      <w:rFonts w:ascii="仿宋_GB2312" w:hAnsi="仿宋_GB2312" w:cs="仿宋_GB2312" w:eastAsia="仿宋_GB2312"/>
                    </w:rPr>
                    <w:t>11,821.49</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2-6</w:t>
                  </w:r>
                </w:p>
              </w:tc>
              <w:tc>
                <w:tcPr>
                  <w:tcW w:type="dxa" w:w="1400"/>
                </w:tcPr>
                <w:p>
                  <w:pPr>
                    <w:pStyle w:val="null3"/>
                    <w:jc w:val="left"/>
                  </w:pPr>
                  <w:r>
                    <w:rPr>
                      <w:rFonts w:ascii="仿宋_GB2312" w:hAnsi="仿宋_GB2312" w:cs="仿宋_GB2312" w:eastAsia="仿宋_GB2312"/>
                    </w:rPr>
                    <w:t>矿业公司</w:t>
                  </w:r>
                </w:p>
              </w:tc>
              <w:tc>
                <w:tcPr>
                  <w:tcW w:type="dxa" w:w="1400"/>
                </w:tcPr>
                <w:p>
                  <w:pPr>
                    <w:pStyle w:val="null3"/>
                    <w:jc w:val="left"/>
                  </w:pPr>
                  <w:r>
                    <w:rPr>
                      <w:rFonts w:ascii="仿宋_GB2312" w:hAnsi="仿宋_GB2312" w:cs="仿宋_GB2312" w:eastAsia="仿宋_GB2312"/>
                    </w:rPr>
                    <w:t>7,015.73</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2-7</w:t>
                  </w:r>
                </w:p>
              </w:tc>
              <w:tc>
                <w:tcPr>
                  <w:tcW w:type="dxa" w:w="1400"/>
                </w:tcPr>
                <w:p>
                  <w:pPr>
                    <w:pStyle w:val="null3"/>
                    <w:jc w:val="left"/>
                  </w:pPr>
                  <w:r>
                    <w:rPr>
                      <w:rFonts w:ascii="仿宋_GB2312" w:hAnsi="仿宋_GB2312" w:cs="仿宋_GB2312" w:eastAsia="仿宋_GB2312"/>
                    </w:rPr>
                    <w:t>政通公司</w:t>
                  </w:r>
                </w:p>
              </w:tc>
              <w:tc>
                <w:tcPr>
                  <w:tcW w:type="dxa" w:w="1400"/>
                </w:tcPr>
                <w:p>
                  <w:pPr>
                    <w:pStyle w:val="null3"/>
                    <w:jc w:val="left"/>
                  </w:pPr>
                  <w:r>
                    <w:rPr>
                      <w:rFonts w:ascii="仿宋_GB2312" w:hAnsi="仿宋_GB2312" w:cs="仿宋_GB2312" w:eastAsia="仿宋_GB2312"/>
                    </w:rPr>
                    <w:t>1,228.60</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3</w:t>
                  </w:r>
                </w:p>
              </w:tc>
              <w:tc>
                <w:tcPr>
                  <w:tcW w:type="dxa" w:w="1400"/>
                </w:tcPr>
                <w:p>
                  <w:pPr>
                    <w:pStyle w:val="null3"/>
                    <w:jc w:val="left"/>
                  </w:pPr>
                  <w:r>
                    <w:rPr>
                      <w:rFonts w:ascii="仿宋_GB2312" w:hAnsi="仿宋_GB2312" w:cs="仿宋_GB2312" w:eastAsia="仿宋_GB2312"/>
                    </w:rPr>
                    <w:t>阿坝州清捷能源投资集团有限公司</w:t>
                  </w:r>
                </w:p>
              </w:tc>
              <w:tc>
                <w:tcPr>
                  <w:tcW w:type="dxa" w:w="1400"/>
                </w:tcPr>
                <w:p>
                  <w:pPr>
                    <w:pStyle w:val="null3"/>
                    <w:jc w:val="left"/>
                  </w:pPr>
                  <w:r>
                    <w:rPr>
                      <w:rFonts w:ascii="仿宋_GB2312" w:hAnsi="仿宋_GB2312" w:cs="仿宋_GB2312" w:eastAsia="仿宋_GB2312"/>
                    </w:rPr>
                    <w:t>102,199.57</w:t>
                  </w:r>
                </w:p>
              </w:tc>
              <w:tc>
                <w:tcPr>
                  <w:tcW w:type="dxa" w:w="1400"/>
                </w:tcPr>
                <w:p>
                  <w:pPr>
                    <w:pStyle w:val="null3"/>
                    <w:jc w:val="left"/>
                  </w:pPr>
                  <w:r>
                    <w:rPr>
                      <w:rFonts w:ascii="仿宋_GB2312" w:hAnsi="仿宋_GB2312" w:cs="仿宋_GB2312" w:eastAsia="仿宋_GB2312"/>
                    </w:rPr>
                    <w:t>2024年末数据</w:t>
                  </w:r>
                </w:p>
              </w:tc>
            </w:tr>
            <w:tr>
              <w:tc>
                <w:tcPr>
                  <w:tcW w:type="dxa" w:w="1400"/>
                </w:tcPr>
                <w:p>
                  <w:pPr>
                    <w:pStyle w:val="null3"/>
                    <w:jc w:val="left"/>
                  </w:pPr>
                  <w:r>
                    <w:rPr>
                      <w:rFonts w:ascii="仿宋_GB2312" w:hAnsi="仿宋_GB2312" w:cs="仿宋_GB2312" w:eastAsia="仿宋_GB2312"/>
                    </w:rPr>
                    <w:t>3-1</w:t>
                  </w:r>
                </w:p>
              </w:tc>
              <w:tc>
                <w:tcPr>
                  <w:tcW w:type="dxa" w:w="1400"/>
                </w:tcPr>
                <w:p>
                  <w:pPr>
                    <w:pStyle w:val="null3"/>
                    <w:jc w:val="left"/>
                  </w:pPr>
                  <w:r>
                    <w:rPr>
                      <w:rFonts w:ascii="仿宋_GB2312" w:hAnsi="仿宋_GB2312" w:cs="仿宋_GB2312" w:eastAsia="仿宋_GB2312"/>
                    </w:rPr>
                    <w:t>能投公司本部</w:t>
                  </w:r>
                </w:p>
              </w:tc>
              <w:tc>
                <w:tcPr>
                  <w:tcW w:type="dxa" w:w="1400"/>
                </w:tcPr>
                <w:p>
                  <w:pPr>
                    <w:pStyle w:val="null3"/>
                    <w:jc w:val="left"/>
                  </w:pPr>
                  <w:r>
                    <w:rPr>
                      <w:rFonts w:ascii="仿宋_GB2312" w:hAnsi="仿宋_GB2312" w:cs="仿宋_GB2312" w:eastAsia="仿宋_GB2312"/>
                    </w:rPr>
                    <w:t>96,153.38</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3-2</w:t>
                  </w:r>
                </w:p>
              </w:tc>
              <w:tc>
                <w:tcPr>
                  <w:tcW w:type="dxa" w:w="1400"/>
                </w:tcPr>
                <w:p>
                  <w:pPr>
                    <w:pStyle w:val="null3"/>
                    <w:jc w:val="left"/>
                  </w:pPr>
                  <w:r>
                    <w:rPr>
                      <w:rFonts w:ascii="仿宋_GB2312" w:hAnsi="仿宋_GB2312" w:cs="仿宋_GB2312" w:eastAsia="仿宋_GB2312"/>
                    </w:rPr>
                    <w:t>供暖公司</w:t>
                  </w:r>
                </w:p>
              </w:tc>
              <w:tc>
                <w:tcPr>
                  <w:tcW w:type="dxa" w:w="1400"/>
                </w:tcPr>
                <w:p>
                  <w:pPr>
                    <w:pStyle w:val="null3"/>
                    <w:jc w:val="left"/>
                  </w:pPr>
                  <w:r>
                    <w:rPr>
                      <w:rFonts w:ascii="仿宋_GB2312" w:hAnsi="仿宋_GB2312" w:cs="仿宋_GB2312" w:eastAsia="仿宋_GB2312"/>
                    </w:rPr>
                    <w:t>1,513.75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3-3</w:t>
                  </w:r>
                </w:p>
              </w:tc>
              <w:tc>
                <w:tcPr>
                  <w:tcW w:type="dxa" w:w="1400"/>
                </w:tcPr>
                <w:p>
                  <w:pPr>
                    <w:pStyle w:val="null3"/>
                    <w:jc w:val="left"/>
                  </w:pPr>
                  <w:r>
                    <w:rPr>
                      <w:rFonts w:ascii="仿宋_GB2312" w:hAnsi="仿宋_GB2312" w:cs="仿宋_GB2312" w:eastAsia="仿宋_GB2312"/>
                    </w:rPr>
                    <w:t>瑞久公司</w:t>
                  </w:r>
                </w:p>
              </w:tc>
              <w:tc>
                <w:tcPr>
                  <w:tcW w:type="dxa" w:w="1400"/>
                </w:tcPr>
                <w:p>
                  <w:pPr>
                    <w:pStyle w:val="null3"/>
                    <w:jc w:val="left"/>
                  </w:pPr>
                  <w:r>
                    <w:rPr>
                      <w:rFonts w:ascii="仿宋_GB2312" w:hAnsi="仿宋_GB2312" w:cs="仿宋_GB2312" w:eastAsia="仿宋_GB2312"/>
                    </w:rPr>
                    <w:t>8,914.73</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4</w:t>
                  </w:r>
                </w:p>
              </w:tc>
              <w:tc>
                <w:tcPr>
                  <w:tcW w:type="dxa" w:w="1400"/>
                </w:tcPr>
                <w:p>
                  <w:pPr>
                    <w:pStyle w:val="null3"/>
                    <w:jc w:val="left"/>
                  </w:pPr>
                  <w:r>
                    <w:rPr>
                      <w:rFonts w:ascii="仿宋_GB2312" w:hAnsi="仿宋_GB2312" w:cs="仿宋_GB2312" w:eastAsia="仿宋_GB2312"/>
                    </w:rPr>
                    <w:t>阿坝州净土阿坝农业投资发展有限责任公司</w:t>
                  </w:r>
                </w:p>
              </w:tc>
              <w:tc>
                <w:tcPr>
                  <w:tcW w:type="dxa" w:w="1400"/>
                </w:tcPr>
                <w:p>
                  <w:pPr>
                    <w:pStyle w:val="null3"/>
                    <w:jc w:val="left"/>
                  </w:pPr>
                  <w:r>
                    <w:rPr>
                      <w:rFonts w:ascii="仿宋_GB2312" w:hAnsi="仿宋_GB2312" w:cs="仿宋_GB2312" w:eastAsia="仿宋_GB2312"/>
                    </w:rPr>
                    <w:t>15,780.07</w:t>
                  </w:r>
                </w:p>
              </w:tc>
              <w:tc>
                <w:tcPr>
                  <w:tcW w:type="dxa" w:w="1400"/>
                </w:tcPr>
                <w:p>
                  <w:pPr>
                    <w:pStyle w:val="null3"/>
                    <w:jc w:val="left"/>
                  </w:pPr>
                  <w:r>
                    <w:rPr>
                      <w:rFonts w:ascii="仿宋_GB2312" w:hAnsi="仿宋_GB2312" w:cs="仿宋_GB2312" w:eastAsia="仿宋_GB2312"/>
                    </w:rPr>
                    <w:t>2024年末数据</w:t>
                  </w:r>
                </w:p>
              </w:tc>
            </w:tr>
            <w:tr>
              <w:tc>
                <w:tcPr>
                  <w:tcW w:type="dxa" w:w="1400"/>
                </w:tcPr>
                <w:p>
                  <w:pPr>
                    <w:pStyle w:val="null3"/>
                    <w:jc w:val="left"/>
                  </w:pPr>
                  <w:r>
                    <w:rPr>
                      <w:rFonts w:ascii="仿宋_GB2312" w:hAnsi="仿宋_GB2312" w:cs="仿宋_GB2312" w:eastAsia="仿宋_GB2312"/>
                    </w:rPr>
                    <w:t>4-1</w:t>
                  </w:r>
                </w:p>
              </w:tc>
              <w:tc>
                <w:tcPr>
                  <w:tcW w:type="dxa" w:w="1400"/>
                </w:tcPr>
                <w:p>
                  <w:pPr>
                    <w:pStyle w:val="null3"/>
                    <w:jc w:val="left"/>
                  </w:pPr>
                  <w:r>
                    <w:rPr>
                      <w:rFonts w:ascii="仿宋_GB2312" w:hAnsi="仿宋_GB2312" w:cs="仿宋_GB2312" w:eastAsia="仿宋_GB2312"/>
                    </w:rPr>
                    <w:t>农投公司</w:t>
                  </w:r>
                </w:p>
              </w:tc>
              <w:tc>
                <w:tcPr>
                  <w:tcW w:type="dxa" w:w="1400"/>
                </w:tcPr>
                <w:p>
                  <w:pPr>
                    <w:pStyle w:val="null3"/>
                    <w:jc w:val="left"/>
                  </w:pPr>
                  <w:r>
                    <w:rPr>
                      <w:rFonts w:ascii="仿宋_GB2312" w:hAnsi="仿宋_GB2312" w:cs="仿宋_GB2312" w:eastAsia="仿宋_GB2312"/>
                    </w:rPr>
                    <w:t>13,054.83</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4-2</w:t>
                  </w:r>
                </w:p>
              </w:tc>
              <w:tc>
                <w:tcPr>
                  <w:tcW w:type="dxa" w:w="1400"/>
                </w:tcPr>
                <w:p>
                  <w:pPr>
                    <w:pStyle w:val="null3"/>
                    <w:jc w:val="left"/>
                  </w:pPr>
                  <w:r>
                    <w:rPr>
                      <w:rFonts w:ascii="仿宋_GB2312" w:hAnsi="仿宋_GB2312" w:cs="仿宋_GB2312" w:eastAsia="仿宋_GB2312"/>
                    </w:rPr>
                    <w:t>供应链公司</w:t>
                  </w:r>
                </w:p>
              </w:tc>
              <w:tc>
                <w:tcPr>
                  <w:tcW w:type="dxa" w:w="1400"/>
                </w:tcPr>
                <w:p>
                  <w:pPr>
                    <w:pStyle w:val="null3"/>
                    <w:jc w:val="left"/>
                  </w:pPr>
                  <w:r>
                    <w:rPr>
                      <w:rFonts w:ascii="仿宋_GB2312" w:hAnsi="仿宋_GB2312" w:cs="仿宋_GB2312" w:eastAsia="仿宋_GB2312"/>
                    </w:rPr>
                    <w:t>2,124.76</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4-3</w:t>
                  </w:r>
                </w:p>
              </w:tc>
              <w:tc>
                <w:tcPr>
                  <w:tcW w:type="dxa" w:w="1400"/>
                </w:tcPr>
                <w:p>
                  <w:pPr>
                    <w:pStyle w:val="null3"/>
                    <w:jc w:val="left"/>
                  </w:pPr>
                  <w:r>
                    <w:rPr>
                      <w:rFonts w:ascii="仿宋_GB2312" w:hAnsi="仿宋_GB2312" w:cs="仿宋_GB2312" w:eastAsia="仿宋_GB2312"/>
                    </w:rPr>
                    <w:t>生态公司</w:t>
                  </w:r>
                </w:p>
              </w:tc>
              <w:tc>
                <w:tcPr>
                  <w:tcW w:type="dxa" w:w="1400"/>
                </w:tcPr>
                <w:p>
                  <w:pPr>
                    <w:pStyle w:val="null3"/>
                    <w:jc w:val="left"/>
                  </w:pPr>
                  <w:r>
                    <w:rPr>
                      <w:rFonts w:ascii="仿宋_GB2312" w:hAnsi="仿宋_GB2312" w:cs="仿宋_GB2312" w:eastAsia="仿宋_GB2312"/>
                    </w:rPr>
                    <w:t>2,396.61</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4-4</w:t>
                  </w:r>
                </w:p>
              </w:tc>
              <w:tc>
                <w:tcPr>
                  <w:tcW w:type="dxa" w:w="1400"/>
                </w:tcPr>
                <w:p>
                  <w:pPr>
                    <w:pStyle w:val="null3"/>
                    <w:jc w:val="left"/>
                  </w:pPr>
                  <w:r>
                    <w:rPr>
                      <w:rFonts w:ascii="仿宋_GB2312" w:hAnsi="仿宋_GB2312" w:cs="仿宋_GB2312" w:eastAsia="仿宋_GB2312"/>
                    </w:rPr>
                    <w:t>大草原公司</w:t>
                  </w:r>
                </w:p>
              </w:tc>
              <w:tc>
                <w:tcPr>
                  <w:tcW w:type="dxa" w:w="1400"/>
                </w:tcPr>
                <w:p>
                  <w:pPr>
                    <w:pStyle w:val="null3"/>
                    <w:jc w:val="left"/>
                  </w:pPr>
                  <w:r>
                    <w:rPr>
                      <w:rFonts w:ascii="仿宋_GB2312" w:hAnsi="仿宋_GB2312" w:cs="仿宋_GB2312" w:eastAsia="仿宋_GB2312"/>
                    </w:rPr>
                    <w:t>2,007.82</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5</w:t>
                  </w:r>
                </w:p>
              </w:tc>
              <w:tc>
                <w:tcPr>
                  <w:tcW w:type="dxa" w:w="1400"/>
                </w:tcPr>
                <w:p>
                  <w:pPr>
                    <w:pStyle w:val="null3"/>
                    <w:jc w:val="left"/>
                  </w:pPr>
                  <w:r>
                    <w:rPr>
                      <w:rFonts w:ascii="仿宋_GB2312" w:hAnsi="仿宋_GB2312" w:cs="仿宋_GB2312" w:eastAsia="仿宋_GB2312"/>
                    </w:rPr>
                    <w:t>阿坝州盐业有限责任公司</w:t>
                  </w:r>
                </w:p>
              </w:tc>
              <w:tc>
                <w:tcPr>
                  <w:tcW w:type="dxa" w:w="1400"/>
                </w:tcPr>
                <w:p>
                  <w:pPr>
                    <w:pStyle w:val="null3"/>
                    <w:jc w:val="left"/>
                  </w:pPr>
                  <w:r>
                    <w:rPr>
                      <w:rFonts w:ascii="仿宋_GB2312" w:hAnsi="仿宋_GB2312" w:cs="仿宋_GB2312" w:eastAsia="仿宋_GB2312"/>
                    </w:rPr>
                    <w:t>985.56</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5-1</w:t>
                  </w:r>
                </w:p>
              </w:tc>
              <w:tc>
                <w:tcPr>
                  <w:tcW w:type="dxa" w:w="1400"/>
                </w:tcPr>
                <w:p>
                  <w:pPr>
                    <w:pStyle w:val="null3"/>
                    <w:jc w:val="left"/>
                  </w:pPr>
                  <w:r>
                    <w:rPr>
                      <w:rFonts w:ascii="仿宋_GB2312" w:hAnsi="仿宋_GB2312" w:cs="仿宋_GB2312" w:eastAsia="仿宋_GB2312"/>
                    </w:rPr>
                    <w:t>盐业公司本部</w:t>
                  </w:r>
                </w:p>
              </w:tc>
              <w:tc>
                <w:tcPr>
                  <w:tcW w:type="dxa" w:w="1400"/>
                </w:tcPr>
                <w:p>
                  <w:pPr>
                    <w:pStyle w:val="null3"/>
                    <w:jc w:val="left"/>
                  </w:pPr>
                  <w:r>
                    <w:rPr>
                      <w:rFonts w:ascii="仿宋_GB2312" w:hAnsi="仿宋_GB2312" w:cs="仿宋_GB2312" w:eastAsia="仿宋_GB2312"/>
                    </w:rPr>
                    <w:t>996.25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5-2</w:t>
                  </w:r>
                </w:p>
              </w:tc>
              <w:tc>
                <w:tcPr>
                  <w:tcW w:type="dxa" w:w="1400"/>
                </w:tcPr>
                <w:p>
                  <w:pPr>
                    <w:pStyle w:val="null3"/>
                    <w:jc w:val="left"/>
                  </w:pPr>
                  <w:r>
                    <w:rPr>
                      <w:rFonts w:ascii="仿宋_GB2312" w:hAnsi="仿宋_GB2312" w:cs="仿宋_GB2312" w:eastAsia="仿宋_GB2312"/>
                    </w:rPr>
                    <w:t>科美纳特公司</w:t>
                  </w:r>
                </w:p>
              </w:tc>
              <w:tc>
                <w:tcPr>
                  <w:tcW w:type="dxa" w:w="1400"/>
                </w:tcPr>
                <w:p>
                  <w:pPr>
                    <w:pStyle w:val="null3"/>
                    <w:jc w:val="left"/>
                  </w:pPr>
                  <w:r>
                    <w:rPr>
                      <w:rFonts w:ascii="仿宋_GB2312" w:hAnsi="仿宋_GB2312" w:cs="仿宋_GB2312" w:eastAsia="仿宋_GB2312"/>
                    </w:rPr>
                    <w:t>51.11</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6</w:t>
                  </w:r>
                </w:p>
              </w:tc>
              <w:tc>
                <w:tcPr>
                  <w:tcW w:type="dxa" w:w="1400"/>
                </w:tcPr>
                <w:p>
                  <w:pPr>
                    <w:pStyle w:val="null3"/>
                    <w:jc w:val="left"/>
                  </w:pPr>
                  <w:r>
                    <w:rPr>
                      <w:rFonts w:ascii="仿宋_GB2312" w:hAnsi="仿宋_GB2312" w:cs="仿宋_GB2312" w:eastAsia="仿宋_GB2312"/>
                    </w:rPr>
                    <w:t>四川阿坝交通建设投资有限责任公司</w:t>
                  </w:r>
                </w:p>
              </w:tc>
              <w:tc>
                <w:tcPr>
                  <w:tcW w:type="dxa" w:w="1400"/>
                </w:tcPr>
                <w:p>
                  <w:pPr>
                    <w:pStyle w:val="null3"/>
                    <w:jc w:val="left"/>
                  </w:pPr>
                  <w:r>
                    <w:rPr>
                      <w:rFonts w:ascii="仿宋_GB2312" w:hAnsi="仿宋_GB2312" w:cs="仿宋_GB2312" w:eastAsia="仿宋_GB2312"/>
                    </w:rPr>
                    <w:t>58,783.11</w:t>
                  </w:r>
                </w:p>
              </w:tc>
              <w:tc>
                <w:tcPr>
                  <w:tcW w:type="dxa" w:w="1400"/>
                </w:tcPr>
                <w:p>
                  <w:pPr>
                    <w:pStyle w:val="null3"/>
                    <w:jc w:val="left"/>
                  </w:pPr>
                  <w:r>
                    <w:rPr>
                      <w:rFonts w:ascii="仿宋_GB2312" w:hAnsi="仿宋_GB2312" w:cs="仿宋_GB2312" w:eastAsia="仿宋_GB2312"/>
                    </w:rPr>
                    <w:t>2024年末数据</w:t>
                  </w:r>
                </w:p>
              </w:tc>
            </w:tr>
            <w:tr>
              <w:tc>
                <w:tcPr>
                  <w:tcW w:type="dxa" w:w="1400"/>
                </w:tcPr>
                <w:p>
                  <w:pPr>
                    <w:pStyle w:val="null3"/>
                    <w:jc w:val="left"/>
                  </w:pPr>
                  <w:r>
                    <w:rPr>
                      <w:rFonts w:ascii="仿宋_GB2312" w:hAnsi="仿宋_GB2312" w:cs="仿宋_GB2312" w:eastAsia="仿宋_GB2312"/>
                    </w:rPr>
                    <w:t>6-1</w:t>
                  </w:r>
                </w:p>
              </w:tc>
              <w:tc>
                <w:tcPr>
                  <w:tcW w:type="dxa" w:w="1400"/>
                </w:tcPr>
                <w:p>
                  <w:pPr>
                    <w:pStyle w:val="null3"/>
                    <w:jc w:val="left"/>
                  </w:pPr>
                  <w:r>
                    <w:rPr>
                      <w:rFonts w:ascii="仿宋_GB2312" w:hAnsi="仿宋_GB2312" w:cs="仿宋_GB2312" w:eastAsia="仿宋_GB2312"/>
                    </w:rPr>
                    <w:t>州交投公司本部</w:t>
                  </w:r>
                </w:p>
              </w:tc>
              <w:tc>
                <w:tcPr>
                  <w:tcW w:type="dxa" w:w="1400"/>
                </w:tcPr>
                <w:p>
                  <w:pPr>
                    <w:pStyle w:val="null3"/>
                    <w:jc w:val="left"/>
                  </w:pPr>
                  <w:r>
                    <w:rPr>
                      <w:rFonts w:ascii="仿宋_GB2312" w:hAnsi="仿宋_GB2312" w:cs="仿宋_GB2312" w:eastAsia="仿宋_GB2312"/>
                    </w:rPr>
                    <w:t>34,098.07</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6-2</w:t>
                  </w:r>
                </w:p>
              </w:tc>
              <w:tc>
                <w:tcPr>
                  <w:tcW w:type="dxa" w:w="1400"/>
                </w:tcPr>
                <w:p>
                  <w:pPr>
                    <w:pStyle w:val="null3"/>
                    <w:jc w:val="left"/>
                  </w:pPr>
                  <w:r>
                    <w:rPr>
                      <w:rFonts w:ascii="仿宋_GB2312" w:hAnsi="仿宋_GB2312" w:cs="仿宋_GB2312" w:eastAsia="仿宋_GB2312"/>
                    </w:rPr>
                    <w:t>阿坝州公路交通（集团）有限公司</w:t>
                  </w:r>
                </w:p>
              </w:tc>
              <w:tc>
                <w:tcPr>
                  <w:tcW w:type="dxa" w:w="1400"/>
                </w:tcPr>
                <w:p>
                  <w:pPr>
                    <w:pStyle w:val="null3"/>
                    <w:jc w:val="left"/>
                  </w:pPr>
                  <w:r>
                    <w:rPr>
                      <w:rFonts w:ascii="仿宋_GB2312" w:hAnsi="仿宋_GB2312" w:cs="仿宋_GB2312" w:eastAsia="仿宋_GB2312"/>
                    </w:rPr>
                    <w:t>20,907.45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6-3</w:t>
                  </w:r>
                </w:p>
              </w:tc>
              <w:tc>
                <w:tcPr>
                  <w:tcW w:type="dxa" w:w="1400"/>
                </w:tcPr>
                <w:p>
                  <w:pPr>
                    <w:pStyle w:val="null3"/>
                    <w:jc w:val="left"/>
                  </w:pPr>
                  <w:r>
                    <w:rPr>
                      <w:rFonts w:ascii="仿宋_GB2312" w:hAnsi="仿宋_GB2312" w:cs="仿宋_GB2312" w:eastAsia="仿宋_GB2312"/>
                    </w:rPr>
                    <w:t>成都联运站</w:t>
                  </w:r>
                </w:p>
              </w:tc>
              <w:tc>
                <w:tcPr>
                  <w:tcW w:type="dxa" w:w="1400"/>
                </w:tcPr>
                <w:p>
                  <w:pPr>
                    <w:pStyle w:val="null3"/>
                    <w:jc w:val="left"/>
                  </w:pPr>
                  <w:r>
                    <w:rPr>
                      <w:rFonts w:ascii="仿宋_GB2312" w:hAnsi="仿宋_GB2312" w:cs="仿宋_GB2312" w:eastAsia="仿宋_GB2312"/>
                    </w:rPr>
                    <w:t>714.61</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6-4</w:t>
                  </w:r>
                </w:p>
              </w:tc>
              <w:tc>
                <w:tcPr>
                  <w:tcW w:type="dxa" w:w="1400"/>
                </w:tcPr>
                <w:p>
                  <w:pPr>
                    <w:pStyle w:val="null3"/>
                    <w:jc w:val="left"/>
                  </w:pPr>
                  <w:r>
                    <w:rPr>
                      <w:rFonts w:ascii="仿宋_GB2312" w:hAnsi="仿宋_GB2312" w:cs="仿宋_GB2312" w:eastAsia="仿宋_GB2312"/>
                    </w:rPr>
                    <w:t>项目管理公司</w:t>
                  </w:r>
                </w:p>
              </w:tc>
              <w:tc>
                <w:tcPr>
                  <w:tcW w:type="dxa" w:w="1400"/>
                </w:tcPr>
                <w:p>
                  <w:pPr>
                    <w:pStyle w:val="null3"/>
                    <w:jc w:val="left"/>
                  </w:pPr>
                  <w:r>
                    <w:rPr>
                      <w:rFonts w:ascii="仿宋_GB2312" w:hAnsi="仿宋_GB2312" w:cs="仿宋_GB2312" w:eastAsia="仿宋_GB2312"/>
                    </w:rPr>
                    <w:t>2,111.90</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6-5</w:t>
                  </w:r>
                </w:p>
              </w:tc>
              <w:tc>
                <w:tcPr>
                  <w:tcW w:type="dxa" w:w="1400"/>
                </w:tcPr>
                <w:p>
                  <w:pPr>
                    <w:pStyle w:val="null3"/>
                    <w:jc w:val="left"/>
                  </w:pPr>
                  <w:r>
                    <w:rPr>
                      <w:rFonts w:ascii="仿宋_GB2312" w:hAnsi="仿宋_GB2312" w:cs="仿宋_GB2312" w:eastAsia="仿宋_GB2312"/>
                    </w:rPr>
                    <w:t>物资公司</w:t>
                  </w:r>
                </w:p>
              </w:tc>
              <w:tc>
                <w:tcPr>
                  <w:tcW w:type="dxa" w:w="1400"/>
                </w:tcPr>
                <w:p>
                  <w:pPr>
                    <w:pStyle w:val="null3"/>
                    <w:jc w:val="left"/>
                  </w:pPr>
                  <w:r>
                    <w:rPr>
                      <w:rFonts w:ascii="仿宋_GB2312" w:hAnsi="仿宋_GB2312" w:cs="仿宋_GB2312" w:eastAsia="仿宋_GB2312"/>
                    </w:rPr>
                    <w:t>9,386.82</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6-6</w:t>
                  </w:r>
                </w:p>
              </w:tc>
              <w:tc>
                <w:tcPr>
                  <w:tcW w:type="dxa" w:w="1400"/>
                </w:tcPr>
                <w:p>
                  <w:pPr>
                    <w:pStyle w:val="null3"/>
                    <w:jc w:val="left"/>
                  </w:pPr>
                  <w:r>
                    <w:rPr>
                      <w:rFonts w:ascii="仿宋_GB2312" w:hAnsi="仿宋_GB2312" w:cs="仿宋_GB2312" w:eastAsia="仿宋_GB2312"/>
                    </w:rPr>
                    <w:t>祥塘物资公司</w:t>
                  </w:r>
                </w:p>
              </w:tc>
              <w:tc>
                <w:tcPr>
                  <w:tcW w:type="dxa" w:w="1400"/>
                </w:tcPr>
                <w:p>
                  <w:pPr>
                    <w:pStyle w:val="null3"/>
                    <w:jc w:val="left"/>
                  </w:pPr>
                  <w:r>
                    <w:rPr>
                      <w:rFonts w:ascii="仿宋_GB2312" w:hAnsi="仿宋_GB2312" w:cs="仿宋_GB2312" w:eastAsia="仿宋_GB2312"/>
                    </w:rPr>
                    <w:t>3,923.65</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6-7</w:t>
                  </w:r>
                </w:p>
              </w:tc>
              <w:tc>
                <w:tcPr>
                  <w:tcW w:type="dxa" w:w="1400"/>
                </w:tcPr>
                <w:p>
                  <w:pPr>
                    <w:pStyle w:val="null3"/>
                    <w:jc w:val="left"/>
                  </w:pPr>
                  <w:r>
                    <w:rPr>
                      <w:rFonts w:ascii="仿宋_GB2312" w:hAnsi="仿宋_GB2312" w:cs="仿宋_GB2312" w:eastAsia="仿宋_GB2312"/>
                    </w:rPr>
                    <w:t>工程试验检测中心</w:t>
                  </w:r>
                </w:p>
              </w:tc>
              <w:tc>
                <w:tcPr>
                  <w:tcW w:type="dxa" w:w="1400"/>
                </w:tcPr>
                <w:p>
                  <w:pPr>
                    <w:pStyle w:val="null3"/>
                    <w:jc w:val="left"/>
                  </w:pPr>
                  <w:r>
                    <w:rPr>
                      <w:rFonts w:ascii="仿宋_GB2312" w:hAnsi="仿宋_GB2312" w:cs="仿宋_GB2312" w:eastAsia="仿宋_GB2312"/>
                    </w:rPr>
                    <w:t>178.49</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7</w:t>
                  </w:r>
                </w:p>
              </w:tc>
              <w:tc>
                <w:tcPr>
                  <w:tcW w:type="dxa" w:w="1400"/>
                </w:tcPr>
                <w:p>
                  <w:pPr>
                    <w:pStyle w:val="null3"/>
                    <w:jc w:val="left"/>
                  </w:pPr>
                  <w:r>
                    <w:rPr>
                      <w:rFonts w:ascii="仿宋_GB2312" w:hAnsi="仿宋_GB2312" w:cs="仿宋_GB2312" w:eastAsia="仿宋_GB2312"/>
                    </w:rPr>
                    <w:t>阿坝州城乡发展集团有限责任公司</w:t>
                  </w:r>
                </w:p>
              </w:tc>
              <w:tc>
                <w:tcPr>
                  <w:tcW w:type="dxa" w:w="1400"/>
                </w:tcPr>
                <w:p>
                  <w:pPr>
                    <w:pStyle w:val="null3"/>
                    <w:jc w:val="left"/>
                  </w:pPr>
                  <w:r>
                    <w:rPr>
                      <w:rFonts w:ascii="仿宋_GB2312" w:hAnsi="仿宋_GB2312" w:cs="仿宋_GB2312" w:eastAsia="仿宋_GB2312"/>
                    </w:rPr>
                    <w:t>33,227.67</w:t>
                  </w:r>
                </w:p>
              </w:tc>
              <w:tc>
                <w:tcPr>
                  <w:tcW w:type="dxa" w:w="1400"/>
                </w:tcPr>
                <w:p>
                  <w:pPr>
                    <w:pStyle w:val="null3"/>
                    <w:jc w:val="left"/>
                  </w:pPr>
                  <w:r>
                    <w:rPr>
                      <w:rFonts w:ascii="仿宋_GB2312" w:hAnsi="仿宋_GB2312" w:cs="仿宋_GB2312" w:eastAsia="仿宋_GB2312"/>
                    </w:rPr>
                    <w:t>2024年末数据</w:t>
                  </w:r>
                </w:p>
              </w:tc>
            </w:tr>
            <w:tr>
              <w:tc>
                <w:tcPr>
                  <w:tcW w:type="dxa" w:w="1400"/>
                </w:tcPr>
                <w:p>
                  <w:pPr>
                    <w:pStyle w:val="null3"/>
                    <w:jc w:val="left"/>
                  </w:pPr>
                  <w:r>
                    <w:rPr>
                      <w:rFonts w:ascii="仿宋_GB2312" w:hAnsi="仿宋_GB2312" w:cs="仿宋_GB2312" w:eastAsia="仿宋_GB2312"/>
                    </w:rPr>
                    <w:t>7-1</w:t>
                  </w:r>
                </w:p>
              </w:tc>
              <w:tc>
                <w:tcPr>
                  <w:tcW w:type="dxa" w:w="1400"/>
                </w:tcPr>
                <w:p>
                  <w:pPr>
                    <w:pStyle w:val="null3"/>
                    <w:jc w:val="left"/>
                  </w:pPr>
                  <w:r>
                    <w:rPr>
                      <w:rFonts w:ascii="仿宋_GB2312" w:hAnsi="仿宋_GB2312" w:cs="仿宋_GB2312" w:eastAsia="仿宋_GB2312"/>
                    </w:rPr>
                    <w:t>阿坝州城乡发展集团有限责任公司本部</w:t>
                  </w:r>
                </w:p>
              </w:tc>
              <w:tc>
                <w:tcPr>
                  <w:tcW w:type="dxa" w:w="1400"/>
                </w:tcPr>
                <w:p>
                  <w:pPr>
                    <w:pStyle w:val="null3"/>
                    <w:jc w:val="left"/>
                  </w:pPr>
                  <w:r>
                    <w:rPr>
                      <w:rFonts w:ascii="仿宋_GB2312" w:hAnsi="仿宋_GB2312" w:cs="仿宋_GB2312" w:eastAsia="仿宋_GB2312"/>
                    </w:rPr>
                    <w:t>29,869.11</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7-2</w:t>
                  </w:r>
                </w:p>
              </w:tc>
              <w:tc>
                <w:tcPr>
                  <w:tcW w:type="dxa" w:w="1400"/>
                </w:tcPr>
                <w:p>
                  <w:pPr>
                    <w:pStyle w:val="null3"/>
                    <w:jc w:val="left"/>
                  </w:pPr>
                  <w:r>
                    <w:rPr>
                      <w:rFonts w:ascii="仿宋_GB2312" w:hAnsi="仿宋_GB2312" w:cs="仿宋_GB2312" w:eastAsia="仿宋_GB2312"/>
                    </w:rPr>
                    <w:t>国鑫建设工程质量检测公司</w:t>
                  </w:r>
                </w:p>
              </w:tc>
              <w:tc>
                <w:tcPr>
                  <w:tcW w:type="dxa" w:w="1400"/>
                </w:tcPr>
                <w:p>
                  <w:pPr>
                    <w:pStyle w:val="null3"/>
                    <w:jc w:val="left"/>
                  </w:pPr>
                  <w:r>
                    <w:rPr>
                      <w:rFonts w:ascii="仿宋_GB2312" w:hAnsi="仿宋_GB2312" w:cs="仿宋_GB2312" w:eastAsia="仿宋_GB2312"/>
                    </w:rPr>
                    <w:t>4,632.76</w:t>
                  </w:r>
                </w:p>
              </w:tc>
              <w:tc>
                <w:tcPr>
                  <w:tcW w:type="dxa" w:w="1400"/>
                </w:tcPr>
                <w:p>
                  <w:pPr>
                    <w:pStyle w:val="null3"/>
                    <w:jc w:val="left"/>
                  </w:pPr>
                  <w:r>
                    <w:rPr>
                      <w:rFonts w:ascii="仿宋_GB2312" w:hAnsi="仿宋_GB2312" w:cs="仿宋_GB2312" w:eastAsia="仿宋_GB2312"/>
                    </w:rPr>
                    <w:t xml:space="preserve"> </w:t>
                  </w:r>
                </w:p>
              </w:tc>
            </w:tr>
            <w:tr>
              <w:tc>
                <w:tcPr>
                  <w:tcW w:type="dxa" w:w="1400"/>
                </w:tcPr>
                <w:p>
                  <w:pPr>
                    <w:pStyle w:val="null3"/>
                    <w:jc w:val="left"/>
                  </w:pPr>
                  <w:r>
                    <w:rPr>
                      <w:rFonts w:ascii="仿宋_GB2312" w:hAnsi="仿宋_GB2312" w:cs="仿宋_GB2312" w:eastAsia="仿宋_GB2312"/>
                    </w:rPr>
                    <w:t>7-3</w:t>
                  </w:r>
                </w:p>
              </w:tc>
              <w:tc>
                <w:tcPr>
                  <w:tcW w:type="dxa" w:w="1400"/>
                </w:tcPr>
                <w:p>
                  <w:pPr>
                    <w:pStyle w:val="null3"/>
                    <w:jc w:val="left"/>
                  </w:pPr>
                  <w:r>
                    <w:rPr>
                      <w:rFonts w:ascii="仿宋_GB2312" w:hAnsi="仿宋_GB2312" w:cs="仿宋_GB2312" w:eastAsia="仿宋_GB2312"/>
                    </w:rPr>
                    <w:t>城发建设工程公司</w:t>
                  </w:r>
                </w:p>
              </w:tc>
              <w:tc>
                <w:tcPr>
                  <w:tcW w:type="dxa" w:w="1400"/>
                </w:tcPr>
                <w:p>
                  <w:pPr>
                    <w:pStyle w:val="null3"/>
                    <w:jc w:val="left"/>
                  </w:pPr>
                  <w:r>
                    <w:rPr>
                      <w:rFonts w:ascii="仿宋_GB2312" w:hAnsi="仿宋_GB2312" w:cs="仿宋_GB2312" w:eastAsia="仿宋_GB2312"/>
                    </w:rPr>
                    <w:t xml:space="preserve"> 2,128.56</w:t>
                  </w:r>
                </w:p>
              </w:tc>
              <w:tc>
                <w:tcPr>
                  <w:tcW w:type="dxa" w:w="1400"/>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（三）清产核资工作的组织</w:t>
            </w:r>
          </w:p>
          <w:p>
            <w:pPr>
              <w:pStyle w:val="null3"/>
              <w:jc w:val="left"/>
            </w:pPr>
            <w:r>
              <w:rPr>
                <w:rFonts w:ascii="仿宋_GB2312" w:hAnsi="仿宋_GB2312" w:cs="仿宋_GB2312" w:eastAsia="仿宋_GB2312"/>
              </w:rPr>
              <w:t>为了加强清产核资工作组织保障，阿坝州国资委及被清产核资企业成立相应的清产核资领导组和工作组，由清产核资领导组和工作组制定公司清产核资工作方案，对子公司清产核资工作进行监督、指导和核查。</w:t>
            </w:r>
          </w:p>
          <w:p>
            <w:pPr>
              <w:pStyle w:val="null3"/>
              <w:jc w:val="left"/>
            </w:pPr>
            <w:r>
              <w:rPr>
                <w:rFonts w:ascii="仿宋_GB2312" w:hAnsi="仿宋_GB2312" w:cs="仿宋_GB2312" w:eastAsia="仿宋_GB2312"/>
              </w:rPr>
              <w:t>（四）清产核资基准日</w:t>
            </w:r>
          </w:p>
          <w:p>
            <w:pPr>
              <w:pStyle w:val="null3"/>
              <w:jc w:val="left"/>
            </w:pPr>
            <w:r>
              <w:rPr>
                <w:rFonts w:ascii="仿宋_GB2312" w:hAnsi="仿宋_GB2312" w:cs="仿宋_GB2312" w:eastAsia="仿宋_GB2312"/>
              </w:rPr>
              <w:t>本次清产核资基准日为2024年12月31日</w:t>
            </w:r>
          </w:p>
          <w:p>
            <w:pPr>
              <w:pStyle w:val="null3"/>
              <w:jc w:val="left"/>
            </w:pPr>
            <w:r>
              <w:rPr>
                <w:rFonts w:ascii="仿宋_GB2312" w:hAnsi="仿宋_GB2312" w:cs="仿宋_GB2312" w:eastAsia="仿宋_GB2312"/>
              </w:rPr>
              <w:t>（五）★清产核资依据</w:t>
            </w:r>
          </w:p>
          <w:p>
            <w:pPr>
              <w:pStyle w:val="null3"/>
              <w:jc w:val="left"/>
            </w:pPr>
            <w:r>
              <w:rPr>
                <w:rFonts w:ascii="仿宋_GB2312" w:hAnsi="仿宋_GB2312" w:cs="仿宋_GB2312" w:eastAsia="仿宋_GB2312"/>
              </w:rPr>
              <w:t>1、《中国注册会计师法》</w:t>
            </w:r>
          </w:p>
          <w:p>
            <w:pPr>
              <w:pStyle w:val="null3"/>
              <w:jc w:val="left"/>
            </w:pPr>
            <w:r>
              <w:rPr>
                <w:rFonts w:ascii="仿宋_GB2312" w:hAnsi="仿宋_GB2312" w:cs="仿宋_GB2312" w:eastAsia="仿宋_GB2312"/>
              </w:rPr>
              <w:t>2、《中国注册会计师审计准则》及相关执业规范</w:t>
            </w:r>
          </w:p>
          <w:p>
            <w:pPr>
              <w:pStyle w:val="null3"/>
              <w:jc w:val="left"/>
            </w:pPr>
            <w:r>
              <w:rPr>
                <w:rFonts w:ascii="仿宋_GB2312" w:hAnsi="仿宋_GB2312" w:cs="仿宋_GB2312" w:eastAsia="仿宋_GB2312"/>
              </w:rPr>
              <w:t>3、《中华人民共和国企业国资产法》及其国有企业投资管理相关规定</w:t>
            </w:r>
          </w:p>
          <w:p>
            <w:pPr>
              <w:pStyle w:val="null3"/>
              <w:jc w:val="left"/>
            </w:pPr>
            <w:r>
              <w:rPr>
                <w:rFonts w:ascii="仿宋_GB2312" w:hAnsi="仿宋_GB2312" w:cs="仿宋_GB2312" w:eastAsia="仿宋_GB2312"/>
              </w:rPr>
              <w:t>4、《中华人民共和国公司法》</w:t>
            </w:r>
          </w:p>
          <w:p>
            <w:pPr>
              <w:pStyle w:val="null3"/>
              <w:jc w:val="left"/>
            </w:pPr>
            <w:r>
              <w:rPr>
                <w:rFonts w:ascii="仿宋_GB2312" w:hAnsi="仿宋_GB2312" w:cs="仿宋_GB2312" w:eastAsia="仿宋_GB2312"/>
              </w:rPr>
              <w:t>5、《国有企业清产核资办法》</w:t>
            </w:r>
          </w:p>
          <w:p>
            <w:pPr>
              <w:pStyle w:val="null3"/>
              <w:jc w:val="left"/>
            </w:pPr>
            <w:r>
              <w:rPr>
                <w:rFonts w:ascii="仿宋_GB2312" w:hAnsi="仿宋_GB2312" w:cs="仿宋_GB2312" w:eastAsia="仿宋_GB2312"/>
              </w:rPr>
              <w:t>6、《国有企业清产核资工作规程》</w:t>
            </w:r>
          </w:p>
          <w:p>
            <w:pPr>
              <w:pStyle w:val="null3"/>
              <w:jc w:val="left"/>
            </w:pPr>
            <w:r>
              <w:rPr>
                <w:rFonts w:ascii="仿宋_GB2312" w:hAnsi="仿宋_GB2312" w:cs="仿宋_GB2312" w:eastAsia="仿宋_GB2312"/>
              </w:rPr>
              <w:t>7、《国有企业清产核资工作指南》</w:t>
            </w:r>
          </w:p>
          <w:p>
            <w:pPr>
              <w:pStyle w:val="null3"/>
              <w:jc w:val="left"/>
            </w:pPr>
            <w:r>
              <w:rPr>
                <w:rFonts w:ascii="仿宋_GB2312" w:hAnsi="仿宋_GB2312" w:cs="仿宋_GB2312" w:eastAsia="仿宋_GB2312"/>
              </w:rPr>
              <w:t>7、《国有企业清产核资损失认定工作规则》</w:t>
            </w:r>
          </w:p>
          <w:p>
            <w:pPr>
              <w:pStyle w:val="null3"/>
              <w:jc w:val="left"/>
            </w:pPr>
            <w:r>
              <w:rPr>
                <w:rFonts w:ascii="仿宋_GB2312" w:hAnsi="仿宋_GB2312" w:cs="仿宋_GB2312" w:eastAsia="仿宋_GB2312"/>
              </w:rPr>
              <w:t>8、《国有企业清产核资经济鉴证工作规则》</w:t>
            </w:r>
          </w:p>
          <w:p>
            <w:pPr>
              <w:pStyle w:val="null3"/>
              <w:jc w:val="left"/>
            </w:pPr>
            <w:r>
              <w:rPr>
                <w:rFonts w:ascii="仿宋_GB2312" w:hAnsi="仿宋_GB2312" w:cs="仿宋_GB2312" w:eastAsia="仿宋_GB2312"/>
              </w:rPr>
              <w:t>9、《国有企业清产核资资金核实工作规定》</w:t>
            </w:r>
          </w:p>
          <w:p>
            <w:pPr>
              <w:pStyle w:val="null3"/>
              <w:jc w:val="left"/>
            </w:pPr>
            <w:r>
              <w:rPr>
                <w:rFonts w:ascii="仿宋_GB2312" w:hAnsi="仿宋_GB2312" w:cs="仿宋_GB2312" w:eastAsia="仿宋_GB2312"/>
              </w:rPr>
              <w:t>10、企业财务通则、企业会计准则及相关税收法规等有关法律法规</w:t>
            </w:r>
          </w:p>
          <w:p>
            <w:pPr>
              <w:pStyle w:val="null3"/>
              <w:jc w:val="left"/>
            </w:pPr>
            <w:r>
              <w:rPr>
                <w:rFonts w:ascii="仿宋_GB2312" w:hAnsi="仿宋_GB2312" w:cs="仿宋_GB2312" w:eastAsia="仿宋_GB2312"/>
              </w:rPr>
              <w:t>（六）清产核资工作步骤</w:t>
            </w:r>
          </w:p>
          <w:p>
            <w:pPr>
              <w:pStyle w:val="null3"/>
              <w:jc w:val="left"/>
            </w:pPr>
            <w:r>
              <w:rPr>
                <w:rFonts w:ascii="仿宋_GB2312" w:hAnsi="仿宋_GB2312" w:cs="仿宋_GB2312" w:eastAsia="仿宋_GB2312"/>
              </w:rPr>
              <w:t>清产核资工作内容包括财务清理、资产清理、价值重估、损益认定、资金核实等方面。</w:t>
            </w:r>
          </w:p>
          <w:p>
            <w:pPr>
              <w:pStyle w:val="null3"/>
              <w:jc w:val="left"/>
            </w:pPr>
            <w:r>
              <w:rPr>
                <w:rFonts w:ascii="仿宋_GB2312" w:hAnsi="仿宋_GB2312" w:cs="仿宋_GB2312" w:eastAsia="仿宋_GB2312"/>
              </w:rPr>
              <w:t>1、财务清理</w:t>
            </w:r>
          </w:p>
          <w:p>
            <w:pPr>
              <w:pStyle w:val="null3"/>
              <w:jc w:val="left"/>
            </w:pPr>
            <w:r>
              <w:rPr>
                <w:rFonts w:ascii="仿宋_GB2312" w:hAnsi="仿宋_GB2312" w:cs="仿宋_GB2312" w:eastAsia="仿宋_GB2312"/>
              </w:rPr>
              <w:t>（1）以清产核资时间点为基准，对企业在金融机构开立的所有账户的存借款余额、库存现金和有价证券进行全面核实，对于各项账外现金进行彻底清理并纳入企业账内。</w:t>
            </w:r>
          </w:p>
          <w:p>
            <w:pPr>
              <w:pStyle w:val="null3"/>
              <w:jc w:val="left"/>
            </w:pPr>
            <w:r>
              <w:rPr>
                <w:rFonts w:ascii="仿宋_GB2312" w:hAnsi="仿宋_GB2312" w:cs="仿宋_GB2312" w:eastAsia="仿宋_GB2312"/>
              </w:rPr>
              <w:t>（2）对会计凭证、会计账薄以及内部往来和借款情况进行全面核对和清理，做到账账相符、账实相符、账表相符。</w:t>
            </w:r>
          </w:p>
          <w:p>
            <w:pPr>
              <w:pStyle w:val="null3"/>
              <w:jc w:val="left"/>
            </w:pPr>
            <w:r>
              <w:rPr>
                <w:rFonts w:ascii="仿宋_GB2312" w:hAnsi="仿宋_GB2312" w:cs="仿宋_GB2312" w:eastAsia="仿宋_GB2312"/>
              </w:rPr>
              <w:t>（3）企业在清产核资中，应当认真对内部或者外部的担保情况、财产抵押和司法诉讼等情况进行全面清理，并根据实际情况分类排队，并采取有效措施防范风险。</w:t>
            </w:r>
          </w:p>
          <w:p>
            <w:pPr>
              <w:pStyle w:val="null3"/>
              <w:jc w:val="left"/>
            </w:pPr>
            <w:r>
              <w:rPr>
                <w:rFonts w:ascii="仿宋_GB2312" w:hAnsi="仿宋_GB2312" w:cs="仿宋_GB2312" w:eastAsia="仿宋_GB2312"/>
              </w:rPr>
              <w:t>（4）企业在账务清理中，对清理出来的各种由于会计技术性差错原因造成的错帐，应当根据《会计准则关于会计差错调整》的规定，自行进行账务调整。</w:t>
            </w:r>
          </w:p>
          <w:p>
            <w:pPr>
              <w:pStyle w:val="null3"/>
              <w:jc w:val="left"/>
            </w:pPr>
            <w:r>
              <w:rPr>
                <w:rFonts w:ascii="仿宋_GB2312" w:hAnsi="仿宋_GB2312" w:cs="仿宋_GB2312" w:eastAsia="仿宋_GB2312"/>
              </w:rPr>
              <w:t>2、资产清查</w:t>
            </w:r>
          </w:p>
          <w:p>
            <w:pPr>
              <w:pStyle w:val="null3"/>
              <w:jc w:val="left"/>
            </w:pPr>
            <w:r>
              <w:rPr>
                <w:rFonts w:ascii="仿宋_GB2312" w:hAnsi="仿宋_GB2312" w:cs="仿宋_GB2312" w:eastAsia="仿宋_GB2312"/>
              </w:rPr>
              <w:t>（1）企业在组织资产清查时，应当把实物盘点同核实账务结合起来，在盘点过程中要以账对物、以账核账、做好细致的核对工作，保证企业做到账实相符。</w:t>
            </w:r>
          </w:p>
          <w:p>
            <w:pPr>
              <w:pStyle w:val="null3"/>
              <w:jc w:val="left"/>
            </w:pPr>
            <w:r>
              <w:rPr>
                <w:rFonts w:ascii="仿宋_GB2312" w:hAnsi="仿宋_GB2312" w:cs="仿宋_GB2312" w:eastAsia="仿宋_GB2312"/>
              </w:rPr>
              <w:t>（2）企业资产清查工作应当把清理资产同核查负债和所有者权益结合起来，对企业的负债、所有者权益认真清理；对于因会计技术性差错造成的不实债权、债务进行甄别并及时改正；对清查出来的账外权益、负债要及时入账，以确保企业的资产、负债及所有者权益的真实、准确。</w:t>
            </w:r>
          </w:p>
          <w:p>
            <w:pPr>
              <w:pStyle w:val="null3"/>
              <w:jc w:val="left"/>
            </w:pPr>
            <w:r>
              <w:rPr>
                <w:rFonts w:ascii="仿宋_GB2312" w:hAnsi="仿宋_GB2312" w:cs="仿宋_GB2312" w:eastAsia="仿宋_GB2312"/>
              </w:rPr>
              <w:t>（3）银行存款、库存现金及其他货币资金的清查，主要清查企业在开户银行及其他金融机构的各种存款账面余额与银行及其他金融机构中该企业的账面余额是否相符；检查银行存款余额调节表中未达账项的真实性；检查非记账本位币折合记账本位币所采用的折算汇率是否正确，折算差额是否已按规定进行账务处理；库存现金收支记录是否完整合规，实际金额与日记账户余额是否相符，如有差异，应说明原因。</w:t>
            </w:r>
          </w:p>
          <w:p>
            <w:pPr>
              <w:pStyle w:val="null3"/>
              <w:jc w:val="left"/>
            </w:pPr>
            <w:r>
              <w:rPr>
                <w:rFonts w:ascii="仿宋_GB2312" w:hAnsi="仿宋_GB2312" w:cs="仿宋_GB2312" w:eastAsia="仿宋_GB2312"/>
              </w:rPr>
              <w:t>（4）应收及预付款项的清查内容包括应收账款、其他应收款、预付账款和待摊费用。</w:t>
            </w:r>
          </w:p>
          <w:p>
            <w:pPr>
              <w:pStyle w:val="null3"/>
              <w:jc w:val="left"/>
            </w:pPr>
            <w:r>
              <w:rPr>
                <w:rFonts w:ascii="仿宋_GB2312" w:hAnsi="仿宋_GB2312" w:cs="仿宋_GB2312" w:eastAsia="仿宋_GB2312"/>
              </w:rPr>
              <w:t>清查应收账款、其他应收款和预付账款时，应当逐一与对方单位核对，以双方一致金额记账。对有争议的债权要认真清理、查证、核实，重新明确债权关系。对长期拖欠、要查明与原因，积极催收；对经确认难以收回的款项，应当明确责任，做好有关取证工作；</w:t>
            </w:r>
          </w:p>
          <w:p>
            <w:pPr>
              <w:pStyle w:val="null3"/>
              <w:jc w:val="left"/>
            </w:pPr>
            <w:r>
              <w:rPr>
                <w:rFonts w:ascii="仿宋_GB2312" w:hAnsi="仿宋_GB2312" w:cs="仿宋_GB2312" w:eastAsia="仿宋_GB2312"/>
              </w:rPr>
              <w:t>（5）存货的清查内容主要包括：原材料、燃料、周转材料、低值易耗品、产成品、外购商品、委托加工的物资（商品）等。</w:t>
            </w:r>
          </w:p>
          <w:p>
            <w:pPr>
              <w:pStyle w:val="null3"/>
              <w:jc w:val="left"/>
            </w:pPr>
            <w:r>
              <w:rPr>
                <w:rFonts w:ascii="仿宋_GB2312" w:hAnsi="仿宋_GB2312" w:cs="仿宋_GB2312" w:eastAsia="仿宋_GB2312"/>
              </w:rPr>
              <w:t>各企业都应当认真组织清仓查库，对所有存货全面清查盘点；对清查出的积压、已毁损或需报废的存货，应当查明原因，组织相应的技术鉴定，并提出处理意见。</w:t>
            </w:r>
          </w:p>
          <w:p>
            <w:pPr>
              <w:pStyle w:val="null3"/>
              <w:jc w:val="left"/>
            </w:pPr>
            <w:r>
              <w:rPr>
                <w:rFonts w:ascii="仿宋_GB2312" w:hAnsi="仿宋_GB2312" w:cs="仿宋_GB2312" w:eastAsia="仿宋_GB2312"/>
              </w:rPr>
              <w:t>对长期外借未收回的存货，应当查明原因，积极收回或按规定作价转让。</w:t>
            </w:r>
          </w:p>
          <w:p>
            <w:pPr>
              <w:pStyle w:val="null3"/>
              <w:jc w:val="left"/>
            </w:pPr>
            <w:r>
              <w:rPr>
                <w:rFonts w:ascii="仿宋_GB2312" w:hAnsi="仿宋_GB2312" w:cs="仿宋_GB2312" w:eastAsia="仿宋_GB2312"/>
              </w:rPr>
              <w:t>代保管物资由代保管单位协助清查，并将结果告知产权单位。</w:t>
            </w:r>
          </w:p>
          <w:p>
            <w:pPr>
              <w:pStyle w:val="null3"/>
              <w:jc w:val="left"/>
            </w:pPr>
            <w:r>
              <w:rPr>
                <w:rFonts w:ascii="仿宋_GB2312" w:hAnsi="仿宋_GB2312" w:cs="仿宋_GB2312" w:eastAsia="仿宋_GB2312"/>
              </w:rPr>
              <w:t>（6）固定资产清查的范围主要包括公路建筑物及其营运设施、运输设备、工具器具和土地等。</w:t>
            </w:r>
          </w:p>
          <w:p>
            <w:pPr>
              <w:pStyle w:val="null3"/>
              <w:jc w:val="left"/>
            </w:pPr>
            <w:r>
              <w:rPr>
                <w:rFonts w:ascii="仿宋_GB2312" w:hAnsi="仿宋_GB2312" w:cs="仿宋_GB2312" w:eastAsia="仿宋_GB2312"/>
              </w:rPr>
              <w:t>1）对固定资产要查清固定资产原值、净值，已提折旧额，清理出已提足折旧的固定资产的数额及固定资产损失、待核销数额等；</w:t>
            </w:r>
          </w:p>
          <w:p>
            <w:pPr>
              <w:pStyle w:val="null3"/>
              <w:jc w:val="left"/>
            </w:pPr>
            <w:r>
              <w:rPr>
                <w:rFonts w:ascii="仿宋_GB2312" w:hAnsi="仿宋_GB2312" w:cs="仿宋_GB2312" w:eastAsia="仿宋_GB2312"/>
              </w:rPr>
              <w:t>2）租出的固定资产由租出方负责清查，没有登记入账的要将清查结果和租入方进行核对后，登记入账；</w:t>
            </w:r>
          </w:p>
          <w:p>
            <w:pPr>
              <w:pStyle w:val="null3"/>
              <w:jc w:val="left"/>
            </w:pPr>
            <w:r>
              <w:rPr>
                <w:rFonts w:ascii="仿宋_GB2312" w:hAnsi="仿宋_GB2312" w:cs="仿宋_GB2312" w:eastAsia="仿宋_GB2312"/>
              </w:rPr>
              <w:t>3）对借出和未按规定手续批准转让出去的资产，应当认真清理收回或者补办手续。</w:t>
            </w:r>
          </w:p>
          <w:p>
            <w:pPr>
              <w:pStyle w:val="null3"/>
              <w:jc w:val="left"/>
            </w:pPr>
            <w:r>
              <w:rPr>
                <w:rFonts w:ascii="仿宋_GB2312" w:hAnsi="仿宋_GB2312" w:cs="仿宋_GB2312" w:eastAsia="仿宋_GB2312"/>
              </w:rPr>
              <w:t>4）对清查出的各项账面盘盈（含账外），盘亏固定资产，要认真查明原因，分清工作责任，提出处理意见；</w:t>
            </w:r>
          </w:p>
          <w:p>
            <w:pPr>
              <w:pStyle w:val="null3"/>
              <w:jc w:val="left"/>
            </w:pPr>
            <w:r>
              <w:rPr>
                <w:rFonts w:ascii="仿宋_GB2312" w:hAnsi="仿宋_GB2312" w:cs="仿宋_GB2312" w:eastAsia="仿宋_GB2312"/>
              </w:rPr>
              <w:t>5）经过清查后的各项固定资产，依据用途（指生产性或非生产性）和使用情况（指在用、未使用或不需用等）进行重新登记，建立，健全实物账卡；</w:t>
            </w:r>
          </w:p>
          <w:p>
            <w:pPr>
              <w:pStyle w:val="null3"/>
              <w:jc w:val="left"/>
            </w:pPr>
            <w:r>
              <w:rPr>
                <w:rFonts w:ascii="仿宋_GB2312" w:hAnsi="仿宋_GB2312" w:cs="仿宋_GB2312" w:eastAsia="仿宋_GB2312"/>
              </w:rPr>
              <w:t>6）对清查出的各项未使用、不需用的固定资产，应当查明购建日期、使用日期、技术状况和主要参数等；按调拨（其价值转入受拨单位）、转生产用、出售、待报废等提出处理意见；</w:t>
            </w:r>
          </w:p>
          <w:p>
            <w:pPr>
              <w:pStyle w:val="null3"/>
              <w:jc w:val="left"/>
            </w:pPr>
            <w:r>
              <w:rPr>
                <w:rFonts w:ascii="仿宋_GB2312" w:hAnsi="仿宋_GB2312" w:cs="仿宋_GB2312" w:eastAsia="仿宋_GB2312"/>
              </w:rPr>
              <w:t>7）土地清查的范围包括企业依法占用和出租、出借给其他企业使用的土地；国内联营、合资企业以使用权作价投资或入股的土地；企业与外方举办的中外合资、合作经营企业以使用权作价入股的土地。</w:t>
            </w:r>
          </w:p>
          <w:p>
            <w:pPr>
              <w:pStyle w:val="null3"/>
              <w:jc w:val="left"/>
            </w:pPr>
            <w:r>
              <w:rPr>
                <w:rFonts w:ascii="仿宋_GB2312" w:hAnsi="仿宋_GB2312" w:cs="仿宋_GB2312" w:eastAsia="仿宋_GB2312"/>
              </w:rPr>
              <w:t>（7）长期投资的清查</w:t>
            </w:r>
          </w:p>
          <w:p>
            <w:pPr>
              <w:pStyle w:val="null3"/>
              <w:jc w:val="left"/>
            </w:pPr>
            <w:r>
              <w:rPr>
                <w:rFonts w:ascii="仿宋_GB2312" w:hAnsi="仿宋_GB2312" w:cs="仿宋_GB2312" w:eastAsia="仿宋_GB2312"/>
              </w:rPr>
              <w:t>1）在清查对外长期投资时，凡按股份或者资本份额拥有实际控制权的，一般应采用权益法进行清查；没有实际控制权的，按企业目前对外投资的核算方式进行清查。清查内容包括：有关长期投资的合同、协议、章程、有权力部门的批准文件，确认目前拥有的实际股权、原始投入、股权比例、分红等项内容。</w:t>
            </w:r>
          </w:p>
          <w:p>
            <w:pPr>
              <w:pStyle w:val="null3"/>
              <w:jc w:val="left"/>
            </w:pPr>
            <w:r>
              <w:rPr>
                <w:rFonts w:ascii="仿宋_GB2312" w:hAnsi="仿宋_GB2312" w:cs="仿宋_GB2312" w:eastAsia="仿宋_GB2312"/>
              </w:rPr>
              <w:t>2）企业在境外的长期投资清查主要包括以资金、实物资产、无形资产在境外投资举办的各类独资、合资、联营、参股公司等企业中的各项资产、由企业认真查明管理情况和投资收益。</w:t>
            </w:r>
          </w:p>
          <w:p>
            <w:pPr>
              <w:pStyle w:val="null3"/>
              <w:jc w:val="left"/>
            </w:pPr>
            <w:r>
              <w:rPr>
                <w:rFonts w:ascii="仿宋_GB2312" w:hAnsi="仿宋_GB2312" w:cs="仿宋_GB2312" w:eastAsia="仿宋_GB2312"/>
              </w:rPr>
              <w:t xml:space="preserve">（8）在建工程   </w:t>
            </w:r>
          </w:p>
          <w:p>
            <w:pPr>
              <w:pStyle w:val="null3"/>
              <w:jc w:val="left"/>
            </w:pPr>
            <w:r>
              <w:rPr>
                <w:rFonts w:ascii="仿宋_GB2312" w:hAnsi="仿宋_GB2312" w:cs="仿宋_GB2312" w:eastAsia="仿宋_GB2312"/>
              </w:rPr>
              <w:t>1）清查的范围和内容主要是在建或停建、缓建的国家基建项目，技术改造项目，包括完工未交付使用、交付使用未来验收入账等工程项目，长期挂账但实际已经停工报废的工程项目。</w:t>
            </w:r>
          </w:p>
          <w:p>
            <w:pPr>
              <w:pStyle w:val="null3"/>
              <w:jc w:val="left"/>
            </w:pPr>
            <w:r>
              <w:rPr>
                <w:rFonts w:ascii="仿宋_GB2312" w:hAnsi="仿宋_GB2312" w:cs="仿宋_GB2312" w:eastAsia="仿宋_GB2312"/>
              </w:rPr>
              <w:t>2）单独设立基本建设账户的企业，按上述内容一并参加清产核资。</w:t>
            </w:r>
          </w:p>
          <w:p>
            <w:pPr>
              <w:pStyle w:val="null3"/>
              <w:jc w:val="left"/>
            </w:pPr>
            <w:r>
              <w:rPr>
                <w:rFonts w:ascii="仿宋_GB2312" w:hAnsi="仿宋_GB2312" w:cs="仿宋_GB2312" w:eastAsia="仿宋_GB2312"/>
              </w:rPr>
              <w:t>3）在建工程要按项目逐一进行清查，主要登记在建工程的项目性质、投资来源、投资总额、实际支出、实际完工进度和管理状况。</w:t>
            </w:r>
          </w:p>
          <w:p>
            <w:pPr>
              <w:pStyle w:val="null3"/>
              <w:jc w:val="left"/>
            </w:pPr>
            <w:r>
              <w:rPr>
                <w:rFonts w:ascii="仿宋_GB2312" w:hAnsi="仿宋_GB2312" w:cs="仿宋_GB2312" w:eastAsia="仿宋_GB2312"/>
              </w:rPr>
              <w:t>4）对在建工程的毁损报废要详细说明原因，提供合规证明材料。对清查出来的在建工程中已完工未交付使用和交付使用未验收入账的工程，企业应当及时入账。</w:t>
            </w:r>
          </w:p>
          <w:p>
            <w:pPr>
              <w:pStyle w:val="null3"/>
              <w:jc w:val="left"/>
            </w:pPr>
            <w:r>
              <w:rPr>
                <w:rFonts w:ascii="仿宋_GB2312" w:hAnsi="仿宋_GB2312" w:cs="仿宋_GB2312" w:eastAsia="仿宋_GB2312"/>
              </w:rPr>
              <w:t>（9）无形资产清查的范围和内容包括：各项专利权、商标权、特许权、版权、商誉、土地使用权及房屋使用权等。对无形资产进行全面盘点，确定其真实价值及完整内容，核实权属证明材料，检查实际摊销情况，将无技术部门鉴定材料或已经超过了法律保护的期限证明文件的未摊销的无形资产账面余额，认定为损失。</w:t>
            </w:r>
          </w:p>
          <w:p>
            <w:pPr>
              <w:pStyle w:val="null3"/>
              <w:jc w:val="left"/>
            </w:pPr>
            <w:r>
              <w:rPr>
                <w:rFonts w:ascii="仿宋_GB2312" w:hAnsi="仿宋_GB2312" w:cs="仿宋_GB2312" w:eastAsia="仿宋_GB2312"/>
              </w:rPr>
              <w:t>（10）递延资产及其他资产清查的范围和内容包括：开办费、租入固定资产改良支出及特准储备物资、临建设施等，应当逐一清理，认真清查摊销余额。</w:t>
            </w:r>
          </w:p>
          <w:p>
            <w:pPr>
              <w:pStyle w:val="null3"/>
              <w:jc w:val="left"/>
            </w:pPr>
            <w:r>
              <w:rPr>
                <w:rFonts w:ascii="仿宋_GB2312" w:hAnsi="仿宋_GB2312" w:cs="仿宋_GB2312" w:eastAsia="仿宋_GB2312"/>
              </w:rPr>
              <w:t>（11）负债清查的范围和内容包括各项流动负债和长期负债。</w:t>
            </w:r>
          </w:p>
          <w:p>
            <w:pPr>
              <w:pStyle w:val="null3"/>
              <w:jc w:val="left"/>
            </w:pPr>
            <w:r>
              <w:rPr>
                <w:rFonts w:ascii="仿宋_GB2312" w:hAnsi="仿宋_GB2312" w:cs="仿宋_GB2312" w:eastAsia="仿宋_GB2312"/>
              </w:rPr>
              <w:t>1）流动负债要清查各种短期借款、其他应付款、预提费用及应付福利费等。</w:t>
            </w:r>
          </w:p>
          <w:p>
            <w:pPr>
              <w:pStyle w:val="null3"/>
              <w:jc w:val="left"/>
            </w:pPr>
            <w:r>
              <w:rPr>
                <w:rFonts w:ascii="仿宋_GB2312" w:hAnsi="仿宋_GB2312" w:cs="仿宋_GB2312" w:eastAsia="仿宋_GB2312"/>
              </w:rPr>
              <w:t>①短期借款、应付票据。清查企业是否按实际发生额入账、是否按照确定的利率按期计提利息，计入费用。</w:t>
            </w:r>
          </w:p>
          <w:p>
            <w:pPr>
              <w:pStyle w:val="null3"/>
              <w:jc w:val="left"/>
            </w:pPr>
            <w:r>
              <w:rPr>
                <w:rFonts w:ascii="仿宋_GB2312" w:hAnsi="仿宋_GB2312" w:cs="仿宋_GB2312" w:eastAsia="仿宋_GB2312"/>
              </w:rPr>
              <w:t>②其他应付款。企业要与债权单位逐一核对账目，达到双方账面余额一致，对无法支付的应付款应转入资本公积。</w:t>
            </w:r>
          </w:p>
          <w:p>
            <w:pPr>
              <w:pStyle w:val="null3"/>
              <w:jc w:val="left"/>
            </w:pPr>
            <w:r>
              <w:rPr>
                <w:rFonts w:ascii="仿宋_GB2312" w:hAnsi="仿宋_GB2312" w:cs="仿宋_GB2312" w:eastAsia="仿宋_GB2312"/>
              </w:rPr>
              <w:t>③预提费用。清查企业是否按照规定标准计提，有无多提、少提现象发生。</w:t>
            </w:r>
          </w:p>
          <w:p>
            <w:pPr>
              <w:pStyle w:val="null3"/>
              <w:jc w:val="left"/>
            </w:pPr>
            <w:r>
              <w:rPr>
                <w:rFonts w:ascii="仿宋_GB2312" w:hAnsi="仿宋_GB2312" w:cs="仿宋_GB2312" w:eastAsia="仿宋_GB2312"/>
              </w:rPr>
              <w:t>④应付福利费。清查企业是否按照规定标准计提、是否全部计入成本及欠付职工情况、账外挂账情况。</w:t>
            </w:r>
          </w:p>
          <w:p>
            <w:pPr>
              <w:pStyle w:val="null3"/>
              <w:jc w:val="left"/>
            </w:pPr>
            <w:r>
              <w:rPr>
                <w:rFonts w:ascii="仿宋_GB2312" w:hAnsi="仿宋_GB2312" w:cs="仿宋_GB2312" w:eastAsia="仿宋_GB2312"/>
              </w:rPr>
              <w:t>2）长期负债要清查各种长期借款、长期应付款等。</w:t>
            </w:r>
          </w:p>
          <w:p>
            <w:pPr>
              <w:pStyle w:val="null3"/>
              <w:jc w:val="left"/>
            </w:pPr>
            <w:r>
              <w:rPr>
                <w:rFonts w:ascii="仿宋_GB2312" w:hAnsi="仿宋_GB2312" w:cs="仿宋_GB2312" w:eastAsia="仿宋_GB2312"/>
              </w:rPr>
              <w:t>①长期借款。清查企业是否按实际发生额入账、是否按照确定的利率按期计提利息，计入费用。</w:t>
            </w:r>
          </w:p>
          <w:p>
            <w:pPr>
              <w:pStyle w:val="null3"/>
              <w:jc w:val="left"/>
            </w:pPr>
            <w:r>
              <w:rPr>
                <w:rFonts w:ascii="仿宋_GB2312" w:hAnsi="仿宋_GB2312" w:cs="仿宋_GB2312" w:eastAsia="仿宋_GB2312"/>
              </w:rPr>
              <w:t>②长期应付款。清查时，企业要与债权单位逐一核对账目，达到双方账面余额一致。对无法支付的应付款应转入资本公积金。</w:t>
            </w:r>
          </w:p>
          <w:p>
            <w:pPr>
              <w:pStyle w:val="null3"/>
              <w:jc w:val="left"/>
            </w:pPr>
            <w:r>
              <w:rPr>
                <w:rFonts w:ascii="仿宋_GB2312" w:hAnsi="仿宋_GB2312" w:cs="仿宋_GB2312" w:eastAsia="仿宋_GB2312"/>
              </w:rPr>
              <w:t>3、价值重估</w:t>
            </w:r>
          </w:p>
          <w:p>
            <w:pPr>
              <w:pStyle w:val="null3"/>
              <w:jc w:val="left"/>
            </w:pPr>
            <w:r>
              <w:rPr>
                <w:rFonts w:ascii="仿宋_GB2312" w:hAnsi="仿宋_GB2312" w:cs="仿宋_GB2312" w:eastAsia="仿宋_GB2312"/>
              </w:rPr>
              <w:t>对企业账面价值和实际价值背离较大的主要固定资产和流动资产按照国家规定的方法、标准进行重新估价，解决资产账面价值不实的问题。</w:t>
            </w:r>
          </w:p>
          <w:p>
            <w:pPr>
              <w:pStyle w:val="null3"/>
              <w:jc w:val="left"/>
            </w:pPr>
            <w:r>
              <w:rPr>
                <w:rFonts w:ascii="仿宋_GB2312" w:hAnsi="仿宋_GB2312" w:cs="仿宋_GB2312" w:eastAsia="仿宋_GB2312"/>
              </w:rPr>
              <w:t>本次清产核资产中经批准同意进行资产价值重估工作的，原则上应当采取物价指数法。对于特殊情况经批准后，也可采用重置成本法等其他方法进行。</w:t>
            </w:r>
          </w:p>
          <w:p>
            <w:pPr>
              <w:pStyle w:val="null3"/>
              <w:jc w:val="left"/>
            </w:pPr>
            <w:r>
              <w:rPr>
                <w:rFonts w:ascii="仿宋_GB2312" w:hAnsi="仿宋_GB2312" w:cs="仿宋_GB2312" w:eastAsia="仿宋_GB2312"/>
              </w:rPr>
              <w:t>4、损溢认定</w:t>
            </w:r>
          </w:p>
          <w:p>
            <w:pPr>
              <w:pStyle w:val="null3"/>
              <w:jc w:val="left"/>
            </w:pPr>
            <w:r>
              <w:rPr>
                <w:rFonts w:ascii="仿宋_GB2312" w:hAnsi="仿宋_GB2312" w:cs="仿宋_GB2312" w:eastAsia="仿宋_GB2312"/>
              </w:rPr>
              <w:t>企业在进行账务清理、资产清查的基础上，对各项清查出来的资产盘盈、资产损失和资金挂账，依据国家清产核资政策和有关财务会计制度规定，认真、细致地做好资产损溢的认定工作。</w:t>
            </w:r>
          </w:p>
          <w:p>
            <w:pPr>
              <w:pStyle w:val="null3"/>
              <w:jc w:val="left"/>
            </w:pPr>
            <w:r>
              <w:rPr>
                <w:rFonts w:ascii="仿宋_GB2312" w:hAnsi="仿宋_GB2312" w:cs="仿宋_GB2312" w:eastAsia="仿宋_GB2312"/>
              </w:rPr>
              <w:t>（1）企业在清产核资中对清查出来的各项资产盘盈、资产损失和资金挂账的核实和认定，具体按照《国有资产损失认定工作规则》的有关规定进行。</w:t>
            </w:r>
          </w:p>
          <w:p>
            <w:pPr>
              <w:pStyle w:val="null3"/>
              <w:jc w:val="left"/>
            </w:pPr>
            <w:r>
              <w:rPr>
                <w:rFonts w:ascii="仿宋_GB2312" w:hAnsi="仿宋_GB2312" w:cs="仿宋_GB2312" w:eastAsia="仿宋_GB2312"/>
              </w:rPr>
              <w:t>（2）企业在清产核资中对各项资产盘盈、资产损失和资金挂账的核实和认定都必须取得合法证据。合法证据包括：具有法律效力的外部证据；社会中介机构的经济鉴证证明；特定经济行为的企业内部证据。</w:t>
            </w:r>
          </w:p>
          <w:p>
            <w:pPr>
              <w:pStyle w:val="null3"/>
              <w:jc w:val="left"/>
            </w:pPr>
            <w:r>
              <w:rPr>
                <w:rFonts w:ascii="仿宋_GB2312" w:hAnsi="仿宋_GB2312" w:cs="仿宋_GB2312" w:eastAsia="仿宋_GB2312"/>
              </w:rPr>
              <w:t>（3）企业在清产核资中对清理出的各种账外资产以及账外的债权、债务等情况在进行认真分析的基础上，作出详细说明，审核批准后及时调整入账。</w:t>
            </w:r>
          </w:p>
          <w:p>
            <w:pPr>
              <w:pStyle w:val="null3"/>
              <w:jc w:val="left"/>
            </w:pPr>
            <w:r>
              <w:rPr>
                <w:rFonts w:ascii="仿宋_GB2312" w:hAnsi="仿宋_GB2312" w:cs="仿宋_GB2312" w:eastAsia="仿宋_GB2312"/>
              </w:rPr>
              <w:t>（4）企业在清产核资工作中，对证据充分、事实确凿的各项资产损失、资金挂账，经社会中介机构专项财务审计后，可以按照国家清产核资政策规定申报认定和摊销。</w:t>
            </w:r>
          </w:p>
          <w:p>
            <w:pPr>
              <w:pStyle w:val="null3"/>
              <w:jc w:val="left"/>
            </w:pPr>
            <w:r>
              <w:rPr>
                <w:rFonts w:ascii="仿宋_GB2312" w:hAnsi="仿宋_GB2312" w:cs="仿宋_GB2312" w:eastAsia="仿宋_GB2312"/>
              </w:rPr>
              <w:t>（5）企业在清产核资中应当严格区分内部往来、内部关联交易的损失情况，在上报所属企业的资产损失时，作为投资方采用权益法核算的，不重复确认为损失。</w:t>
            </w:r>
          </w:p>
          <w:p>
            <w:pPr>
              <w:pStyle w:val="null3"/>
              <w:jc w:val="left"/>
            </w:pPr>
            <w:r>
              <w:rPr>
                <w:rFonts w:ascii="仿宋_GB2312" w:hAnsi="仿宋_GB2312" w:cs="仿宋_GB2312" w:eastAsia="仿宋_GB2312"/>
              </w:rPr>
              <w:t>5、资金核实</w:t>
            </w:r>
          </w:p>
          <w:p>
            <w:pPr>
              <w:pStyle w:val="null3"/>
              <w:jc w:val="left"/>
            </w:pPr>
            <w:r>
              <w:rPr>
                <w:rFonts w:ascii="仿宋_GB2312" w:hAnsi="仿宋_GB2312" w:cs="仿宋_GB2312" w:eastAsia="仿宋_GB2312"/>
              </w:rPr>
              <w:t>（1）公司对其所属上报的资产盘盈和资产损失、资金挂账等清产核资工作结果，依据国家清产核资政策和有关财务会计制度规定，进行审核并根据清产核资结果及批复，依据国家相关政策调整账目和重新核定企业实际占用的国有资金数额。</w:t>
            </w:r>
          </w:p>
          <w:p>
            <w:pPr>
              <w:pStyle w:val="null3"/>
              <w:jc w:val="left"/>
            </w:pPr>
            <w:r>
              <w:rPr>
                <w:rFonts w:ascii="仿宋_GB2312" w:hAnsi="仿宋_GB2312" w:cs="仿宋_GB2312" w:eastAsia="仿宋_GB2312"/>
              </w:rPr>
              <w:t>（2）公司按照国家有关清产核资政策、国家现行的财务会计制度及相关规定，对清产核资材料的内容进行审核、汇总、上报，待国有资产监督管理机批复后，组织账务调整。</w:t>
            </w:r>
          </w:p>
          <w:p>
            <w:pPr>
              <w:pStyle w:val="null3"/>
              <w:jc w:val="left"/>
            </w:pPr>
            <w:r>
              <w:rPr>
                <w:rFonts w:ascii="仿宋_GB2312" w:hAnsi="仿宋_GB2312" w:cs="仿宋_GB2312" w:eastAsia="仿宋_GB2312"/>
              </w:rPr>
              <w:t>（3）公司上报的各项资产损失、资金挂账有充分证据的，依据企业的承受能力等实际情况，提出相应的损失挂账处理意见。企业有消化能力的应以企业自行消化为主；如企业确无消化能力的可按相关规定报经批准后冲减所有者权益。</w:t>
            </w:r>
          </w:p>
          <w:p>
            <w:pPr>
              <w:pStyle w:val="null3"/>
              <w:jc w:val="left"/>
            </w:pPr>
            <w:r>
              <w:rPr>
                <w:rFonts w:ascii="仿宋_GB2312" w:hAnsi="仿宋_GB2312" w:cs="仿宋_GB2312" w:eastAsia="仿宋_GB2312"/>
              </w:rPr>
              <w:t>（七）清产核资的工作时间安排</w:t>
            </w:r>
          </w:p>
          <w:p>
            <w:pPr>
              <w:pStyle w:val="null3"/>
              <w:jc w:val="left"/>
            </w:pPr>
            <w:r>
              <w:rPr>
                <w:rFonts w:ascii="仿宋_GB2312" w:hAnsi="仿宋_GB2312" w:cs="仿宋_GB2312" w:eastAsia="仿宋_GB2312"/>
              </w:rPr>
              <w:t>为加强国有资产监督管理，核实资产企业资产及净资产情况，加快重组改革股权划转工作，经清产核资领导组研究决定，这次清产核资工作大体分三个阶段完成。</w:t>
            </w:r>
          </w:p>
          <w:p>
            <w:pPr>
              <w:pStyle w:val="null3"/>
              <w:jc w:val="left"/>
            </w:pPr>
            <w:r>
              <w:rPr>
                <w:rFonts w:ascii="仿宋_GB2312" w:hAnsi="仿宋_GB2312" w:cs="仿宋_GB2312" w:eastAsia="仿宋_GB2312"/>
              </w:rPr>
              <w:t>1、前期准备阶段和组织培训（预计3个日历日）</w:t>
            </w:r>
          </w:p>
          <w:p>
            <w:pPr>
              <w:pStyle w:val="null3"/>
              <w:jc w:val="left"/>
            </w:pPr>
            <w:r>
              <w:rPr>
                <w:rFonts w:ascii="仿宋_GB2312" w:hAnsi="仿宋_GB2312" w:cs="仿宋_GB2312" w:eastAsia="仿宋_GB2312"/>
              </w:rPr>
              <w:t>（1）强化组织保障，明确领导组织和办事机构</w:t>
            </w:r>
          </w:p>
          <w:p>
            <w:pPr>
              <w:pStyle w:val="null3"/>
              <w:jc w:val="left"/>
            </w:pPr>
            <w:r>
              <w:rPr>
                <w:rFonts w:ascii="仿宋_GB2312" w:hAnsi="仿宋_GB2312" w:cs="仿宋_GB2312" w:eastAsia="仿宋_GB2312"/>
              </w:rPr>
              <w:t>阿坝州国资委及相关企业成立清产核资领导组和清产核资办室</w:t>
            </w:r>
          </w:p>
          <w:p>
            <w:pPr>
              <w:pStyle w:val="null3"/>
              <w:jc w:val="left"/>
            </w:pPr>
            <w:r>
              <w:rPr>
                <w:rFonts w:ascii="仿宋_GB2312" w:hAnsi="仿宋_GB2312" w:cs="仿宋_GB2312" w:eastAsia="仿宋_GB2312"/>
              </w:rPr>
              <w:t>（2）制定并完善各企业清产核资工作方案</w:t>
            </w:r>
          </w:p>
          <w:p>
            <w:pPr>
              <w:pStyle w:val="null3"/>
              <w:jc w:val="left"/>
            </w:pPr>
            <w:r>
              <w:rPr>
                <w:rFonts w:ascii="仿宋_GB2312" w:hAnsi="仿宋_GB2312" w:cs="仿宋_GB2312" w:eastAsia="仿宋_GB2312"/>
              </w:rPr>
              <w:t>按照阿坝州国资委清产核资的要求，制定本公司切实可行的清产核资工作方案并上报阿坝州国资委备案。</w:t>
            </w:r>
          </w:p>
          <w:p>
            <w:pPr>
              <w:pStyle w:val="null3"/>
              <w:jc w:val="left"/>
            </w:pPr>
            <w:r>
              <w:rPr>
                <w:rFonts w:ascii="仿宋_GB2312" w:hAnsi="仿宋_GB2312" w:cs="仿宋_GB2312" w:eastAsia="仿宋_GB2312"/>
              </w:rPr>
              <w:t>（3）在公司范围内进行业务培训</w:t>
            </w:r>
          </w:p>
          <w:p>
            <w:pPr>
              <w:pStyle w:val="null3"/>
              <w:jc w:val="left"/>
            </w:pPr>
            <w:r>
              <w:rPr>
                <w:rFonts w:ascii="仿宋_GB2312" w:hAnsi="仿宋_GB2312" w:cs="仿宋_GB2312" w:eastAsia="仿宋_GB2312"/>
              </w:rPr>
              <w:t>召开公司清产核资布置暨培训会，落实公司清产核资工作任务，下发清产核资工作方案。</w:t>
            </w:r>
          </w:p>
          <w:p>
            <w:pPr>
              <w:pStyle w:val="null3"/>
              <w:jc w:val="left"/>
            </w:pPr>
            <w:r>
              <w:rPr>
                <w:rFonts w:ascii="仿宋_GB2312" w:hAnsi="仿宋_GB2312" w:cs="仿宋_GB2312" w:eastAsia="仿宋_GB2312"/>
              </w:rPr>
              <w:t>2、清产核资工作实施（预计30个日历日）</w:t>
            </w:r>
          </w:p>
          <w:p>
            <w:pPr>
              <w:pStyle w:val="null3"/>
              <w:jc w:val="left"/>
            </w:pPr>
            <w:r>
              <w:rPr>
                <w:rFonts w:ascii="仿宋_GB2312" w:hAnsi="仿宋_GB2312" w:cs="仿宋_GB2312" w:eastAsia="仿宋_GB2312"/>
              </w:rPr>
              <w:t>会计师事务所进入公司，参与企业清产核资工作的全过程并负有相关责任。企业要积极配合，提供审计工作和经济鉴证所必要的资料和线索，企业和个人不得干预社会中介机构的正常职业行为。</w:t>
            </w:r>
          </w:p>
          <w:p>
            <w:pPr>
              <w:pStyle w:val="null3"/>
              <w:jc w:val="left"/>
            </w:pPr>
            <w:r>
              <w:rPr>
                <w:rFonts w:ascii="仿宋_GB2312" w:hAnsi="仿宋_GB2312" w:cs="仿宋_GB2312" w:eastAsia="仿宋_GB2312"/>
              </w:rPr>
              <w:t>按照有关规章制度，对企业的资产、负责、所有者权益进行认真、全面、实事求是地核对和清理，保证企业账账相符、账证相符、账实相符。对申请核销的各项资产损失，要有外部法律效力证明或具有说服力的内部证明。</w:t>
            </w:r>
          </w:p>
          <w:p>
            <w:pPr>
              <w:pStyle w:val="null3"/>
              <w:jc w:val="left"/>
            </w:pPr>
            <w:r>
              <w:rPr>
                <w:rFonts w:ascii="仿宋_GB2312" w:hAnsi="仿宋_GB2312" w:cs="仿宋_GB2312" w:eastAsia="仿宋_GB2312"/>
              </w:rPr>
              <w:t>各子公司根据清产核资工作结果，审核并汇总全部申报材料，向所属集团或阿坝州国资委清产核资报告及相关资料，并按照《会计档案管理办法》的规定，妥善保管清产核资工作的各种档案资料。</w:t>
            </w:r>
          </w:p>
          <w:p>
            <w:pPr>
              <w:pStyle w:val="null3"/>
              <w:jc w:val="left"/>
            </w:pPr>
            <w:r>
              <w:rPr>
                <w:rFonts w:ascii="仿宋_GB2312" w:hAnsi="仿宋_GB2312" w:cs="仿宋_GB2312" w:eastAsia="仿宋_GB2312"/>
              </w:rPr>
              <w:t>清产核资工作结果申报材料主要包括下列内容：</w:t>
            </w:r>
          </w:p>
          <w:p>
            <w:pPr>
              <w:pStyle w:val="null3"/>
              <w:jc w:val="left"/>
            </w:pPr>
            <w:r>
              <w:rPr>
                <w:rFonts w:ascii="仿宋_GB2312" w:hAnsi="仿宋_GB2312" w:cs="仿宋_GB2312" w:eastAsia="仿宋_GB2312"/>
              </w:rPr>
              <w:t>①清产核资工作报告。主要反映本企业的清产核资工作基本情况，包括：企业清产核资的工作基准日、范围、内容、结果以及基准日资产及财务状况。</w:t>
            </w:r>
          </w:p>
          <w:p>
            <w:pPr>
              <w:pStyle w:val="null3"/>
              <w:jc w:val="left"/>
            </w:pPr>
            <w:r>
              <w:rPr>
                <w:rFonts w:ascii="仿宋_GB2312" w:hAnsi="仿宋_GB2312" w:cs="仿宋_GB2312" w:eastAsia="仿宋_GB2312"/>
              </w:rPr>
              <w:t>②按规定表式填报的清产核资报表及相关材料。</w:t>
            </w:r>
          </w:p>
          <w:p>
            <w:pPr>
              <w:pStyle w:val="null3"/>
              <w:jc w:val="left"/>
            </w:pPr>
            <w:r>
              <w:rPr>
                <w:rFonts w:ascii="仿宋_GB2312" w:hAnsi="仿宋_GB2312" w:cs="仿宋_GB2312" w:eastAsia="仿宋_GB2312"/>
              </w:rPr>
              <w:t>③需申报处理的资产损失和资金挂账等相关材料应当单独汇编成册，并附有关原始资料而和具有法律效力的证明材料。</w:t>
            </w:r>
          </w:p>
          <w:p>
            <w:pPr>
              <w:pStyle w:val="null3"/>
              <w:jc w:val="left"/>
            </w:pPr>
            <w:r>
              <w:rPr>
                <w:rFonts w:ascii="仿宋_GB2312" w:hAnsi="仿宋_GB2312" w:cs="仿宋_GB2312" w:eastAsia="仿宋_GB2312"/>
              </w:rPr>
              <w:t>④子公司是控股企业的，还应当附送经董事会或者股东会同意对清产核资损益进行处理的书面证明。</w:t>
            </w:r>
          </w:p>
          <w:p>
            <w:pPr>
              <w:pStyle w:val="null3"/>
              <w:jc w:val="left"/>
            </w:pPr>
            <w:r>
              <w:rPr>
                <w:rFonts w:ascii="仿宋_GB2312" w:hAnsi="仿宋_GB2312" w:cs="仿宋_GB2312" w:eastAsia="仿宋_GB2312"/>
              </w:rPr>
              <w:t>⑤社会中介机构根据企业清产核资的结果，出具经注册会计师签字的清产核资专项财务审计报告，并编制清产核资后的企业会计报表。</w:t>
            </w:r>
          </w:p>
          <w:p>
            <w:pPr>
              <w:pStyle w:val="null3"/>
              <w:jc w:val="left"/>
            </w:pPr>
            <w:r>
              <w:rPr>
                <w:rFonts w:ascii="仿宋_GB2312" w:hAnsi="仿宋_GB2312" w:cs="仿宋_GB2312" w:eastAsia="仿宋_GB2312"/>
              </w:rPr>
              <w:t>⑥其他需提供的备查材料。</w:t>
            </w:r>
          </w:p>
          <w:p>
            <w:pPr>
              <w:pStyle w:val="null3"/>
              <w:jc w:val="left"/>
            </w:pPr>
            <w:r>
              <w:rPr>
                <w:rFonts w:ascii="仿宋_GB2312" w:hAnsi="仿宋_GB2312" w:cs="仿宋_GB2312" w:eastAsia="仿宋_GB2312"/>
              </w:rPr>
              <w:t>⑦集团公司或一级企业审核、汇总所属企业清产核资结果并向国资委上报。认真审核、整理、汇总所属企业清产核资工作结果、申报材料，并形成公司总体的清产核资申报材料，向集团清产核资的结果。</w:t>
            </w:r>
          </w:p>
          <w:p>
            <w:pPr>
              <w:pStyle w:val="null3"/>
              <w:jc w:val="left"/>
            </w:pPr>
            <w:r>
              <w:rPr>
                <w:rFonts w:ascii="仿宋_GB2312" w:hAnsi="仿宋_GB2312" w:cs="仿宋_GB2312" w:eastAsia="仿宋_GB2312"/>
              </w:rPr>
              <w:t>3、账务处理阶段（视国资委批复时间而定）</w:t>
            </w:r>
          </w:p>
          <w:p>
            <w:pPr>
              <w:pStyle w:val="null3"/>
              <w:jc w:val="left"/>
            </w:pPr>
            <w:r>
              <w:rPr>
                <w:rFonts w:ascii="仿宋_GB2312" w:hAnsi="仿宋_GB2312" w:cs="仿宋_GB2312" w:eastAsia="仿宋_GB2312"/>
              </w:rPr>
              <w:t>依据阿坝州国资委批复清产核资批复后，进行清产核资结果的进行账务处理。</w:t>
            </w:r>
          </w:p>
          <w:p>
            <w:pPr>
              <w:pStyle w:val="null3"/>
              <w:jc w:val="left"/>
            </w:pPr>
            <w:r>
              <w:rPr>
                <w:rFonts w:ascii="仿宋_GB2312" w:hAnsi="仿宋_GB2312" w:cs="仿宋_GB2312" w:eastAsia="仿宋_GB2312"/>
              </w:rPr>
              <w:t>（八）清产核资的工作要求和工作纪律</w:t>
            </w:r>
          </w:p>
          <w:p>
            <w:pPr>
              <w:pStyle w:val="null3"/>
              <w:jc w:val="left"/>
            </w:pPr>
            <w:r>
              <w:rPr>
                <w:rFonts w:ascii="仿宋_GB2312" w:hAnsi="仿宋_GB2312" w:cs="仿宋_GB2312" w:eastAsia="仿宋_GB2312"/>
              </w:rPr>
              <w:t>为使这次清产核资工作达到预期目标，提出如下要求：</w:t>
            </w:r>
          </w:p>
          <w:p>
            <w:pPr>
              <w:pStyle w:val="null3"/>
              <w:jc w:val="left"/>
            </w:pPr>
            <w:r>
              <w:rPr>
                <w:rFonts w:ascii="仿宋_GB2312" w:hAnsi="仿宋_GB2312" w:cs="仿宋_GB2312" w:eastAsia="仿宋_GB2312"/>
              </w:rPr>
              <w:t>1、精心组织，周密策划。对清产核资工作结果进行归档管理。</w:t>
            </w:r>
          </w:p>
          <w:p>
            <w:pPr>
              <w:pStyle w:val="null3"/>
              <w:jc w:val="left"/>
            </w:pPr>
            <w:r>
              <w:rPr>
                <w:rFonts w:ascii="仿宋_GB2312" w:hAnsi="仿宋_GB2312" w:cs="仿宋_GB2312" w:eastAsia="仿宋_GB2312"/>
              </w:rPr>
              <w:t>2、认真执行国资委的《国有企业清产核资办法》等相关制度规定，做到全面彻底、不重不漏，保证清产核资工作结果真实、可靠。</w:t>
            </w:r>
          </w:p>
          <w:p>
            <w:pPr>
              <w:pStyle w:val="null3"/>
              <w:jc w:val="left"/>
            </w:pPr>
            <w:r>
              <w:rPr>
                <w:rFonts w:ascii="仿宋_GB2312" w:hAnsi="仿宋_GB2312" w:cs="仿宋_GB2312" w:eastAsia="仿宋_GB2312"/>
              </w:rPr>
              <w:t>3、坚持实事求是原则，如实暴露存在的矛盾和问题。对清查出的各项资产损失均应按要求取得合法证据或提出具有法定效力的经济鉴证材料，不得虚报，瞒报。并根据实际情况，依据国家清产核资政策和有关财务会计制度规定，认真研究并提出处理意见。</w:t>
            </w:r>
          </w:p>
          <w:p>
            <w:pPr>
              <w:pStyle w:val="null3"/>
              <w:jc w:val="left"/>
            </w:pPr>
            <w:r>
              <w:rPr>
                <w:rFonts w:ascii="仿宋_GB2312" w:hAnsi="仿宋_GB2312" w:cs="仿宋_GB2312" w:eastAsia="仿宋_GB2312"/>
              </w:rPr>
              <w:t>4、企业经批准财务核销的各项不良债权，不良投资及实物损失，要建立“账销案存”管理制度，组织力量或成立专门机构继续进行清理和追索，避免国有资产流失。</w:t>
            </w:r>
          </w:p>
          <w:p>
            <w:pPr>
              <w:pStyle w:val="null3"/>
              <w:jc w:val="left"/>
            </w:pPr>
            <w:r>
              <w:rPr>
                <w:rFonts w:ascii="仿宋_GB2312" w:hAnsi="仿宋_GB2312" w:cs="仿宋_GB2312" w:eastAsia="仿宋_GB2312"/>
              </w:rPr>
              <w:t>5、高度重视资产损失调查取证工作，严格按照国家有关清产核资损失认定标准办理。确保上报的每一笔损失都有可靠的证明材料支持，务求清产核资工作结果真实、可靠。</w:t>
            </w:r>
          </w:p>
          <w:p>
            <w:pPr>
              <w:pStyle w:val="null3"/>
              <w:jc w:val="left"/>
            </w:pPr>
            <w:r>
              <w:rPr>
                <w:rFonts w:ascii="仿宋_GB2312" w:hAnsi="仿宋_GB2312" w:cs="仿宋_GB2312" w:eastAsia="仿宋_GB2312"/>
              </w:rPr>
              <w:t>6、努力做好执行《企业会计准则》的衔接工作。研究新的计提准备等会计政策，确保顺利转轨。</w:t>
            </w:r>
          </w:p>
          <w:p>
            <w:pPr>
              <w:pStyle w:val="null3"/>
              <w:jc w:val="left"/>
            </w:pPr>
            <w:r>
              <w:rPr>
                <w:rFonts w:ascii="仿宋_GB2312" w:hAnsi="仿宋_GB2312" w:cs="仿宋_GB2312" w:eastAsia="仿宋_GB2312"/>
              </w:rPr>
              <w:t>7、搞好清产核资后续阶段的管理工作。清产核资资金合适批复完成后，企业应按照有关批复文件的要求，进行财务处理；应按照国家有关资产管理的规定做好产权登记工作，对经批准核销的企业应做好各项资产损失的管理工作。</w:t>
            </w:r>
          </w:p>
          <w:p>
            <w:pPr>
              <w:pStyle w:val="null3"/>
              <w:jc w:val="left"/>
            </w:pPr>
            <w:r>
              <w:rPr>
                <w:rFonts w:ascii="仿宋_GB2312" w:hAnsi="仿宋_GB2312" w:cs="仿宋_GB2312" w:eastAsia="仿宋_GB2312"/>
              </w:rPr>
              <w:t>（九）★人员要求：供应商为本项目配置项目团队，包含：</w:t>
            </w:r>
          </w:p>
          <w:p>
            <w:pPr>
              <w:pStyle w:val="null3"/>
              <w:jc w:val="left"/>
            </w:pPr>
            <w:r>
              <w:rPr>
                <w:rFonts w:ascii="仿宋_GB2312" w:hAnsi="仿宋_GB2312" w:cs="仿宋_GB2312" w:eastAsia="仿宋_GB2312"/>
              </w:rPr>
              <w:t>1、项目负责人1名，具备注册会计师资格。（提供证书复印件）</w:t>
            </w:r>
          </w:p>
          <w:p>
            <w:pPr>
              <w:pStyle w:val="null3"/>
              <w:jc w:val="left"/>
            </w:pPr>
            <w:r>
              <w:rPr>
                <w:rFonts w:ascii="仿宋_GB2312" w:hAnsi="仿宋_GB2312" w:cs="仿宋_GB2312" w:eastAsia="仿宋_GB2312"/>
              </w:rPr>
              <w:t>2、技术人员7名，具备会计师（或审计师）中级职称。（提供证书复印件）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四川省阿坝州，采购人指定地点。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采购文件的质量要求和技术指标、供应商的响应文件及承诺与合同约定标准进行验收；采购人与供应商双方如对质量要求和技术指标的约定标准有相互抵触或异议的事项，由采购人在采购文件及响应文件中按质量要求和技术指标比较优胜的原则确定该项的约定标准进行验收；其他未尽事宜应严格按照《财政部关于进一步加强政府采购需求和履约验收管理的指导意见》(财库〔2016〕205号)、《政府采购需求管理办法》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1、合同签订后，达到付款条件起10日内，支付合同总金额的40.00%</w:t>
            </w:r>
          </w:p>
          <w:p>
            <w:pPr>
              <w:pStyle w:val="null3"/>
              <w:jc w:val="left"/>
            </w:pPr>
            <w:r>
              <w:rPr>
                <w:rFonts w:ascii="仿宋_GB2312" w:hAnsi="仿宋_GB2312" w:cs="仿宋_GB2312" w:eastAsia="仿宋_GB2312"/>
              </w:rPr>
              <w:t>2、项目履行完成并验收合格，达到付款条件起10日内，支付合同总金额的60.00%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1)采购人和供应商双方必须遵守合同并执行合同中的各项规定，保证合同的正常履行。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3)合同履行期间,若双方发生争议，可协商或由有关部门调解解决，协商或调解不成的，按照下列方式解决：向采购人所在地人民法院起诉。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针对本项目提供实施方案，内容包含：①本项目重点难点分析及解决措施；②清产核资工作流程；③人员工作岗位划分及工作职责；④项目进度计划及保障措施；⑤项目资料管理方案；⑥保密措施；⑦项目沟通机制。 2.供应商针对本项目配置的人员团队中，技术人员具有会计师（或审计师）高级职称，具有注册会计师。 3.项目负责人自2022年1月1日（含1日）至递交响应文件截止日负责过类似清产核资项目。 4.技术人员自2022年1月1日（含1日）至递交响应文件截止日参与过类似清产核资项目。 5.供应商自2022年1月1日（含1日）至响应文件递交截止日具有类似项目履约经验。 具体要求以评审细则及标准为准。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投标（响应）文件资格补充材料.docx,投标（响应）函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根据实际情况提供以下材料之一），①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②供应商注册时间截至响应文件提交截止之日前不足一年的，也可提供在相关主管部门备案的公司章程等证明材料。③非营利性单位或其他机关事业单位以符合财务会计制度为准。④供应商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投标（响应）文件资格补充材料.docx,投标（响应）函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投标（响应）文件资格补充材料.docx,投标（响应）函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供应商具有国家行政主管部门颁发的会计师事务所执业证书。</w:t>
            </w:r>
          </w:p>
        </w:tc>
        <w:tc>
          <w:tcPr>
            <w:tcW w:type="dxa" w:w="3322"/>
          </w:tcPr>
          <w:p>
            <w:pPr>
              <w:pStyle w:val="null3"/>
              <w:jc w:val="left"/>
            </w:pPr>
            <w:r>
              <w:rPr>
                <w:rFonts w:ascii="仿宋_GB2312" w:hAnsi="仿宋_GB2312" w:cs="仿宋_GB2312" w:eastAsia="仿宋_GB2312"/>
              </w:rPr>
              <w:t>供应商具有国家行政主管部门颁发的会计师事务所执业证书。（提供复印件）</w:t>
            </w:r>
          </w:p>
        </w:tc>
        <w:tc>
          <w:tcPr>
            <w:tcW w:type="dxa" w:w="1910"/>
          </w:tcPr>
          <w:p>
            <w:pPr>
              <w:pStyle w:val="null3"/>
              <w:jc w:val="left"/>
            </w:pPr>
            <w:r>
              <w:rPr>
                <w:rFonts w:ascii="仿宋_GB2312" w:hAnsi="仿宋_GB2312" w:cs="仿宋_GB2312" w:eastAsia="仿宋_GB2312"/>
              </w:rPr>
              <w:t>投标（响应）文件资格补充材料.docx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实质性要求承诺函-竞争性磋商.docx,投标（响应）文件其他补充材料.docx,投标（响应）函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 磋商小组认为供应商的报价明显低于其他通过有效性审查供应商的报价，有可能影响产品质量或者不能诚信履约的，应当要求其在合理的时间内通过项目电子化交易系统进行书面说明，必要时提交相关证明材料；供应商不能证明其报价合理性的，磋商小组应当将其作为无效磋商处理。 供应商的书面说明材料应当按照国家财务会计制度的规定要求，逐项就供应商提供的货物、工程和服务的主营业务成本、税金及附加、销售费用、管理费用、财务费用等成本构成事项详细陈述）。 2. 供应商书面说明应当加盖公章，否则无效。 3.供应商提供书面说明后，磋商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磋商小组应当将其响应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不属于采购文件规定的无效情形</w:t>
            </w:r>
          </w:p>
        </w:tc>
        <w:tc>
          <w:tcPr>
            <w:tcW w:type="dxa" w:w="3322"/>
          </w:tcPr>
          <w:p>
            <w:pPr>
              <w:pStyle w:val="null3"/>
              <w:jc w:val="left"/>
            </w:pPr>
            <w:r>
              <w:rPr>
                <w:rFonts w:ascii="仿宋_GB2312" w:hAnsi="仿宋_GB2312" w:cs="仿宋_GB2312" w:eastAsia="仿宋_GB2312"/>
              </w:rPr>
              <w:t>是否有采购文件规定的无效情形</w:t>
            </w:r>
          </w:p>
        </w:tc>
        <w:tc>
          <w:tcPr>
            <w:tcW w:type="dxa" w:w="1910"/>
          </w:tcPr>
          <w:p>
            <w:pPr>
              <w:pStyle w:val="null3"/>
              <w:jc w:val="left"/>
            </w:pPr>
            <w:r>
              <w:rPr>
                <w:rFonts w:ascii="仿宋_GB2312" w:hAnsi="仿宋_GB2312" w:cs="仿宋_GB2312" w:eastAsia="仿宋_GB2312"/>
              </w:rPr>
              <w:t>响应文件封面,实质性要求承诺函-竞争性磋商.docx,投标（响应）文件其他补充材料.docx,投标（响应）函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是否满足采购文件第三章实质性要求</w:t>
            </w:r>
          </w:p>
        </w:tc>
        <w:tc>
          <w:tcPr>
            <w:tcW w:type="dxa" w:w="1910"/>
          </w:tcPr>
          <w:p>
            <w:pPr>
              <w:pStyle w:val="null3"/>
              <w:jc w:val="left"/>
            </w:pPr>
            <w:r>
              <w:rPr>
                <w:rFonts w:ascii="仿宋_GB2312" w:hAnsi="仿宋_GB2312" w:cs="仿宋_GB2312" w:eastAsia="仿宋_GB2312"/>
              </w:rPr>
              <w:t>实质性要求承诺函-竞争性磋商.docx,投标（响应）文件其他补充材料.docx,投标（响应）函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服务应答</w:t>
            </w:r>
          </w:p>
        </w:tc>
        <w:tc>
          <w:tcPr>
            <w:tcW w:type="dxa" w:w="2575"/>
          </w:tcPr>
          <w:p>
            <w:pPr>
              <w:pStyle w:val="null3"/>
              <w:jc w:val="left"/>
            </w:pPr>
            <w:r>
              <w:rPr>
                <w:rFonts w:ascii="仿宋_GB2312" w:hAnsi="仿宋_GB2312" w:cs="仿宋_GB2312" w:eastAsia="仿宋_GB2312"/>
              </w:rPr>
              <w:t>供应商完全响应“技术服务要求”没有负偏离得28分，每有一项内容有负偏离扣4分，扣完为止。 注：以序号“（一）”“（二）”...计项数，共计七项。标注“★”为实质性要求，不计入评分。</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针对本项目提供的实施方案进行评审，内容包含：①本项目重点难点分析及解决措施；②清产核资工作流程；③人员工作岗位划分及工作职责；④项目进度计划及保障措施；⑤项目资料管理方案；⑥保密措施；⑦项目沟通机制。以上7项内容完整且符合项目要求得35分，每缺一项扣5分，每有一项内容存在缺陷扣2.5分，扣完为止。 注：缺陷是指：①本项目提供的方案中引用法律、规范、标准存在失效或错误②非专门针对本项目或内容与本项目需求无关③仅有框架或标题④复制或套用其他项目内容，以上任意一种情形。</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人员要求</w:t>
            </w:r>
          </w:p>
        </w:tc>
        <w:tc>
          <w:tcPr>
            <w:tcW w:type="dxa" w:w="2575"/>
          </w:tcPr>
          <w:p>
            <w:pPr>
              <w:pStyle w:val="null3"/>
              <w:jc w:val="left"/>
            </w:pPr>
            <w:r>
              <w:rPr>
                <w:rFonts w:ascii="仿宋_GB2312" w:hAnsi="仿宋_GB2312" w:cs="仿宋_GB2312" w:eastAsia="仿宋_GB2312"/>
              </w:rPr>
              <w:t>1.供应商针对本项目配置的人员团队中，每有一名技术人员具有会计师（或审计师）高级职称得1分，本小项最多得3分；（提供证书复印件，并加盖供应商公章或电子签章） 2.供应商针对本项目配置的人员团队中，每有一名技术人员具有注册会计师得1分，本小项最多得3分。（提供证书复印件，并加盖供应商公章或电子签章。） 注：序号1-序号2中同一人员具有多个证书不重复计分。 3.项目负责人自2022年1月1日（含1日）至递交响应文件截止日负责过类似清产核资项目，每有一个得2分，本小项最高得6分。（提供报告扫描件，至少需提供报告正文第一页和项目审计负责人签章页[签章须与本次拟配置的项目负责人一致]；或提供委托单位加盖公章的人员证明材料,并加盖供应商公章或电子签章） 4.技术人员自2022年1月1日（含1日）至递交响应文件截止日参与过类似清产核资项目，每有一个得2分，本项最高得6分。（提供报告扫描件，至少需提供报告封面和报告中注册会计师签章页影印件或提供委托合同，合同中能体现出该人员姓名的证明材料，或提供委托单位加盖公章的人员证明材料，并加盖供应商公章或电子签章） 注：序号4若为同一项目不重复计分。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供应商自2022年1月1日（含1日）至响应文件递交截止日具有类似项目履约经验，每提供一个得3分，本项最多得9分。 注：提供中标（成交）通知书或合同扫描件加盖供应商公章或电子签章。提供中标（成交）通知书的以落款日期为准，提供合同的以签订日期为准。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投标（响应）文件其他补充材料.docx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w:t>
            </w:r>
          </w:p>
        </w:tc>
        <w:tc>
          <w:tcPr>
            <w:tcW w:type="dxa" w:w="2575"/>
          </w:tcPr>
          <w:p>
            <w:pPr>
              <w:pStyle w:val="null3"/>
              <w:jc w:val="left"/>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详见附件：投标（响应）文件资格补充材料.docx</w:t>
      </w:r>
    </w:p>
    <w:p>
      <w:pPr>
        <w:pStyle w:val="null3"/>
        <w:ind w:firstLine="960"/>
        <w:jc w:val="left"/>
      </w:pPr>
      <w:r>
        <w:rPr>
          <w:rFonts w:ascii="仿宋_GB2312" w:hAnsi="仿宋_GB2312" w:cs="仿宋_GB2312" w:eastAsia="仿宋_GB2312"/>
        </w:rPr>
        <w:t>详见附件：投标（响应）文件其他补充材料.docx</w:t>
      </w:r>
    </w:p>
    <w:p>
      <w:pPr>
        <w:pStyle w:val="null3"/>
        <w:ind w:firstLine="960"/>
        <w:jc w:val="left"/>
      </w:pPr>
      <w:r>
        <w:rPr>
          <w:rFonts w:ascii="仿宋_GB2312" w:hAnsi="仿宋_GB2312" w:cs="仿宋_GB2312" w:eastAsia="仿宋_GB2312"/>
        </w:rPr>
        <w:t>详见附件：实质性要求承诺函-竞争性磋商.docx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