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FBC86">
      <w:pPr>
        <w:tabs>
          <w:tab w:val="left" w:pos="7665"/>
        </w:tabs>
        <w:spacing w:line="400" w:lineRule="exact"/>
        <w:ind w:firstLine="643"/>
        <w:jc w:val="center"/>
        <w:outlineLvl w:val="0"/>
        <w:rPr>
          <w:rFonts w:hint="eastAsia" w:ascii="宋体" w:hAnsi="宋体" w:eastAsia="宋体" w:cs="宋体"/>
          <w:b/>
          <w:sz w:val="36"/>
          <w:szCs w:val="36"/>
        </w:rPr>
      </w:pPr>
      <w:r>
        <w:rPr>
          <w:rFonts w:hint="eastAsia" w:ascii="宋体" w:hAnsi="宋体" w:eastAsia="宋体" w:cs="宋体"/>
          <w:b/>
          <w:sz w:val="36"/>
          <w:szCs w:val="36"/>
        </w:rPr>
        <w:t>政府采购合同</w:t>
      </w:r>
      <w:permStart w:id="0" w:edGrp="everyone"/>
      <w:permEnd w:id="0"/>
      <w:bookmarkStart w:id="0" w:name="_Hlt101846155"/>
      <w:bookmarkEnd w:id="0"/>
    </w:p>
    <w:p w14:paraId="1F9B7228">
      <w:pPr>
        <w:ind w:firstLine="560"/>
        <w:rPr>
          <w:rFonts w:hint="eastAsia" w:ascii="宋体" w:hAnsi="宋体" w:eastAsia="宋体" w:cs="宋体"/>
        </w:rPr>
      </w:pPr>
    </w:p>
    <w:p w14:paraId="691B7EF8">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合同编号：</w:t>
      </w:r>
      <w:r>
        <w:rPr>
          <w:rFonts w:hint="eastAsia" w:ascii="宋体" w:hAnsi="宋体" w:eastAsia="宋体" w:cs="宋体"/>
          <w:color w:val="auto"/>
          <w:kern w:val="2"/>
          <w:sz w:val="24"/>
          <w:szCs w:val="24"/>
          <w:u w:val="single"/>
        </w:rPr>
        <w:t xml:space="preserve">                    </w:t>
      </w:r>
      <w:r>
        <w:rPr>
          <w:rFonts w:hint="eastAsia" w:ascii="宋体" w:hAnsi="宋体" w:eastAsia="宋体" w:cs="宋体"/>
          <w:color w:val="auto"/>
          <w:kern w:val="2"/>
          <w:sz w:val="24"/>
          <w:szCs w:val="24"/>
        </w:rPr>
        <w:t xml:space="preserve"> </w:t>
      </w:r>
    </w:p>
    <w:p w14:paraId="57CEB50C">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color w:val="auto"/>
          <w:kern w:val="2"/>
          <w:sz w:val="24"/>
          <w:szCs w:val="24"/>
          <w:u w:val="single"/>
        </w:rPr>
      </w:pPr>
      <w:r>
        <w:rPr>
          <w:rFonts w:hint="eastAsia" w:ascii="宋体" w:hAnsi="宋体" w:eastAsia="宋体" w:cs="宋体"/>
          <w:color w:val="auto"/>
          <w:kern w:val="2"/>
          <w:sz w:val="24"/>
          <w:szCs w:val="24"/>
        </w:rPr>
        <w:t>签订地点：</w:t>
      </w:r>
      <w:r>
        <w:rPr>
          <w:rFonts w:hint="eastAsia" w:ascii="宋体" w:hAnsi="宋体" w:eastAsia="宋体" w:cs="宋体"/>
          <w:color w:val="auto"/>
          <w:kern w:val="2"/>
          <w:sz w:val="24"/>
          <w:szCs w:val="24"/>
          <w:u w:val="single"/>
        </w:rPr>
        <w:t xml:space="preserve">                    </w:t>
      </w:r>
    </w:p>
    <w:p w14:paraId="53912DD1">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color w:val="auto"/>
          <w:kern w:val="2"/>
          <w:sz w:val="24"/>
          <w:szCs w:val="24"/>
          <w:u w:val="single"/>
        </w:rPr>
      </w:pPr>
      <w:r>
        <w:rPr>
          <w:rFonts w:hint="eastAsia" w:ascii="宋体" w:hAnsi="宋体" w:eastAsia="宋体" w:cs="宋体"/>
          <w:color w:val="auto"/>
          <w:kern w:val="2"/>
          <w:sz w:val="24"/>
          <w:szCs w:val="24"/>
        </w:rPr>
        <w:t>签订时间：</w:t>
      </w:r>
      <w:r>
        <w:rPr>
          <w:rFonts w:hint="eastAsia" w:ascii="宋体" w:hAnsi="宋体" w:eastAsia="宋体" w:cs="宋体"/>
          <w:color w:val="auto"/>
          <w:kern w:val="2"/>
          <w:sz w:val="24"/>
          <w:szCs w:val="24"/>
          <w:u w:val="single"/>
        </w:rPr>
        <w:t xml:space="preserve">                     </w:t>
      </w:r>
    </w:p>
    <w:p w14:paraId="71059F4C">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color w:val="auto"/>
          <w:kern w:val="2"/>
          <w:sz w:val="24"/>
          <w:szCs w:val="24"/>
          <w:u w:val="single"/>
        </w:rPr>
      </w:pPr>
      <w:r>
        <w:rPr>
          <w:rFonts w:hint="eastAsia" w:ascii="宋体" w:hAnsi="宋体" w:eastAsia="宋体" w:cs="宋体"/>
          <w:color w:val="auto"/>
          <w:kern w:val="2"/>
          <w:sz w:val="24"/>
          <w:szCs w:val="24"/>
        </w:rPr>
        <w:t>采购人名称(甲方)：</w:t>
      </w:r>
      <w:r>
        <w:rPr>
          <w:rFonts w:hint="eastAsia" w:ascii="宋体" w:hAnsi="宋体" w:eastAsia="宋体" w:cs="宋体"/>
          <w:color w:val="auto"/>
          <w:kern w:val="2"/>
          <w:sz w:val="24"/>
          <w:szCs w:val="24"/>
          <w:u w:val="single"/>
        </w:rPr>
        <w:t xml:space="preserve">                             </w:t>
      </w:r>
    </w:p>
    <w:p w14:paraId="0EA420AB">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color w:val="auto"/>
          <w:kern w:val="2"/>
          <w:sz w:val="24"/>
          <w:szCs w:val="24"/>
          <w:u w:val="single"/>
        </w:rPr>
      </w:pPr>
      <w:r>
        <w:rPr>
          <w:rFonts w:hint="eastAsia" w:ascii="宋体" w:hAnsi="宋体" w:eastAsia="宋体" w:cs="宋体"/>
          <w:color w:val="auto"/>
          <w:kern w:val="2"/>
          <w:sz w:val="24"/>
          <w:szCs w:val="24"/>
        </w:rPr>
        <w:t>成交供应商名称(乙方)：</w:t>
      </w:r>
      <w:r>
        <w:rPr>
          <w:rFonts w:hint="eastAsia" w:ascii="宋体" w:hAnsi="宋体" w:eastAsia="宋体" w:cs="宋体"/>
          <w:color w:val="auto"/>
          <w:kern w:val="2"/>
          <w:sz w:val="24"/>
          <w:szCs w:val="24"/>
          <w:u w:val="single"/>
        </w:rPr>
        <w:t xml:space="preserve">                          </w:t>
      </w:r>
    </w:p>
    <w:p w14:paraId="3082C60E">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2" w:firstLineChars="200"/>
        <w:jc w:val="left"/>
        <w:textAlignment w:val="auto"/>
        <w:rPr>
          <w:rFonts w:hint="eastAsia" w:ascii="宋体" w:hAnsi="宋体" w:eastAsia="宋体" w:cs="宋体"/>
          <w:b/>
          <w:bCs/>
          <w:snapToGrid w:val="0"/>
          <w:color w:val="auto"/>
          <w:kern w:val="2"/>
          <w:sz w:val="24"/>
          <w:szCs w:val="24"/>
        </w:rPr>
      </w:pPr>
      <w:r>
        <w:rPr>
          <w:rFonts w:hint="eastAsia" w:ascii="宋体" w:hAnsi="宋体" w:eastAsia="宋体" w:cs="宋体"/>
          <w:b/>
          <w:bCs/>
          <w:snapToGrid w:val="0"/>
          <w:color w:val="auto"/>
          <w:kern w:val="2"/>
          <w:sz w:val="24"/>
          <w:szCs w:val="24"/>
        </w:rPr>
        <w:t>合同类型：</w:t>
      </w:r>
      <w:r>
        <w:rPr>
          <w:rFonts w:hint="eastAsia" w:ascii="宋体" w:hAnsi="宋体" w:eastAsia="宋体" w:cs="宋体"/>
          <w:b/>
          <w:bCs/>
          <w:snapToGrid w:val="0"/>
          <w:color w:val="auto"/>
          <w:kern w:val="2"/>
          <w:sz w:val="24"/>
          <w:szCs w:val="24"/>
          <w:u w:val="single"/>
        </w:rPr>
        <w:t>委托合同</w:t>
      </w:r>
    </w:p>
    <w:p w14:paraId="06AED132">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0" w:firstLineChars="0"/>
        <w:jc w:val="left"/>
        <w:textAlignment w:val="auto"/>
        <w:rPr>
          <w:rFonts w:hint="eastAsia" w:ascii="宋体" w:hAnsi="宋体" w:eastAsia="宋体" w:cs="宋体"/>
          <w:snapToGrid w:val="0"/>
          <w:color w:val="auto"/>
          <w:kern w:val="2"/>
          <w:sz w:val="24"/>
          <w:szCs w:val="24"/>
        </w:rPr>
      </w:pPr>
    </w:p>
    <w:p w14:paraId="5EEC71E3">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snapToGrid w:val="0"/>
          <w:color w:val="auto"/>
          <w:kern w:val="2"/>
          <w:sz w:val="24"/>
          <w:szCs w:val="24"/>
        </w:rPr>
      </w:pPr>
      <w:r>
        <w:rPr>
          <w:rFonts w:hint="eastAsia" w:ascii="宋体" w:hAnsi="宋体" w:eastAsia="宋体" w:cs="宋体"/>
          <w:snapToGrid w:val="0"/>
          <w:color w:val="auto"/>
          <w:kern w:val="2"/>
          <w:sz w:val="24"/>
          <w:szCs w:val="24"/>
        </w:rPr>
        <w:t>根据《中华人民共和国民法典》、《中华人民共和国政府采购法》、《中华人民共和国政府采购法实施条例》(国务院令第658号)、《政府采购竞争性磋商采购方式管理暂行办法》及国企改革重组清产核资专项审计服务项目(项目编号：N5132112025000029)的《竞争性磋商文件》、乙方的《响应文件》及《成交通知书》，甲、乙双方同意签订本合同。详细技术说明及其他有关合同项目的特定信息由合同附件予以说明，合同附件及本项目的竞争性磋商文件、响应文件、《成交通知书》等均为本合同不可分割的部分。双方同意共同遵守如下条款：</w:t>
      </w:r>
    </w:p>
    <w:p w14:paraId="3393774D">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2" w:firstLineChars="200"/>
        <w:jc w:val="left"/>
        <w:textAlignment w:val="auto"/>
        <w:rPr>
          <w:rFonts w:hint="eastAsia" w:ascii="宋体" w:hAnsi="宋体" w:eastAsia="宋体" w:cs="宋体"/>
          <w:b/>
          <w:snapToGrid w:val="0"/>
          <w:color w:val="auto"/>
          <w:kern w:val="2"/>
          <w:sz w:val="24"/>
          <w:szCs w:val="24"/>
        </w:rPr>
      </w:pPr>
      <w:bookmarkStart w:id="1" w:name="_Toc32647"/>
      <w:r>
        <w:rPr>
          <w:rFonts w:hint="eastAsia" w:ascii="宋体" w:hAnsi="宋体" w:eastAsia="宋体" w:cs="宋体"/>
          <w:b/>
          <w:snapToGrid w:val="0"/>
          <w:color w:val="auto"/>
          <w:kern w:val="2"/>
          <w:sz w:val="24"/>
          <w:szCs w:val="24"/>
        </w:rPr>
        <w:t>一、项目基本情况</w:t>
      </w:r>
      <w:bookmarkEnd w:id="1"/>
    </w:p>
    <w:p w14:paraId="49AA97B2">
      <w:pPr>
        <w:keepNext w:val="0"/>
        <w:keepLines w:val="0"/>
        <w:pageBreakBefore w:val="0"/>
        <w:widowControl w:val="0"/>
        <w:tabs>
          <w:tab w:val="left" w:pos="0"/>
        </w:tabs>
        <w:kinsoku/>
        <w:wordWrap/>
        <w:overflowPunct/>
        <w:autoSpaceDE/>
        <w:autoSpaceDN/>
        <w:bidi w:val="0"/>
        <w:adjustRightInd w:val="0"/>
        <w:snapToGrid w:val="0"/>
        <w:spacing w:line="440" w:lineRule="exact"/>
        <w:ind w:firstLine="0" w:firstLineChars="0"/>
        <w:jc w:val="left"/>
        <w:textAlignment w:val="auto"/>
        <w:rPr>
          <w:rFonts w:hint="eastAsia" w:ascii="宋体" w:hAnsi="宋体" w:eastAsia="宋体" w:cs="宋体"/>
          <w:color w:val="auto"/>
          <w:kern w:val="2"/>
          <w:sz w:val="24"/>
          <w:szCs w:val="24"/>
        </w:rPr>
      </w:pPr>
    </w:p>
    <w:p w14:paraId="32E356FE">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2" w:firstLineChars="200"/>
        <w:jc w:val="left"/>
        <w:textAlignment w:val="auto"/>
        <w:rPr>
          <w:rFonts w:hint="eastAsia" w:ascii="宋体" w:hAnsi="宋体" w:eastAsia="宋体" w:cs="宋体"/>
          <w:b/>
          <w:snapToGrid w:val="0"/>
          <w:color w:val="auto"/>
          <w:kern w:val="2"/>
          <w:sz w:val="24"/>
          <w:szCs w:val="24"/>
        </w:rPr>
      </w:pPr>
      <w:bookmarkStart w:id="2" w:name="_Toc580"/>
      <w:r>
        <w:rPr>
          <w:rFonts w:hint="eastAsia" w:ascii="宋体" w:hAnsi="宋体" w:eastAsia="宋体" w:cs="宋体"/>
          <w:b/>
          <w:snapToGrid w:val="0"/>
          <w:color w:val="auto"/>
          <w:kern w:val="2"/>
          <w:sz w:val="24"/>
          <w:szCs w:val="24"/>
        </w:rPr>
        <w:t>二、合同履行</w:t>
      </w:r>
      <w:bookmarkEnd w:id="2"/>
    </w:p>
    <w:p w14:paraId="35046B88">
      <w:pPr>
        <w:keepNext w:val="0"/>
        <w:keepLines w:val="0"/>
        <w:pageBreakBefore w:val="0"/>
        <w:widowControl w:val="0"/>
        <w:numPr>
          <w:ilvl w:val="1"/>
          <w:numId w:val="1"/>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履约期限：</w:t>
      </w:r>
    </w:p>
    <w:p w14:paraId="28399392">
      <w:pPr>
        <w:keepNext w:val="0"/>
        <w:keepLines w:val="0"/>
        <w:pageBreakBefore w:val="0"/>
        <w:widowControl w:val="0"/>
        <w:numPr>
          <w:ilvl w:val="1"/>
          <w:numId w:val="1"/>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履行地点：</w:t>
      </w:r>
    </w:p>
    <w:p w14:paraId="202836F6">
      <w:pPr>
        <w:keepNext w:val="0"/>
        <w:keepLines w:val="0"/>
        <w:pageBreakBefore w:val="0"/>
        <w:widowControl w:val="0"/>
        <w:numPr>
          <w:ilvl w:val="1"/>
          <w:numId w:val="1"/>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履约方式：</w:t>
      </w:r>
    </w:p>
    <w:p w14:paraId="0B428AC5">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2" w:firstLineChars="200"/>
        <w:jc w:val="left"/>
        <w:textAlignment w:val="auto"/>
        <w:rPr>
          <w:rFonts w:hint="eastAsia" w:ascii="宋体" w:hAnsi="宋体" w:eastAsia="宋体" w:cs="宋体"/>
          <w:b/>
          <w:snapToGrid w:val="0"/>
          <w:kern w:val="2"/>
          <w:sz w:val="24"/>
          <w:szCs w:val="24"/>
        </w:rPr>
      </w:pPr>
      <w:bookmarkStart w:id="3" w:name="_Toc19331"/>
      <w:bookmarkStart w:id="4" w:name="_Toc237145406"/>
      <w:bookmarkStart w:id="5" w:name="_Toc239568418"/>
      <w:bookmarkStart w:id="6" w:name="_Toc247334841"/>
      <w:bookmarkStart w:id="7" w:name="_Toc282696226"/>
      <w:bookmarkStart w:id="8" w:name="_Toc212019594"/>
      <w:bookmarkStart w:id="9" w:name="_Toc241833903"/>
      <w:bookmarkStart w:id="10" w:name="_Toc225654644"/>
      <w:bookmarkStart w:id="11" w:name="_Toc225670751"/>
      <w:bookmarkStart w:id="12" w:name="_Toc211911348"/>
      <w:bookmarkStart w:id="13" w:name="_Toc286993786"/>
      <w:bookmarkStart w:id="14" w:name="_Toc225244852"/>
      <w:bookmarkStart w:id="15" w:name="_Toc239233914"/>
      <w:bookmarkStart w:id="16" w:name="_Toc238984975"/>
      <w:bookmarkStart w:id="17" w:name="_Toc185395249"/>
      <w:bookmarkStart w:id="18" w:name="_Toc283019214"/>
      <w:bookmarkStart w:id="19" w:name="_Toc211854449"/>
      <w:bookmarkStart w:id="20" w:name="_Toc232492928"/>
      <w:bookmarkStart w:id="21" w:name="_Toc251768862"/>
      <w:r>
        <w:rPr>
          <w:rFonts w:hint="eastAsia" w:ascii="宋体" w:hAnsi="宋体" w:eastAsia="宋体" w:cs="宋体"/>
          <w:b/>
          <w:snapToGrid w:val="0"/>
          <w:kern w:val="2"/>
          <w:sz w:val="24"/>
          <w:szCs w:val="24"/>
        </w:rPr>
        <w:t>三、合同标的</w:t>
      </w:r>
      <w:bookmarkEnd w:id="3"/>
    </w:p>
    <w:p w14:paraId="533586B8">
      <w:pPr>
        <w:keepNext w:val="0"/>
        <w:keepLines w:val="0"/>
        <w:pageBreakBefore w:val="0"/>
        <w:widowControl w:val="0"/>
        <w:numPr>
          <w:ilvl w:val="1"/>
          <w:numId w:val="2"/>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XXXX……；</w:t>
      </w:r>
    </w:p>
    <w:p w14:paraId="76C333F3">
      <w:pPr>
        <w:keepNext w:val="0"/>
        <w:keepLines w:val="0"/>
        <w:pageBreakBefore w:val="0"/>
        <w:widowControl w:val="0"/>
        <w:numPr>
          <w:ilvl w:val="1"/>
          <w:numId w:val="2"/>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数量(若涉及填写)；</w:t>
      </w:r>
    </w:p>
    <w:p w14:paraId="30E8D084">
      <w:pPr>
        <w:keepNext w:val="0"/>
        <w:keepLines w:val="0"/>
        <w:pageBreakBefore w:val="0"/>
        <w:widowControl w:val="0"/>
        <w:numPr>
          <w:ilvl w:val="1"/>
          <w:numId w:val="2"/>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质量(若涉及填写)；</w:t>
      </w:r>
    </w:p>
    <w:p w14:paraId="3697C447">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2" w:firstLineChars="200"/>
        <w:jc w:val="left"/>
        <w:textAlignment w:val="auto"/>
        <w:rPr>
          <w:rFonts w:hint="eastAsia" w:ascii="宋体" w:hAnsi="宋体" w:eastAsia="宋体" w:cs="宋体"/>
          <w:b/>
          <w:snapToGrid w:val="0"/>
          <w:kern w:val="2"/>
          <w:sz w:val="24"/>
          <w:szCs w:val="24"/>
        </w:rPr>
      </w:pPr>
      <w:bookmarkStart w:id="22" w:name="_Toc20046"/>
      <w:r>
        <w:rPr>
          <w:rFonts w:hint="eastAsia" w:ascii="宋体" w:hAnsi="宋体" w:eastAsia="宋体" w:cs="宋体"/>
          <w:b/>
          <w:snapToGrid w:val="0"/>
          <w:kern w:val="2"/>
          <w:sz w:val="24"/>
          <w:szCs w:val="24"/>
        </w:rPr>
        <w:t>四、质量标准</w:t>
      </w:r>
      <w:bookmarkEnd w:id="22"/>
    </w:p>
    <w:p w14:paraId="1ADF2AC8">
      <w:pPr>
        <w:keepNext w:val="0"/>
        <w:keepLines w:val="0"/>
        <w:pageBreakBefore w:val="0"/>
        <w:widowControl w:val="0"/>
        <w:numPr>
          <w:ilvl w:val="1"/>
          <w:numId w:val="3"/>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XXXX；</w:t>
      </w:r>
    </w:p>
    <w:p w14:paraId="1658741A">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2" w:firstLineChars="200"/>
        <w:jc w:val="left"/>
        <w:textAlignment w:val="auto"/>
        <w:rPr>
          <w:rFonts w:hint="eastAsia" w:ascii="宋体" w:hAnsi="宋体" w:eastAsia="宋体" w:cs="宋体"/>
          <w:b/>
          <w:snapToGrid w:val="0"/>
          <w:kern w:val="2"/>
          <w:sz w:val="24"/>
          <w:szCs w:val="24"/>
          <w:highlight w:val="none"/>
        </w:rPr>
      </w:pPr>
      <w:bookmarkStart w:id="23" w:name="_Toc29061"/>
      <w:r>
        <w:rPr>
          <w:rFonts w:hint="eastAsia" w:ascii="宋体" w:hAnsi="宋体" w:eastAsia="宋体" w:cs="宋体"/>
          <w:b/>
          <w:snapToGrid w:val="0"/>
          <w:kern w:val="2"/>
          <w:sz w:val="24"/>
          <w:szCs w:val="24"/>
          <w:highlight w:val="none"/>
        </w:rPr>
        <w:t>五、验收要求</w:t>
      </w:r>
      <w:bookmarkEnd w:id="23"/>
    </w:p>
    <w:p w14:paraId="75AD0852">
      <w:pPr>
        <w:keepNext w:val="0"/>
        <w:keepLines w:val="0"/>
        <w:pageBreakBefore w:val="0"/>
        <w:widowControl w:val="0"/>
        <w:numPr>
          <w:ilvl w:val="1"/>
          <w:numId w:val="4"/>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highlight w:val="none"/>
        </w:rPr>
      </w:pPr>
      <w:bookmarkStart w:id="24" w:name="_Toc28552"/>
      <w:r>
        <w:rPr>
          <w:rFonts w:hint="eastAsia" w:ascii="宋体" w:hAnsi="宋体" w:eastAsia="宋体" w:cs="宋体"/>
          <w:kern w:val="2"/>
          <w:sz w:val="24"/>
          <w:szCs w:val="24"/>
          <w:highlight w:val="none"/>
        </w:rPr>
        <w:t>履约验收主体：</w:t>
      </w:r>
      <w:r>
        <w:rPr>
          <w:rFonts w:hint="eastAsia" w:ascii="宋体" w:hAnsi="宋体" w:eastAsia="宋体" w:cs="宋体"/>
          <w:kern w:val="2"/>
          <w:sz w:val="24"/>
          <w:szCs w:val="24"/>
          <w:highlight w:val="none"/>
          <w:lang w:val="en-US" w:eastAsia="zh-CN"/>
        </w:rPr>
        <w:t>甲方</w:t>
      </w:r>
      <w:r>
        <w:rPr>
          <w:rFonts w:hint="eastAsia" w:ascii="宋体" w:hAnsi="宋体" w:eastAsia="宋体" w:cs="宋体"/>
          <w:kern w:val="2"/>
          <w:sz w:val="24"/>
          <w:szCs w:val="24"/>
          <w:highlight w:val="none"/>
        </w:rPr>
        <w:t>。</w:t>
      </w:r>
    </w:p>
    <w:p w14:paraId="3342FB26">
      <w:pPr>
        <w:keepNext w:val="0"/>
        <w:keepLines w:val="0"/>
        <w:pageBreakBefore w:val="0"/>
        <w:widowControl w:val="0"/>
        <w:numPr>
          <w:ilvl w:val="1"/>
          <w:numId w:val="4"/>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验收时间：</w:t>
      </w:r>
      <w:r>
        <w:rPr>
          <w:rFonts w:hint="eastAsia" w:ascii="宋体" w:hAnsi="宋体" w:eastAsia="宋体" w:cs="宋体"/>
          <w:kern w:val="2"/>
          <w:sz w:val="24"/>
          <w:szCs w:val="24"/>
          <w:highlight w:val="none"/>
          <w:lang w:eastAsia="zh-CN"/>
        </w:rPr>
        <w:t>乙方</w:t>
      </w:r>
      <w:r>
        <w:rPr>
          <w:rFonts w:hint="eastAsia" w:ascii="宋体" w:hAnsi="宋体" w:eastAsia="宋体" w:cs="宋体"/>
          <w:kern w:val="2"/>
          <w:sz w:val="24"/>
          <w:szCs w:val="24"/>
          <w:highlight w:val="none"/>
        </w:rPr>
        <w:t>提出验收申请之日起</w:t>
      </w:r>
      <w:r>
        <w:rPr>
          <w:rFonts w:hint="eastAsia" w:ascii="宋体" w:hAnsi="宋体" w:eastAsia="宋体" w:cs="宋体"/>
          <w:kern w:val="2"/>
          <w:sz w:val="24"/>
          <w:szCs w:val="24"/>
          <w:highlight w:val="none"/>
          <w:lang w:val="en-US" w:eastAsia="zh-CN"/>
        </w:rPr>
        <w:t>10</w:t>
      </w:r>
      <w:r>
        <w:rPr>
          <w:rFonts w:hint="eastAsia" w:ascii="宋体" w:hAnsi="宋体" w:eastAsia="宋体" w:cs="宋体"/>
          <w:kern w:val="2"/>
          <w:sz w:val="24"/>
          <w:szCs w:val="24"/>
          <w:highlight w:val="none"/>
        </w:rPr>
        <w:t>日内组织验收。</w:t>
      </w:r>
    </w:p>
    <w:p w14:paraId="4CE9FEB0">
      <w:pPr>
        <w:keepNext w:val="0"/>
        <w:keepLines w:val="0"/>
        <w:pageBreakBefore w:val="0"/>
        <w:widowControl w:val="0"/>
        <w:numPr>
          <w:ilvl w:val="1"/>
          <w:numId w:val="4"/>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验收方式：自行验收。</w:t>
      </w:r>
    </w:p>
    <w:p w14:paraId="273A6400">
      <w:pPr>
        <w:keepNext w:val="0"/>
        <w:keepLines w:val="0"/>
        <w:pageBreakBefore w:val="0"/>
        <w:widowControl w:val="0"/>
        <w:numPr>
          <w:ilvl w:val="1"/>
          <w:numId w:val="4"/>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验收程序：一次性验收。</w:t>
      </w:r>
    </w:p>
    <w:p w14:paraId="106A804F">
      <w:pPr>
        <w:keepNext w:val="0"/>
        <w:keepLines w:val="0"/>
        <w:pageBreakBefore w:val="0"/>
        <w:widowControl w:val="0"/>
        <w:numPr>
          <w:ilvl w:val="1"/>
          <w:numId w:val="4"/>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验收内容：按照本项目技术和商务要求及合同约定验收。</w:t>
      </w:r>
    </w:p>
    <w:p w14:paraId="686FF9DC">
      <w:pPr>
        <w:keepNext w:val="0"/>
        <w:keepLines w:val="0"/>
        <w:pageBreakBefore w:val="0"/>
        <w:widowControl w:val="0"/>
        <w:numPr>
          <w:ilvl w:val="1"/>
          <w:numId w:val="4"/>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highlight w:val="none"/>
        </w:rPr>
        <w:t>验收标准：按国家有关规定以及采购文件的质量要求和技术指标、</w:t>
      </w:r>
      <w:r>
        <w:rPr>
          <w:rFonts w:hint="eastAsia" w:ascii="宋体" w:hAnsi="宋体" w:eastAsia="宋体" w:cs="宋体"/>
          <w:kern w:val="2"/>
          <w:sz w:val="24"/>
          <w:szCs w:val="24"/>
          <w:highlight w:val="none"/>
          <w:lang w:eastAsia="zh-CN"/>
        </w:rPr>
        <w:t>乙方</w:t>
      </w:r>
      <w:r>
        <w:rPr>
          <w:rFonts w:hint="eastAsia" w:ascii="宋体" w:hAnsi="宋体" w:eastAsia="宋体" w:cs="宋体"/>
          <w:kern w:val="2"/>
          <w:sz w:val="24"/>
          <w:szCs w:val="24"/>
          <w:highlight w:val="none"/>
        </w:rPr>
        <w:t>的</w:t>
      </w:r>
      <w:r>
        <w:rPr>
          <w:rFonts w:hint="eastAsia" w:ascii="宋体" w:hAnsi="宋体" w:eastAsia="宋体" w:cs="宋体"/>
          <w:kern w:val="2"/>
          <w:sz w:val="24"/>
          <w:szCs w:val="24"/>
          <w:highlight w:val="none"/>
          <w:lang w:val="en-US" w:eastAsia="zh-CN"/>
        </w:rPr>
        <w:t>响应</w:t>
      </w:r>
      <w:r>
        <w:rPr>
          <w:rFonts w:hint="eastAsia" w:ascii="宋体" w:hAnsi="宋体" w:eastAsia="宋体" w:cs="宋体"/>
          <w:kern w:val="2"/>
          <w:sz w:val="24"/>
          <w:szCs w:val="24"/>
          <w:highlight w:val="none"/>
        </w:rPr>
        <w:t>文件及承诺与本合同约定标准进行验收；</w:t>
      </w:r>
      <w:r>
        <w:rPr>
          <w:rFonts w:hint="eastAsia" w:ascii="宋体" w:hAnsi="宋体" w:eastAsia="宋体" w:cs="宋体"/>
          <w:kern w:val="2"/>
          <w:sz w:val="24"/>
          <w:szCs w:val="24"/>
          <w:highlight w:val="none"/>
          <w:lang w:eastAsia="zh-CN"/>
        </w:rPr>
        <w:t>甲方</w:t>
      </w:r>
      <w:r>
        <w:rPr>
          <w:rFonts w:hint="eastAsia" w:ascii="宋体" w:hAnsi="宋体" w:eastAsia="宋体" w:cs="宋体"/>
          <w:kern w:val="2"/>
          <w:sz w:val="24"/>
          <w:szCs w:val="24"/>
          <w:highlight w:val="none"/>
        </w:rPr>
        <w:t>与</w:t>
      </w:r>
      <w:r>
        <w:rPr>
          <w:rFonts w:hint="eastAsia" w:ascii="宋体" w:hAnsi="宋体" w:eastAsia="宋体" w:cs="宋体"/>
          <w:kern w:val="2"/>
          <w:sz w:val="24"/>
          <w:szCs w:val="24"/>
          <w:highlight w:val="none"/>
          <w:lang w:eastAsia="zh-CN"/>
        </w:rPr>
        <w:t>乙方</w:t>
      </w:r>
      <w:r>
        <w:rPr>
          <w:rFonts w:hint="eastAsia" w:ascii="宋体" w:hAnsi="宋体" w:eastAsia="宋体" w:cs="宋体"/>
          <w:kern w:val="2"/>
          <w:sz w:val="24"/>
          <w:szCs w:val="24"/>
          <w:highlight w:val="none"/>
        </w:rPr>
        <w:t>双方如</w:t>
      </w:r>
      <w:r>
        <w:rPr>
          <w:rFonts w:hint="eastAsia" w:ascii="宋体" w:hAnsi="宋体" w:eastAsia="宋体" w:cs="宋体"/>
          <w:kern w:val="2"/>
          <w:sz w:val="24"/>
          <w:szCs w:val="24"/>
        </w:rPr>
        <w:t>对质量要求和技术指标的约定标准有相互抵触或异议的事项，由</w:t>
      </w:r>
      <w:r>
        <w:rPr>
          <w:rFonts w:hint="eastAsia" w:ascii="宋体" w:hAnsi="宋体" w:eastAsia="宋体" w:cs="宋体"/>
          <w:kern w:val="2"/>
          <w:sz w:val="24"/>
          <w:szCs w:val="24"/>
          <w:lang w:eastAsia="zh-CN"/>
        </w:rPr>
        <w:t>甲方</w:t>
      </w:r>
      <w:r>
        <w:rPr>
          <w:rFonts w:hint="eastAsia" w:ascii="宋体" w:hAnsi="宋体" w:eastAsia="宋体" w:cs="宋体"/>
          <w:kern w:val="2"/>
          <w:sz w:val="24"/>
          <w:szCs w:val="24"/>
        </w:rPr>
        <w:t>在采购文件及</w:t>
      </w:r>
      <w:r>
        <w:rPr>
          <w:rFonts w:hint="eastAsia" w:ascii="宋体" w:hAnsi="宋体" w:eastAsia="宋体" w:cs="宋体"/>
          <w:kern w:val="2"/>
          <w:sz w:val="24"/>
          <w:szCs w:val="24"/>
          <w:highlight w:val="none"/>
          <w:lang w:val="en-US" w:eastAsia="zh-CN"/>
        </w:rPr>
        <w:t>响应</w:t>
      </w:r>
      <w:r>
        <w:rPr>
          <w:rFonts w:hint="eastAsia" w:ascii="宋体" w:hAnsi="宋体" w:eastAsia="宋体" w:cs="宋体"/>
          <w:kern w:val="2"/>
          <w:sz w:val="24"/>
          <w:szCs w:val="24"/>
        </w:rPr>
        <w:t>文件中按质量要求和技术指标比较优胜的原则确定该项的约定标准进行验收；其他未尽事宜应严格按照《财政部关于进一步加强政府采购需求和履约验收管理的指导意见》(财库〔2016〕205号)、《政府采购需求管理办法》的要求进行验收。</w:t>
      </w:r>
      <w:bookmarkStart w:id="69" w:name="_GoBack"/>
      <w:bookmarkEnd w:id="69"/>
    </w:p>
    <w:p w14:paraId="115D62FD">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2" w:firstLineChars="200"/>
        <w:jc w:val="left"/>
        <w:textAlignment w:val="auto"/>
        <w:rPr>
          <w:rFonts w:hint="eastAsia" w:ascii="宋体" w:hAnsi="宋体" w:eastAsia="宋体" w:cs="宋体"/>
          <w:b/>
          <w:snapToGrid w:val="0"/>
          <w:kern w:val="2"/>
          <w:sz w:val="24"/>
          <w:szCs w:val="24"/>
        </w:rPr>
      </w:pPr>
      <w:r>
        <w:rPr>
          <w:rFonts w:hint="eastAsia" w:ascii="宋体" w:hAnsi="宋体" w:eastAsia="宋体" w:cs="宋体"/>
          <w:b/>
          <w:snapToGrid w:val="0"/>
          <w:kern w:val="2"/>
          <w:sz w:val="24"/>
          <w:szCs w:val="24"/>
        </w:rPr>
        <w:t>六、合同价款及支付方式</w:t>
      </w:r>
      <w:bookmarkEnd w:id="24"/>
    </w:p>
    <w:p w14:paraId="0468F6B7">
      <w:pPr>
        <w:keepNext w:val="0"/>
        <w:keepLines w:val="0"/>
        <w:pageBreakBefore w:val="0"/>
        <w:widowControl w:val="0"/>
        <w:numPr>
          <w:ilvl w:val="1"/>
          <w:numId w:val="4"/>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本项目合同价款由以下组成：</w:t>
      </w:r>
    </w:p>
    <w:p w14:paraId="24132653">
      <w:pPr>
        <w:keepNext w:val="0"/>
        <w:keepLines w:val="0"/>
        <w:pageBreakBefore w:val="0"/>
        <w:widowControl w:val="0"/>
        <w:numPr>
          <w:ilvl w:val="1"/>
          <w:numId w:val="4"/>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XX万元；</w:t>
      </w:r>
    </w:p>
    <w:p w14:paraId="41594F3E">
      <w:pPr>
        <w:keepNext w:val="0"/>
        <w:keepLines w:val="0"/>
        <w:pageBreakBefore w:val="0"/>
        <w:widowControl w:val="0"/>
        <w:numPr>
          <w:ilvl w:val="1"/>
          <w:numId w:val="4"/>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w:t>
      </w:r>
    </w:p>
    <w:p w14:paraId="479B391A">
      <w:pPr>
        <w:keepNext w:val="0"/>
        <w:keepLines w:val="0"/>
        <w:pageBreakBefore w:val="0"/>
        <w:widowControl w:val="0"/>
        <w:numPr>
          <w:ilvl w:val="1"/>
          <w:numId w:val="4"/>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 xml:space="preserve">支付方式： </w:t>
      </w:r>
    </w:p>
    <w:p w14:paraId="2210C4D9">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2" w:firstLineChars="200"/>
        <w:jc w:val="left"/>
        <w:textAlignment w:val="auto"/>
        <w:rPr>
          <w:rFonts w:hint="eastAsia" w:ascii="宋体" w:hAnsi="宋体" w:eastAsia="宋体" w:cs="宋体"/>
          <w:b/>
          <w:snapToGrid w:val="0"/>
          <w:kern w:val="2"/>
          <w:sz w:val="24"/>
          <w:szCs w:val="24"/>
        </w:rPr>
      </w:pPr>
      <w:bookmarkStart w:id="25" w:name="_Toc16182"/>
      <w:r>
        <w:rPr>
          <w:rFonts w:hint="eastAsia" w:ascii="宋体" w:hAnsi="宋体" w:eastAsia="宋体" w:cs="宋体"/>
          <w:b/>
          <w:snapToGrid w:val="0"/>
          <w:kern w:val="2"/>
          <w:sz w:val="24"/>
          <w:szCs w:val="24"/>
        </w:rPr>
        <w:t>七、知识产权</w:t>
      </w:r>
      <w:bookmarkEnd w:id="25"/>
    </w:p>
    <w:p w14:paraId="6A2E6EF9">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乙方应保证所提供的服务或其任何一部分均不会侵犯任何第三方的专利权、商标权或著作权。</w:t>
      </w:r>
    </w:p>
    <w:p w14:paraId="7084F9E2">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2" w:firstLineChars="200"/>
        <w:jc w:val="left"/>
        <w:textAlignment w:val="auto"/>
        <w:rPr>
          <w:rFonts w:hint="eastAsia" w:ascii="宋体" w:hAnsi="宋体" w:eastAsia="宋体" w:cs="宋体"/>
          <w:b/>
          <w:snapToGrid w:val="0"/>
          <w:kern w:val="2"/>
          <w:sz w:val="24"/>
          <w:szCs w:val="24"/>
        </w:rPr>
      </w:pPr>
      <w:bookmarkStart w:id="26" w:name="_Toc12538"/>
      <w:r>
        <w:rPr>
          <w:rFonts w:hint="eastAsia" w:ascii="宋体" w:hAnsi="宋体" w:eastAsia="宋体" w:cs="宋体"/>
          <w:b/>
          <w:snapToGrid w:val="0"/>
          <w:kern w:val="2"/>
          <w:sz w:val="24"/>
          <w:szCs w:val="24"/>
        </w:rPr>
        <w:t>八、无产权瑕疵条款</w:t>
      </w:r>
      <w:bookmarkEnd w:id="26"/>
    </w:p>
    <w:p w14:paraId="792131CC">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乙方保证所提供的服务的所有权完全属于乙方且无任何抵押、查封等产权瑕疵。如有产权瑕疵的，视为乙方违约。乙方应负担由此而产生的一切损失。</w:t>
      </w:r>
    </w:p>
    <w:p w14:paraId="1F9298AD">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2" w:firstLineChars="200"/>
        <w:jc w:val="left"/>
        <w:textAlignment w:val="auto"/>
        <w:rPr>
          <w:rFonts w:hint="eastAsia" w:ascii="宋体" w:hAnsi="宋体" w:eastAsia="宋体" w:cs="宋体"/>
          <w:b/>
          <w:snapToGrid w:val="0"/>
          <w:kern w:val="2"/>
          <w:sz w:val="24"/>
          <w:szCs w:val="24"/>
          <w:lang w:eastAsia="zh-CN"/>
        </w:rPr>
      </w:pPr>
      <w:bookmarkStart w:id="27" w:name="_Toc16250"/>
      <w:r>
        <w:rPr>
          <w:rFonts w:hint="eastAsia" w:ascii="宋体" w:hAnsi="宋体" w:eastAsia="宋体" w:cs="宋体"/>
          <w:b/>
          <w:snapToGrid w:val="0"/>
          <w:kern w:val="2"/>
          <w:sz w:val="24"/>
          <w:szCs w:val="24"/>
        </w:rPr>
        <w:t>九、履约保证金</w:t>
      </w:r>
      <w:bookmarkEnd w:id="27"/>
      <w:r>
        <w:rPr>
          <w:rFonts w:hint="eastAsia" w:ascii="宋体" w:hAnsi="宋体" w:eastAsia="宋体" w:cs="宋体"/>
          <w:b/>
          <w:snapToGrid w:val="0"/>
          <w:kern w:val="2"/>
          <w:sz w:val="24"/>
          <w:szCs w:val="24"/>
          <w:lang w:eastAsia="zh-CN"/>
        </w:rPr>
        <w:t>（</w:t>
      </w:r>
      <w:r>
        <w:rPr>
          <w:rFonts w:hint="eastAsia" w:ascii="宋体" w:hAnsi="宋体" w:eastAsia="宋体" w:cs="宋体"/>
          <w:b/>
          <w:snapToGrid w:val="0"/>
          <w:kern w:val="2"/>
          <w:sz w:val="24"/>
          <w:szCs w:val="24"/>
          <w:lang w:val="en-US" w:eastAsia="zh-CN"/>
        </w:rPr>
        <w:t>如有</w:t>
      </w:r>
      <w:r>
        <w:rPr>
          <w:rFonts w:hint="eastAsia" w:ascii="宋体" w:hAnsi="宋体" w:eastAsia="宋体" w:cs="宋体"/>
          <w:b/>
          <w:snapToGrid w:val="0"/>
          <w:kern w:val="2"/>
          <w:sz w:val="24"/>
          <w:szCs w:val="24"/>
          <w:lang w:eastAsia="zh-CN"/>
        </w:rPr>
        <w:t>）</w:t>
      </w:r>
    </w:p>
    <w:p w14:paraId="4BB4583A">
      <w:pPr>
        <w:keepNext w:val="0"/>
        <w:keepLines w:val="0"/>
        <w:pageBreakBefore w:val="0"/>
        <w:widowControl w:val="0"/>
        <w:numPr>
          <w:ilvl w:val="1"/>
          <w:numId w:val="5"/>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乙方缴纳人民币XX元作为本合同的履约保证金。</w:t>
      </w:r>
    </w:p>
    <w:p w14:paraId="2C39FDA4">
      <w:pPr>
        <w:keepNext w:val="0"/>
        <w:keepLines w:val="0"/>
        <w:pageBreakBefore w:val="0"/>
        <w:widowControl w:val="0"/>
        <w:numPr>
          <w:ilvl w:val="1"/>
          <w:numId w:val="5"/>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履约保证金作为违约金的一部分及用于补偿甲方因乙方不能履行合同义务而蒙受的损失。</w:t>
      </w:r>
    </w:p>
    <w:p w14:paraId="0505FBE2">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2" w:firstLineChars="200"/>
        <w:jc w:val="left"/>
        <w:textAlignment w:val="auto"/>
        <w:rPr>
          <w:rFonts w:hint="eastAsia" w:ascii="宋体" w:hAnsi="宋体" w:eastAsia="宋体" w:cs="宋体"/>
          <w:b/>
          <w:snapToGrid w:val="0"/>
          <w:kern w:val="2"/>
          <w:sz w:val="24"/>
          <w:szCs w:val="24"/>
        </w:rPr>
      </w:pPr>
      <w:bookmarkStart w:id="28" w:name="_Toc5634"/>
      <w:r>
        <w:rPr>
          <w:rFonts w:hint="eastAsia" w:ascii="宋体" w:hAnsi="宋体" w:eastAsia="宋体" w:cs="宋体"/>
          <w:b/>
          <w:snapToGrid w:val="0"/>
          <w:kern w:val="2"/>
          <w:sz w:val="24"/>
          <w:szCs w:val="24"/>
        </w:rPr>
        <w:t>十、甲方的权利和义务</w:t>
      </w:r>
      <w:bookmarkEnd w:id="28"/>
    </w:p>
    <w:p w14:paraId="271100E4">
      <w:pPr>
        <w:keepNext w:val="0"/>
        <w:keepLines w:val="0"/>
        <w:pageBreakBefore w:val="0"/>
        <w:widowControl w:val="0"/>
        <w:numPr>
          <w:ilvl w:val="1"/>
          <w:numId w:val="6"/>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0B38B83B">
      <w:pPr>
        <w:keepNext w:val="0"/>
        <w:keepLines w:val="0"/>
        <w:pageBreakBefore w:val="0"/>
        <w:widowControl w:val="0"/>
        <w:numPr>
          <w:ilvl w:val="1"/>
          <w:numId w:val="6"/>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甲方有权依据双方签订的考评办法对乙方提供的服务进行定期考评。当考评结果未达到标准时，有权依据考评办法约定的数额扣除履约保证金。</w:t>
      </w:r>
    </w:p>
    <w:p w14:paraId="69828A40">
      <w:pPr>
        <w:keepNext w:val="0"/>
        <w:keepLines w:val="0"/>
        <w:pageBreakBefore w:val="0"/>
        <w:widowControl w:val="0"/>
        <w:numPr>
          <w:ilvl w:val="1"/>
          <w:numId w:val="6"/>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负责检查监督乙方管理工作的实施及制度的执行情况。</w:t>
      </w:r>
    </w:p>
    <w:p w14:paraId="215A326F">
      <w:pPr>
        <w:keepNext w:val="0"/>
        <w:keepLines w:val="0"/>
        <w:pageBreakBefore w:val="0"/>
        <w:widowControl w:val="0"/>
        <w:numPr>
          <w:ilvl w:val="1"/>
          <w:numId w:val="6"/>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根据本合同规定，按时向乙方支付应付服务费用。</w:t>
      </w:r>
    </w:p>
    <w:p w14:paraId="4F80D86B">
      <w:pPr>
        <w:keepNext w:val="0"/>
        <w:keepLines w:val="0"/>
        <w:pageBreakBefore w:val="0"/>
        <w:widowControl w:val="0"/>
        <w:numPr>
          <w:ilvl w:val="1"/>
          <w:numId w:val="6"/>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国家法律、法规所规定由甲方承担的其它责任。</w:t>
      </w:r>
    </w:p>
    <w:p w14:paraId="64A43F17">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2" w:firstLineChars="200"/>
        <w:jc w:val="left"/>
        <w:textAlignment w:val="auto"/>
        <w:rPr>
          <w:rFonts w:hint="eastAsia" w:ascii="宋体" w:hAnsi="宋体" w:eastAsia="宋体" w:cs="宋体"/>
          <w:b/>
          <w:snapToGrid w:val="0"/>
          <w:kern w:val="2"/>
          <w:sz w:val="24"/>
          <w:szCs w:val="24"/>
        </w:rPr>
      </w:pPr>
      <w:bookmarkStart w:id="29" w:name="_Toc17404"/>
      <w:r>
        <w:rPr>
          <w:rFonts w:hint="eastAsia" w:ascii="宋体" w:hAnsi="宋体" w:eastAsia="宋体" w:cs="宋体"/>
          <w:b/>
          <w:snapToGrid w:val="0"/>
          <w:kern w:val="2"/>
          <w:sz w:val="24"/>
          <w:szCs w:val="24"/>
        </w:rPr>
        <w:t>十一、乙方的权利和义务</w:t>
      </w:r>
      <w:bookmarkEnd w:id="29"/>
    </w:p>
    <w:p w14:paraId="3BC85664">
      <w:pPr>
        <w:keepNext w:val="0"/>
        <w:keepLines w:val="0"/>
        <w:pageBreakBefore w:val="0"/>
        <w:widowControl w:val="0"/>
        <w:numPr>
          <w:ilvl w:val="1"/>
          <w:numId w:val="7"/>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对本合同规定的委托服务范围内的项目享有管理权及服务义务。</w:t>
      </w:r>
    </w:p>
    <w:p w14:paraId="6BD5066D">
      <w:pPr>
        <w:keepNext w:val="0"/>
        <w:keepLines w:val="0"/>
        <w:pageBreakBefore w:val="0"/>
        <w:widowControl w:val="0"/>
        <w:numPr>
          <w:ilvl w:val="1"/>
          <w:numId w:val="7"/>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根据本合同的规定向甲方收取相关服务费用，并有权在本项目管理范围内管理及合理使用。</w:t>
      </w:r>
    </w:p>
    <w:p w14:paraId="68328B73">
      <w:pPr>
        <w:keepNext w:val="0"/>
        <w:keepLines w:val="0"/>
        <w:pageBreakBefore w:val="0"/>
        <w:widowControl w:val="0"/>
        <w:numPr>
          <w:ilvl w:val="1"/>
          <w:numId w:val="7"/>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及时向甲方通告本项目服务范围内有关服务的重大事项，及时配合处理投诉。</w:t>
      </w:r>
    </w:p>
    <w:p w14:paraId="155CFA6F">
      <w:pPr>
        <w:keepNext w:val="0"/>
        <w:keepLines w:val="0"/>
        <w:pageBreakBefore w:val="0"/>
        <w:widowControl w:val="0"/>
        <w:numPr>
          <w:ilvl w:val="1"/>
          <w:numId w:val="7"/>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接受项目行业管理部门及政府有关部门的指导，接受甲方的监督。</w:t>
      </w:r>
    </w:p>
    <w:p w14:paraId="5E1C050A">
      <w:pPr>
        <w:keepNext w:val="0"/>
        <w:keepLines w:val="0"/>
        <w:pageBreakBefore w:val="0"/>
        <w:widowControl w:val="0"/>
        <w:numPr>
          <w:ilvl w:val="1"/>
          <w:numId w:val="7"/>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国家法律、法规所规定由乙方承担的其它责任。</w:t>
      </w:r>
    </w:p>
    <w:p w14:paraId="6F0DA62A">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2" w:firstLineChars="200"/>
        <w:jc w:val="left"/>
        <w:textAlignment w:val="auto"/>
        <w:rPr>
          <w:rFonts w:hint="eastAsia" w:ascii="宋体" w:hAnsi="宋体" w:eastAsia="宋体" w:cs="宋体"/>
          <w:b/>
          <w:snapToGrid w:val="0"/>
          <w:kern w:val="2"/>
          <w:sz w:val="24"/>
          <w:szCs w:val="24"/>
        </w:rPr>
      </w:pPr>
      <w:bookmarkStart w:id="30" w:name="_Toc15946"/>
      <w:r>
        <w:rPr>
          <w:rFonts w:hint="eastAsia" w:ascii="宋体" w:hAnsi="宋体" w:eastAsia="宋体" w:cs="宋体"/>
          <w:b/>
          <w:snapToGrid w:val="0"/>
          <w:kern w:val="2"/>
          <w:sz w:val="24"/>
          <w:szCs w:val="24"/>
        </w:rPr>
        <w:t>十二、违约责任</w:t>
      </w:r>
      <w:bookmarkEnd w:id="30"/>
    </w:p>
    <w:p w14:paraId="209CE9E5">
      <w:pPr>
        <w:keepNext w:val="0"/>
        <w:keepLines w:val="0"/>
        <w:pageBreakBefore w:val="0"/>
        <w:widowControl w:val="0"/>
        <w:numPr>
          <w:ilvl w:val="1"/>
          <w:numId w:val="8"/>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甲乙双方必须遵守本合同并执行合同中的各项规定，保证本合同的正常履行。</w:t>
      </w:r>
    </w:p>
    <w:p w14:paraId="0367600C">
      <w:pPr>
        <w:keepNext w:val="0"/>
        <w:keepLines w:val="0"/>
        <w:pageBreakBefore w:val="0"/>
        <w:widowControl w:val="0"/>
        <w:numPr>
          <w:ilvl w:val="1"/>
          <w:numId w:val="8"/>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4836D883">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2" w:firstLineChars="200"/>
        <w:jc w:val="left"/>
        <w:textAlignment w:val="auto"/>
        <w:rPr>
          <w:rFonts w:hint="eastAsia" w:ascii="宋体" w:hAnsi="宋体" w:eastAsia="宋体" w:cs="宋体"/>
          <w:b/>
          <w:snapToGrid w:val="0"/>
          <w:kern w:val="2"/>
          <w:sz w:val="24"/>
          <w:szCs w:val="24"/>
        </w:rPr>
      </w:pPr>
      <w:bookmarkStart w:id="31" w:name="_Toc14302"/>
      <w:r>
        <w:rPr>
          <w:rFonts w:hint="eastAsia" w:ascii="宋体" w:hAnsi="宋体" w:eastAsia="宋体" w:cs="宋体"/>
          <w:b/>
          <w:snapToGrid w:val="0"/>
          <w:kern w:val="2"/>
          <w:sz w:val="24"/>
          <w:szCs w:val="24"/>
        </w:rPr>
        <w:t>十三、不可抗力事件处理</w:t>
      </w:r>
      <w:bookmarkEnd w:id="31"/>
    </w:p>
    <w:p w14:paraId="76567F30">
      <w:pPr>
        <w:keepNext w:val="0"/>
        <w:keepLines w:val="0"/>
        <w:pageBreakBefore w:val="0"/>
        <w:widowControl w:val="0"/>
        <w:numPr>
          <w:ilvl w:val="1"/>
          <w:numId w:val="9"/>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在合同有效期内，任何一方因不可抗力事件导致不能履行合同，则合同履行期可延长，其延长期与不可抗力影响期相同。</w:t>
      </w:r>
    </w:p>
    <w:p w14:paraId="5B9C2DD7">
      <w:pPr>
        <w:keepNext w:val="0"/>
        <w:keepLines w:val="0"/>
        <w:pageBreakBefore w:val="0"/>
        <w:widowControl w:val="0"/>
        <w:numPr>
          <w:ilvl w:val="1"/>
          <w:numId w:val="9"/>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不可抗力事件发生后，应立即通知对方，并寄送有关权威机构出具的证明。</w:t>
      </w:r>
    </w:p>
    <w:p w14:paraId="092E0757">
      <w:pPr>
        <w:keepNext w:val="0"/>
        <w:keepLines w:val="0"/>
        <w:pageBreakBefore w:val="0"/>
        <w:widowControl w:val="0"/>
        <w:numPr>
          <w:ilvl w:val="1"/>
          <w:numId w:val="9"/>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不可抗力事件延续XX天以上，双方应通过友好协商，确定是否继续履行合同。</w:t>
      </w:r>
    </w:p>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14:paraId="6226EA28">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2" w:firstLineChars="200"/>
        <w:jc w:val="left"/>
        <w:textAlignment w:val="auto"/>
        <w:rPr>
          <w:rFonts w:hint="eastAsia" w:ascii="宋体" w:hAnsi="宋体" w:eastAsia="宋体" w:cs="宋体"/>
          <w:b/>
          <w:snapToGrid w:val="0"/>
          <w:kern w:val="2"/>
          <w:sz w:val="24"/>
          <w:szCs w:val="24"/>
        </w:rPr>
      </w:pPr>
      <w:bookmarkStart w:id="32" w:name="_Toc225670756"/>
      <w:bookmarkStart w:id="33" w:name="_Toc239568423"/>
      <w:bookmarkStart w:id="34" w:name="_Toc241833908"/>
      <w:bookmarkStart w:id="35" w:name="_Toc247334846"/>
      <w:bookmarkStart w:id="36" w:name="_Toc238984980"/>
      <w:bookmarkStart w:id="37" w:name="_Toc212019599"/>
      <w:bookmarkStart w:id="38" w:name="_Toc237145411"/>
      <w:bookmarkStart w:id="39" w:name="_Toc225244857"/>
      <w:bookmarkStart w:id="40" w:name="_Toc232492933"/>
      <w:bookmarkStart w:id="41" w:name="_Toc239233919"/>
      <w:bookmarkStart w:id="42" w:name="_Toc225654649"/>
      <w:bookmarkStart w:id="43" w:name="_Toc211854454"/>
      <w:bookmarkStart w:id="44" w:name="_Toc286993792"/>
      <w:bookmarkStart w:id="45" w:name="_Toc185395254"/>
      <w:bookmarkStart w:id="46" w:name="_Toc251768867"/>
      <w:bookmarkStart w:id="47" w:name="_Toc211911353"/>
      <w:bookmarkStart w:id="48" w:name="_Toc29211"/>
      <w:r>
        <w:rPr>
          <w:rFonts w:hint="eastAsia" w:ascii="宋体" w:hAnsi="宋体" w:eastAsia="宋体" w:cs="宋体"/>
          <w:b/>
          <w:snapToGrid w:val="0"/>
          <w:kern w:val="2"/>
          <w:sz w:val="24"/>
          <w:szCs w:val="24"/>
        </w:rPr>
        <w:t>十四、解决</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Pr>
          <w:rFonts w:hint="eastAsia" w:ascii="宋体" w:hAnsi="宋体" w:eastAsia="宋体" w:cs="宋体"/>
          <w:b/>
          <w:snapToGrid w:val="0"/>
          <w:kern w:val="2"/>
          <w:sz w:val="24"/>
          <w:szCs w:val="24"/>
        </w:rPr>
        <w:t>争议的方法</w:t>
      </w:r>
      <w:bookmarkEnd w:id="48"/>
    </w:p>
    <w:p w14:paraId="684FF0B6">
      <w:pPr>
        <w:keepNext w:val="0"/>
        <w:keepLines w:val="0"/>
        <w:pageBreakBefore w:val="0"/>
        <w:widowControl w:val="0"/>
        <w:numPr>
          <w:ilvl w:val="1"/>
          <w:numId w:val="10"/>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因服务的质量问题发生争议，由甲方或其指定的第三方机构进行质量鉴定。服务符合标准的，鉴定费由甲方承担；服务不符合质量标准的，鉴定费由乙方承担。</w:t>
      </w:r>
    </w:p>
    <w:p w14:paraId="5BFF8EE9">
      <w:pPr>
        <w:keepNext w:val="0"/>
        <w:keepLines w:val="0"/>
        <w:pageBreakBefore w:val="0"/>
        <w:widowControl w:val="0"/>
        <w:numPr>
          <w:ilvl w:val="1"/>
          <w:numId w:val="10"/>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合同履行期间,若双方发生争议，可协商或由有关部门调解解决，协商或调解不成的，按照下列方式解决(任选一项，且只能选择一项，在选定的一项前的方框内打“√”)：</w:t>
      </w:r>
    </w:p>
    <w:p w14:paraId="46F87FE8">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 向</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仲裁委员会申请仲裁；□ 向</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所在地人民法院起诉。</w:t>
      </w:r>
    </w:p>
    <w:p w14:paraId="1438E5CE">
      <w:pPr>
        <w:keepNext w:val="0"/>
        <w:keepLines w:val="0"/>
        <w:pageBreakBefore w:val="0"/>
        <w:widowControl w:val="0"/>
        <w:numPr>
          <w:ilvl w:val="1"/>
          <w:numId w:val="10"/>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仲裁裁决应为最终决定，并对双方具有约束力。</w:t>
      </w:r>
    </w:p>
    <w:p w14:paraId="78FFBA53">
      <w:pPr>
        <w:keepNext w:val="0"/>
        <w:keepLines w:val="0"/>
        <w:pageBreakBefore w:val="0"/>
        <w:widowControl w:val="0"/>
        <w:numPr>
          <w:ilvl w:val="1"/>
          <w:numId w:val="10"/>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 xml:space="preserve">除另有裁决外，仲裁费应由败诉方负担。 </w:t>
      </w:r>
    </w:p>
    <w:p w14:paraId="29A9F58D">
      <w:pPr>
        <w:keepNext w:val="0"/>
        <w:keepLines w:val="0"/>
        <w:pageBreakBefore w:val="0"/>
        <w:widowControl w:val="0"/>
        <w:numPr>
          <w:ilvl w:val="1"/>
          <w:numId w:val="10"/>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 xml:space="preserve">在仲裁期间，除正在进行仲裁部分外，合同其他部分继续执行。  </w:t>
      </w:r>
    </w:p>
    <w:p w14:paraId="0085D9A9">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2" w:firstLineChars="200"/>
        <w:jc w:val="left"/>
        <w:textAlignment w:val="auto"/>
        <w:rPr>
          <w:rFonts w:hint="eastAsia" w:ascii="宋体" w:hAnsi="宋体" w:eastAsia="宋体" w:cs="宋体"/>
          <w:b/>
          <w:snapToGrid w:val="0"/>
          <w:kern w:val="2"/>
          <w:sz w:val="24"/>
          <w:szCs w:val="24"/>
        </w:rPr>
      </w:pPr>
      <w:bookmarkStart w:id="49" w:name="_Toc239568424"/>
      <w:bookmarkStart w:id="50" w:name="_Toc241833909"/>
      <w:bookmarkStart w:id="51" w:name="_Toc251768868"/>
      <w:bookmarkStart w:id="52" w:name="_Toc239233920"/>
      <w:bookmarkStart w:id="53" w:name="_Toc247334847"/>
      <w:bookmarkStart w:id="54" w:name="_Toc225670757"/>
      <w:bookmarkStart w:id="55" w:name="_Toc232492934"/>
      <w:bookmarkStart w:id="56" w:name="_Toc211911354"/>
      <w:bookmarkStart w:id="57" w:name="_Toc237145412"/>
      <w:bookmarkStart w:id="58" w:name="_Toc238984981"/>
      <w:bookmarkStart w:id="59" w:name="_Toc283019219"/>
      <w:bookmarkStart w:id="60" w:name="_Toc225654650"/>
      <w:bookmarkStart w:id="61" w:name="_Toc282696231"/>
      <w:bookmarkStart w:id="62" w:name="_Toc185395255"/>
      <w:bookmarkStart w:id="63" w:name="_Toc286993793"/>
      <w:bookmarkStart w:id="64" w:name="_Toc211854455"/>
      <w:bookmarkStart w:id="65" w:name="_Toc212019600"/>
      <w:bookmarkStart w:id="66" w:name="_Toc225244858"/>
      <w:bookmarkStart w:id="67" w:name="_Toc27948"/>
      <w:r>
        <w:rPr>
          <w:rFonts w:hint="eastAsia" w:ascii="宋体" w:hAnsi="宋体" w:eastAsia="宋体" w:cs="宋体"/>
          <w:b/>
          <w:snapToGrid w:val="0"/>
          <w:kern w:val="2"/>
          <w:sz w:val="24"/>
          <w:szCs w:val="24"/>
        </w:rPr>
        <w:t>十五、合同</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Pr>
          <w:rFonts w:hint="eastAsia" w:ascii="宋体" w:hAnsi="宋体" w:eastAsia="宋体" w:cs="宋体"/>
          <w:b/>
          <w:snapToGrid w:val="0"/>
          <w:kern w:val="2"/>
          <w:sz w:val="24"/>
          <w:szCs w:val="24"/>
        </w:rPr>
        <w:t>生效及其他</w:t>
      </w:r>
      <w:bookmarkEnd w:id="67"/>
    </w:p>
    <w:p w14:paraId="52D1182C">
      <w:pPr>
        <w:keepNext w:val="0"/>
        <w:keepLines w:val="0"/>
        <w:pageBreakBefore w:val="0"/>
        <w:widowControl w:val="0"/>
        <w:numPr>
          <w:ilvl w:val="1"/>
          <w:numId w:val="11"/>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合同经双方法定代表人或授权委托代理人签字并加盖单位公章后生效。</w:t>
      </w:r>
    </w:p>
    <w:p w14:paraId="5FEF2462">
      <w:pPr>
        <w:keepNext w:val="0"/>
        <w:keepLines w:val="0"/>
        <w:pageBreakBefore w:val="0"/>
        <w:widowControl w:val="0"/>
        <w:numPr>
          <w:ilvl w:val="1"/>
          <w:numId w:val="11"/>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合同执行中涉及采购资金和采购内容修改或补充的，须经政府采购监管部门审批，并签书面补充协议报政府采购监督管理部门备案，方可作为主合同不可分割的一部分。</w:t>
      </w:r>
    </w:p>
    <w:p w14:paraId="7D374C81">
      <w:pPr>
        <w:keepNext w:val="0"/>
        <w:keepLines w:val="0"/>
        <w:pageBreakBefore w:val="0"/>
        <w:widowControl w:val="0"/>
        <w:numPr>
          <w:ilvl w:val="1"/>
          <w:numId w:val="11"/>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本合同一式XX份，自双方签章之日起起效。甲方XX份，乙方XX份，政府采购代理机构XX份，同级财政部门备案XX份，具有同等法律效力。</w:t>
      </w:r>
    </w:p>
    <w:p w14:paraId="035AE5D3">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482" w:firstLineChars="200"/>
        <w:jc w:val="left"/>
        <w:textAlignment w:val="auto"/>
        <w:rPr>
          <w:rFonts w:hint="eastAsia" w:ascii="宋体" w:hAnsi="宋体" w:eastAsia="宋体" w:cs="宋体"/>
          <w:b/>
          <w:snapToGrid w:val="0"/>
          <w:kern w:val="2"/>
          <w:sz w:val="24"/>
          <w:szCs w:val="24"/>
        </w:rPr>
      </w:pPr>
      <w:bookmarkStart w:id="68" w:name="_Toc25231"/>
      <w:r>
        <w:rPr>
          <w:rFonts w:hint="eastAsia" w:ascii="宋体" w:hAnsi="宋体" w:eastAsia="宋体" w:cs="宋体"/>
          <w:b/>
          <w:snapToGrid w:val="0"/>
          <w:kern w:val="2"/>
          <w:sz w:val="24"/>
          <w:szCs w:val="24"/>
        </w:rPr>
        <w:t>十六、附件</w:t>
      </w:r>
      <w:bookmarkEnd w:id="68"/>
    </w:p>
    <w:p w14:paraId="313523A2">
      <w:pPr>
        <w:keepNext w:val="0"/>
        <w:keepLines w:val="0"/>
        <w:pageBreakBefore w:val="0"/>
        <w:widowControl w:val="0"/>
        <w:numPr>
          <w:ilvl w:val="1"/>
          <w:numId w:val="12"/>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项目竞争性磋商文件。</w:t>
      </w:r>
    </w:p>
    <w:p w14:paraId="393478CF">
      <w:pPr>
        <w:keepNext w:val="0"/>
        <w:keepLines w:val="0"/>
        <w:pageBreakBefore w:val="0"/>
        <w:widowControl w:val="0"/>
        <w:numPr>
          <w:ilvl w:val="1"/>
          <w:numId w:val="12"/>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项目修改澄清文件。</w:t>
      </w:r>
    </w:p>
    <w:p w14:paraId="512171B9">
      <w:pPr>
        <w:keepNext w:val="0"/>
        <w:keepLines w:val="0"/>
        <w:pageBreakBefore w:val="0"/>
        <w:widowControl w:val="0"/>
        <w:numPr>
          <w:ilvl w:val="1"/>
          <w:numId w:val="12"/>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项目响应文件。</w:t>
      </w:r>
    </w:p>
    <w:p w14:paraId="6895DB65">
      <w:pPr>
        <w:keepNext w:val="0"/>
        <w:keepLines w:val="0"/>
        <w:pageBreakBefore w:val="0"/>
        <w:widowControl w:val="0"/>
        <w:numPr>
          <w:ilvl w:val="1"/>
          <w:numId w:val="12"/>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成交通知书。</w:t>
      </w:r>
    </w:p>
    <w:p w14:paraId="0F347623">
      <w:pPr>
        <w:keepNext w:val="0"/>
        <w:keepLines w:val="0"/>
        <w:pageBreakBefore w:val="0"/>
        <w:widowControl w:val="0"/>
        <w:numPr>
          <w:ilvl w:val="1"/>
          <w:numId w:val="12"/>
        </w:numPr>
        <w:tabs>
          <w:tab w:val="left" w:pos="0"/>
        </w:tabs>
        <w:kinsoku/>
        <w:wordWrap/>
        <w:overflowPunct/>
        <w:topLinePunct/>
        <w:autoSpaceDE/>
        <w:autoSpaceDN/>
        <w:bidi w:val="0"/>
        <w:adjustRightInd w:val="0"/>
        <w:snapToGrid w:val="0"/>
        <w:spacing w:line="44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rPr>
        <w:t>其他。</w:t>
      </w:r>
    </w:p>
    <w:p w14:paraId="578C24D8">
      <w:pPr>
        <w:keepNext w:val="0"/>
        <w:keepLines w:val="0"/>
        <w:pageBreakBefore w:val="0"/>
        <w:widowControl w:val="0"/>
        <w:kinsoku/>
        <w:wordWrap/>
        <w:overflowPunct/>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(本页以下无正文)</w:t>
      </w:r>
    </w:p>
    <w:tbl>
      <w:tblPr>
        <w:tblStyle w:val="4"/>
        <w:tblW w:w="5000" w:type="pct"/>
        <w:jc w:val="center"/>
        <w:tblLayout w:type="autofit"/>
        <w:tblCellMar>
          <w:top w:w="0" w:type="dxa"/>
          <w:left w:w="108" w:type="dxa"/>
          <w:bottom w:w="0" w:type="dxa"/>
          <w:right w:w="108" w:type="dxa"/>
        </w:tblCellMar>
      </w:tblPr>
      <w:tblGrid>
        <w:gridCol w:w="4981"/>
        <w:gridCol w:w="4981"/>
      </w:tblGrid>
      <w:tr w14:paraId="3345062F">
        <w:tblPrEx>
          <w:tblCellMar>
            <w:top w:w="0" w:type="dxa"/>
            <w:left w:w="108" w:type="dxa"/>
            <w:bottom w:w="0" w:type="dxa"/>
            <w:right w:w="108" w:type="dxa"/>
          </w:tblCellMar>
        </w:tblPrEx>
        <w:trPr>
          <w:trHeight w:val="715" w:hRule="atLeast"/>
          <w:jc w:val="center"/>
        </w:trPr>
        <w:tc>
          <w:tcPr>
            <w:tcW w:w="2500" w:type="pct"/>
            <w:noWrap w:val="0"/>
            <w:vAlign w:val="center"/>
          </w:tcPr>
          <w:p w14:paraId="51BDBDD6">
            <w:pPr>
              <w:keepNext w:val="0"/>
              <w:keepLines w:val="0"/>
              <w:pageBreakBefore w:val="0"/>
              <w:widowControl w:val="0"/>
              <w:kinsoku/>
              <w:wordWrap/>
              <w:overflowPunct/>
              <w:autoSpaceDE/>
              <w:autoSpaceDN/>
              <w:bidi w:val="0"/>
              <w:adjustRightInd w:val="0"/>
              <w:snapToGrid w:val="0"/>
              <w:spacing w:line="440" w:lineRule="exact"/>
              <w:textAlignment w:val="auto"/>
              <w:rPr>
                <w:rFonts w:hint="eastAsia" w:ascii="宋体" w:hAnsi="宋体" w:eastAsia="宋体" w:cs="宋体"/>
                <w:snapToGrid w:val="0"/>
                <w:kern w:val="2"/>
                <w:sz w:val="24"/>
                <w:szCs w:val="24"/>
              </w:rPr>
            </w:pPr>
            <w:r>
              <w:rPr>
                <w:rFonts w:hint="eastAsia" w:ascii="宋体" w:hAnsi="宋体" w:eastAsia="宋体" w:cs="宋体"/>
                <w:sz w:val="24"/>
                <w:szCs w:val="24"/>
              </w:rPr>
              <w:br w:type="page"/>
            </w:r>
            <w:r>
              <w:rPr>
                <w:rFonts w:hint="eastAsia" w:ascii="宋体" w:hAnsi="宋体" w:eastAsia="宋体" w:cs="宋体"/>
                <w:snapToGrid w:val="0"/>
                <w:kern w:val="2"/>
                <w:sz w:val="24"/>
                <w:szCs w:val="24"/>
              </w:rPr>
              <w:t>甲方：   (盖章)</w:t>
            </w:r>
          </w:p>
        </w:tc>
        <w:tc>
          <w:tcPr>
            <w:tcW w:w="2500" w:type="pct"/>
            <w:noWrap w:val="0"/>
            <w:vAlign w:val="center"/>
          </w:tcPr>
          <w:p w14:paraId="72C6CFDF">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0" w:firstLineChars="0"/>
              <w:jc w:val="left"/>
              <w:textAlignment w:val="auto"/>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乙方：   (盖章)</w:t>
            </w:r>
          </w:p>
        </w:tc>
      </w:tr>
      <w:tr w14:paraId="486E862B">
        <w:tblPrEx>
          <w:tblCellMar>
            <w:top w:w="0" w:type="dxa"/>
            <w:left w:w="108" w:type="dxa"/>
            <w:bottom w:w="0" w:type="dxa"/>
            <w:right w:w="108" w:type="dxa"/>
          </w:tblCellMar>
        </w:tblPrEx>
        <w:trPr>
          <w:trHeight w:val="715" w:hRule="atLeast"/>
          <w:jc w:val="center"/>
        </w:trPr>
        <w:tc>
          <w:tcPr>
            <w:tcW w:w="2500" w:type="pct"/>
            <w:noWrap w:val="0"/>
            <w:vAlign w:val="center"/>
          </w:tcPr>
          <w:p w14:paraId="1D16FF59">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0" w:firstLineChars="0"/>
              <w:jc w:val="left"/>
              <w:textAlignment w:val="auto"/>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法定代表人(被授权人)：</w:t>
            </w:r>
          </w:p>
        </w:tc>
        <w:tc>
          <w:tcPr>
            <w:tcW w:w="2500" w:type="pct"/>
            <w:noWrap w:val="0"/>
            <w:vAlign w:val="center"/>
          </w:tcPr>
          <w:p w14:paraId="14490559">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0" w:firstLineChars="0"/>
              <w:jc w:val="left"/>
              <w:textAlignment w:val="auto"/>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法定代表人(被授权人)：</w:t>
            </w:r>
          </w:p>
        </w:tc>
      </w:tr>
      <w:tr w14:paraId="4C51E727">
        <w:tblPrEx>
          <w:tblCellMar>
            <w:top w:w="0" w:type="dxa"/>
            <w:left w:w="108" w:type="dxa"/>
            <w:bottom w:w="0" w:type="dxa"/>
            <w:right w:w="108" w:type="dxa"/>
          </w:tblCellMar>
        </w:tblPrEx>
        <w:trPr>
          <w:trHeight w:val="715" w:hRule="atLeast"/>
          <w:jc w:val="center"/>
        </w:trPr>
        <w:tc>
          <w:tcPr>
            <w:tcW w:w="2500" w:type="pct"/>
            <w:noWrap w:val="0"/>
            <w:vAlign w:val="center"/>
          </w:tcPr>
          <w:p w14:paraId="79C93610">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0" w:firstLineChars="0"/>
              <w:jc w:val="left"/>
              <w:textAlignment w:val="auto"/>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地址(住所)：</w:t>
            </w:r>
          </w:p>
        </w:tc>
        <w:tc>
          <w:tcPr>
            <w:tcW w:w="2500" w:type="pct"/>
            <w:noWrap w:val="0"/>
            <w:vAlign w:val="center"/>
          </w:tcPr>
          <w:p w14:paraId="21AA9320">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0" w:firstLineChars="0"/>
              <w:jc w:val="left"/>
              <w:textAlignment w:val="auto"/>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地址(住所)：</w:t>
            </w:r>
          </w:p>
        </w:tc>
      </w:tr>
      <w:tr w14:paraId="22032B43">
        <w:tblPrEx>
          <w:tblCellMar>
            <w:top w:w="0" w:type="dxa"/>
            <w:left w:w="108" w:type="dxa"/>
            <w:bottom w:w="0" w:type="dxa"/>
            <w:right w:w="108" w:type="dxa"/>
          </w:tblCellMar>
        </w:tblPrEx>
        <w:trPr>
          <w:trHeight w:val="715" w:hRule="atLeast"/>
          <w:jc w:val="center"/>
        </w:trPr>
        <w:tc>
          <w:tcPr>
            <w:tcW w:w="2500" w:type="pct"/>
            <w:noWrap w:val="0"/>
            <w:vAlign w:val="center"/>
          </w:tcPr>
          <w:p w14:paraId="5CDA43D8">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0" w:firstLineChars="0"/>
              <w:jc w:val="left"/>
              <w:textAlignment w:val="auto"/>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开户银行：</w:t>
            </w:r>
          </w:p>
        </w:tc>
        <w:tc>
          <w:tcPr>
            <w:tcW w:w="2500" w:type="pct"/>
            <w:noWrap w:val="0"/>
            <w:vAlign w:val="center"/>
          </w:tcPr>
          <w:p w14:paraId="20A626D0">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0" w:firstLineChars="0"/>
              <w:jc w:val="left"/>
              <w:textAlignment w:val="auto"/>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开户银行：</w:t>
            </w:r>
          </w:p>
        </w:tc>
      </w:tr>
      <w:tr w14:paraId="7E6C14FD">
        <w:tblPrEx>
          <w:tblCellMar>
            <w:top w:w="0" w:type="dxa"/>
            <w:left w:w="108" w:type="dxa"/>
            <w:bottom w:w="0" w:type="dxa"/>
            <w:right w:w="108" w:type="dxa"/>
          </w:tblCellMar>
        </w:tblPrEx>
        <w:trPr>
          <w:trHeight w:val="715" w:hRule="atLeast"/>
          <w:jc w:val="center"/>
        </w:trPr>
        <w:tc>
          <w:tcPr>
            <w:tcW w:w="2500" w:type="pct"/>
            <w:noWrap w:val="0"/>
            <w:vAlign w:val="center"/>
          </w:tcPr>
          <w:p w14:paraId="69456107">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0" w:firstLineChars="0"/>
              <w:jc w:val="left"/>
              <w:textAlignment w:val="auto"/>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账号：</w:t>
            </w:r>
          </w:p>
        </w:tc>
        <w:tc>
          <w:tcPr>
            <w:tcW w:w="2500" w:type="pct"/>
            <w:noWrap w:val="0"/>
            <w:vAlign w:val="center"/>
          </w:tcPr>
          <w:p w14:paraId="41212CFE">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0" w:firstLineChars="0"/>
              <w:jc w:val="left"/>
              <w:textAlignment w:val="auto"/>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账号：</w:t>
            </w:r>
          </w:p>
        </w:tc>
      </w:tr>
      <w:tr w14:paraId="1183E2DB">
        <w:tblPrEx>
          <w:tblCellMar>
            <w:top w:w="0" w:type="dxa"/>
            <w:left w:w="108" w:type="dxa"/>
            <w:bottom w:w="0" w:type="dxa"/>
            <w:right w:w="108" w:type="dxa"/>
          </w:tblCellMar>
        </w:tblPrEx>
        <w:trPr>
          <w:trHeight w:val="715" w:hRule="atLeast"/>
          <w:jc w:val="center"/>
        </w:trPr>
        <w:tc>
          <w:tcPr>
            <w:tcW w:w="2500" w:type="pct"/>
            <w:noWrap w:val="0"/>
            <w:vAlign w:val="center"/>
          </w:tcPr>
          <w:p w14:paraId="3C920080">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0" w:firstLineChars="0"/>
              <w:jc w:val="left"/>
              <w:textAlignment w:val="auto"/>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 xml:space="preserve">电话： </w:t>
            </w:r>
          </w:p>
        </w:tc>
        <w:tc>
          <w:tcPr>
            <w:tcW w:w="2500" w:type="pct"/>
            <w:noWrap w:val="0"/>
            <w:vAlign w:val="center"/>
          </w:tcPr>
          <w:p w14:paraId="1953C085">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0" w:firstLineChars="0"/>
              <w:jc w:val="left"/>
              <w:textAlignment w:val="auto"/>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 xml:space="preserve">电话： </w:t>
            </w:r>
          </w:p>
        </w:tc>
      </w:tr>
      <w:tr w14:paraId="05312930">
        <w:tblPrEx>
          <w:tblCellMar>
            <w:top w:w="0" w:type="dxa"/>
            <w:left w:w="108" w:type="dxa"/>
            <w:bottom w:w="0" w:type="dxa"/>
            <w:right w:w="108" w:type="dxa"/>
          </w:tblCellMar>
        </w:tblPrEx>
        <w:trPr>
          <w:trHeight w:val="721" w:hRule="atLeast"/>
          <w:jc w:val="center"/>
        </w:trPr>
        <w:tc>
          <w:tcPr>
            <w:tcW w:w="2500" w:type="pct"/>
            <w:noWrap w:val="0"/>
            <w:vAlign w:val="center"/>
          </w:tcPr>
          <w:p w14:paraId="70D6E9ED">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0" w:firstLineChars="0"/>
              <w:jc w:val="left"/>
              <w:textAlignment w:val="auto"/>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传真：</w:t>
            </w:r>
          </w:p>
        </w:tc>
        <w:tc>
          <w:tcPr>
            <w:tcW w:w="2500" w:type="pct"/>
            <w:noWrap w:val="0"/>
            <w:vAlign w:val="center"/>
          </w:tcPr>
          <w:p w14:paraId="7D749408">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0" w:firstLineChars="0"/>
              <w:jc w:val="left"/>
              <w:textAlignment w:val="auto"/>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传真：</w:t>
            </w:r>
          </w:p>
        </w:tc>
      </w:tr>
      <w:tr w14:paraId="256F99B5">
        <w:tblPrEx>
          <w:tblCellMar>
            <w:top w:w="0" w:type="dxa"/>
            <w:left w:w="108" w:type="dxa"/>
            <w:bottom w:w="0" w:type="dxa"/>
            <w:right w:w="108" w:type="dxa"/>
          </w:tblCellMar>
        </w:tblPrEx>
        <w:trPr>
          <w:trHeight w:val="721" w:hRule="atLeast"/>
          <w:jc w:val="center"/>
        </w:trPr>
        <w:tc>
          <w:tcPr>
            <w:tcW w:w="2500" w:type="pct"/>
            <w:noWrap w:val="0"/>
            <w:vAlign w:val="center"/>
          </w:tcPr>
          <w:p w14:paraId="403CCA6B">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0" w:firstLineChars="0"/>
              <w:jc w:val="left"/>
              <w:textAlignment w:val="auto"/>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签约日期：XX年XX月XX日</w:t>
            </w:r>
          </w:p>
        </w:tc>
        <w:tc>
          <w:tcPr>
            <w:tcW w:w="2500" w:type="pct"/>
            <w:noWrap w:val="0"/>
            <w:vAlign w:val="center"/>
          </w:tcPr>
          <w:p w14:paraId="708A3A32">
            <w:pPr>
              <w:keepNext w:val="0"/>
              <w:keepLines w:val="0"/>
              <w:pageBreakBefore w:val="0"/>
              <w:widowControl w:val="0"/>
              <w:tabs>
                <w:tab w:val="left" w:pos="0"/>
              </w:tabs>
              <w:kinsoku/>
              <w:wordWrap/>
              <w:overflowPunct/>
              <w:topLinePunct/>
              <w:autoSpaceDE/>
              <w:autoSpaceDN/>
              <w:bidi w:val="0"/>
              <w:adjustRightInd w:val="0"/>
              <w:snapToGrid w:val="0"/>
              <w:spacing w:line="440" w:lineRule="exact"/>
              <w:ind w:firstLine="0" w:firstLineChars="0"/>
              <w:jc w:val="left"/>
              <w:textAlignment w:val="auto"/>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签约日期：XX年XX月XX日</w:t>
            </w:r>
          </w:p>
        </w:tc>
      </w:tr>
    </w:tbl>
    <w:p w14:paraId="4D3F8A0A">
      <w:pPr>
        <w:pStyle w:val="6"/>
        <w:keepNext w:val="0"/>
        <w:keepLines w:val="0"/>
        <w:pageBreakBefore w:val="0"/>
        <w:widowControl w:val="0"/>
        <w:kinsoku/>
        <w:wordWrap/>
        <w:overflowPunct/>
        <w:autoSpaceDE/>
        <w:autoSpaceDN/>
        <w:bidi w:val="0"/>
        <w:adjustRightInd w:val="0"/>
        <w:snapToGrid w:val="0"/>
        <w:spacing w:line="440" w:lineRule="exact"/>
        <w:ind w:firstLine="0" w:firstLineChars="0"/>
        <w:textAlignment w:val="auto"/>
        <w:rPr>
          <w:rFonts w:hint="eastAsia" w:ascii="宋体" w:hAnsi="宋体" w:eastAsia="宋体" w:cs="宋体"/>
          <w:sz w:val="24"/>
          <w:szCs w:val="24"/>
        </w:rPr>
      </w:pPr>
    </w:p>
    <w:p w14:paraId="79BF1B07">
      <w:pPr>
        <w:pStyle w:val="6"/>
        <w:keepNext w:val="0"/>
        <w:keepLines w:val="0"/>
        <w:pageBreakBefore w:val="0"/>
        <w:widowControl w:val="0"/>
        <w:kinsoku/>
        <w:wordWrap/>
        <w:overflowPunct/>
        <w:autoSpaceDE/>
        <w:autoSpaceDN/>
        <w:bidi w:val="0"/>
        <w:adjustRightInd w:val="0"/>
        <w:snapToGrid w:val="0"/>
        <w:spacing w:line="44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sz w:val="24"/>
          <w:szCs w:val="24"/>
        </w:rPr>
        <w:t>注：1、以上合同条款不涉及采购项目实质性要求的，采购人与成交人签订合同时可根据实际情况进行调整、修改</w:t>
      </w:r>
      <w:r>
        <w:rPr>
          <w:rFonts w:hint="eastAsia" w:ascii="宋体" w:hAnsi="宋体" w:eastAsia="宋体" w:cs="宋体"/>
          <w:bCs/>
          <w:sz w:val="24"/>
          <w:szCs w:val="24"/>
        </w:rPr>
        <w:t>。</w:t>
      </w:r>
    </w:p>
    <w:p w14:paraId="762807C6">
      <w:pPr>
        <w:rPr>
          <w:rFonts w:hint="eastAsia" w:ascii="宋体" w:hAnsi="宋体" w:eastAsia="宋体" w:cs="宋体"/>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
    <w:altName w:val="仿宋"/>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C6327C"/>
    <w:multiLevelType w:val="multilevel"/>
    <w:tmpl w:val="E1C6327C"/>
    <w:lvl w:ilvl="0" w:tentative="0">
      <w:start w:val="1"/>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chineseCounting"/>
      <w:suff w:val="nothing"/>
      <w:lvlText w:val="(%2)"/>
      <w:lvlJc w:val="left"/>
      <w:pPr>
        <w:ind w:left="0" w:firstLine="0"/>
      </w:pPr>
      <w:rPr>
        <w:rFonts w:hint="eastAsia" w:ascii="仿宋" w:hAnsi="仿宋" w:eastAsia="仿宋" w:cs="宋体"/>
      </w:rPr>
    </w:lvl>
    <w:lvl w:ilvl="2" w:tentative="0">
      <w:start w:val="1"/>
      <w:numFmt w:val="decimal"/>
      <w:suff w:val="nothing"/>
      <w:lvlText w:val="%3."/>
      <w:lvlJc w:val="left"/>
      <w:pPr>
        <w:ind w:left="0" w:firstLine="0"/>
      </w:pPr>
      <w:rPr>
        <w:rFonts w:hint="eastAsia" w:ascii="宋体" w:hAnsi="宋体" w:eastAsia="宋体" w:cs="宋体"/>
      </w:rPr>
    </w:lvl>
    <w:lvl w:ilvl="3" w:tentative="0">
      <w:start w:val="1"/>
      <w:numFmt w:val="decimal"/>
      <w:suff w:val="nothing"/>
      <w:lvlText w:val="%3.%4"/>
      <w:lvlJc w:val="left"/>
      <w:pPr>
        <w:ind w:left="0" w:firstLine="0"/>
      </w:pPr>
      <w:rPr>
        <w:rFonts w:hint="eastAsia" w:ascii="宋体" w:hAnsi="宋体" w:eastAsia="宋体" w:cs="宋体"/>
      </w:rPr>
    </w:lvl>
    <w:lvl w:ilvl="4" w:tentative="0">
      <w:start w:val="1"/>
      <w:numFmt w:val="decimal"/>
      <w:suff w:val="nothing"/>
      <w:lvlText w:val="(%5)"/>
      <w:lvlJc w:val="left"/>
      <w:pPr>
        <w:ind w:left="0" w:firstLine="0"/>
      </w:pPr>
      <w:rPr>
        <w:rFonts w:hint="eastAsia" w:ascii="宋体" w:hAnsi="宋体" w:eastAsia="宋体" w:cs="宋体"/>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xMmNiNzRhNDc5NDFmYTgzMGRiY2E4ZTMwYjQ1ODgifQ=="/>
  </w:docVars>
  <w:rsids>
    <w:rsidRoot w:val="53DA6328"/>
    <w:rsid w:val="53DA63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 w:cs="Times New Roman"/>
      <w:kern w:val="2"/>
      <w:sz w:val="32"/>
      <w:szCs w:val="24"/>
      <w:lang w:val="en-US" w:eastAsia="zh-CN" w:bidi="ar-SA"/>
    </w:rPr>
  </w:style>
  <w:style w:type="paragraph" w:styleId="2">
    <w:name w:val="heading 2"/>
    <w:basedOn w:val="3"/>
    <w:next w:val="1"/>
    <w:qFormat/>
    <w:uiPriority w:val="0"/>
    <w:pPr>
      <w:keepNext/>
      <w:keepLines/>
      <w:spacing w:before="260" w:after="260" w:line="413" w:lineRule="auto"/>
      <w:ind w:firstLine="200" w:firstLineChars="200"/>
      <w:outlineLvl w:val="1"/>
    </w:pPr>
    <w:rPr>
      <w:rFonts w:ascii="Arial" w:hAnsi="Arial" w:eastAsia="黑体"/>
      <w:b/>
      <w:szCs w:val="2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3">
    <w:name w:val="正文（绿盟科技）"/>
    <w:qFormat/>
    <w:uiPriority w:val="0"/>
    <w:pPr>
      <w:spacing w:line="300" w:lineRule="auto"/>
    </w:pPr>
    <w:rPr>
      <w:rFonts w:ascii="Arial" w:hAnsi="Arial" w:eastAsia="宋体" w:cs="黑体"/>
      <w:sz w:val="21"/>
      <w:szCs w:val="21"/>
      <w:lang w:val="en-US" w:eastAsia="zh-CN" w:bidi="ar-SA"/>
    </w:rPr>
  </w:style>
  <w:style w:type="paragraph" w:customStyle="1" w:styleId="6">
    <w:name w:val="ZY格式"/>
    <w:basedOn w:val="1"/>
    <w:qFormat/>
    <w:uiPriority w:val="0"/>
    <w:pPr>
      <w:ind w:firstLine="560"/>
      <w:jc w:val="left"/>
    </w:pPr>
    <w:rPr>
      <w:rFonts w:ascii="仿宋" w:hAnsi="仿宋"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2025-03-14T04:29:00Z</dcterms:created>
  <dc:creator>橘子</dc:creator>
  <cp:lastModifiedBy>橘子</cp:lastModifiedBy>
  <dcterms:modified xsi:type="dcterms:W3CDTF">2025-03-14T04:30:24Z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F39F57DF7B0146A99B3C9EBA3FA62A32_11</vt:lpwstr>
  </property>
</Properties>
</file>