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版本号：N511132202500000520250306001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四川峨边经济开发区创建申报资料编制服务项目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N5111322025000005</w:t>
      </w:r>
    </w:p>
    <w:p>
      <w:pPr>
        <w:pStyle w:val="null3"/>
        <w:jc w:val="left"/>
        <w:outlineLvl w:val="2"/>
      </w:pPr>
      <w:r>
        <w:rPr>
          <w:rFonts w:ascii="仿宋_GB2312" w:hAnsi="仿宋_GB2312" w:cs="仿宋_GB2312" w:eastAsia="仿宋_GB2312"/>
          <w:sz w:val="28"/>
          <w:b/>
        </w:rPr>
        <w:t>峨边彝族自治县产业园区管理委员会</w:t>
      </w:r>
    </w:p>
    <w:p>
      <w:pPr>
        <w:pStyle w:val="null3"/>
        <w:jc w:val="center"/>
        <w:outlineLvl w:val="2"/>
      </w:pPr>
      <w:r>
        <w:rPr>
          <w:rFonts w:ascii="仿宋_GB2312" w:hAnsi="仿宋_GB2312" w:cs="仿宋_GB2312" w:eastAsia="仿宋_GB2312"/>
          <w:sz w:val="28"/>
          <w:b/>
        </w:rPr>
        <w:t>四川华耀龙建设工程有限公司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四川华耀龙建设工程有限公司</w:t>
      </w:r>
      <w:r>
        <w:rPr>
          <w:rFonts w:ascii="仿宋_GB2312" w:hAnsi="仿宋_GB2312" w:cs="仿宋_GB2312" w:eastAsia="仿宋_GB2312"/>
        </w:rPr>
        <w:t xml:space="preserve"> （以下简称“代理机构”）受 </w:t>
      </w:r>
      <w:r>
        <w:rPr>
          <w:rFonts w:ascii="仿宋_GB2312" w:hAnsi="仿宋_GB2312" w:cs="仿宋_GB2312" w:eastAsia="仿宋_GB2312"/>
        </w:rPr>
        <w:t>峨边彝族自治县产业园区管理委员会</w:t>
      </w:r>
      <w:r>
        <w:rPr>
          <w:rFonts w:ascii="仿宋_GB2312" w:hAnsi="仿宋_GB2312" w:cs="仿宋_GB2312" w:eastAsia="仿宋_GB2312"/>
        </w:rPr>
        <w:t xml:space="preserve"> 委托，拟对 </w:t>
      </w:r>
      <w:r>
        <w:rPr>
          <w:rFonts w:ascii="仿宋_GB2312" w:hAnsi="仿宋_GB2312" w:cs="仿宋_GB2312" w:eastAsia="仿宋_GB2312"/>
        </w:rPr>
        <w:t>四川峨边经济开发区创建申报资料编制服务项目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乐山市峨边彝族自治县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N5111322025000005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四川峨边经济开发区创建申报资料编制服务项目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本项目共六个包， 采购包1：开发区发展规划、住建、社稳、组卷， 采购包2：开发区整体性安全风险评估报告， 采购包3：自然资源厅要求的相关资料， 采购包4：开发区环评规划及环评审核意见、环境风险应急预案， 采购包5：开发区水资源论证， 采购包6：开发区总体规划、控制性详细规划。</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采购包3：专门面向中小企业采购。</w:t>
      </w:r>
    </w:p>
    <w:p>
      <w:pPr>
        <w:pStyle w:val="null3"/>
        <w:jc w:val="left"/>
      </w:pPr>
      <w:r>
        <w:rPr>
          <w:rFonts w:ascii="仿宋_GB2312" w:hAnsi="仿宋_GB2312" w:cs="仿宋_GB2312" w:eastAsia="仿宋_GB2312"/>
        </w:rPr>
        <w:t>采购包4：专门面向中小企业采购。</w:t>
      </w:r>
    </w:p>
    <w:p>
      <w:pPr>
        <w:pStyle w:val="null3"/>
        <w:jc w:val="left"/>
      </w:pPr>
      <w:r>
        <w:rPr>
          <w:rFonts w:ascii="仿宋_GB2312" w:hAnsi="仿宋_GB2312" w:cs="仿宋_GB2312" w:eastAsia="仿宋_GB2312"/>
        </w:rPr>
        <w:t>采购包5：专门面向中小企业采购。</w:t>
      </w:r>
    </w:p>
    <w:p>
      <w:pPr>
        <w:pStyle w:val="null3"/>
        <w:jc w:val="left"/>
      </w:pPr>
      <w:r>
        <w:rPr>
          <w:rFonts w:ascii="仿宋_GB2312" w:hAnsi="仿宋_GB2312" w:cs="仿宋_GB2312" w:eastAsia="仿宋_GB2312"/>
        </w:rPr>
        <w:t>采购包6：专门面向中小企业采购。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1、特殊资格要求（描述：需具备行政主管部门颁发的城乡规划编制乙级及以上资质。）</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峨边彝族自治县产业园区管理委员会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峨边县沙坪镇大坪路13号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杨莉虹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19981965514</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四川华耀龙建设工程有限公司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四川省成都市锦江区成都市锦江区东大街芷泉段6号1栋1单元27层10号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18227888313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采购包1：870,000.00元</w:t>
            </w:r>
          </w:p>
          <w:p>
            <w:pPr>
              <w:pStyle w:val="null3"/>
              <w:jc w:val="left"/>
            </w:pPr>
            <w:r>
              <w:rPr>
                <w:rFonts w:ascii="仿宋_GB2312" w:hAnsi="仿宋_GB2312" w:cs="仿宋_GB2312" w:eastAsia="仿宋_GB2312"/>
              </w:rPr>
              <w:t>采购包2：230,000.00元</w:t>
            </w:r>
          </w:p>
          <w:p>
            <w:pPr>
              <w:pStyle w:val="null3"/>
              <w:jc w:val="left"/>
            </w:pPr>
            <w:r>
              <w:rPr>
                <w:rFonts w:ascii="仿宋_GB2312" w:hAnsi="仿宋_GB2312" w:cs="仿宋_GB2312" w:eastAsia="仿宋_GB2312"/>
              </w:rPr>
              <w:t>采购包3：530,000.00元</w:t>
            </w:r>
          </w:p>
          <w:p>
            <w:pPr>
              <w:pStyle w:val="null3"/>
              <w:jc w:val="left"/>
            </w:pPr>
            <w:r>
              <w:rPr>
                <w:rFonts w:ascii="仿宋_GB2312" w:hAnsi="仿宋_GB2312" w:cs="仿宋_GB2312" w:eastAsia="仿宋_GB2312"/>
              </w:rPr>
              <w:t>采购包4：1,230,000.00元</w:t>
            </w:r>
          </w:p>
          <w:p>
            <w:pPr>
              <w:pStyle w:val="null3"/>
              <w:jc w:val="left"/>
            </w:pPr>
            <w:r>
              <w:rPr>
                <w:rFonts w:ascii="仿宋_GB2312" w:hAnsi="仿宋_GB2312" w:cs="仿宋_GB2312" w:eastAsia="仿宋_GB2312"/>
              </w:rPr>
              <w:t>采购包5：490,000.00元</w:t>
            </w:r>
          </w:p>
          <w:p>
            <w:pPr>
              <w:pStyle w:val="null3"/>
              <w:jc w:val="left"/>
            </w:pPr>
            <w:r>
              <w:rPr>
                <w:rFonts w:ascii="仿宋_GB2312" w:hAnsi="仿宋_GB2312" w:cs="仿宋_GB2312" w:eastAsia="仿宋_GB2312"/>
              </w:rPr>
              <w:t>采购包6：1,550,000.00元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采购包5：不接受联合体</w:t>
            </w:r>
          </w:p>
          <w:p>
            <w:pPr>
              <w:pStyle w:val="null3"/>
              <w:jc w:val="left"/>
            </w:pPr>
            <w:r>
              <w:rPr>
                <w:rFonts w:ascii="仿宋_GB2312" w:hAnsi="仿宋_GB2312" w:cs="仿宋_GB2312" w:eastAsia="仿宋_GB2312"/>
              </w:rPr>
              <w:t>采购包6：不接受联合体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p>
            <w:pPr>
              <w:pStyle w:val="null3"/>
              <w:jc w:val="left"/>
            </w:pPr>
            <w:r>
              <w:rPr>
                <w:rFonts w:ascii="仿宋_GB2312" w:hAnsi="仿宋_GB2312" w:cs="仿宋_GB2312" w:eastAsia="仿宋_GB2312"/>
              </w:rPr>
              <w:t>采购包5：不收取</w:t>
            </w:r>
          </w:p>
          <w:p>
            <w:pPr>
              <w:pStyle w:val="null3"/>
              <w:jc w:val="left"/>
            </w:pPr>
            <w:r>
              <w:rPr>
                <w:rFonts w:ascii="仿宋_GB2312" w:hAnsi="仿宋_GB2312" w:cs="仿宋_GB2312" w:eastAsia="仿宋_GB2312"/>
              </w:rPr>
              <w:t>采购包6：不收取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代理服务费收费标准：本项目代理服务费按固定价50000（大写：伍万圆整）收取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p>
            <w:pPr>
              <w:pStyle w:val="null3"/>
              <w:jc w:val="left"/>
            </w:pPr>
            <w:r>
              <w:rPr>
                <w:rFonts w:ascii="仿宋_GB2312" w:hAnsi="仿宋_GB2312" w:cs="仿宋_GB2312" w:eastAsia="仿宋_GB2312"/>
              </w:rPr>
              <w:t>采购包5：否</w:t>
            </w:r>
          </w:p>
          <w:p>
            <w:pPr>
              <w:pStyle w:val="null3"/>
              <w:jc w:val="left"/>
            </w:pPr>
            <w:r>
              <w:rPr>
                <w:rFonts w:ascii="仿宋_GB2312" w:hAnsi="仿宋_GB2312" w:cs="仿宋_GB2312" w:eastAsia="仿宋_GB2312"/>
              </w:rPr>
              <w:t>采购包6：否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峨边彝族自治县产业园区管理委员会</w:t>
      </w:r>
      <w:r>
        <w:rPr>
          <w:rFonts w:ascii="仿宋_GB2312" w:hAnsi="仿宋_GB2312" w:cs="仿宋_GB2312" w:eastAsia="仿宋_GB2312"/>
        </w:rPr>
        <w:t xml:space="preserve"> 和 </w:t>
      </w:r>
      <w:r>
        <w:rPr>
          <w:rFonts w:ascii="仿宋_GB2312" w:hAnsi="仿宋_GB2312" w:cs="仿宋_GB2312" w:eastAsia="仿宋_GB2312"/>
        </w:rPr>
        <w:t>四川华耀龙建设工程有限公司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峨边彝族自治县产业园区管理委员会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四川华耀龙建设工程有限公司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通过经开区审查，获得省政府经开区设立审批后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通过经开区审查，获得省政府经开区设立审批后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最终成果报送四川省自然资源厅，并取得四川省自然资源厅相关证明文件后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项目成果通过具有权限的生态环境主管部门审查，取得生态环境主管部门的审查意见后，且收到中标人开具的合法的等额增值税发票后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审定通过提交正式成果后</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采购包6：</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通过经开区审查，获得省政府经开区设立审批后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r>
        <w:rPr>
          <w:rFonts w:ascii="仿宋_GB2312" w:hAnsi="仿宋_GB2312" w:cs="仿宋_GB2312" w:eastAsia="仿宋_GB2312"/>
        </w:rPr>
        <w:t>/</w:t>
      </w:r>
    </w:p>
    <w:p>
      <w:pPr>
        <w:pStyle w:val="null3"/>
        <w:jc w:val="left"/>
      </w:pPr>
      <w:r>
        <w:rPr>
          <w:rFonts w:ascii="仿宋_GB2312" w:hAnsi="仿宋_GB2312" w:cs="仿宋_GB2312" w:eastAsia="仿宋_GB2312"/>
        </w:rPr>
        <w:t>采购包6：</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对峨边彝族自治县申请设立省级经济开发区发展规划、社会稳定风险评估报告申报材料编制和组卷，最终达到四川省政府对设立省级经济开发区的审查要求。</w:t>
      </w:r>
    </w:p>
    <w:p>
      <w:pPr>
        <w:pStyle w:val="null3"/>
        <w:jc w:val="left"/>
      </w:pPr>
      <w:r>
        <w:rPr>
          <w:rFonts w:ascii="仿宋_GB2312" w:hAnsi="仿宋_GB2312" w:cs="仿宋_GB2312" w:eastAsia="仿宋_GB2312"/>
        </w:rPr>
        <w:t>采购包2：</w:t>
      </w:r>
      <w:r>
        <w:rPr>
          <w:rFonts w:ascii="仿宋_GB2312" w:hAnsi="仿宋_GB2312" w:cs="仿宋_GB2312" w:eastAsia="仿宋_GB2312"/>
        </w:rPr>
        <w:t>一、编制要求 根据《园区（集中区）整体性安全风险评价导则》DB51/T2590-2019、《安全评价通则》AQ8001-2007对园区进行整体性安全风险评价，主要包含：园区基本情况（概括）、危险和有害因素辨识、定性定量评价与分析、安全风险汇总及安全对策措施与建议、应急预案等内容；根据国务院办公厅关于印发《突发事件应急预案管理办法的通知》、《生产安全事故应急预案管理办法》以及《四川省生产安全事故应急预案管理实施细则》的有关内容和要求，编制开发区突发生产安全事故应急预案。 二、成果要求 根据专家评审意见进行修订，并在采购单位确定后打印装订《园区整体性安全风险评估报告》、《开发区突发生产安全事故应急预案》，交付成果包括4份(印刷版)及电子版1份。</w:t>
      </w:r>
    </w:p>
    <w:p>
      <w:pPr>
        <w:pStyle w:val="null3"/>
        <w:jc w:val="left"/>
      </w:pPr>
      <w:r>
        <w:rPr>
          <w:rFonts w:ascii="仿宋_GB2312" w:hAnsi="仿宋_GB2312" w:cs="仿宋_GB2312" w:eastAsia="仿宋_GB2312"/>
        </w:rPr>
        <w:t>采购包3：</w:t>
      </w:r>
      <w:r>
        <w:rPr>
          <w:rFonts w:ascii="仿宋_GB2312" w:hAnsi="仿宋_GB2312" w:cs="仿宋_GB2312" w:eastAsia="仿宋_GB2312"/>
        </w:rPr>
        <w:t>一、服务内容 （1） 根据《四川省省级开发区设立、扩区和调位管理办法》和《四川省自然资源厅办公室关于印发〈开发区（示范区）用地审查工作指南〉的通知》，开展四川峨边经济开发区用地咨询与分析技术服务，为后续提供技术咨询及用地合规性分析。 （2）根据《四川省自然资源厅关于深化“亩均论英雄”改革开展2024年度园区调查评价有关工作的通知》及相关技术规程与标准，开展2024年度“亩均论英雄”园区调查评价工作。 二、成果要求 提供电子版和纸质版成果各2套。成果内容至少包括： （1）用地审查咨询成果 包括文本成果、图件成果、界址点成果、矢量数据成果和表格成果。成果需符合四川省自然资源厅用地审查技术标准。 （2）“亩均论英雄”园区调查评价成果 包括文本成果、空间矢量数据成果、表格数据成果、图件成果和基础资料汇编成果。成果需符合四川省自然资源厅相关要求和《2024年度“亩均论英雄”园区调查评价技术方案》。</w:t>
      </w:r>
    </w:p>
    <w:p>
      <w:pPr>
        <w:pStyle w:val="null3"/>
        <w:jc w:val="left"/>
      </w:pPr>
      <w:r>
        <w:rPr>
          <w:rFonts w:ascii="仿宋_GB2312" w:hAnsi="仿宋_GB2312" w:cs="仿宋_GB2312" w:eastAsia="仿宋_GB2312"/>
        </w:rPr>
        <w:t>采购包4：</w:t>
      </w:r>
      <w:r>
        <w:rPr>
          <w:rFonts w:ascii="仿宋_GB2312" w:hAnsi="仿宋_GB2312" w:cs="仿宋_GB2312" w:eastAsia="仿宋_GB2312"/>
        </w:rPr>
        <w:t>一、编制要求 （一）技术标准 按《规划环境影响评价技术导则 总纲》（HJ130-2019）、《规划环境影响评价技术导则 产业园区》（HJ131-2021）、《环境影响评价技术导则 大气环境》（HJ2.2-2018）《环境影响评价技术导则 地表水环境》（HJ2.3-2018）、《环境影响评价技术导则 地下水环境》（HJ610-2016）、《环境影响评价技术导则 声环境》（HJ2.4-2021）、《环境影响评价技术导则 生态影响》（HJ19-2022）等相关规程、规范要求编制完成规划环境影响报告书；并遵守国家相关法律法规同时应满足采购人提出的需求，最终报具有审查权限的生态环境主管部门进行评审，取得相应批复文件（审查意见或复函等）。 二、成果要求 1、成果文件：包括但不限于规划环境影响评价报告书、环境监测报告、批复文件。 2、提交成果要求：提交成果报告电子文件和A4格式的文本5份。 （1）纸质文本：规格：A4纸规格，数量：5份。 （2）电子文本：Word或PDF。</w:t>
      </w:r>
    </w:p>
    <w:p>
      <w:pPr>
        <w:pStyle w:val="null3"/>
        <w:jc w:val="left"/>
      </w:pPr>
      <w:r>
        <w:rPr>
          <w:rFonts w:ascii="仿宋_GB2312" w:hAnsi="仿宋_GB2312" w:cs="仿宋_GB2312" w:eastAsia="仿宋_GB2312"/>
        </w:rPr>
        <w:t>采购包5：</w:t>
      </w:r>
      <w:r>
        <w:rPr>
          <w:rFonts w:ascii="仿宋_GB2312" w:hAnsi="仿宋_GB2312" w:cs="仿宋_GB2312" w:eastAsia="仿宋_GB2312"/>
        </w:rPr>
        <w:t>一、编制要求 四川峨边经济开发区规划总面积约195公顷，共三个组团7个区块，具体情况如下: 核桃坪组团规划面积约140公顷，共3个区块；刘家沟组团规划面积约35公顷，共3个区块；火烧营组团规划面积约20公顷），共1个区块。（注：以上范围根据创建情况可作适当调整）。完成《四川峨边经济开发区规划水资源论证》。 《四川峨边经济开发区规划水资源论证》要求按照水利部文件《关于开展规划水资源论证试点工作的通知》（水资源〔2010〕483号）、《规划水资源论证技术要求》要求和四川峨边经济开发区规划（简称“规划”）的实际需求，本水资源论证从水资源承载能力和水环境容量出发，评估论证“规划”布局与水资源承载能力的适应性、规划需水合理性分析、规划水资源可靠性分析、水平衡分析、规划实施影响分析及对策措施等内容。 二、成果要求 按照上述要求完成规划成果，包括规划文本、图纸、图册、附件和矢量数据库等。 提交最终成果包括纸质加盖鲜章版文件及相应的电子文件。具体内容为：图文并茂说明文件6套（A4规格）；电子文件2套。</w:t>
      </w:r>
    </w:p>
    <w:p>
      <w:pPr>
        <w:pStyle w:val="null3"/>
        <w:jc w:val="left"/>
      </w:pPr>
      <w:r>
        <w:rPr>
          <w:rFonts w:ascii="仿宋_GB2312" w:hAnsi="仿宋_GB2312" w:cs="仿宋_GB2312" w:eastAsia="仿宋_GB2312"/>
        </w:rPr>
        <w:t>采购包6：</w:t>
      </w:r>
      <w:r>
        <w:rPr>
          <w:rFonts w:ascii="仿宋_GB2312" w:hAnsi="仿宋_GB2312" w:cs="仿宋_GB2312" w:eastAsia="仿宋_GB2312"/>
        </w:rPr>
        <w:t>一、编制要求 （1）根据“三区三线”划定成果，严格按照《城乡规划法》《城市规划编制办法》及《四川省市县国土空间总体规划编制办法（2022年修订版）》《四川省城镇详细规划编制指南（试行）》相关要求进行成果内容编制。 （2）规划范围：四川峨边经济开发区总体规划、控制性详细规划总面积约195公顷，共三大组团、7个区块，位于峨边沙坪镇、毛坪镇。 二、成果要求 规划技术成果以国家、省、市最终明确的成果形式为准。成果包含规划文本、图纸、图则、附件及矢量数据库。 （1）纸质成果规格：A3，数量：6套。 （2）电子成果：提交与设计成果内容一致的电子文件1套（U盘或光盘）。 （3）技术规范要求：①符合《乐山市城市规划技术管理规定（2022）》文件要求。②满足其他国家及地方相关法律法规文件要求。③技术标准及范围：提交的规划成果表达应当清晰、规范，符合城乡规划有关的技术标准和规范。在规划过程中，如果国家或有关部门颁布了新的技术标准或规范，则投标人应采用新的标准或规范进行规划。</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招标文件、投标文件及合同约定标准及要求进行验收。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招标文件、投标文件及合同约定标准及要求进行验收。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招标文件、投标文件及合同约定标准及要求进行验收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招标文件、投标文件及合同约定标准及要求进行验收。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招标文件、投标文件及合同约定标准及要求进行验收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招标文件、投标文件及合同约定标准及要求进行验收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r>
        <w:rPr>
          <w:rFonts w:ascii="仿宋_GB2312" w:hAnsi="仿宋_GB2312" w:cs="仿宋_GB2312" w:eastAsia="仿宋_GB2312"/>
        </w:rPr>
        <w:t>/</w:t>
      </w:r>
    </w:p>
    <w:p>
      <w:pPr>
        <w:pStyle w:val="null3"/>
        <w:jc w:val="left"/>
      </w:pPr>
      <w:r>
        <w:rPr>
          <w:rFonts w:ascii="仿宋_GB2312" w:hAnsi="仿宋_GB2312" w:cs="仿宋_GB2312" w:eastAsia="仿宋_GB2312"/>
        </w:rPr>
        <w:t>采购包6：</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峨边彝族自治县产业园区管理委员会</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四川华耀龙建设工程有限公司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四川华耀龙建设工程有限公司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联系人：伍先生</w:t>
      </w:r>
    </w:p>
    <w:p>
      <w:pPr>
        <w:pStyle w:val="null3"/>
        <w:jc w:val="left"/>
      </w:pPr>
      <w:r>
        <w:rPr>
          <w:rFonts w:ascii="仿宋_GB2312" w:hAnsi="仿宋_GB2312" w:cs="仿宋_GB2312" w:eastAsia="仿宋_GB2312"/>
        </w:rPr>
        <w:t>联系电话：18482153942</w:t>
      </w:r>
    </w:p>
    <w:p>
      <w:pPr>
        <w:pStyle w:val="null3"/>
        <w:jc w:val="left"/>
      </w:pPr>
      <w:r>
        <w:rPr>
          <w:rFonts w:ascii="仿宋_GB2312" w:hAnsi="仿宋_GB2312" w:cs="仿宋_GB2312" w:eastAsia="仿宋_GB2312"/>
        </w:rPr>
        <w:t>地址：四川省成都市锦江区成都市锦江区东大街芷泉段6号1栋1单元27层10号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jc w:val="left"/>
      </w:pPr>
      <w:r>
        <w:rPr>
          <w:rFonts w:ascii="仿宋_GB2312" w:hAnsi="仿宋_GB2312" w:cs="仿宋_GB2312" w:eastAsia="仿宋_GB2312"/>
        </w:rPr>
        <w:t>采购包4：不需要样品评审</w:t>
      </w:r>
    </w:p>
    <w:p>
      <w:pPr>
        <w:pStyle w:val="null3"/>
        <w:jc w:val="left"/>
      </w:pPr>
      <w:r>
        <w:rPr>
          <w:rFonts w:ascii="仿宋_GB2312" w:hAnsi="仿宋_GB2312" w:cs="仿宋_GB2312" w:eastAsia="仿宋_GB2312"/>
        </w:rPr>
        <w:t>采购包5：不需要样品评审</w:t>
      </w:r>
    </w:p>
    <w:p>
      <w:pPr>
        <w:pStyle w:val="null3"/>
        <w:jc w:val="left"/>
      </w:pPr>
      <w:r>
        <w:rPr>
          <w:rFonts w:ascii="仿宋_GB2312" w:hAnsi="仿宋_GB2312" w:cs="仿宋_GB2312" w:eastAsia="仿宋_GB2312"/>
        </w:rPr>
        <w:t>采购包6：不需要样品评审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870,000.00</w:t>
      </w:r>
    </w:p>
    <w:p>
      <w:pPr>
        <w:pStyle w:val="null3"/>
        <w:jc w:val="left"/>
      </w:pPr>
      <w:r>
        <w:rPr>
          <w:rFonts w:ascii="仿宋_GB2312" w:hAnsi="仿宋_GB2312" w:cs="仿宋_GB2312" w:eastAsia="仿宋_GB2312"/>
        </w:rPr>
        <w:t>采购包最高限价（元）: 870,000.00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开发区发展规划、住建、社稳、组卷</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870,000.00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230,000.00</w:t>
      </w:r>
    </w:p>
    <w:p>
      <w:pPr>
        <w:pStyle w:val="null3"/>
        <w:jc w:val="left"/>
      </w:pPr>
      <w:r>
        <w:rPr>
          <w:rFonts w:ascii="仿宋_GB2312" w:hAnsi="仿宋_GB2312" w:cs="仿宋_GB2312" w:eastAsia="仿宋_GB2312"/>
        </w:rPr>
        <w:t>采购包最高限价（元）: 230,000.00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开发区整体性安全风险评估报告</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530,000.00</w:t>
      </w:r>
    </w:p>
    <w:p>
      <w:pPr>
        <w:pStyle w:val="null3"/>
        <w:jc w:val="left"/>
      </w:pPr>
      <w:r>
        <w:rPr>
          <w:rFonts w:ascii="仿宋_GB2312" w:hAnsi="仿宋_GB2312" w:cs="仿宋_GB2312" w:eastAsia="仿宋_GB2312"/>
        </w:rPr>
        <w:t>采购包最高限价（元）: 530,000.00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自然资源厅要求的相关资料</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1,230,000.00</w:t>
      </w:r>
    </w:p>
    <w:p>
      <w:pPr>
        <w:pStyle w:val="null3"/>
        <w:jc w:val="left"/>
      </w:pPr>
      <w:r>
        <w:rPr>
          <w:rFonts w:ascii="仿宋_GB2312" w:hAnsi="仿宋_GB2312" w:cs="仿宋_GB2312" w:eastAsia="仿宋_GB2312"/>
        </w:rPr>
        <w:t>采购包最高限价（元）: 1,230,000.00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开发区环评规划及环评审核意见、环境风险应急预案</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1,230,000.00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490,000.00</w:t>
      </w:r>
    </w:p>
    <w:p>
      <w:pPr>
        <w:pStyle w:val="null3"/>
        <w:jc w:val="left"/>
      </w:pPr>
      <w:r>
        <w:rPr>
          <w:rFonts w:ascii="仿宋_GB2312" w:hAnsi="仿宋_GB2312" w:cs="仿宋_GB2312" w:eastAsia="仿宋_GB2312"/>
        </w:rPr>
        <w:t>采购包最高限价（元）: 490,000.00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开发区水资源论证</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490,000.00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1,550,000.00</w:t>
      </w:r>
    </w:p>
    <w:p>
      <w:pPr>
        <w:pStyle w:val="null3"/>
        <w:jc w:val="left"/>
      </w:pPr>
      <w:r>
        <w:rPr>
          <w:rFonts w:ascii="仿宋_GB2312" w:hAnsi="仿宋_GB2312" w:cs="仿宋_GB2312" w:eastAsia="仿宋_GB2312"/>
        </w:rPr>
        <w:t>采购包最高限价（元）: 1,550,000.00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开发区总体规划、控制性详细规划</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开发区发展规划、住建、社稳、组卷</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开发区整体性安全风险评估报告</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自然资源厅要求的相关资料</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开发区环评规划及环评审核意见、环境风险应急预案</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1,230,000.00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开发区水资源论证</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开发区总体规划、控制性详细规划</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标的名称：开发区发展规划、住建、社稳、组卷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峨边彝族自治县</w:t>
            </w:r>
            <w:r>
              <w:rPr>
                <w:rFonts w:ascii="仿宋_GB2312" w:hAnsi="仿宋_GB2312" w:cs="仿宋_GB2312" w:eastAsia="仿宋_GB2312"/>
                <w:sz w:val="24"/>
              </w:rPr>
              <w:t>申请设立省级经济开发区</w:t>
            </w:r>
            <w:r>
              <w:rPr>
                <w:rFonts w:ascii="仿宋_GB2312" w:hAnsi="仿宋_GB2312" w:cs="仿宋_GB2312" w:eastAsia="仿宋_GB2312"/>
                <w:sz w:val="24"/>
              </w:rPr>
              <w:t>发展规划、社会稳定风险评估报告</w:t>
            </w:r>
            <w:r>
              <w:rPr>
                <w:rFonts w:ascii="仿宋_GB2312" w:hAnsi="仿宋_GB2312" w:cs="仿宋_GB2312" w:eastAsia="仿宋_GB2312"/>
                <w:sz w:val="24"/>
              </w:rPr>
              <w:t>申报材料编制和组卷，最终达到四川省政府对设立省级经济开发区的审查要求。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标的名称：开发区整体性安全风险评估报告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一、编制要求</w:t>
            </w:r>
          </w:p>
          <w:p>
            <w:pPr>
              <w:pStyle w:val="null3"/>
              <w:jc w:val="left"/>
            </w:pPr>
            <w:r>
              <w:rPr>
                <w:rFonts w:ascii="仿宋_GB2312" w:hAnsi="仿宋_GB2312" w:cs="仿宋_GB2312" w:eastAsia="仿宋_GB2312"/>
                <w:sz w:val="24"/>
              </w:rPr>
              <w:t>根据《园区（集中区）整体性安全风险评价导则》</w:t>
            </w:r>
            <w:r>
              <w:rPr>
                <w:rFonts w:ascii="仿宋_GB2312" w:hAnsi="仿宋_GB2312" w:cs="仿宋_GB2312" w:eastAsia="仿宋_GB2312"/>
                <w:sz w:val="24"/>
              </w:rPr>
              <w:t>DB51/T2590-2019、《安全评价通则》AQ8001-2007对园区进行整体性安全风险评价，主要包含：园区基本情况（概括）、危险和有害因素辨识、定性定量评价与分析、安全风险汇总及安全对策措施与建议</w:t>
            </w:r>
            <w:r>
              <w:rPr>
                <w:rFonts w:ascii="仿宋_GB2312" w:hAnsi="仿宋_GB2312" w:cs="仿宋_GB2312" w:eastAsia="仿宋_GB2312"/>
                <w:sz w:val="24"/>
              </w:rPr>
              <w:t>、应急预案</w:t>
            </w:r>
            <w:r>
              <w:rPr>
                <w:rFonts w:ascii="仿宋_GB2312" w:hAnsi="仿宋_GB2312" w:cs="仿宋_GB2312" w:eastAsia="仿宋_GB2312"/>
                <w:sz w:val="24"/>
              </w:rPr>
              <w:t>等内容</w:t>
            </w:r>
            <w:r>
              <w:rPr>
                <w:rFonts w:ascii="仿宋_GB2312" w:hAnsi="仿宋_GB2312" w:cs="仿宋_GB2312" w:eastAsia="仿宋_GB2312"/>
                <w:sz w:val="24"/>
              </w:rPr>
              <w:t>；根据国务院办公厅关于印发《突发事件应急预案管理办法的通知》、《生产安全事故应急预案管理办法》以及《四川省生产安全事故应急预案管理实施细则》的有关内容和要求，编制开发区突发生产安全事故应急预案。</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二、成果要求</w:t>
            </w:r>
          </w:p>
          <w:p>
            <w:pPr>
              <w:pStyle w:val="null3"/>
              <w:jc w:val="both"/>
            </w:pPr>
            <w:r>
              <w:rPr>
                <w:rFonts w:ascii="仿宋_GB2312" w:hAnsi="仿宋_GB2312" w:cs="仿宋_GB2312" w:eastAsia="仿宋_GB2312"/>
                <w:sz w:val="24"/>
              </w:rPr>
              <w:t>根据专家评审意见进行修订，并在采购单位确定后打印装订《园区整体性安全风险评估报告》</w:t>
            </w:r>
            <w:r>
              <w:rPr>
                <w:rFonts w:ascii="仿宋_GB2312" w:hAnsi="仿宋_GB2312" w:cs="仿宋_GB2312" w:eastAsia="仿宋_GB2312"/>
                <w:sz w:val="24"/>
              </w:rPr>
              <w:t>、《开发区突发生产安全事故应急预案》</w:t>
            </w:r>
            <w:r>
              <w:rPr>
                <w:rFonts w:ascii="仿宋_GB2312" w:hAnsi="仿宋_GB2312" w:cs="仿宋_GB2312" w:eastAsia="仿宋_GB2312"/>
                <w:sz w:val="24"/>
              </w:rPr>
              <w:t>，交付成果包括</w:t>
            </w:r>
            <w:r>
              <w:rPr>
                <w:rFonts w:ascii="仿宋_GB2312" w:hAnsi="仿宋_GB2312" w:cs="仿宋_GB2312" w:eastAsia="仿宋_GB2312"/>
                <w:sz w:val="24"/>
              </w:rPr>
              <w:t>4份(印刷版)及电子版1份。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标的名称：自然资源厅要求的相关资料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一、技术</w:t>
            </w:r>
            <w:r>
              <w:rPr>
                <w:rFonts w:ascii="仿宋_GB2312" w:hAnsi="仿宋_GB2312" w:cs="仿宋_GB2312" w:eastAsia="仿宋_GB2312"/>
                <w:sz w:val="24"/>
              </w:rPr>
              <w:t>服务内容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 根据《四川省省级开发区设立、扩区和调位管理办法》和《四川省自然资源厅办公室关于印发〈开发区（示范区）用地审查工作指南〉的通知》，开展四川峨边经济开发区用地咨询与分析技术服务，为后续提供技术咨询及用地合规性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2）根据《四川省自然资源厅关于深化“亩均论英雄”改革开展2024年度园区调查评价有关工作的通知》及相关技术规程与标准，开展2024年度“亩均论英雄”园区调查评价工作。</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提供电子版和纸质版成果各</w:t>
            </w:r>
            <w:r>
              <w:rPr>
                <w:rFonts w:ascii="仿宋_GB2312" w:hAnsi="仿宋_GB2312" w:cs="仿宋_GB2312" w:eastAsia="仿宋_GB2312"/>
                <w:sz w:val="24"/>
              </w:rPr>
              <w:t>2套。成果内容至少包括：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1）用地审查咨询成果</w:t>
            </w:r>
          </w:p>
          <w:p>
            <w:pPr>
              <w:pStyle w:val="null3"/>
              <w:jc w:val="left"/>
            </w:pPr>
            <w:r>
              <w:rPr>
                <w:rFonts w:ascii="仿宋_GB2312" w:hAnsi="仿宋_GB2312" w:cs="仿宋_GB2312" w:eastAsia="仿宋_GB2312"/>
                <w:sz w:val="24"/>
              </w:rPr>
              <w:t>包括文本成果、图件成果、界址点成果、矢量数据成果和表格成果。成果需符合四川省自然资源厅用地审查技术标准。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2）“亩均论英雄”园区调查评价成果</w:t>
            </w:r>
          </w:p>
          <w:p>
            <w:pPr>
              <w:pStyle w:val="null3"/>
              <w:jc w:val="both"/>
            </w:pPr>
            <w:r>
              <w:rPr>
                <w:rFonts w:ascii="仿宋_GB2312" w:hAnsi="仿宋_GB2312" w:cs="仿宋_GB2312" w:eastAsia="仿宋_GB2312"/>
                <w:sz w:val="24"/>
              </w:rPr>
              <w:t>包括文本成果、空间矢量数据成果、表格数据成果、图件成果和基础资料汇编成果。成果需符合四川省自然资源厅相关要求和《</w:t>
            </w:r>
            <w:r>
              <w:rPr>
                <w:rFonts w:ascii="仿宋_GB2312" w:hAnsi="仿宋_GB2312" w:cs="仿宋_GB2312" w:eastAsia="仿宋_GB2312"/>
                <w:sz w:val="24"/>
              </w:rPr>
              <w:t>2024年度“亩均论英雄”园区调查评价技术方案》。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标的名称：开发区环评规划及环评审核意见、环境风险应急预案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一、编制要求</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（一）技术标准</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按《规划环境影响评价技术导则</w:t>
            </w:r>
            <w:r>
              <w:rPr>
                <w:rFonts w:ascii="仿宋_GB2312" w:hAnsi="仿宋_GB2312" w:cs="仿宋_GB2312" w:eastAsia="仿宋_GB2312"/>
                <w:sz w:val="24"/>
              </w:rPr>
              <w:t>总纲》（</w:t>
            </w:r>
            <w:r>
              <w:rPr>
                <w:rFonts w:ascii="仿宋_GB2312" w:hAnsi="仿宋_GB2312" w:cs="仿宋_GB2312" w:eastAsia="仿宋_GB2312"/>
                <w:sz w:val="24"/>
              </w:rPr>
              <w:t>HJ130-2019）、《规划环境影响评价技术导则 产业园区》（HJ131-2021）、《环境影响评价技术导则 大气环境》（HJ2.2-2018）《环境影响评价技术导则 地表水环境》（HJ2.3-2018）、《环境影响评价技术导则 地下水环境》（HJ610-2016）、《环境影响评价技术导则 声环境》（HJ2.4-2021）、《环境影响评价技术导则 生态影响》（HJ19-2022）等相关规程、规范要求编制完成规划环境影响报告书；并遵守国家相关法律法规同时应满足采购人提出的需求，最终报具有审查权限的生态环境主管部门进行评审，取得相应批复文件（审查意见或复函等）。</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1、成果文件：包括但不限于规划环境影响评价报告书、环境监测报告、批复文件。</w:t>
            </w:r>
          </w:p>
          <w:p>
            <w:pPr>
              <w:pStyle w:val="null3"/>
              <w:jc w:val="left"/>
            </w:pPr>
            <w:r>
              <w:rPr>
                <w:rFonts w:ascii="仿宋_GB2312" w:hAnsi="仿宋_GB2312" w:cs="仿宋_GB2312" w:eastAsia="仿宋_GB2312"/>
                <w:sz w:val="24"/>
              </w:rPr>
              <w:t>2、提交成果要求：提交成果报告电子文件和A4格式的文本5份。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1）纸质文本：规格：A4纸规格，数量：5份。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2）电子文本：Word或PDF。</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标的名称：开发区水资源论证</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一、编制要求</w:t>
            </w:r>
          </w:p>
          <w:p>
            <w:pPr>
              <w:pStyle w:val="null3"/>
              <w:ind w:firstLine="480"/>
              <w:jc w:val="left"/>
            </w:pPr>
            <w:r>
              <w:rPr>
                <w:rFonts w:ascii="仿宋_GB2312" w:hAnsi="仿宋_GB2312" w:cs="仿宋_GB2312" w:eastAsia="仿宋_GB2312"/>
                <w:sz w:val="24"/>
              </w:rPr>
              <w:t>四川峨边经济开发区规划总面积</w:t>
            </w:r>
            <w:r>
              <w:rPr>
                <w:rFonts w:ascii="仿宋_GB2312" w:hAnsi="仿宋_GB2312" w:cs="仿宋_GB2312" w:eastAsia="仿宋_GB2312"/>
                <w:sz w:val="24"/>
              </w:rPr>
              <w:t>约</w:t>
            </w:r>
            <w:r>
              <w:rPr>
                <w:rFonts w:ascii="仿宋_GB2312" w:hAnsi="仿宋_GB2312" w:cs="仿宋_GB2312" w:eastAsia="仿宋_GB2312"/>
                <w:sz w:val="24"/>
              </w:rPr>
              <w:t>195</w:t>
            </w:r>
            <w:r>
              <w:rPr>
                <w:rFonts w:ascii="仿宋_GB2312" w:hAnsi="仿宋_GB2312" w:cs="仿宋_GB2312" w:eastAsia="仿宋_GB2312"/>
                <w:sz w:val="24"/>
              </w:rPr>
              <w:t>公顷，</w:t>
            </w:r>
            <w:r>
              <w:rPr>
                <w:rFonts w:ascii="仿宋_GB2312" w:hAnsi="仿宋_GB2312" w:cs="仿宋_GB2312" w:eastAsia="仿宋_GB2312"/>
                <w:sz w:val="24"/>
              </w:rPr>
              <w:t>共三个组团</w:t>
            </w:r>
            <w:r>
              <w:rPr>
                <w:rFonts w:ascii="仿宋_GB2312" w:hAnsi="仿宋_GB2312" w:cs="仿宋_GB2312" w:eastAsia="仿宋_GB2312"/>
                <w:sz w:val="24"/>
              </w:rPr>
              <w:t>7个区块，</w:t>
            </w:r>
            <w:r>
              <w:rPr>
                <w:rFonts w:ascii="仿宋_GB2312" w:hAnsi="仿宋_GB2312" w:cs="仿宋_GB2312" w:eastAsia="仿宋_GB2312"/>
                <w:sz w:val="24"/>
              </w:rPr>
              <w:t>具体情况如下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核桃坪组团规划面积约</w:t>
            </w:r>
            <w:r>
              <w:rPr>
                <w:rFonts w:ascii="仿宋_GB2312" w:hAnsi="仿宋_GB2312" w:cs="仿宋_GB2312" w:eastAsia="仿宋_GB2312"/>
                <w:sz w:val="24"/>
              </w:rPr>
              <w:t>140</w:t>
            </w:r>
            <w:r>
              <w:rPr>
                <w:rFonts w:ascii="仿宋_GB2312" w:hAnsi="仿宋_GB2312" w:cs="仿宋_GB2312" w:eastAsia="仿宋_GB2312"/>
                <w:sz w:val="24"/>
              </w:rPr>
              <w:t>公顷</w:t>
            </w:r>
            <w:r>
              <w:rPr>
                <w:rFonts w:ascii="仿宋_GB2312" w:hAnsi="仿宋_GB2312" w:cs="仿宋_GB2312" w:eastAsia="仿宋_GB2312"/>
                <w:sz w:val="24"/>
              </w:rPr>
              <w:t>，共</w:t>
            </w:r>
            <w:r>
              <w:rPr>
                <w:rFonts w:ascii="仿宋_GB2312" w:hAnsi="仿宋_GB2312" w:cs="仿宋_GB2312" w:eastAsia="仿宋_GB2312"/>
                <w:sz w:val="24"/>
              </w:rPr>
              <w:t>3个区块；刘家沟组团规划面积约35</w:t>
            </w:r>
            <w:r>
              <w:rPr>
                <w:rFonts w:ascii="仿宋_GB2312" w:hAnsi="仿宋_GB2312" w:cs="仿宋_GB2312" w:eastAsia="仿宋_GB2312"/>
                <w:sz w:val="24"/>
              </w:rPr>
              <w:t>公顷</w:t>
            </w:r>
            <w:r>
              <w:rPr>
                <w:rFonts w:ascii="仿宋_GB2312" w:hAnsi="仿宋_GB2312" w:cs="仿宋_GB2312" w:eastAsia="仿宋_GB2312"/>
                <w:sz w:val="24"/>
              </w:rPr>
              <w:t>，</w:t>
            </w:r>
            <w:r>
              <w:rPr>
                <w:rFonts w:ascii="仿宋_GB2312" w:hAnsi="仿宋_GB2312" w:cs="仿宋_GB2312" w:eastAsia="仿宋_GB2312"/>
                <w:sz w:val="24"/>
              </w:rPr>
              <w:t>共</w:t>
            </w:r>
            <w:r>
              <w:rPr>
                <w:rFonts w:ascii="仿宋_GB2312" w:hAnsi="仿宋_GB2312" w:cs="仿宋_GB2312" w:eastAsia="仿宋_GB2312"/>
                <w:sz w:val="24"/>
              </w:rPr>
              <w:t>3</w:t>
            </w:r>
            <w:r>
              <w:rPr>
                <w:rFonts w:ascii="仿宋_GB2312" w:hAnsi="仿宋_GB2312" w:cs="仿宋_GB2312" w:eastAsia="仿宋_GB2312"/>
                <w:sz w:val="24"/>
              </w:rPr>
              <w:t>个区块</w:t>
            </w:r>
            <w:r>
              <w:rPr>
                <w:rFonts w:ascii="仿宋_GB2312" w:hAnsi="仿宋_GB2312" w:cs="仿宋_GB2312" w:eastAsia="仿宋_GB2312"/>
                <w:sz w:val="24"/>
              </w:rPr>
              <w:t>；</w:t>
            </w:r>
            <w:r>
              <w:rPr>
                <w:rFonts w:ascii="仿宋_GB2312" w:hAnsi="仿宋_GB2312" w:cs="仿宋_GB2312" w:eastAsia="仿宋_GB2312"/>
                <w:sz w:val="24"/>
              </w:rPr>
              <w:t>火烧营组团</w:t>
            </w:r>
            <w:r>
              <w:rPr>
                <w:rFonts w:ascii="仿宋_GB2312" w:hAnsi="仿宋_GB2312" w:cs="仿宋_GB2312" w:eastAsia="仿宋_GB2312"/>
                <w:sz w:val="24"/>
              </w:rPr>
              <w:t>规划面积约</w:t>
            </w:r>
            <w:r>
              <w:rPr>
                <w:rFonts w:ascii="仿宋_GB2312" w:hAnsi="仿宋_GB2312" w:cs="仿宋_GB2312" w:eastAsia="仿宋_GB2312"/>
                <w:sz w:val="24"/>
              </w:rPr>
              <w:t>20</w:t>
            </w:r>
            <w:r>
              <w:rPr>
                <w:rFonts w:ascii="仿宋_GB2312" w:hAnsi="仿宋_GB2312" w:cs="仿宋_GB2312" w:eastAsia="仿宋_GB2312"/>
                <w:sz w:val="24"/>
              </w:rPr>
              <w:t>公顷</w:t>
            </w:r>
            <w:r>
              <w:rPr>
                <w:rFonts w:ascii="仿宋_GB2312" w:hAnsi="仿宋_GB2312" w:cs="仿宋_GB2312" w:eastAsia="仿宋_GB2312"/>
                <w:sz w:val="24"/>
              </w:rPr>
              <w:t>），</w:t>
            </w:r>
            <w:r>
              <w:rPr>
                <w:rFonts w:ascii="仿宋_GB2312" w:hAnsi="仿宋_GB2312" w:cs="仿宋_GB2312" w:eastAsia="仿宋_GB2312"/>
                <w:sz w:val="24"/>
              </w:rPr>
              <w:t>共</w:t>
            </w:r>
            <w:r>
              <w:rPr>
                <w:rFonts w:ascii="仿宋_GB2312" w:hAnsi="仿宋_GB2312" w:cs="仿宋_GB2312" w:eastAsia="仿宋_GB2312"/>
                <w:sz w:val="24"/>
              </w:rPr>
              <w:t>1</w:t>
            </w:r>
            <w:r>
              <w:rPr>
                <w:rFonts w:ascii="仿宋_GB2312" w:hAnsi="仿宋_GB2312" w:cs="仿宋_GB2312" w:eastAsia="仿宋_GB2312"/>
                <w:sz w:val="24"/>
              </w:rPr>
              <w:t>个区块。</w:t>
            </w:r>
            <w:r>
              <w:rPr>
                <w:rFonts w:ascii="仿宋_GB2312" w:hAnsi="仿宋_GB2312" w:cs="仿宋_GB2312" w:eastAsia="仿宋_GB2312"/>
                <w:sz w:val="24"/>
              </w:rPr>
              <w:t>（</w:t>
            </w:r>
            <w:r>
              <w:rPr>
                <w:rFonts w:ascii="仿宋_GB2312" w:hAnsi="仿宋_GB2312" w:cs="仿宋_GB2312" w:eastAsia="仿宋_GB2312"/>
                <w:sz w:val="24"/>
              </w:rPr>
              <w:t>注：以上范围根据创建情况可作适当调整</w:t>
            </w:r>
            <w:r>
              <w:rPr>
                <w:rFonts w:ascii="仿宋_GB2312" w:hAnsi="仿宋_GB2312" w:cs="仿宋_GB2312" w:eastAsia="仿宋_GB2312"/>
                <w:sz w:val="24"/>
              </w:rPr>
              <w:t>）</w:t>
            </w:r>
            <w:r>
              <w:rPr>
                <w:rFonts w:ascii="仿宋_GB2312" w:hAnsi="仿宋_GB2312" w:cs="仿宋_GB2312" w:eastAsia="仿宋_GB2312"/>
                <w:sz w:val="24"/>
              </w:rPr>
              <w:t>。完成《四川峨边经济开发区规划水资源论证》。</w:t>
            </w:r>
          </w:p>
          <w:p>
            <w:pPr>
              <w:pStyle w:val="null3"/>
              <w:jc w:val="left"/>
            </w:pPr>
            <w:r>
              <w:rPr>
                <w:rFonts w:ascii="仿宋_GB2312" w:hAnsi="仿宋_GB2312" w:cs="仿宋_GB2312" w:eastAsia="仿宋_GB2312"/>
                <w:sz w:val="24"/>
              </w:rPr>
              <w:t>《四川峨边经济开发区规划水资源论证》要求按照水利部文件《关于开展规划水资源论证试点工作的通知》（水资源〔</w:t>
            </w:r>
            <w:r>
              <w:rPr>
                <w:rFonts w:ascii="仿宋_GB2312" w:hAnsi="仿宋_GB2312" w:cs="仿宋_GB2312" w:eastAsia="仿宋_GB2312"/>
                <w:sz w:val="24"/>
              </w:rPr>
              <w:t>2010〕483号）、《规划水资源论证技术要求》要求和四川峨边经济开发区规划（简称“规划”）的实际需求，本水资源论证从水资源承载能力和水环境容量出发，评估论证“规划”布局与水资源承载能力的适应性、规划需水合理性分析、规划水资源可靠性分析、水平衡分析、规划实施影响分析及对策措施等内容。</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按照上述要求完成规划成果，包括规划文本、图纸、图册、附件和矢量数据库等。</w:t>
            </w:r>
          </w:p>
          <w:p>
            <w:pPr>
              <w:pStyle w:val="null3"/>
              <w:jc w:val="both"/>
            </w:pPr>
            <w:r>
              <w:rPr>
                <w:rFonts w:ascii="仿宋_GB2312" w:hAnsi="仿宋_GB2312" w:cs="仿宋_GB2312" w:eastAsia="仿宋_GB2312"/>
                <w:sz w:val="24"/>
              </w:rPr>
              <w:t>提交最终成果包括纸质加盖鲜章版文件及相应的电子文件。具体内容为：图文并茂说明文件</w:t>
            </w:r>
            <w:r>
              <w:rPr>
                <w:rFonts w:ascii="仿宋_GB2312" w:hAnsi="仿宋_GB2312" w:cs="仿宋_GB2312" w:eastAsia="仿宋_GB2312"/>
                <w:sz w:val="24"/>
              </w:rPr>
              <w:t>6套（A4规格）；电子文件2套。</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标的名称：开发区总体规划、控制性详细规划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一、编制要求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根据“三区三线”划定成果，严格按照《城乡规划法》《城市规划编制办法》及《四川省市县国土空间总体规划编制办法（2022年修订版）》《四川省城镇详细规划编制指南（试行）》相关要求进行成果内容编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2）规划范围：四川峨边经济开发区总体规划、控制性详细规划总面积</w:t>
            </w:r>
            <w:r>
              <w:rPr>
                <w:rFonts w:ascii="仿宋_GB2312" w:hAnsi="仿宋_GB2312" w:cs="仿宋_GB2312" w:eastAsia="仿宋_GB2312"/>
                <w:sz w:val="24"/>
              </w:rPr>
              <w:t>约</w:t>
            </w:r>
            <w:r>
              <w:rPr>
                <w:rFonts w:ascii="仿宋_GB2312" w:hAnsi="仿宋_GB2312" w:cs="仿宋_GB2312" w:eastAsia="仿宋_GB2312"/>
                <w:sz w:val="24"/>
              </w:rPr>
              <w:t>195</w:t>
            </w:r>
            <w:r>
              <w:rPr>
                <w:rFonts w:ascii="仿宋_GB2312" w:hAnsi="仿宋_GB2312" w:cs="仿宋_GB2312" w:eastAsia="仿宋_GB2312"/>
                <w:sz w:val="24"/>
              </w:rPr>
              <w:t>公顷，共三大组团、</w:t>
            </w:r>
            <w:r>
              <w:rPr>
                <w:rFonts w:ascii="仿宋_GB2312" w:hAnsi="仿宋_GB2312" w:cs="仿宋_GB2312" w:eastAsia="仿宋_GB2312"/>
                <w:sz w:val="24"/>
              </w:rPr>
              <w:t>7个区块，位于峨边沙坪镇、毛坪镇。</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规划技术成果以国家、省、市最终明确的成果形式为准。成果包含规划文本、图纸、图则、附件及矢量数据库。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1）纸质成果规格：A3，数量：6套。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2）电子成果：提交与设计成果内容一致的电子文件1套（U盘或光盘）。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技术规范要求：①符合《乐山市城市规划技术管理规定（2022）》文件要求。②满足其他国家及地方相关法律法规文件要求。③技术标准及范围：提交的规划成果表达应当清晰、规范，符合城乡规划有关的技术标准和规范。在规划过程中，如果国家或有关部门颁布了新的技术标准或规范，则</w:t>
            </w:r>
            <w:r>
              <w:rPr>
                <w:rFonts w:ascii="仿宋_GB2312" w:hAnsi="仿宋_GB2312" w:cs="仿宋_GB2312" w:eastAsia="仿宋_GB2312"/>
                <w:sz w:val="24"/>
              </w:rPr>
              <w:t>投标人</w:t>
            </w:r>
            <w:r>
              <w:rPr>
                <w:rFonts w:ascii="仿宋_GB2312" w:hAnsi="仿宋_GB2312" w:cs="仿宋_GB2312" w:eastAsia="仿宋_GB2312"/>
                <w:sz w:val="24"/>
              </w:rPr>
              <w:t>应采用新的标准或规范进行规划。</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开发区发展规划、住建、社稳、组卷</w:t>
            </w:r>
          </w:p>
        </w:tc>
        <w:tc>
          <w:tcPr>
            <w:tcW w:type="dxa" w:w="5814"/>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峨边彝族自治县</w:t>
            </w:r>
            <w:r>
              <w:rPr>
                <w:rFonts w:ascii="仿宋_GB2312" w:hAnsi="仿宋_GB2312" w:cs="仿宋_GB2312" w:eastAsia="仿宋_GB2312"/>
                <w:sz w:val="24"/>
              </w:rPr>
              <w:t>申请设立省级经济开发区</w:t>
            </w:r>
            <w:r>
              <w:rPr>
                <w:rFonts w:ascii="仿宋_GB2312" w:hAnsi="仿宋_GB2312" w:cs="仿宋_GB2312" w:eastAsia="仿宋_GB2312"/>
                <w:sz w:val="24"/>
              </w:rPr>
              <w:t>发展规划、社会稳定风险评估报告</w:t>
            </w:r>
            <w:r>
              <w:rPr>
                <w:rFonts w:ascii="仿宋_GB2312" w:hAnsi="仿宋_GB2312" w:cs="仿宋_GB2312" w:eastAsia="仿宋_GB2312"/>
                <w:sz w:val="24"/>
              </w:rPr>
              <w:t>申报材料编制和组卷，最终达到四川省政府对设立省级经济开发区的审查要求。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开发区整体性安全风险评估报告、突发生产安全事故应急预案</w:t>
            </w:r>
          </w:p>
        </w:tc>
        <w:tc>
          <w:tcPr>
            <w:tcW w:type="dxa" w:w="5814"/>
          </w:tcPr>
          <w:p>
            <w:pPr>
              <w:pStyle w:val="null3"/>
              <w:jc w:val="left"/>
            </w:pPr>
            <w:r>
              <w:rPr>
                <w:rFonts w:ascii="仿宋_GB2312" w:hAnsi="仿宋_GB2312" w:cs="仿宋_GB2312" w:eastAsia="仿宋_GB2312"/>
                <w:sz w:val="24"/>
              </w:rPr>
              <w:t>一、编制要求</w:t>
            </w:r>
          </w:p>
          <w:p>
            <w:pPr>
              <w:pStyle w:val="null3"/>
              <w:jc w:val="left"/>
            </w:pPr>
            <w:r>
              <w:rPr>
                <w:rFonts w:ascii="仿宋_GB2312" w:hAnsi="仿宋_GB2312" w:cs="仿宋_GB2312" w:eastAsia="仿宋_GB2312"/>
                <w:sz w:val="24"/>
              </w:rPr>
              <w:t>根据《园区（集中区）整体性安全风险评价导则》</w:t>
            </w:r>
            <w:r>
              <w:rPr>
                <w:rFonts w:ascii="仿宋_GB2312" w:hAnsi="仿宋_GB2312" w:cs="仿宋_GB2312" w:eastAsia="仿宋_GB2312"/>
                <w:sz w:val="24"/>
              </w:rPr>
              <w:t>DB51/T2590-2019、《安全评价通则》AQ8001-2007对园区进行整体性安全风险评价，主要包含：园区基本情况（概括）、危险和有害因素辨识、定性定量评价与分析、安全风险汇总及安全对策措施与建议</w:t>
            </w:r>
            <w:r>
              <w:rPr>
                <w:rFonts w:ascii="仿宋_GB2312" w:hAnsi="仿宋_GB2312" w:cs="仿宋_GB2312" w:eastAsia="仿宋_GB2312"/>
                <w:sz w:val="24"/>
              </w:rPr>
              <w:t>、应急预案</w:t>
            </w:r>
            <w:r>
              <w:rPr>
                <w:rFonts w:ascii="仿宋_GB2312" w:hAnsi="仿宋_GB2312" w:cs="仿宋_GB2312" w:eastAsia="仿宋_GB2312"/>
                <w:sz w:val="24"/>
              </w:rPr>
              <w:t>等内容</w:t>
            </w:r>
            <w:r>
              <w:rPr>
                <w:rFonts w:ascii="仿宋_GB2312" w:hAnsi="仿宋_GB2312" w:cs="仿宋_GB2312" w:eastAsia="仿宋_GB2312"/>
                <w:sz w:val="24"/>
              </w:rPr>
              <w:t>；根据国务院办公厅关于印发《突发事件应急预案管理办法的通知》、《生产安全事故应急预案管理办法》以及《四川省生产安全事故应急预案管理实施细则》的有关内容和要求，编制开发区突发生产安全事故应急预案。</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二、成果要求</w:t>
            </w:r>
          </w:p>
          <w:p>
            <w:pPr>
              <w:pStyle w:val="null3"/>
              <w:jc w:val="both"/>
            </w:pPr>
            <w:r>
              <w:rPr>
                <w:rFonts w:ascii="仿宋_GB2312" w:hAnsi="仿宋_GB2312" w:cs="仿宋_GB2312" w:eastAsia="仿宋_GB2312"/>
                <w:sz w:val="24"/>
              </w:rPr>
              <w:t>根据专家评审意见进行修订，并在采购单位确定后打印装订《园区整体性安全风险评估报告》</w:t>
            </w:r>
            <w:r>
              <w:rPr>
                <w:rFonts w:ascii="仿宋_GB2312" w:hAnsi="仿宋_GB2312" w:cs="仿宋_GB2312" w:eastAsia="仿宋_GB2312"/>
                <w:sz w:val="24"/>
              </w:rPr>
              <w:t>、《开发区突发生产安全事故应急预案》</w:t>
            </w:r>
            <w:r>
              <w:rPr>
                <w:rFonts w:ascii="仿宋_GB2312" w:hAnsi="仿宋_GB2312" w:cs="仿宋_GB2312" w:eastAsia="仿宋_GB2312"/>
                <w:sz w:val="24"/>
              </w:rPr>
              <w:t>，交付成果包括</w:t>
            </w:r>
            <w:r>
              <w:rPr>
                <w:rFonts w:ascii="仿宋_GB2312" w:hAnsi="仿宋_GB2312" w:cs="仿宋_GB2312" w:eastAsia="仿宋_GB2312"/>
                <w:sz w:val="24"/>
              </w:rPr>
              <w:t>4份(印刷版)及电子版1份。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自然资源厅要求的相关资料</w:t>
            </w:r>
          </w:p>
        </w:tc>
        <w:tc>
          <w:tcPr>
            <w:tcW w:type="dxa" w:w="5814"/>
          </w:tcPr>
          <w:p>
            <w:pPr>
              <w:pStyle w:val="null3"/>
              <w:jc w:val="left"/>
            </w:pPr>
            <w:r>
              <w:rPr>
                <w:rFonts w:ascii="仿宋_GB2312" w:hAnsi="仿宋_GB2312" w:cs="仿宋_GB2312" w:eastAsia="仿宋_GB2312"/>
                <w:sz w:val="24"/>
              </w:rPr>
              <w:t>一、服务内容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 根据《四川省省级开发区设立、扩区和调位管理办法》和《四川省自然资源厅办公室关于印发〈开发区（示范区）用地审查工作指南〉的通知》，开展四川峨边经济开发区用地咨询与分析技术服务，为后续提供技术咨询及用地合规性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2）根据《四川省自然资源厅关于深化“亩均论英雄”改革开展2024年度园区调查评价有关工作的通知》及相关技术规程与标准，开展2024年度“亩均论英雄”园区调查评价工作。</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提供电子版和纸质版成果各</w:t>
            </w:r>
            <w:r>
              <w:rPr>
                <w:rFonts w:ascii="仿宋_GB2312" w:hAnsi="仿宋_GB2312" w:cs="仿宋_GB2312" w:eastAsia="仿宋_GB2312"/>
                <w:sz w:val="24"/>
              </w:rPr>
              <w:t>2套。成果内容至少包括：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1）用地审查咨询成果</w:t>
            </w:r>
          </w:p>
          <w:p>
            <w:pPr>
              <w:pStyle w:val="null3"/>
              <w:jc w:val="left"/>
            </w:pPr>
            <w:r>
              <w:rPr>
                <w:rFonts w:ascii="仿宋_GB2312" w:hAnsi="仿宋_GB2312" w:cs="仿宋_GB2312" w:eastAsia="仿宋_GB2312"/>
                <w:sz w:val="24"/>
              </w:rPr>
              <w:t>包括文本成果、图件成果、界址点成果、矢量数据成果和表格成果。成果需符合四川省自然资源厅用地审查技术标准。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2）“亩均论英雄”园区调查评价成果</w:t>
            </w:r>
          </w:p>
          <w:p>
            <w:pPr>
              <w:pStyle w:val="null3"/>
              <w:jc w:val="both"/>
            </w:pPr>
            <w:r>
              <w:rPr>
                <w:rFonts w:ascii="仿宋_GB2312" w:hAnsi="仿宋_GB2312" w:cs="仿宋_GB2312" w:eastAsia="仿宋_GB2312"/>
                <w:sz w:val="24"/>
              </w:rPr>
              <w:t>包括文本成果、空间矢量数据成果、表格数据成果、图件成果和基础资料汇编成果。成果需符合四川省自然资源厅相关要求和《</w:t>
            </w:r>
            <w:r>
              <w:rPr>
                <w:rFonts w:ascii="仿宋_GB2312" w:hAnsi="仿宋_GB2312" w:cs="仿宋_GB2312" w:eastAsia="仿宋_GB2312"/>
                <w:sz w:val="24"/>
              </w:rPr>
              <w:t>2024年度“亩均论英雄”园区调查评价技术方案》。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开发区环评规划及环评审核意见、环境风险应急预案</w:t>
            </w:r>
          </w:p>
        </w:tc>
        <w:tc>
          <w:tcPr>
            <w:tcW w:type="dxa" w:w="5814"/>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）服务内容及要求</w:t>
            </w:r>
          </w:p>
          <w:p>
            <w:pPr>
              <w:pStyle w:val="null3"/>
              <w:jc w:val="left"/>
            </w:pPr>
            <w:r>
              <w:rPr>
                <w:rFonts w:ascii="仿宋_GB2312" w:hAnsi="仿宋_GB2312" w:cs="仿宋_GB2312" w:eastAsia="仿宋_GB2312"/>
                <w:sz w:val="24"/>
              </w:rPr>
              <w:t>编制的规划环评报告书要以改善环境质量和保障生态安全为目标，突出规划环境影响评价源头预防作用，优化完善产业园区规划方案，强化产业园区污染防治，改善区域生态环境质量。通过评价，提供规划决策所需的资源与环境信息，识别制约规划实施的主要资源（如土地资源、水资源、能源等）和环境要素（如水环境、大气环境、土壤环境、声环境和生态环境），确定环境目标，构建评价指标体系，分析、预测与评价规划实施可能对区域生态系统产生的整体影响、对环境产生的长远影响，论证规划方案的环境合理性和可持续发展的影响，论证规划实施后环境目标和指标的可达性，形成规划优化调整建议，提出环境保护对策、措施和跟踪评价方案，协调规划实施的经济效益、社会效益与环境效益之间以及当前利益与长远利益之间的关系，为规划和环境管理提供决策依据。</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、服务方案</w:t>
            </w:r>
          </w:p>
          <w:p>
            <w:pPr>
              <w:pStyle w:val="null3"/>
              <w:jc w:val="left"/>
            </w:pPr>
            <w:r>
              <w:rPr>
                <w:rFonts w:ascii="仿宋_GB2312" w:hAnsi="仿宋_GB2312" w:cs="仿宋_GB2312" w:eastAsia="仿宋_GB2312"/>
                <w:sz w:val="24"/>
              </w:rPr>
              <w:t>根据</w:t>
            </w:r>
            <w:r>
              <w:rPr>
                <w:rFonts w:ascii="仿宋_GB2312" w:hAnsi="仿宋_GB2312" w:cs="仿宋_GB2312" w:eastAsia="仿宋_GB2312"/>
                <w:sz w:val="24"/>
              </w:rPr>
              <w:t>投标人</w:t>
            </w:r>
            <w:r>
              <w:rPr>
                <w:rFonts w:ascii="仿宋_GB2312" w:hAnsi="仿宋_GB2312" w:cs="仿宋_GB2312" w:eastAsia="仿宋_GB2312"/>
                <w:sz w:val="24"/>
              </w:rPr>
              <w:t>所提供的服务方案进行综合评分，包括：</w:t>
            </w:r>
            <w:r>
              <w:rPr>
                <w:rFonts w:ascii="仿宋_GB2312" w:hAnsi="仿宋_GB2312" w:cs="仿宋_GB2312" w:eastAsia="仿宋_GB2312"/>
                <w:sz w:val="24"/>
              </w:rPr>
              <w:t>①识别主要环境影响；②确定环境目标；③评价指标；④评价内容及评价方法；⑤项目工作方案的框架设计等。</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、进度实施方案</w:t>
            </w:r>
          </w:p>
          <w:p>
            <w:pPr>
              <w:pStyle w:val="null3"/>
              <w:jc w:val="both"/>
            </w:pPr>
            <w:r>
              <w:rPr>
                <w:rFonts w:ascii="仿宋_GB2312" w:hAnsi="仿宋_GB2312" w:cs="仿宋_GB2312" w:eastAsia="仿宋_GB2312"/>
                <w:sz w:val="24"/>
              </w:rPr>
              <w:t>根据</w:t>
            </w:r>
            <w:r>
              <w:rPr>
                <w:rFonts w:ascii="仿宋_GB2312" w:hAnsi="仿宋_GB2312" w:cs="仿宋_GB2312" w:eastAsia="仿宋_GB2312"/>
                <w:sz w:val="24"/>
              </w:rPr>
              <w:t>投标人</w:t>
            </w:r>
            <w:r>
              <w:rPr>
                <w:rFonts w:ascii="仿宋_GB2312" w:hAnsi="仿宋_GB2312" w:cs="仿宋_GB2312" w:eastAsia="仿宋_GB2312"/>
                <w:sz w:val="24"/>
              </w:rPr>
              <w:t>针对本项目提供的进度实施方案：</w:t>
            </w:r>
            <w:r>
              <w:rPr>
                <w:rFonts w:ascii="仿宋_GB2312" w:hAnsi="仿宋_GB2312" w:cs="仿宋_GB2312" w:eastAsia="仿宋_GB2312"/>
                <w:sz w:val="24"/>
              </w:rPr>
              <w:t>①工作进度计划、②成果质量保障措施进行综合评审。</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开发区水资源论证</w:t>
            </w:r>
          </w:p>
        </w:tc>
        <w:tc>
          <w:tcPr>
            <w:tcW w:type="dxa" w:w="5814"/>
          </w:tcPr>
          <w:p>
            <w:pPr>
              <w:pStyle w:val="null3"/>
              <w:jc w:val="left"/>
            </w:pPr>
            <w:r>
              <w:rPr>
                <w:rFonts w:ascii="仿宋_GB2312" w:hAnsi="仿宋_GB2312" w:cs="仿宋_GB2312" w:eastAsia="仿宋_GB2312"/>
                <w:sz w:val="24"/>
              </w:rPr>
              <w:t>一、编制要求</w:t>
            </w:r>
          </w:p>
          <w:p>
            <w:pPr>
              <w:pStyle w:val="null3"/>
              <w:ind w:firstLine="480"/>
              <w:jc w:val="left"/>
            </w:pPr>
            <w:r>
              <w:rPr>
                <w:rFonts w:ascii="仿宋_GB2312" w:hAnsi="仿宋_GB2312" w:cs="仿宋_GB2312" w:eastAsia="仿宋_GB2312"/>
                <w:sz w:val="24"/>
              </w:rPr>
              <w:t>四川峨边经济开发区规划总面积</w:t>
            </w:r>
            <w:r>
              <w:rPr>
                <w:rFonts w:ascii="仿宋_GB2312" w:hAnsi="仿宋_GB2312" w:cs="仿宋_GB2312" w:eastAsia="仿宋_GB2312"/>
                <w:sz w:val="24"/>
              </w:rPr>
              <w:t>约</w:t>
            </w:r>
            <w:r>
              <w:rPr>
                <w:rFonts w:ascii="仿宋_GB2312" w:hAnsi="仿宋_GB2312" w:cs="仿宋_GB2312" w:eastAsia="仿宋_GB2312"/>
                <w:sz w:val="24"/>
              </w:rPr>
              <w:t>195</w:t>
            </w:r>
            <w:r>
              <w:rPr>
                <w:rFonts w:ascii="仿宋_GB2312" w:hAnsi="仿宋_GB2312" w:cs="仿宋_GB2312" w:eastAsia="仿宋_GB2312"/>
                <w:sz w:val="24"/>
              </w:rPr>
              <w:t>公顷，</w:t>
            </w:r>
            <w:r>
              <w:rPr>
                <w:rFonts w:ascii="仿宋_GB2312" w:hAnsi="仿宋_GB2312" w:cs="仿宋_GB2312" w:eastAsia="仿宋_GB2312"/>
                <w:sz w:val="24"/>
              </w:rPr>
              <w:t>共三个组团</w:t>
            </w:r>
            <w:r>
              <w:rPr>
                <w:rFonts w:ascii="仿宋_GB2312" w:hAnsi="仿宋_GB2312" w:cs="仿宋_GB2312" w:eastAsia="仿宋_GB2312"/>
                <w:sz w:val="24"/>
              </w:rPr>
              <w:t>7个区块，</w:t>
            </w:r>
            <w:r>
              <w:rPr>
                <w:rFonts w:ascii="仿宋_GB2312" w:hAnsi="仿宋_GB2312" w:cs="仿宋_GB2312" w:eastAsia="仿宋_GB2312"/>
                <w:sz w:val="24"/>
              </w:rPr>
              <w:t>具体情况如下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核桃坪组团规划面积约</w:t>
            </w:r>
            <w:r>
              <w:rPr>
                <w:rFonts w:ascii="仿宋_GB2312" w:hAnsi="仿宋_GB2312" w:cs="仿宋_GB2312" w:eastAsia="仿宋_GB2312"/>
                <w:sz w:val="24"/>
              </w:rPr>
              <w:t>140</w:t>
            </w:r>
            <w:r>
              <w:rPr>
                <w:rFonts w:ascii="仿宋_GB2312" w:hAnsi="仿宋_GB2312" w:cs="仿宋_GB2312" w:eastAsia="仿宋_GB2312"/>
                <w:sz w:val="24"/>
              </w:rPr>
              <w:t>公顷</w:t>
            </w:r>
            <w:r>
              <w:rPr>
                <w:rFonts w:ascii="仿宋_GB2312" w:hAnsi="仿宋_GB2312" w:cs="仿宋_GB2312" w:eastAsia="仿宋_GB2312"/>
                <w:sz w:val="24"/>
              </w:rPr>
              <w:t>，共</w:t>
            </w:r>
            <w:r>
              <w:rPr>
                <w:rFonts w:ascii="仿宋_GB2312" w:hAnsi="仿宋_GB2312" w:cs="仿宋_GB2312" w:eastAsia="仿宋_GB2312"/>
                <w:sz w:val="24"/>
              </w:rPr>
              <w:t>3个区块；刘家沟组团规划面积约35</w:t>
            </w:r>
            <w:r>
              <w:rPr>
                <w:rFonts w:ascii="仿宋_GB2312" w:hAnsi="仿宋_GB2312" w:cs="仿宋_GB2312" w:eastAsia="仿宋_GB2312"/>
                <w:sz w:val="24"/>
              </w:rPr>
              <w:t>公顷</w:t>
            </w:r>
            <w:r>
              <w:rPr>
                <w:rFonts w:ascii="仿宋_GB2312" w:hAnsi="仿宋_GB2312" w:cs="仿宋_GB2312" w:eastAsia="仿宋_GB2312"/>
                <w:sz w:val="24"/>
              </w:rPr>
              <w:t>，</w:t>
            </w:r>
            <w:r>
              <w:rPr>
                <w:rFonts w:ascii="仿宋_GB2312" w:hAnsi="仿宋_GB2312" w:cs="仿宋_GB2312" w:eastAsia="仿宋_GB2312"/>
                <w:sz w:val="24"/>
              </w:rPr>
              <w:t>共</w:t>
            </w:r>
            <w:r>
              <w:rPr>
                <w:rFonts w:ascii="仿宋_GB2312" w:hAnsi="仿宋_GB2312" w:cs="仿宋_GB2312" w:eastAsia="仿宋_GB2312"/>
                <w:sz w:val="24"/>
              </w:rPr>
              <w:t>3</w:t>
            </w:r>
            <w:r>
              <w:rPr>
                <w:rFonts w:ascii="仿宋_GB2312" w:hAnsi="仿宋_GB2312" w:cs="仿宋_GB2312" w:eastAsia="仿宋_GB2312"/>
                <w:sz w:val="24"/>
              </w:rPr>
              <w:t>个区块</w:t>
            </w:r>
            <w:r>
              <w:rPr>
                <w:rFonts w:ascii="仿宋_GB2312" w:hAnsi="仿宋_GB2312" w:cs="仿宋_GB2312" w:eastAsia="仿宋_GB2312"/>
                <w:sz w:val="24"/>
              </w:rPr>
              <w:t>；</w:t>
            </w:r>
            <w:r>
              <w:rPr>
                <w:rFonts w:ascii="仿宋_GB2312" w:hAnsi="仿宋_GB2312" w:cs="仿宋_GB2312" w:eastAsia="仿宋_GB2312"/>
                <w:sz w:val="24"/>
              </w:rPr>
              <w:t>火烧营组团</w:t>
            </w:r>
            <w:r>
              <w:rPr>
                <w:rFonts w:ascii="仿宋_GB2312" w:hAnsi="仿宋_GB2312" w:cs="仿宋_GB2312" w:eastAsia="仿宋_GB2312"/>
                <w:sz w:val="24"/>
              </w:rPr>
              <w:t>规划面积约</w:t>
            </w:r>
            <w:r>
              <w:rPr>
                <w:rFonts w:ascii="仿宋_GB2312" w:hAnsi="仿宋_GB2312" w:cs="仿宋_GB2312" w:eastAsia="仿宋_GB2312"/>
                <w:sz w:val="24"/>
              </w:rPr>
              <w:t>20</w:t>
            </w:r>
            <w:r>
              <w:rPr>
                <w:rFonts w:ascii="仿宋_GB2312" w:hAnsi="仿宋_GB2312" w:cs="仿宋_GB2312" w:eastAsia="仿宋_GB2312"/>
                <w:sz w:val="24"/>
              </w:rPr>
              <w:t>公顷</w:t>
            </w:r>
            <w:r>
              <w:rPr>
                <w:rFonts w:ascii="仿宋_GB2312" w:hAnsi="仿宋_GB2312" w:cs="仿宋_GB2312" w:eastAsia="仿宋_GB2312"/>
                <w:sz w:val="24"/>
              </w:rPr>
              <w:t>），</w:t>
            </w:r>
            <w:r>
              <w:rPr>
                <w:rFonts w:ascii="仿宋_GB2312" w:hAnsi="仿宋_GB2312" w:cs="仿宋_GB2312" w:eastAsia="仿宋_GB2312"/>
                <w:sz w:val="24"/>
              </w:rPr>
              <w:t>共</w:t>
            </w:r>
            <w:r>
              <w:rPr>
                <w:rFonts w:ascii="仿宋_GB2312" w:hAnsi="仿宋_GB2312" w:cs="仿宋_GB2312" w:eastAsia="仿宋_GB2312"/>
                <w:sz w:val="24"/>
              </w:rPr>
              <w:t>1</w:t>
            </w:r>
            <w:r>
              <w:rPr>
                <w:rFonts w:ascii="仿宋_GB2312" w:hAnsi="仿宋_GB2312" w:cs="仿宋_GB2312" w:eastAsia="仿宋_GB2312"/>
                <w:sz w:val="24"/>
              </w:rPr>
              <w:t>个区块。</w:t>
            </w:r>
            <w:r>
              <w:rPr>
                <w:rFonts w:ascii="仿宋_GB2312" w:hAnsi="仿宋_GB2312" w:cs="仿宋_GB2312" w:eastAsia="仿宋_GB2312"/>
                <w:sz w:val="24"/>
              </w:rPr>
              <w:t>（</w:t>
            </w:r>
            <w:r>
              <w:rPr>
                <w:rFonts w:ascii="仿宋_GB2312" w:hAnsi="仿宋_GB2312" w:cs="仿宋_GB2312" w:eastAsia="仿宋_GB2312"/>
                <w:sz w:val="24"/>
              </w:rPr>
              <w:t>注：以上范围根据创建情况可作适当调整</w:t>
            </w:r>
            <w:r>
              <w:rPr>
                <w:rFonts w:ascii="仿宋_GB2312" w:hAnsi="仿宋_GB2312" w:cs="仿宋_GB2312" w:eastAsia="仿宋_GB2312"/>
                <w:sz w:val="24"/>
              </w:rPr>
              <w:t>）</w:t>
            </w:r>
            <w:r>
              <w:rPr>
                <w:rFonts w:ascii="仿宋_GB2312" w:hAnsi="仿宋_GB2312" w:cs="仿宋_GB2312" w:eastAsia="仿宋_GB2312"/>
                <w:sz w:val="24"/>
              </w:rPr>
              <w:t>。完成《四川峨边经济开发区规划水资源论证》。</w:t>
            </w:r>
          </w:p>
          <w:p>
            <w:pPr>
              <w:pStyle w:val="null3"/>
              <w:jc w:val="left"/>
            </w:pPr>
            <w:r>
              <w:rPr>
                <w:rFonts w:ascii="仿宋_GB2312" w:hAnsi="仿宋_GB2312" w:cs="仿宋_GB2312" w:eastAsia="仿宋_GB2312"/>
                <w:sz w:val="24"/>
              </w:rPr>
              <w:t>《四川峨边经济开发区规划水资源论证》要求按照水利部文件《关于开展规划水资源论证试点工作的通知》（水资源〔</w:t>
            </w:r>
            <w:r>
              <w:rPr>
                <w:rFonts w:ascii="仿宋_GB2312" w:hAnsi="仿宋_GB2312" w:cs="仿宋_GB2312" w:eastAsia="仿宋_GB2312"/>
                <w:sz w:val="24"/>
              </w:rPr>
              <w:t>2010〕483号）、《规划水资源论证技术要求》要求和四川峨边经济开发区规划（简称“规划”）的实际需求，本水资源论证从水资源承载能力和水环境容量出发，评估论证“规划”布局与水资源承载能力的适应性、规划需水合理性分析、规划水资源可靠性分析、水平衡分析、规划实施影响分析及对策措施等内容。</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按照上述要求完成规划成果，包括规划文本、图纸、图册、附件和矢量数据库等。</w:t>
            </w:r>
          </w:p>
          <w:p>
            <w:pPr>
              <w:pStyle w:val="null3"/>
              <w:jc w:val="both"/>
            </w:pPr>
            <w:r>
              <w:rPr>
                <w:rFonts w:ascii="仿宋_GB2312" w:hAnsi="仿宋_GB2312" w:cs="仿宋_GB2312" w:eastAsia="仿宋_GB2312"/>
                <w:sz w:val="24"/>
              </w:rPr>
              <w:t>提交最终成果包括纸质加盖鲜章版文件及相应的电子文件。具体内容为：图文并茂说明文件</w:t>
            </w:r>
            <w:r>
              <w:rPr>
                <w:rFonts w:ascii="仿宋_GB2312" w:hAnsi="仿宋_GB2312" w:cs="仿宋_GB2312" w:eastAsia="仿宋_GB2312"/>
                <w:sz w:val="24"/>
              </w:rPr>
              <w:t>6套（A4规格）；电子文件2套。</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开发区总体规划、控制性详细规划</w:t>
            </w:r>
          </w:p>
        </w:tc>
        <w:tc>
          <w:tcPr>
            <w:tcW w:type="dxa" w:w="5814"/>
          </w:tcPr>
          <w:p>
            <w:pPr>
              <w:pStyle w:val="null3"/>
              <w:jc w:val="left"/>
            </w:pPr>
            <w:r>
              <w:rPr>
                <w:rFonts w:ascii="仿宋_GB2312" w:hAnsi="仿宋_GB2312" w:cs="仿宋_GB2312" w:eastAsia="仿宋_GB2312"/>
                <w:sz w:val="24"/>
              </w:rPr>
              <w:t>一、编制要求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根据“三区三线”划定成果，严格按照《城乡规划法》《城市规划编制办法》及《四川省市县国土空间总体规划编制办法（2022年修订版）》《四川省城镇详细规划编制指南（试行）》相关要求进行成果内容编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2）规划范围：四川峨边经济开发区总体规划、控制性详细规划总面积</w:t>
            </w:r>
            <w:r>
              <w:rPr>
                <w:rFonts w:ascii="仿宋_GB2312" w:hAnsi="仿宋_GB2312" w:cs="仿宋_GB2312" w:eastAsia="仿宋_GB2312"/>
                <w:sz w:val="24"/>
              </w:rPr>
              <w:t>约</w:t>
            </w:r>
            <w:r>
              <w:rPr>
                <w:rFonts w:ascii="仿宋_GB2312" w:hAnsi="仿宋_GB2312" w:cs="仿宋_GB2312" w:eastAsia="仿宋_GB2312"/>
                <w:sz w:val="24"/>
              </w:rPr>
              <w:t>195</w:t>
            </w:r>
            <w:r>
              <w:rPr>
                <w:rFonts w:ascii="仿宋_GB2312" w:hAnsi="仿宋_GB2312" w:cs="仿宋_GB2312" w:eastAsia="仿宋_GB2312"/>
                <w:sz w:val="24"/>
              </w:rPr>
              <w:t>公顷，共三大组团、</w:t>
            </w:r>
            <w:r>
              <w:rPr>
                <w:rFonts w:ascii="仿宋_GB2312" w:hAnsi="仿宋_GB2312" w:cs="仿宋_GB2312" w:eastAsia="仿宋_GB2312"/>
                <w:sz w:val="24"/>
              </w:rPr>
              <w:t>7个区块，位于峨边沙坪镇、毛坪镇。</w:t>
            </w:r>
          </w:p>
          <w:p>
            <w:pPr>
              <w:pStyle w:val="null3"/>
              <w:jc w:val="left"/>
            </w:pPr>
            <w:r>
              <w:rPr>
                <w:rFonts w:ascii="仿宋_GB2312" w:hAnsi="仿宋_GB2312" w:cs="仿宋_GB2312" w:eastAsia="仿宋_GB2312"/>
                <w:sz w:val="24"/>
              </w:rPr>
              <w:t>二、成果要求</w:t>
            </w:r>
          </w:p>
          <w:p>
            <w:pPr>
              <w:pStyle w:val="null3"/>
              <w:jc w:val="left"/>
            </w:pPr>
            <w:r>
              <w:rPr>
                <w:rFonts w:ascii="仿宋_GB2312" w:hAnsi="仿宋_GB2312" w:cs="仿宋_GB2312" w:eastAsia="仿宋_GB2312"/>
                <w:sz w:val="24"/>
              </w:rPr>
              <w:t>规划技术成果以国家、省、市最终明确的成果形式为准。成果包含规划文本、图纸、图则、附件及矢量数据库。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1）纸质成果规格：A3，数量：6套。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2）电子成果：提交与设计成果内容一致的电子文件1套（U盘或光盘）。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技术规范要求：①符合《乐山市城市规划技术管理规定（2022）》文件要求。②满足其他国家及地方相关法律法规文件要求。③技术标准及范围：提交的规划成果表达应当清晰、规范，符合城乡规划有关的技术标准和规范。在规划过程中，如果国家或有关部门颁布了新的技术标准或规范，则</w:t>
            </w:r>
            <w:r>
              <w:rPr>
                <w:rFonts w:ascii="仿宋_GB2312" w:hAnsi="仿宋_GB2312" w:cs="仿宋_GB2312" w:eastAsia="仿宋_GB2312"/>
                <w:sz w:val="24"/>
              </w:rPr>
              <w:t>投标人</w:t>
            </w:r>
            <w:r>
              <w:rPr>
                <w:rFonts w:ascii="仿宋_GB2312" w:hAnsi="仿宋_GB2312" w:cs="仿宋_GB2312" w:eastAsia="仿宋_GB2312"/>
                <w:sz w:val="24"/>
              </w:rPr>
              <w:t>应采用新的标准或规范进行规划。</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峨边彝族自治县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1、合同签订后，中标人提交经开区目录更新申报初步成果，达到付款条件起15日内，支付合同总金额的20.00%</w:t>
            </w:r>
          </w:p>
          <w:p>
            <w:pPr>
              <w:pStyle w:val="null3"/>
              <w:jc w:val="left"/>
            </w:pPr>
            <w:r>
              <w:rPr>
                <w:rFonts w:ascii="仿宋_GB2312" w:hAnsi="仿宋_GB2312" w:cs="仿宋_GB2312" w:eastAsia="仿宋_GB2312"/>
              </w:rPr>
              <w:t>2、中标人提交送审稿至主管审查单位，通过经开区目录更新审查，达到付款条件起15日内，支付合同总金额的30.00%</w:t>
            </w:r>
          </w:p>
          <w:p>
            <w:pPr>
              <w:pStyle w:val="null3"/>
              <w:jc w:val="left"/>
            </w:pPr>
            <w:r>
              <w:rPr>
                <w:rFonts w:ascii="仿宋_GB2312" w:hAnsi="仿宋_GB2312" w:cs="仿宋_GB2312" w:eastAsia="仿宋_GB2312"/>
              </w:rPr>
              <w:t>3、满足经开区设立申报主管审查单位送审要求，完成经开区设立申报组卷，达到付款条件起15日内，支付合同总金额的30.00%</w:t>
            </w:r>
          </w:p>
          <w:p>
            <w:pPr>
              <w:pStyle w:val="null3"/>
              <w:jc w:val="left"/>
            </w:pPr>
            <w:r>
              <w:rPr>
                <w:rFonts w:ascii="仿宋_GB2312" w:hAnsi="仿宋_GB2312" w:cs="仿宋_GB2312" w:eastAsia="仿宋_GB2312"/>
              </w:rPr>
              <w:t>4、通过经开区审查，获得省政府经开区设立审批后，达到付款条件起15日内，支付合同总金额的20.00%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峨边彝族自治县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1、合同签订后，中标人提交初步成果，达到付款条件起15日内，支付合同总金额的20.00%</w:t>
            </w:r>
          </w:p>
          <w:p>
            <w:pPr>
              <w:pStyle w:val="null3"/>
              <w:jc w:val="left"/>
            </w:pPr>
            <w:r>
              <w:rPr>
                <w:rFonts w:ascii="仿宋_GB2312" w:hAnsi="仿宋_GB2312" w:cs="仿宋_GB2312" w:eastAsia="仿宋_GB2312"/>
              </w:rPr>
              <w:t>2、中标人提交送审稿至主管审查单位，满足送审要求，达到付款条件起15日内，支付合同总金额的30.00%</w:t>
            </w:r>
          </w:p>
          <w:p>
            <w:pPr>
              <w:pStyle w:val="null3"/>
              <w:jc w:val="left"/>
            </w:pPr>
            <w:r>
              <w:rPr>
                <w:rFonts w:ascii="仿宋_GB2312" w:hAnsi="仿宋_GB2312" w:cs="仿宋_GB2312" w:eastAsia="仿宋_GB2312"/>
              </w:rPr>
              <w:t>3、审查单位审定通过，完成组卷，达到付款条件起15日内，支付合同总金额的30.00%</w:t>
            </w:r>
          </w:p>
          <w:p>
            <w:pPr>
              <w:pStyle w:val="null3"/>
              <w:jc w:val="left"/>
            </w:pPr>
            <w:r>
              <w:rPr>
                <w:rFonts w:ascii="仿宋_GB2312" w:hAnsi="仿宋_GB2312" w:cs="仿宋_GB2312" w:eastAsia="仿宋_GB2312"/>
              </w:rPr>
              <w:t>4、通过经开区审查，获得省政府经开区设立审批后，达到付款条件起15日内，支付合同总金额的20.00%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峨边彝族自治县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1、合同签订之日起，收到中标人票据之后，达到付款条件起15日内，支付合同总金额的30.00%</w:t>
            </w:r>
          </w:p>
          <w:p>
            <w:pPr>
              <w:pStyle w:val="null3"/>
              <w:jc w:val="left"/>
            </w:pPr>
            <w:r>
              <w:rPr>
                <w:rFonts w:ascii="仿宋_GB2312" w:hAnsi="仿宋_GB2312" w:cs="仿宋_GB2312" w:eastAsia="仿宋_GB2312"/>
              </w:rPr>
              <w:t>2、中标人提供初步成果后，收到中标人票据之后，达到付款条件起30日内，支付合同总金额的40.00%</w:t>
            </w:r>
          </w:p>
          <w:p>
            <w:pPr>
              <w:pStyle w:val="null3"/>
              <w:jc w:val="left"/>
            </w:pPr>
            <w:r>
              <w:rPr>
                <w:rFonts w:ascii="仿宋_GB2312" w:hAnsi="仿宋_GB2312" w:cs="仿宋_GB2312" w:eastAsia="仿宋_GB2312"/>
              </w:rPr>
              <w:t>3、最终成果报送四川省自然资源厅，并取得四川省自然资源厅相关证明文件后，达到付款条件起30日内，支付合同总金额的30.00%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自合同签订之日起150日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1、进度款，合同签订后，收到成交供应商开具的合法的等额增值税发票后，达到付款条件起15日内，支付合同总金额的30.00%</w:t>
            </w:r>
          </w:p>
          <w:p>
            <w:pPr>
              <w:pStyle w:val="null3"/>
              <w:jc w:val="left"/>
            </w:pPr>
            <w:r>
              <w:rPr>
                <w:rFonts w:ascii="仿宋_GB2312" w:hAnsi="仿宋_GB2312" w:cs="仿宋_GB2312" w:eastAsia="仿宋_GB2312"/>
              </w:rPr>
              <w:t>2、进度款，完成环境质量现状监测并出具监测报告后，且收到成交供应商开具的合法的等额增值税发票后，达到付款条件起15日内，支付合同总金额的20.00%</w:t>
            </w:r>
          </w:p>
          <w:p>
            <w:pPr>
              <w:pStyle w:val="null3"/>
              <w:jc w:val="left"/>
            </w:pPr>
            <w:r>
              <w:rPr>
                <w:rFonts w:ascii="仿宋_GB2312" w:hAnsi="仿宋_GB2312" w:cs="仿宋_GB2312" w:eastAsia="仿宋_GB2312"/>
              </w:rPr>
              <w:t>3、进度款，通过专家审查取得专家意见后，且收到成交供应商开具的合法的等额增值税发票后，达到付款条件起15日内，支付合同总金额的30.00%</w:t>
            </w:r>
          </w:p>
          <w:p>
            <w:pPr>
              <w:pStyle w:val="null3"/>
              <w:jc w:val="left"/>
            </w:pPr>
            <w:r>
              <w:rPr>
                <w:rFonts w:ascii="仿宋_GB2312" w:hAnsi="仿宋_GB2312" w:cs="仿宋_GB2312" w:eastAsia="仿宋_GB2312"/>
              </w:rPr>
              <w:t>4、进度款，项目成果通过具有权限的生态环境主管部门审查，取得生态环境主管部门的审查意见后，且收到成交供应商开具的合法的等额增值税发票后，达到付款条件起15日内，支付合同总金额的20.00%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1、合同签订后，达到付款条件起20日内，支付合同总金额的30.00%</w:t>
            </w:r>
          </w:p>
          <w:p>
            <w:pPr>
              <w:pStyle w:val="null3"/>
              <w:jc w:val="left"/>
            </w:pPr>
            <w:r>
              <w:rPr>
                <w:rFonts w:ascii="仿宋_GB2312" w:hAnsi="仿宋_GB2312" w:cs="仿宋_GB2312" w:eastAsia="仿宋_GB2312"/>
              </w:rPr>
              <w:t>2、中标人提交成果后，达到付款条件起20日内，支付合同总金额的30.00%</w:t>
            </w:r>
          </w:p>
          <w:p>
            <w:pPr>
              <w:pStyle w:val="null3"/>
              <w:jc w:val="left"/>
            </w:pPr>
            <w:r>
              <w:rPr>
                <w:rFonts w:ascii="仿宋_GB2312" w:hAnsi="仿宋_GB2312" w:cs="仿宋_GB2312" w:eastAsia="仿宋_GB2312"/>
              </w:rPr>
              <w:t>3、审定通过提交正式成果后，达到付款条件起20日内，支付合同总金额的40.00%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峨边彝族自治县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本项目采购人将严格按照《财政部关于进一步加强政府采购需求和履约验收管理的指导意见》（财库〔2016〕205号）文件、招标文件、投标文件及合同约定标准及要求进行验收。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1、合同签订生效后，达到付款条件起15日内，支付合同总金额的30.00%</w:t>
            </w:r>
          </w:p>
          <w:p>
            <w:pPr>
              <w:pStyle w:val="null3"/>
              <w:jc w:val="left"/>
            </w:pPr>
            <w:r>
              <w:rPr>
                <w:rFonts w:ascii="仿宋_GB2312" w:hAnsi="仿宋_GB2312" w:cs="仿宋_GB2312" w:eastAsia="仿宋_GB2312"/>
              </w:rPr>
              <w:t>2、中标人提交初步成果，达到审查要求后，达到付款条件起15日内，支付合同总金额的40.00%</w:t>
            </w:r>
          </w:p>
          <w:p>
            <w:pPr>
              <w:pStyle w:val="null3"/>
              <w:jc w:val="left"/>
            </w:pPr>
            <w:r>
              <w:rPr>
                <w:rFonts w:ascii="仿宋_GB2312" w:hAnsi="仿宋_GB2312" w:cs="仿宋_GB2312" w:eastAsia="仿宋_GB2312"/>
              </w:rPr>
              <w:t>3、中标人提交送审稿至主管审查单位，审查单位审定通过，达到付款条件起15日内，支付合同总金额的20.00%</w:t>
            </w:r>
          </w:p>
          <w:p>
            <w:pPr>
              <w:pStyle w:val="null3"/>
              <w:jc w:val="left"/>
            </w:pPr>
            <w:r>
              <w:rPr>
                <w:rFonts w:ascii="仿宋_GB2312" w:hAnsi="仿宋_GB2312" w:cs="仿宋_GB2312" w:eastAsia="仿宋_GB2312"/>
              </w:rPr>
              <w:t>4、通过经开区审查，获得省政府经开区设立审批后，达到付款条件起15日内，支付合同总金额的10.00%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在执行本合同中发生的或与本合同有关的争端，双方应通过友好协商解决，协商不能解决时，可向项目所在地人民法院提起诉讼。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（1）质量要求：达到国家、地方或行业的质量检验标准及有关规定。 （2）按照采购人要求，办理合同签订和相关工作。 （3）成果归属：采购人享有著作权，项目编制成果归采购人所有，投标人不得擅自对外发表、出版；确实因学术交流、职称评定等需要而要做发表的必须征得采购人书面授权许可，若因此带来的相关法律经济纠纷与采购人无关，投标人应自行承担全部法律和经济等相关责任。 （4）本项目报价费用包含但不限于：人工费、材料费、编制费、交通费（含相关 杂费）、管理费、保险费、利润及税金等，为完成相关服务可能发生的费用。 （5）投标人在项目实施过程中的全部安全责任由投标人全部自行负责。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投标文件封面,报价表,投标（响应）函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报价表,投标文件封面,投标（响应）函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报价表,投标文件封面,投标（响应）函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投标文件封面,报价表,投标（响应）函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报价表,投标文件封面,投标（响应）函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报价表,投标文件封面,投标（响应）函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或2024年，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特殊资格要求</w:t>
            </w:r>
          </w:p>
        </w:tc>
        <w:tc>
          <w:tcPr>
            <w:tcW w:type="dxa" w:w="3322"/>
          </w:tcPr>
          <w:p>
            <w:pPr>
              <w:pStyle w:val="null3"/>
              <w:jc w:val="left"/>
            </w:pPr>
            <w:r>
              <w:rPr>
                <w:rFonts w:ascii="仿宋_GB2312" w:hAnsi="仿宋_GB2312" w:cs="仿宋_GB2312" w:eastAsia="仿宋_GB2312"/>
              </w:rPr>
              <w:t>需具备行政主管部门颁发的城乡规划编制乙级及以上资质。</w:t>
            </w:r>
          </w:p>
        </w:tc>
        <w:tc>
          <w:tcPr>
            <w:tcW w:type="dxa" w:w="1910"/>
          </w:tcPr>
          <w:p>
            <w:pPr>
              <w:pStyle w:val="null3"/>
              <w:jc w:val="left"/>
            </w:pPr>
            <w:r>
              <w:rPr>
                <w:rFonts w:ascii="仿宋_GB2312" w:hAnsi="仿宋_GB2312" w:cs="仿宋_GB2312" w:eastAsia="仿宋_GB2312"/>
              </w:rPr>
              <w:t>投标（响应）函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采购包5：</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采购包6：</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详细评审89.00分</w:t>
            </w:r>
          </w:p>
          <w:p>
            <w:pPr>
              <w:pStyle w:val="null3"/>
              <w:jc w:val="left"/>
            </w:pPr>
            <w:r>
              <w:rPr>
                <w:rFonts w:ascii="仿宋_GB2312" w:hAnsi="仿宋_GB2312" w:cs="仿宋_GB2312" w:eastAsia="仿宋_GB2312"/>
              </w:rPr>
              <w:t>报价得分11.00分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投标人根据项目特点提供的服务方案包含但不限于:①工期进度计划;②质量保障措施;③后续服务;④后续保障措施等。投标人提供的服务方案包含以上内容且内容描述详细合理且完全符合项目实际需求及项目情况的得24分，每有一项内容缺失扣6分，每有一项存在内容缺陷扣3分，24分扣完为止。注:(缺陷是指:存在不适用该项目实际情况的情形、凭空编造、内容前后不一致、涉及的规范及标准错误、地点区域错误、内容缺失、不符合采购需求复制粘贴套用其他模板等)。</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项目技术方案</w:t>
            </w:r>
          </w:p>
        </w:tc>
        <w:tc>
          <w:tcPr>
            <w:tcW w:type="dxa" w:w="2575"/>
          </w:tcPr>
          <w:p>
            <w:pPr>
              <w:pStyle w:val="null3"/>
              <w:jc w:val="left"/>
            </w:pPr>
            <w:r>
              <w:rPr>
                <w:rFonts w:ascii="仿宋_GB2312" w:hAnsi="仿宋_GB2312" w:cs="仿宋_GB2312" w:eastAsia="仿宋_GB2312"/>
              </w:rPr>
              <w:t>投标人根据项目特点提供的技术方案进行综合评分，方案包含但不限于：①项目申报板块分析；②申报材料内容分析；③对本项目的初步思路和建议等；投标人提供的技术思路方案包含以上内容且内容描述详细合理且完全符合项目实际需求及项目情况的得27分，每有一项内容缺失扣9分，每有一项存在内容缺陷扣4.5分，27分扣完为止。 注：（缺陷是指：存在不适用该项目实际情况的情形、凭空编造、内容前后不一致、涉及的规范及标准错误、地点区域错误、内容缺失、不符合采购需求复制粘贴套用其他模板等）。</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575"/>
          </w:tcPr>
          <w:p>
            <w:pPr>
              <w:pStyle w:val="null3"/>
              <w:jc w:val="left"/>
            </w:pPr>
            <w:r>
              <w:rPr>
                <w:rFonts w:ascii="仿宋_GB2312" w:hAnsi="仿宋_GB2312" w:cs="仿宋_GB2312" w:eastAsia="仿宋_GB2312"/>
              </w:rPr>
              <w:t>1.投标人拟投入本项目的项目负责人1人：具有咨询工程师(投资)执业资格的得5分，同时具有高级及以上职称的加3分;本项最多得8分， 2、投标人拟投入本项目的技术负责人1人：具有咨询工程师(投资)执业资格的得5分，同时具有高级及以上职称的加3分;本项最多得8分。 3、投标人拟任本项目的项目组成员配置5人:每提供一名具有咨询工程师(投资)执业资格和中级及以上技术职称，每有1个得2分，本项最多得10分。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26.0000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投标人自2022年1月1日（含）以来（以合同签订时间为准）每提供一个与本项目类似业绩得4分，本项最多得12分。 注:①类似业绩是指：园区相关发展规划，稳定，住建及组卷申报材料编制相关业绩。 ②业绩需提供中标(成交)通知书复印件或项目合同复印件并加盖投标人公章作为证明材料，未提供或未按要求提供的不得分。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实施方案及售后服务包含但不限于：①园区现状分析；②工作进度安排；③实施方案；④后续服务保障；⑤质量保证措施；⑥工作协调措施；⑦应急响应。投标人提供的方案包含以上内容且内容描述详细合理且完全符合项目实际需求及项目情况的得49分，每有一项内容缺失扣7分，每有一项存在内容缺陷扣3.5分，49分扣完为止。注:(缺陷是指:存在不适用该项目实际情况的情形、凭空编造、内容前后不一致、涉及的规范及标准错误、地点区域错误、内容缺失、不符合采购需求复制粘贴套用其他模板等)。</w:t>
            </w:r>
          </w:p>
        </w:tc>
        <w:tc>
          <w:tcPr>
            <w:tcW w:type="dxa" w:w="831"/>
          </w:tcPr>
          <w:p>
            <w:pPr>
              <w:pStyle w:val="null3"/>
              <w:jc w:val="center"/>
            </w:pPr>
            <w:r>
              <w:rPr>
                <w:rFonts w:ascii="仿宋_GB2312" w:hAnsi="仿宋_GB2312" w:cs="仿宋_GB2312" w:eastAsia="仿宋_GB2312"/>
              </w:rPr>
              <w:t>49.0000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575"/>
          </w:tcPr>
          <w:p>
            <w:pPr>
              <w:pStyle w:val="null3"/>
              <w:jc w:val="left"/>
            </w:pPr>
            <w:r>
              <w:rPr>
                <w:rFonts w:ascii="仿宋_GB2312" w:hAnsi="仿宋_GB2312" w:cs="仿宋_GB2312" w:eastAsia="仿宋_GB2312"/>
              </w:rPr>
              <w:t>1.投标人拟投入的项目负责人1人：具有一级安全评价师得6分，同时具有注册安全工程师或高级工程师的加3分，本项最高得9分。 2.投标人配备的服务人员4人：每提供一名安全评价师或注册安全工程师证书的得5分，本项最高得20分。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29.0000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投标人自2022年1月1日（含）以来（以合同签订时间为准），每提供1个类似业绩得4分，本小项最多得12分。 注:①类似业绩是指：项目安全风险评估报告相关业绩。 ②业绩需提供中标(成交)通知书复印件或项目合同复印件并加盖投标人公章作为证明材料，未提供或未按要求提供的不得分。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实施服务方案</w:t>
            </w:r>
          </w:p>
        </w:tc>
        <w:tc>
          <w:tcPr>
            <w:tcW w:type="dxa" w:w="2575"/>
          </w:tcPr>
          <w:p>
            <w:pPr>
              <w:pStyle w:val="null3"/>
              <w:jc w:val="left"/>
            </w:pPr>
            <w:r>
              <w:rPr>
                <w:rFonts w:ascii="仿宋_GB2312" w:hAnsi="仿宋_GB2312" w:cs="仿宋_GB2312" w:eastAsia="仿宋_GB2312"/>
              </w:rPr>
              <w:t>根据投标人提供的本项目服务方案进行评审，服务方案内容包括但不限于：①项目工作内容；②预期成果；③技术路线；④工作组织；⑤进度安排。 内容完整的得45分，每缺少一项内容扣9分；每有一处存在缺陷的扣4.5分，扣完为止。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投标人提供的后续服务方案：①后续服务机构及人员配置；②后续服务响应时间及方式；③技术支持保障措施；④应急处理方案进行评审；方案包含并充分体现以上4项内容且符合采购需求的得10分，每缺少一项内容扣2.5分；每有一处存在缺陷的扣1分，扣完为止。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575"/>
          </w:tcPr>
          <w:p>
            <w:pPr>
              <w:pStyle w:val="null3"/>
              <w:jc w:val="left"/>
            </w:pPr>
            <w:r>
              <w:rPr>
                <w:rFonts w:ascii="仿宋_GB2312" w:hAnsi="仿宋_GB2312" w:cs="仿宋_GB2312" w:eastAsia="仿宋_GB2312"/>
              </w:rPr>
              <w:t>投标人拟投入项目服务人员： ①项目负责人1人：具备国土工程或自然科学或测绘类高级职称的得5分，具备国土工程或自然科学或测绘类中级职称的得2分，具备国土工程或自然科学或测绘类初级职称的得1分。最多得5分。 ②项目组的其他人员（项目负责人之外）：每有一个人员具备国土工程或自然科学或测绘类高级或以上职称的得4分，具备国土工程或自然科学或测绘类中级职称的得2分，具备国土工程或自然科学或测绘类初级职称的得1分。最多得20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投标人自2022年1月1日（含）以来（以合同签订时间为准），提供一个类似业绩得4分，每增加一个类似业绩加3分，本项最多得10分。 注：1、类似业绩是指:开发（园）区目录更新或用地审核或用地咨询类服务业绩； 2、业绩证明材料需提供中标/成交（中标）通知书或合同或任务书扫描件并加盖投标人公章，未提供或未按要求提供的不得分。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技术、服务方案</w:t>
            </w:r>
          </w:p>
        </w:tc>
        <w:tc>
          <w:tcPr>
            <w:tcW w:type="dxa" w:w="2575"/>
          </w:tcPr>
          <w:p>
            <w:pPr>
              <w:pStyle w:val="null3"/>
              <w:jc w:val="left"/>
            </w:pPr>
            <w:r>
              <w:rPr>
                <w:rFonts w:ascii="仿宋_GB2312" w:hAnsi="仿宋_GB2312" w:cs="仿宋_GB2312" w:eastAsia="仿宋_GB2312"/>
              </w:rPr>
              <w:t>1、项目概况分析 根据投标人针对本项目提供的项目概况分析①对相关政策法规的分析与解读②资源环境承载力分析③园区开发建设现状及产业发展现状④基础设施现状及入驻企业环保管理现状进行评审。投标人提供的方案包含以上内容且内容描述详细合理且完全符合项目实际需求及项目情况的得20分，每有一项缺失扣5分；每有一项存在内容缺陷扣2.5分，扣完为止，未提供不得分。注:(缺陷是指:存在不适用该项目实际情况的情形、凭空编造、内容前后不一致、涉及的规范及标准错误、地点区域错误、内容缺失、不符合采购需求复制粘贴套用其他模板等)。 2、服务方案 根据投标人针对本项目提供的服务方案：包括①识别主要环境影响；②确定环境目标；③评价指标；④评价内容及评价方法；⑤项目工作方案的框架设计等。投标人提供的方案包含以上内容且内容描述详细合理且完全符合项目实际需求及项目情况的得35分，每有一项缺失扣7分；每有一项存在不足扣3.5分，扣完为止，未提供不得分。（存在不足是指：存在项目名称错误、地点区域错误、内容与本项目需求无关、方案内容矛盾或表述前后不一致、仅有框架或标题、适用的标准（方法）错误、明显复制其他项目内容等任意一种情形） 3、进度实施方案 根据投标人针对本项目提供的进度实施方案（包含但不限于①工作进度计划、②成果质量保障措施进行综合评审。投标人提供的方案包含以上内容且内容描述详细合理且完全符合项目实际需求及项目情况的得4分，每有一项缺失扣2分；每有一项存在不足扣1分，扣完为止，未提供不得分。 （存在不足是指：存在项目名称错误、地点区域错误、内容与本项目需求无关、方案内容矛盾或表述前后不一致、仅有框架或标题、适用的标准（方法）错误、明显复制其他项目内容等任意一种情形）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59.0000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575"/>
          </w:tcPr>
          <w:p>
            <w:pPr>
              <w:pStyle w:val="null3"/>
              <w:jc w:val="left"/>
            </w:pPr>
            <w:r>
              <w:rPr>
                <w:rFonts w:ascii="仿宋_GB2312" w:hAnsi="仿宋_GB2312" w:cs="仿宋_GB2312" w:eastAsia="仿宋_GB2312"/>
              </w:rPr>
              <w:t>1、投标人拟派项目负责人：同时具备环境影响评价工程师职业资格证书和高级及以上技术职称的得 2分，本项最高得2分。 2、投标人拟派项目团队的服务技术人员（项目负责人之外）：具有环境影响评价工程师职业资格证书和中级技术职称的，每有 1 个得 1分。具有环境影响评价工程师职业资格证书和高级及以上技术职称的，每有 1 个得 2 分。本项最多得20分。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22.0000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投标人自2022年1月1日（含）以来（以合同签订时间为准），每提供一个类似项目业绩的得3分，本项最多得9分。注：①类似业绩指：规划环境影响评价或修编规划环境影响评价或跟踪环境影响评价业绩。 ②业绩证明材料需提供中标/成交（中标）通知书或合同或任务书扫描件并加盖投标人公章，未提供或未按要求提供的不得分。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项目需求分析</w:t>
            </w:r>
          </w:p>
        </w:tc>
        <w:tc>
          <w:tcPr>
            <w:tcW w:type="dxa" w:w="2575"/>
          </w:tcPr>
          <w:p>
            <w:pPr>
              <w:pStyle w:val="null3"/>
              <w:jc w:val="left"/>
            </w:pPr>
            <w:r>
              <w:rPr>
                <w:rFonts w:ascii="仿宋_GB2312" w:hAnsi="仿宋_GB2312" w:cs="仿宋_GB2312" w:eastAsia="仿宋_GB2312"/>
              </w:rPr>
              <w:t>投标人根据本项目特点，提出针对本项目的项目需求分析进行综合评审，包含：①项目背景理解；②工作思路及流程；③项目区域现状分析；④项目重难点分析。前述4项每提供一项得4.5分，最多得18分，不提供不得分。每有一项内容存在以下任一缺陷的，在4.5分的基础上扣1.5分，扣完为止。缺陷是指：①项目名称不符、地点区域错误；②内容与本项目需求无关、前后内容不连贯；③仅有框架或标题、适用的标准（方法）错误、明显复制其他项目内容。</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所提供的服务方案进行综合评审，包含：①工作目标；②技术方案；③进度安排；④保障措施；⑤安全措施。前述5项每提供一项得6分，最多得30分，不提供不得分。每有一项内容存在以下任一缺陷的，在6分的基础上扣2分，扣完为止。缺陷是指：①项目名称不符、地点区域错误；②内容与本项目需求无关、前后内容不连贯；③仅有框架或标题、适用的标准（方法）错误、明显复制其他项目内容。</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575"/>
          </w:tcPr>
          <w:p>
            <w:pPr>
              <w:pStyle w:val="null3"/>
              <w:jc w:val="left"/>
            </w:pPr>
            <w:r>
              <w:rPr>
                <w:rFonts w:ascii="仿宋_GB2312" w:hAnsi="仿宋_GB2312" w:cs="仿宋_GB2312" w:eastAsia="仿宋_GB2312"/>
              </w:rPr>
              <w:t>根据投标人针对本项目所提供的质量保障方案进行综合评审，包含①质量目标；②质量保障内容；③质量保障组织机构；④质量控制方法；⑤质量保障体系。 前述5项每提供一项得6分，最多得30分，不提供不得分。每有一项内容存在以下任一缺陷的，在6分的基础上扣2分，扣完为止。缺陷是指：①项目名称不符、地点区域错误；②内容与本项目需求无关、前后内容不连贯；③仅有框架或标题、适用的标准（方法）错误、明显复制其他项目内容。</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575"/>
          </w:tcPr>
          <w:p>
            <w:pPr>
              <w:pStyle w:val="null3"/>
              <w:jc w:val="left"/>
            </w:pPr>
            <w:r>
              <w:rPr>
                <w:rFonts w:ascii="仿宋_GB2312" w:hAnsi="仿宋_GB2312" w:cs="仿宋_GB2312" w:eastAsia="仿宋_GB2312"/>
              </w:rPr>
              <w:t>1.投标人拟投入本项目的项目负责人（1人）：具有注册土木工程师（水利水电工程）资格证得2分；同时具有水利类中级工程师职称加0.5分，具有水利类高级及以上工程师职称加1分；本项最多得3分。 2.投标人拟投入本项目的技术负责人（1人）：具有注册土木工程师（水利水电工程）资格证得2分；同时具有水利类中级工程师职称加0.5分，具有水利类高级工程师及以上职称加1分；本项最多得3分。 3.投标人拟投入本项目的地勘专业负责人（1人）：具有岩土工程中级职称得1分；具有岩土工程高级及以上职称得3分。本项最多得3分。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投标人自2022年1月1日（含）以来（以合同签订时间为准），具有类似项目业绩的，每提供1个得1分，最多得3分。 注：①类似项目业绩是指：水资源论证报告业绩。 ②业绩证明材料需提供中标/成交（中标）通知书或合同或任务书扫描件并加盖投标人公章，未提供或未按要求提供的不得分。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 根据投标人所提供的对本项目背景认知，包括：①项目背景；②相关政策分析；③相关规划分析；④规划任务理解等4项内容进行详细分析，内容完整、符合本项目要求的得6分。每有一项内容缺失扣1.5分，每有一项内容存在不足的扣1分，扣完为止。 2.根据投标人所提供的规划范围现状分析及总结，包括：①企业经济情况；②现状建设情况；③现状用地情况；④现状产业发展情况；⑤现状交通情况；⑥现状服务设施情况等6项内容进行详细分析，内容完整、符合本项目要求的得18分；每有一项内容缺失扣3分，每有一项内容存在不足的扣1.5分，扣完为止。 3.根据投标人所提供的本次规划方案，包括：① 规划定位与目标；②产业发展策略；③空间结构与用地布局；④产业功能分区；⑤产业用地规划；⑥公共管理与公共服务设施规划；⑦综合交通规划；⑧市政设施规划；⑨环保环卫工程规划；⑩综合防灾规划；⑪强度分区控制等11项内容进行详细分析，内容完整、符合本项目要求的得33分；每有一项内容缺失的扣3分，每有一项内容存在不足的扣1.5分，扣完为止。 注:以上内容不足是指方案内容与实际情况不匹配、不符合项目特点、 套用其他项目方案、前后逻辑相悖、 实施地点区域错误等其中任意一种情形。</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项目人员配备</w:t>
            </w:r>
          </w:p>
        </w:tc>
        <w:tc>
          <w:tcPr>
            <w:tcW w:type="dxa" w:w="2575"/>
          </w:tcPr>
          <w:p>
            <w:pPr>
              <w:pStyle w:val="null3"/>
              <w:jc w:val="left"/>
            </w:pPr>
            <w:r>
              <w:rPr>
                <w:rFonts w:ascii="仿宋_GB2312" w:hAnsi="仿宋_GB2312" w:cs="仿宋_GB2312" w:eastAsia="仿宋_GB2312"/>
              </w:rPr>
              <w:t>投标人拟投入项目服务人员： 1.项目负责人：具有规划类高级及以上技术职称的得3分，同时具有注册城市（或城乡）规划师注册证书的加2分，本项最高得分为5分。 2.团队成员（项目负责人除外）： （1）规划专业：项目团队人员中每有1名具有规划类高级（或以上）技术职称且同时具有注册城市（或城乡）规划师证书的得2分，每有1名具有规划类中级技术职称且同时具有注册城市（或城乡）规划师证书的得1分，本小项最高得6分； （2）其他专业：项目团队人员中具备国土、建筑、园林景观、市政、给排水、电力、测绘任意5个相关专业，每提供一名中级及以上技术职称的得1分，本小项最高得5分。 注：①以上人员需为本单位人员，提供证书扫描件和单位在职证明加盖投标人公章。②以上人员不得重复计分，重复人员按照该人员最低得分计算。</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项目保障</w:t>
            </w:r>
          </w:p>
        </w:tc>
        <w:tc>
          <w:tcPr>
            <w:tcW w:type="dxa" w:w="2575"/>
          </w:tcPr>
          <w:p>
            <w:pPr>
              <w:pStyle w:val="null3"/>
              <w:jc w:val="left"/>
            </w:pPr>
            <w:r>
              <w:rPr>
                <w:rFonts w:ascii="仿宋_GB2312" w:hAnsi="仿宋_GB2312" w:cs="仿宋_GB2312" w:eastAsia="仿宋_GB2312"/>
              </w:rPr>
              <w:t>根据投标人提供进度安排及后续服务进行综合评审，包含：①项目进度安排；②工作组织流程；③质量保证措施；④优质服务承诺四个方面内容。以上内容详实完整不缺项，符合采购项目要求的得8分，每有一项内容缺失的扣2分；每有一处内容存在不足扣1分，扣完为止。 注:以上内容不足是指方案内容与实际情况不匹配、不符合项目特点、 套用其他项目方案、前后逻辑相悖、 实施地点区域错误等其中任意一种情形。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投标人自2022年1月1日（含）以来（以合同签订时间为准）每提供过1个类似业绩（总体规划或控制性详细规划）得3分，本项最多得9分。 注：①类似业绩指：总体规划或控制性详细规划项目业绩。 2、业绩证明材料需提供中标/成交（中标）通知书或合同或任务书扫描件并加盖投标人公章，未提供或未按要求提供的不得分。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