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AC5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 xml:space="preserve">                 </w:t>
      </w:r>
    </w:p>
    <w:p w14:paraId="5C7F3CD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104479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4E371B14">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4E8E2B2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1E6B6E51">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D77FF2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8E6447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2B31588">
      <w:pPr>
        <w:tabs>
          <w:tab w:val="left" w:pos="2410"/>
        </w:tabs>
        <w:autoSpaceDE w:val="0"/>
        <w:autoSpaceDN w:val="0"/>
        <w:adjustRightInd w:val="0"/>
        <w:snapToGrid w:val="0"/>
        <w:spacing w:line="360" w:lineRule="auto"/>
        <w:ind w:left="2444" w:leftChars="304" w:hanging="1806" w:hangingChars="5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小溪河S312与梨园路口、G345与前进村路口、西泉镇S315与许村交叉路口、黄泥铺G329与X041路口、老人桥路与凤阳二中北门路口5处智能交通项目</w:t>
      </w:r>
    </w:p>
    <w:p w14:paraId="511C4C1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czfycg202504-001</w:t>
      </w:r>
    </w:p>
    <w:p w14:paraId="2876909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凤阳县公安局</w:t>
      </w:r>
    </w:p>
    <w:p w14:paraId="178A323D">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安徽峰途项目管理有限公司</w:t>
      </w:r>
    </w:p>
    <w:p w14:paraId="5326F6F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1562F3B">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4</w:t>
      </w:r>
      <w:r>
        <w:rPr>
          <w:rFonts w:hint="eastAsia" w:ascii="宋体" w:hAnsi="宋体" w:eastAsia="宋体"/>
          <w:b/>
          <w:color w:val="auto"/>
          <w:sz w:val="36"/>
          <w:highlight w:val="none"/>
        </w:rPr>
        <w:t>月</w:t>
      </w:r>
      <w:bookmarkStart w:id="83" w:name="_GoBack"/>
      <w:bookmarkEnd w:id="83"/>
    </w:p>
    <w:p w14:paraId="2C05310E">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p>
    <w:p w14:paraId="280E1EDA">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p>
    <w:p w14:paraId="0E00948B">
      <w:pPr>
        <w:spacing w:line="360" w:lineRule="auto"/>
        <w:jc w:val="center"/>
        <w:outlineLvl w:val="0"/>
        <w:rPr>
          <w:rFonts w:ascii="Times New Roman" w:hAnsi="Times New Roman" w:eastAsia="宋体" w:cs="Times New Roman"/>
          <w:b/>
          <w:sz w:val="36"/>
          <w:szCs w:val="36"/>
          <w:highlight w:val="none"/>
        </w:rPr>
      </w:pPr>
      <w:bookmarkStart w:id="1" w:name="_Toc99301417"/>
      <w:bookmarkStart w:id="2" w:name="_Toc74227630"/>
      <w:bookmarkStart w:id="3" w:name="_Toc21942"/>
      <w:r>
        <w:rPr>
          <w:rFonts w:ascii="Times New Roman" w:hAnsi="Times New Roman" w:eastAsia="宋体" w:cs="Times New Roman"/>
          <w:b/>
          <w:sz w:val="36"/>
          <w:szCs w:val="36"/>
          <w:highlight w:val="none"/>
        </w:rPr>
        <w:t>使用说明</w:t>
      </w:r>
      <w:bookmarkEnd w:id="1"/>
      <w:bookmarkEnd w:id="2"/>
      <w:bookmarkEnd w:id="3"/>
    </w:p>
    <w:p w14:paraId="71753C8A">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为促进政府采购活动的公开、公平和公正进行，进一步优化</w:t>
      </w:r>
      <w:r>
        <w:rPr>
          <w:rFonts w:hint="eastAsia" w:ascii="Times New Roman" w:hAnsi="Times New Roman" w:eastAsia="宋体" w:cs="Times New Roman"/>
          <w:kern w:val="0"/>
          <w:sz w:val="24"/>
          <w:szCs w:val="24"/>
          <w:highlight w:val="none"/>
          <w:lang w:val="en-US" w:eastAsia="zh-CN"/>
        </w:rPr>
        <w:t>安徽省</w:t>
      </w:r>
      <w:r>
        <w:rPr>
          <w:rFonts w:hint="eastAsia" w:ascii="Times New Roman" w:hAnsi="Times New Roman" w:eastAsia="宋体" w:cs="Times New Roman"/>
          <w:kern w:val="0"/>
          <w:sz w:val="24"/>
          <w:szCs w:val="24"/>
          <w:highlight w:val="none"/>
        </w:rPr>
        <w:t>政府采购营商环境，提高招标文件编制质量和采购工作效率，根据政府采购有关法律法规及政策要求，制定《</w:t>
      </w:r>
      <w:r>
        <w:rPr>
          <w:rFonts w:hint="eastAsia" w:ascii="Times New Roman" w:hAnsi="Times New Roman" w:eastAsia="宋体" w:cs="Times New Roman"/>
          <w:kern w:val="0"/>
          <w:sz w:val="24"/>
          <w:szCs w:val="24"/>
          <w:highlight w:val="none"/>
          <w:lang w:val="en-US" w:eastAsia="zh-CN"/>
        </w:rPr>
        <w:t>安徽省</w:t>
      </w:r>
      <w:r>
        <w:rPr>
          <w:rFonts w:hint="eastAsia" w:ascii="Times New Roman" w:hAnsi="Times New Roman" w:eastAsia="宋体" w:cs="Times New Roman"/>
          <w:kern w:val="0"/>
          <w:sz w:val="24"/>
          <w:szCs w:val="24"/>
          <w:highlight w:val="none"/>
        </w:rPr>
        <w:t>政府采购</w:t>
      </w:r>
      <w:r>
        <w:rPr>
          <w:rFonts w:hint="eastAsia" w:ascii="Times New Roman" w:hAnsi="Times New Roman" w:eastAsia="宋体" w:cs="Times New Roman"/>
          <w:kern w:val="0"/>
          <w:sz w:val="24"/>
          <w:szCs w:val="24"/>
          <w:highlight w:val="none"/>
          <w:lang w:eastAsia="zh-CN"/>
        </w:rPr>
        <w:t>文件</w:t>
      </w:r>
      <w:r>
        <w:rPr>
          <w:rFonts w:hint="eastAsia" w:ascii="Times New Roman" w:hAnsi="Times New Roman" w:eastAsia="宋体" w:cs="Times New Roman"/>
          <w:kern w:val="0"/>
          <w:sz w:val="24"/>
          <w:szCs w:val="24"/>
          <w:highlight w:val="none"/>
        </w:rPr>
        <w:t>示范文本》（以下简称《示范文本》），并在</w:t>
      </w:r>
      <w:r>
        <w:rPr>
          <w:rFonts w:hint="eastAsia" w:ascii="Times New Roman" w:hAnsi="Times New Roman" w:eastAsia="宋体" w:cs="Times New Roman"/>
          <w:kern w:val="0"/>
          <w:sz w:val="24"/>
          <w:szCs w:val="24"/>
          <w:highlight w:val="none"/>
          <w:lang w:val="en-US" w:eastAsia="zh-CN"/>
        </w:rPr>
        <w:t>安徽省</w:t>
      </w:r>
      <w:r>
        <w:rPr>
          <w:rFonts w:hint="eastAsia" w:ascii="Times New Roman" w:hAnsi="Times New Roman" w:eastAsia="宋体" w:cs="Times New Roman"/>
          <w:kern w:val="0"/>
          <w:sz w:val="24"/>
          <w:szCs w:val="24"/>
          <w:highlight w:val="none"/>
        </w:rPr>
        <w:t>政府采购项目中推广使用。</w:t>
      </w:r>
    </w:p>
    <w:p w14:paraId="0E15AEF5">
      <w:pPr>
        <w:autoSpaceDE w:val="0"/>
        <w:autoSpaceDN w:val="0"/>
        <w:adjustRightInd w:val="0"/>
        <w:spacing w:line="360" w:lineRule="auto"/>
        <w:ind w:firstLine="482" w:firstLineChars="200"/>
        <w:jc w:val="left"/>
        <w:rPr>
          <w:rFonts w:hint="default" w:ascii="Times New Roman" w:hAnsi="Times New Roman" w:eastAsia="宋体" w:cs="Times New Roman"/>
          <w:b/>
          <w:kern w:val="0"/>
          <w:sz w:val="24"/>
          <w:szCs w:val="24"/>
          <w:highlight w:val="none"/>
          <w:lang w:val="en-US" w:eastAsia="zh-CN"/>
        </w:rPr>
      </w:pPr>
      <w:r>
        <w:rPr>
          <w:rFonts w:hint="eastAsia" w:ascii="Times New Roman" w:hAnsi="Times New Roman" w:eastAsia="宋体" w:cs="Times New Roman"/>
          <w:b/>
          <w:kern w:val="0"/>
          <w:sz w:val="24"/>
          <w:szCs w:val="24"/>
          <w:highlight w:val="none"/>
        </w:rPr>
        <w:t>一、适用范围</w:t>
      </w:r>
    </w:p>
    <w:p w14:paraId="53DCFF35">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《示范文本》适用于</w:t>
      </w:r>
      <w:r>
        <w:rPr>
          <w:rFonts w:hint="eastAsia" w:ascii="Times New Roman" w:hAnsi="Times New Roman" w:eastAsia="宋体" w:cs="Times New Roman"/>
          <w:kern w:val="0"/>
          <w:sz w:val="24"/>
          <w:szCs w:val="24"/>
          <w:highlight w:val="none"/>
          <w:lang w:val="en-US" w:eastAsia="zh-CN"/>
        </w:rPr>
        <w:t>安徽省</w:t>
      </w:r>
      <w:r>
        <w:rPr>
          <w:rFonts w:hint="eastAsia" w:ascii="Times New Roman" w:hAnsi="Times New Roman" w:eastAsia="宋体" w:cs="Times New Roman"/>
          <w:kern w:val="0"/>
          <w:sz w:val="24"/>
          <w:szCs w:val="24"/>
          <w:highlight w:val="none"/>
        </w:rPr>
        <w:t>的政府采购</w:t>
      </w:r>
      <w:r>
        <w:rPr>
          <w:rFonts w:ascii="Times New Roman" w:hAnsi="Times New Roman" w:eastAsia="宋体" w:cs="Times New Roman"/>
          <w:kern w:val="0"/>
          <w:sz w:val="24"/>
          <w:szCs w:val="24"/>
          <w:highlight w:val="none"/>
        </w:rPr>
        <w:t>项目。</w:t>
      </w:r>
    </w:p>
    <w:p w14:paraId="1D8E6521">
      <w:pPr>
        <w:autoSpaceDE w:val="0"/>
        <w:autoSpaceDN w:val="0"/>
        <w:adjustRightInd w:val="0"/>
        <w:spacing w:line="360" w:lineRule="auto"/>
        <w:ind w:firstLine="482" w:firstLineChars="200"/>
        <w:jc w:val="left"/>
        <w:rPr>
          <w:rFonts w:hint="eastAsia" w:ascii="Times New Roman" w:hAnsi="Times New Roman" w:eastAsia="宋体" w:cs="Times New Roman"/>
          <w:b/>
          <w:kern w:val="0"/>
          <w:sz w:val="24"/>
          <w:szCs w:val="24"/>
          <w:highlight w:val="none"/>
          <w:lang w:val="en-US" w:eastAsia="zh-CN"/>
        </w:rPr>
      </w:pPr>
      <w:r>
        <w:rPr>
          <w:rFonts w:hint="eastAsia" w:ascii="Times New Roman" w:hAnsi="Times New Roman" w:eastAsia="宋体" w:cs="Times New Roman"/>
          <w:b/>
          <w:kern w:val="0"/>
          <w:sz w:val="24"/>
          <w:szCs w:val="24"/>
          <w:highlight w:val="none"/>
          <w:lang w:val="en-US" w:eastAsia="zh-CN"/>
        </w:rPr>
        <w:t>二、落实</w:t>
      </w:r>
      <w:r>
        <w:rPr>
          <w:rFonts w:hint="eastAsia" w:ascii="Times New Roman" w:hAnsi="Times New Roman" w:eastAsia="宋体" w:cs="Times New Roman"/>
          <w:b/>
          <w:kern w:val="0"/>
          <w:sz w:val="24"/>
          <w:szCs w:val="24"/>
          <w:highlight w:val="none"/>
        </w:rPr>
        <w:t>世行</w:t>
      </w:r>
      <w:r>
        <w:rPr>
          <w:rFonts w:hint="eastAsia" w:ascii="Times New Roman" w:hAnsi="Times New Roman" w:eastAsia="宋体" w:cs="Times New Roman"/>
          <w:b/>
          <w:kern w:val="0"/>
          <w:sz w:val="24"/>
          <w:szCs w:val="24"/>
          <w:highlight w:val="none"/>
          <w:lang w:val="en-US" w:eastAsia="zh-CN"/>
        </w:rPr>
        <w:t>营商环境</w:t>
      </w:r>
      <w:r>
        <w:rPr>
          <w:rFonts w:hint="eastAsia" w:ascii="Times New Roman" w:hAnsi="Times New Roman" w:eastAsia="宋体" w:cs="Times New Roman"/>
          <w:b/>
          <w:kern w:val="0"/>
          <w:sz w:val="24"/>
          <w:szCs w:val="24"/>
          <w:highlight w:val="none"/>
        </w:rPr>
        <w:t>指标</w:t>
      </w:r>
      <w:r>
        <w:rPr>
          <w:rFonts w:hint="eastAsia" w:ascii="Times New Roman" w:hAnsi="Times New Roman" w:eastAsia="宋体" w:cs="Times New Roman"/>
          <w:b/>
          <w:kern w:val="0"/>
          <w:sz w:val="24"/>
          <w:szCs w:val="24"/>
          <w:highlight w:val="none"/>
          <w:lang w:val="en-US" w:eastAsia="zh-CN"/>
        </w:rPr>
        <w:t>情况</w:t>
      </w:r>
    </w:p>
    <w:p w14:paraId="33261B7C">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1.</w:t>
      </w:r>
      <w:r>
        <w:rPr>
          <w:rFonts w:hint="eastAsia" w:ascii="Times New Roman" w:hAnsi="Times New Roman" w:eastAsia="宋体" w:cs="Times New Roman"/>
          <w:kern w:val="0"/>
          <w:sz w:val="24"/>
          <w:szCs w:val="24"/>
          <w:highlight w:val="none"/>
        </w:rPr>
        <w:t>《示范文本》</w:t>
      </w:r>
      <w:r>
        <w:rPr>
          <w:rFonts w:hint="eastAsia" w:ascii="Times New Roman" w:hAnsi="Times New Roman" w:eastAsia="宋体" w:cs="Times New Roman"/>
          <w:kern w:val="0"/>
          <w:sz w:val="24"/>
          <w:szCs w:val="24"/>
          <w:highlight w:val="none"/>
          <w:lang w:val="en-US" w:eastAsia="zh-CN"/>
        </w:rPr>
        <w:t>引导</w:t>
      </w:r>
      <w:r>
        <w:rPr>
          <w:rFonts w:hint="eastAsia" w:ascii="Times New Roman" w:hAnsi="Times New Roman" w:eastAsia="宋体" w:cs="Times New Roman"/>
          <w:kern w:val="0"/>
          <w:sz w:val="24"/>
          <w:szCs w:val="24"/>
          <w:highlight w:val="none"/>
        </w:rPr>
        <w:t>电子化方式提供和获取材料，</w:t>
      </w:r>
      <w:r>
        <w:rPr>
          <w:rFonts w:hint="eastAsia" w:ascii="Times New Roman" w:hAnsi="Times New Roman" w:eastAsia="宋体" w:cs="Times New Roman"/>
          <w:kern w:val="0"/>
          <w:sz w:val="24"/>
          <w:szCs w:val="24"/>
          <w:highlight w:val="none"/>
          <w:lang w:val="en-US" w:eastAsia="zh-CN"/>
        </w:rPr>
        <w:t>无需</w:t>
      </w:r>
      <w:r>
        <w:rPr>
          <w:rFonts w:hint="eastAsia" w:ascii="Times New Roman" w:hAnsi="Times New Roman" w:eastAsia="宋体" w:cs="Times New Roman"/>
          <w:kern w:val="0"/>
          <w:sz w:val="24"/>
          <w:szCs w:val="24"/>
          <w:highlight w:val="none"/>
        </w:rPr>
        <w:t>提供纸质材料。对于</w:t>
      </w:r>
      <w:r>
        <w:rPr>
          <w:rFonts w:hint="eastAsia" w:ascii="Times New Roman" w:hAnsi="Times New Roman" w:eastAsia="宋体" w:cs="Times New Roman"/>
          <w:kern w:val="0"/>
          <w:sz w:val="24"/>
          <w:szCs w:val="24"/>
          <w:highlight w:val="none"/>
          <w:lang w:eastAsia="zh-CN"/>
        </w:rPr>
        <w:t>投标人</w:t>
      </w:r>
      <w:r>
        <w:rPr>
          <w:rFonts w:hint="eastAsia" w:ascii="Times New Roman" w:hAnsi="Times New Roman" w:eastAsia="宋体" w:cs="Times New Roman"/>
          <w:kern w:val="0"/>
          <w:sz w:val="24"/>
          <w:szCs w:val="24"/>
          <w:highlight w:val="none"/>
        </w:rPr>
        <w:t>依照规定提交各类声明函、承诺函的，</w:t>
      </w:r>
      <w:r>
        <w:rPr>
          <w:rFonts w:hint="eastAsia" w:ascii="Times New Roman" w:hAnsi="Times New Roman" w:eastAsia="宋体" w:cs="Times New Roman"/>
          <w:kern w:val="0"/>
          <w:sz w:val="24"/>
          <w:szCs w:val="24"/>
          <w:highlight w:val="none"/>
          <w:lang w:val="en-US" w:eastAsia="zh-CN"/>
        </w:rPr>
        <w:t>采购人或采购代理机构</w:t>
      </w:r>
      <w:r>
        <w:rPr>
          <w:rFonts w:hint="eastAsia" w:ascii="Times New Roman" w:hAnsi="Times New Roman" w:eastAsia="宋体" w:cs="Times New Roman"/>
          <w:kern w:val="0"/>
          <w:sz w:val="24"/>
          <w:szCs w:val="24"/>
          <w:highlight w:val="none"/>
        </w:rPr>
        <w:t>不得要求其再提供有关部门出具的相关证明文件。</w:t>
      </w:r>
    </w:p>
    <w:p w14:paraId="0FF931C6">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rPr>
        <w:t>《示范文本》</w:t>
      </w:r>
      <w:r>
        <w:rPr>
          <w:rFonts w:hint="eastAsia" w:ascii="Times New Roman" w:hAnsi="Times New Roman" w:eastAsia="宋体" w:cs="Times New Roman"/>
          <w:kern w:val="0"/>
          <w:sz w:val="24"/>
          <w:szCs w:val="24"/>
          <w:highlight w:val="none"/>
          <w:lang w:val="en-US" w:eastAsia="zh-CN"/>
        </w:rPr>
        <w:t>提供</w:t>
      </w:r>
      <w:r>
        <w:rPr>
          <w:rFonts w:hint="eastAsia" w:ascii="Times New Roman" w:hAnsi="Times New Roman" w:eastAsia="宋体" w:cs="Times New Roman"/>
          <w:b w:val="0"/>
          <w:bCs w:val="0"/>
          <w:kern w:val="0"/>
          <w:sz w:val="24"/>
          <w:szCs w:val="24"/>
          <w:highlight w:val="none"/>
          <w:lang w:val="en-US" w:eastAsia="zh-CN"/>
        </w:rPr>
        <w:t>《</w:t>
      </w:r>
      <w:r>
        <w:rPr>
          <w:rFonts w:hint="eastAsia" w:asciiTheme="minorEastAsia" w:hAnsiTheme="minorEastAsia" w:eastAsiaTheme="minorEastAsia"/>
          <w:b w:val="0"/>
          <w:bCs w:val="0"/>
          <w:color w:val="auto"/>
          <w:sz w:val="24"/>
          <w:highlight w:val="none"/>
          <w:lang w:val="en-US" w:eastAsia="zh-CN"/>
        </w:rPr>
        <w:t>拟分包情况说明及分包意向协议</w:t>
      </w:r>
      <w:r>
        <w:rPr>
          <w:rFonts w:hint="eastAsia" w:ascii="Times New Roman" w:hAnsi="Times New Roman" w:eastAsia="宋体" w:cs="Times New Roman"/>
          <w:b w:val="0"/>
          <w:bCs w:val="0"/>
          <w:kern w:val="0"/>
          <w:sz w:val="24"/>
          <w:szCs w:val="24"/>
          <w:highlight w:val="none"/>
          <w:lang w:val="en-US" w:eastAsia="zh-CN"/>
        </w:rPr>
        <w:t>》《</w:t>
      </w:r>
      <w:r>
        <w:rPr>
          <w:rFonts w:hint="eastAsia" w:asciiTheme="minorEastAsia" w:hAnsiTheme="minorEastAsia" w:eastAsiaTheme="minorEastAsia"/>
          <w:b w:val="0"/>
          <w:bCs w:val="0"/>
          <w:color w:val="auto"/>
          <w:sz w:val="24"/>
          <w:highlight w:val="none"/>
        </w:rPr>
        <w:t>联合协议</w:t>
      </w:r>
      <w:r>
        <w:rPr>
          <w:rFonts w:hint="eastAsia" w:ascii="Times New Roman" w:hAnsi="Times New Roman" w:eastAsia="宋体" w:cs="Times New Roman"/>
          <w:b w:val="0"/>
          <w:bCs w:val="0"/>
          <w:kern w:val="0"/>
          <w:sz w:val="24"/>
          <w:szCs w:val="24"/>
          <w:highlight w:val="none"/>
          <w:lang w:val="en-US" w:eastAsia="zh-CN"/>
        </w:rPr>
        <w:t>》</w:t>
      </w:r>
      <w:r>
        <w:rPr>
          <w:rFonts w:hint="eastAsia" w:ascii="Times New Roman" w:hAnsi="Times New Roman" w:eastAsia="宋体" w:cs="Times New Roman"/>
          <w:kern w:val="0"/>
          <w:sz w:val="24"/>
          <w:szCs w:val="24"/>
          <w:highlight w:val="none"/>
          <w:lang w:val="en-US" w:eastAsia="zh-CN"/>
        </w:rPr>
        <w:t>等格式，帮助</w:t>
      </w:r>
      <w:r>
        <w:rPr>
          <w:rFonts w:hint="eastAsia" w:ascii="Times New Roman" w:hAnsi="Times New Roman" w:eastAsia="宋体" w:cs="Times New Roman"/>
          <w:kern w:val="0"/>
          <w:sz w:val="24"/>
          <w:szCs w:val="24"/>
          <w:highlight w:val="none"/>
        </w:rPr>
        <w:t>采购人</w:t>
      </w:r>
      <w:r>
        <w:rPr>
          <w:rFonts w:hint="eastAsia" w:ascii="Times New Roman" w:hAnsi="Times New Roman" w:eastAsia="宋体" w:cs="Times New Roman"/>
          <w:kern w:val="0"/>
          <w:sz w:val="24"/>
          <w:szCs w:val="24"/>
          <w:highlight w:val="none"/>
          <w:lang w:val="en-US" w:eastAsia="zh-CN"/>
        </w:rPr>
        <w:t>更好落实政府采购政策</w:t>
      </w:r>
      <w:r>
        <w:rPr>
          <w:rFonts w:hint="eastAsia"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lang w:val="en-US" w:eastAsia="zh-CN"/>
        </w:rPr>
        <w:t>方便</w:t>
      </w:r>
      <w:r>
        <w:rPr>
          <w:rFonts w:hint="eastAsia" w:ascii="Times New Roman" w:hAnsi="Times New Roman" w:eastAsia="宋体" w:cs="Times New Roman"/>
          <w:kern w:val="0"/>
          <w:sz w:val="24"/>
          <w:szCs w:val="24"/>
          <w:highlight w:val="none"/>
        </w:rPr>
        <w:t>市场主体制定更有竞争力的投标策略。</w:t>
      </w:r>
    </w:p>
    <w:p w14:paraId="17BC89B3">
      <w:pPr>
        <w:autoSpaceDE w:val="0"/>
        <w:autoSpaceDN w:val="0"/>
        <w:adjustRightInd w:val="0"/>
        <w:spacing w:line="360" w:lineRule="auto"/>
        <w:ind w:firstLine="480" w:firstLineChars="200"/>
        <w:jc w:val="left"/>
        <w:rPr>
          <w:rFonts w:hint="default" w:ascii="Times New Roman" w:hAnsi="Times New Roman" w:eastAsia="Microsoft YaHei UI"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w:t>
      </w:r>
      <w:r>
        <w:rPr>
          <w:rFonts w:hint="eastAsia" w:ascii="Times New Roman" w:hAnsi="Times New Roman" w:eastAsia="宋体" w:cs="Times New Roman"/>
          <w:kern w:val="0"/>
          <w:sz w:val="24"/>
          <w:szCs w:val="24"/>
          <w:highlight w:val="none"/>
        </w:rPr>
        <w:t>《示范文本》</w:t>
      </w:r>
      <w:r>
        <w:rPr>
          <w:rFonts w:hint="eastAsia" w:ascii="Times New Roman" w:hAnsi="Times New Roman" w:eastAsia="宋体" w:cs="Times New Roman"/>
          <w:kern w:val="0"/>
          <w:sz w:val="24"/>
          <w:szCs w:val="24"/>
          <w:highlight w:val="none"/>
          <w:lang w:val="en-US" w:eastAsia="zh-CN"/>
        </w:rPr>
        <w:t>便于</w:t>
      </w:r>
      <w:r>
        <w:rPr>
          <w:rFonts w:hint="eastAsia" w:ascii="Times New Roman" w:hAnsi="Times New Roman" w:eastAsia="宋体" w:cs="Times New Roman"/>
          <w:kern w:val="0"/>
          <w:sz w:val="24"/>
          <w:szCs w:val="24"/>
          <w:highlight w:val="none"/>
        </w:rPr>
        <w:t>采购人、采购代理机构</w:t>
      </w:r>
      <w:r>
        <w:rPr>
          <w:rFonts w:hint="eastAsia" w:ascii="Times New Roman" w:hAnsi="Times New Roman" w:eastAsia="宋体" w:cs="Times New Roman"/>
          <w:kern w:val="0"/>
          <w:sz w:val="24"/>
          <w:szCs w:val="24"/>
          <w:highlight w:val="none"/>
          <w:lang w:val="en-US" w:eastAsia="zh-CN"/>
        </w:rPr>
        <w:t>落实</w:t>
      </w:r>
      <w:r>
        <w:rPr>
          <w:rFonts w:hint="eastAsia" w:ascii="Times New Roman" w:hAnsi="Times New Roman" w:eastAsia="宋体" w:cs="Times New Roman"/>
          <w:kern w:val="0"/>
          <w:sz w:val="24"/>
          <w:szCs w:val="24"/>
          <w:highlight w:val="none"/>
          <w:lang w:eastAsia="zh-CN"/>
        </w:rPr>
        <w:t>投标人</w:t>
      </w:r>
      <w:r>
        <w:rPr>
          <w:rFonts w:hint="eastAsia" w:ascii="Times New Roman" w:hAnsi="Times New Roman" w:eastAsia="宋体" w:cs="Times New Roman"/>
          <w:kern w:val="0"/>
          <w:sz w:val="24"/>
          <w:szCs w:val="24"/>
          <w:highlight w:val="none"/>
        </w:rPr>
        <w:t>自主选择以支票、汇票、本票、保函等非现金形式缴纳或提交</w:t>
      </w:r>
      <w:r>
        <w:rPr>
          <w:rFonts w:hint="eastAsia" w:ascii="Times New Roman" w:hAnsi="Times New Roman" w:eastAsia="宋体" w:cs="Times New Roman"/>
          <w:kern w:val="0"/>
          <w:sz w:val="24"/>
          <w:szCs w:val="24"/>
          <w:highlight w:val="none"/>
          <w:lang w:val="en-US" w:eastAsia="zh-CN"/>
        </w:rPr>
        <w:t>履约</w:t>
      </w:r>
      <w:r>
        <w:rPr>
          <w:rFonts w:hint="eastAsia" w:ascii="Times New Roman" w:hAnsi="Times New Roman" w:eastAsia="宋体" w:cs="Times New Roman"/>
          <w:kern w:val="0"/>
          <w:sz w:val="24"/>
          <w:szCs w:val="24"/>
          <w:highlight w:val="none"/>
        </w:rPr>
        <w:t>保证金。对于收取的履约保证金，采购合同中约定逾期退还履约保证金的违约责任</w:t>
      </w:r>
      <w:r>
        <w:rPr>
          <w:rFonts w:hint="eastAsia" w:ascii="Times New Roman" w:hAnsi="Times New Roman" w:eastAsia="宋体" w:cs="Times New Roman"/>
          <w:kern w:val="0"/>
          <w:sz w:val="24"/>
          <w:szCs w:val="24"/>
          <w:highlight w:val="none"/>
          <w:lang w:eastAsia="zh-CN"/>
        </w:rPr>
        <w:t>，</w:t>
      </w:r>
      <w:r>
        <w:rPr>
          <w:rFonts w:hint="eastAsia" w:ascii="Times New Roman" w:hAnsi="Times New Roman" w:eastAsia="宋体" w:cs="Times New Roman"/>
          <w:kern w:val="0"/>
          <w:sz w:val="24"/>
          <w:szCs w:val="24"/>
          <w:highlight w:val="none"/>
          <w:lang w:val="en-US" w:eastAsia="zh-CN"/>
        </w:rPr>
        <w:t>提醒采购人不应逾期退回。</w:t>
      </w:r>
    </w:p>
    <w:p w14:paraId="5FD3CE6B">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4.《示范文本》在政府采购合同中明确约定双方的违约责任。对于因采购人原因导致中止或者终止政府采购合同的，采购人应当依照合同约定对投标人受到的损失予以赔偿或者补偿。</w:t>
      </w:r>
    </w:p>
    <w:p w14:paraId="165A5269">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5.《示范文本》提供《政府采购供应商询问函和质疑函范本》，便于投标人通过网上询问、质疑等多种途径反馈诉求，</w:t>
      </w:r>
      <w:r>
        <w:rPr>
          <w:rFonts w:hint="eastAsia" w:ascii="Times New Roman" w:hAnsi="Times New Roman" w:eastAsia="宋体" w:cs="Times New Roman"/>
          <w:kern w:val="0"/>
          <w:sz w:val="24"/>
          <w:szCs w:val="24"/>
          <w:highlight w:val="none"/>
        </w:rPr>
        <w:t>保障当事人的合法权利。</w:t>
      </w:r>
    </w:p>
    <w:p w14:paraId="7A89452C">
      <w:pPr>
        <w:autoSpaceDE w:val="0"/>
        <w:autoSpaceDN w:val="0"/>
        <w:adjustRightInd w:val="0"/>
        <w:spacing w:line="360" w:lineRule="auto"/>
        <w:ind w:firstLine="480" w:firstLineChars="200"/>
        <w:jc w:val="left"/>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6.采购人在制定采购需求时应充分考虑世行营商环境指标中的性别平等指标，如市场准入、获得经营场所、市政设施接入、劳动力、获得金融服务、国际贸易、税收、市场竞争、化解商业纠纷等方面的性别平等。</w:t>
      </w:r>
    </w:p>
    <w:p w14:paraId="532B48D2">
      <w:pPr>
        <w:autoSpaceDE w:val="0"/>
        <w:autoSpaceDN w:val="0"/>
        <w:adjustRightInd w:val="0"/>
        <w:spacing w:line="360" w:lineRule="auto"/>
        <w:ind w:firstLine="482" w:firstLineChars="20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lang w:val="en-US" w:eastAsia="zh-CN"/>
        </w:rPr>
        <w:t>三</w:t>
      </w:r>
      <w:r>
        <w:rPr>
          <w:rFonts w:ascii="Times New Roman" w:hAnsi="Times New Roman" w:eastAsia="宋体" w:cs="Times New Roman"/>
          <w:b/>
          <w:kern w:val="0"/>
          <w:sz w:val="24"/>
          <w:szCs w:val="24"/>
          <w:highlight w:val="none"/>
        </w:rPr>
        <w:t>、填写规则</w:t>
      </w:r>
    </w:p>
    <w:p w14:paraId="2D830623">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1.条款中以空格和下划横线“__”形式标记的部分，为采购人或采购代理机构需要填写的内容。采购人或采购代理机构应根据</w:t>
      </w:r>
      <w:r>
        <w:rPr>
          <w:rFonts w:hint="eastAsia" w:ascii="Times New Roman" w:hAnsi="Times New Roman" w:eastAsia="宋体" w:cs="Times New Roman"/>
          <w:kern w:val="0"/>
          <w:sz w:val="24"/>
          <w:szCs w:val="24"/>
          <w:highlight w:val="none"/>
        </w:rPr>
        <w:t>国家和安徽省有关法律法规的规定</w:t>
      </w:r>
      <w:r>
        <w:rPr>
          <w:rFonts w:hint="eastAsia" w:ascii="Times New Roman" w:hAnsi="Times New Roman" w:eastAsia="宋体" w:cs="Times New Roman"/>
          <w:kern w:val="0"/>
          <w:sz w:val="24"/>
          <w:szCs w:val="24"/>
          <w:highlight w:val="none"/>
          <w:lang w:eastAsia="zh-CN"/>
        </w:rPr>
        <w:t>、</w:t>
      </w:r>
      <w:r>
        <w:rPr>
          <w:rFonts w:hint="eastAsia" w:ascii="Times New Roman" w:hAnsi="Times New Roman" w:eastAsia="宋体" w:cs="Times New Roman"/>
          <w:kern w:val="0"/>
          <w:sz w:val="24"/>
          <w:szCs w:val="24"/>
          <w:highlight w:val="none"/>
          <w:lang w:val="en-US" w:eastAsia="zh-CN"/>
        </w:rPr>
        <w:t>采购项目具体特点和实际需要进行具体化填写，确实没有需要填写的，在空格或下划横线“__”中用“/”标记。</w:t>
      </w:r>
    </w:p>
    <w:p w14:paraId="04E14E49">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2.条款中以“□”形式标记的内容，为采购人或采购代理机构需要确定的选项。编制招标文件时，适用于本项目的选项标记为“</w:t>
      </w:r>
      <w:r>
        <w:rPr>
          <w:rFonts w:hint="eastAsia" w:ascii="Times New Roman" w:hAnsi="Times New Roman" w:eastAsia="宋体" w:cs="Times New Roman"/>
          <w:kern w:val="0"/>
          <w:sz w:val="24"/>
          <w:szCs w:val="24"/>
          <w:highlight w:val="none"/>
          <w:lang w:val="en-US" w:eastAsia="zh-CN"/>
        </w:rPr>
        <w:sym w:font="Wingdings 2" w:char="0052"/>
      </w:r>
      <w:r>
        <w:rPr>
          <w:rFonts w:hint="eastAsia" w:ascii="Times New Roman" w:hAnsi="Times New Roman" w:eastAsia="宋体" w:cs="Times New Roman"/>
          <w:kern w:val="0"/>
          <w:sz w:val="24"/>
          <w:szCs w:val="24"/>
          <w:highlight w:val="none"/>
          <w:lang w:val="en-US" w:eastAsia="zh-CN"/>
        </w:rPr>
        <w:t>”，不适用于本项目的选项标记为“□”。</w:t>
      </w:r>
    </w:p>
    <w:p w14:paraId="286F885B">
      <w:pPr>
        <w:autoSpaceDE w:val="0"/>
        <w:autoSpaceDN w:val="0"/>
        <w:adjustRightInd w:val="0"/>
        <w:spacing w:line="360" w:lineRule="auto"/>
        <w:ind w:firstLine="482" w:firstLineChars="20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lang w:val="en-US" w:eastAsia="zh-CN"/>
        </w:rPr>
        <w:t>四</w:t>
      </w:r>
      <w:r>
        <w:rPr>
          <w:rFonts w:ascii="Times New Roman" w:hAnsi="Times New Roman" w:eastAsia="宋体" w:cs="Times New Roman"/>
          <w:b/>
          <w:kern w:val="0"/>
          <w:sz w:val="24"/>
          <w:szCs w:val="24"/>
          <w:highlight w:val="none"/>
        </w:rPr>
        <w:t>、提示条款</w:t>
      </w:r>
    </w:p>
    <w:p w14:paraId="100E020C">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《示范文本》中“（）”形式标记的红色斜体内容，属于提示编制采购文件的注意事项，采购文件发出前，有关提示内容应予以删除。</w:t>
      </w:r>
    </w:p>
    <w:p w14:paraId="4279C77F">
      <w:pPr>
        <w:numPr>
          <w:ilvl w:val="0"/>
          <w:numId w:val="2"/>
        </w:numPr>
        <w:autoSpaceDE w:val="0"/>
        <w:autoSpaceDN w:val="0"/>
        <w:adjustRightInd w:val="0"/>
        <w:spacing w:line="360" w:lineRule="auto"/>
        <w:ind w:firstLine="482" w:firstLineChars="200"/>
        <w:jc w:val="left"/>
        <w:rPr>
          <w:rFonts w:hint="eastAsia" w:ascii="Times New Roman" w:hAnsi="Times New Roman" w:eastAsia="宋体" w:cs="Times New Roman"/>
          <w:b/>
          <w:kern w:val="0"/>
          <w:sz w:val="24"/>
          <w:szCs w:val="24"/>
          <w:highlight w:val="none"/>
          <w:lang w:val="en-US" w:eastAsia="zh-CN"/>
        </w:rPr>
      </w:pPr>
      <w:r>
        <w:rPr>
          <w:rFonts w:ascii="Times New Roman" w:hAnsi="Times New Roman" w:eastAsia="宋体" w:cs="Times New Roman"/>
          <w:b/>
          <w:kern w:val="0"/>
          <w:sz w:val="24"/>
          <w:szCs w:val="24"/>
          <w:highlight w:val="none"/>
        </w:rPr>
        <w:t>合同</w:t>
      </w:r>
      <w:r>
        <w:rPr>
          <w:rFonts w:hint="eastAsia" w:ascii="Times New Roman" w:hAnsi="Times New Roman" w:eastAsia="宋体" w:cs="Times New Roman"/>
          <w:b/>
          <w:kern w:val="0"/>
          <w:sz w:val="24"/>
          <w:szCs w:val="24"/>
          <w:highlight w:val="none"/>
        </w:rPr>
        <w:t>文本</w:t>
      </w:r>
      <w:r>
        <w:rPr>
          <w:rFonts w:hint="eastAsia" w:ascii="Times New Roman" w:hAnsi="Times New Roman" w:eastAsia="宋体" w:cs="Times New Roman"/>
          <w:b/>
          <w:kern w:val="0"/>
          <w:sz w:val="24"/>
          <w:szCs w:val="24"/>
          <w:highlight w:val="none"/>
          <w:lang w:val="en-US" w:eastAsia="zh-CN"/>
        </w:rPr>
        <w:t xml:space="preserve">      </w:t>
      </w:r>
    </w:p>
    <w:p w14:paraId="764E9224">
      <w:pPr>
        <w:widowControl w:val="0"/>
        <w:numPr>
          <w:ilvl w:val="0"/>
          <w:numId w:val="0"/>
        </w:numPr>
        <w:autoSpaceDE w:val="0"/>
        <w:autoSpaceDN w:val="0"/>
        <w:adjustRightInd w:val="0"/>
        <w:spacing w:line="360" w:lineRule="auto"/>
        <w:jc w:val="left"/>
        <w:rPr>
          <w:rFonts w:hint="default" w:ascii="Times New Roman" w:hAnsi="Times New Roman" w:eastAsia="宋体" w:cs="Times New Roman"/>
          <w:b/>
          <w:kern w:val="0"/>
          <w:sz w:val="24"/>
          <w:szCs w:val="24"/>
          <w:highlight w:val="none"/>
          <w:lang w:val="en-US" w:eastAsia="zh-CN"/>
        </w:rPr>
      </w:pPr>
    </w:p>
    <w:p w14:paraId="492C0E8E">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采购人或采购代理机构应当依据《中华人民共和国民法典》等有关法律法规和政策要求，结合采购项目合同类型和特点，</w:t>
      </w:r>
      <w:r>
        <w:rPr>
          <w:rFonts w:hint="eastAsia" w:ascii="Times New Roman" w:hAnsi="Times New Roman" w:eastAsia="宋体" w:cs="Times New Roman"/>
          <w:kern w:val="0"/>
          <w:sz w:val="24"/>
          <w:szCs w:val="24"/>
          <w:highlight w:val="none"/>
        </w:rPr>
        <w:t>完善</w:t>
      </w:r>
      <w:r>
        <w:rPr>
          <w:rFonts w:ascii="Times New Roman" w:hAnsi="Times New Roman" w:eastAsia="宋体" w:cs="Times New Roman"/>
          <w:kern w:val="0"/>
          <w:sz w:val="24"/>
          <w:szCs w:val="24"/>
          <w:highlight w:val="none"/>
        </w:rPr>
        <w:t>项目采购合同。</w:t>
      </w:r>
    </w:p>
    <w:p w14:paraId="2A3D17BC">
      <w:pPr>
        <w:autoSpaceDE w:val="0"/>
        <w:autoSpaceDN w:val="0"/>
        <w:adjustRightInd w:val="0"/>
        <w:spacing w:line="360" w:lineRule="auto"/>
        <w:ind w:firstLine="482" w:firstLineChars="20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lang w:val="en-US" w:eastAsia="zh-CN"/>
        </w:rPr>
        <w:t>六</w:t>
      </w:r>
      <w:r>
        <w:rPr>
          <w:rFonts w:ascii="Times New Roman" w:hAnsi="Times New Roman" w:eastAsia="宋体" w:cs="Times New Roman"/>
          <w:b/>
          <w:kern w:val="0"/>
          <w:sz w:val="24"/>
          <w:szCs w:val="24"/>
          <w:highlight w:val="none"/>
        </w:rPr>
        <w:t>、</w:t>
      </w:r>
      <w:r>
        <w:rPr>
          <w:rFonts w:hint="eastAsia" w:ascii="Times New Roman" w:hAnsi="Times New Roman" w:eastAsia="宋体" w:cs="Times New Roman"/>
          <w:b/>
          <w:kern w:val="0"/>
          <w:sz w:val="24"/>
          <w:szCs w:val="24"/>
          <w:highlight w:val="none"/>
        </w:rPr>
        <w:t>投标</w:t>
      </w:r>
      <w:r>
        <w:rPr>
          <w:rFonts w:ascii="Times New Roman" w:hAnsi="Times New Roman" w:eastAsia="宋体" w:cs="Times New Roman"/>
          <w:b/>
          <w:kern w:val="0"/>
          <w:sz w:val="24"/>
          <w:szCs w:val="24"/>
          <w:highlight w:val="none"/>
        </w:rPr>
        <w:t>文件格式的统一与简化</w:t>
      </w:r>
    </w:p>
    <w:p w14:paraId="13675F9A">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1.</w:t>
      </w:r>
      <w:r>
        <w:rPr>
          <w:rFonts w:ascii="Times New Roman" w:hAnsi="Times New Roman" w:eastAsia="宋体" w:cs="Times New Roman"/>
          <w:kern w:val="0"/>
          <w:sz w:val="24"/>
          <w:szCs w:val="24"/>
          <w:highlight w:val="none"/>
        </w:rPr>
        <w:t>为便于</w:t>
      </w:r>
      <w:r>
        <w:rPr>
          <w:rFonts w:hint="eastAsia" w:ascii="Times New Roman" w:hAnsi="Times New Roman" w:eastAsia="宋体" w:cs="Times New Roman"/>
          <w:kern w:val="0"/>
          <w:sz w:val="24"/>
          <w:szCs w:val="24"/>
          <w:highlight w:val="none"/>
          <w:lang w:eastAsia="zh-CN"/>
        </w:rPr>
        <w:t>投标人</w:t>
      </w:r>
      <w:r>
        <w:rPr>
          <w:rFonts w:ascii="Times New Roman" w:hAnsi="Times New Roman" w:eastAsia="宋体" w:cs="Times New Roman"/>
          <w:kern w:val="0"/>
          <w:sz w:val="24"/>
          <w:szCs w:val="24"/>
          <w:highlight w:val="none"/>
        </w:rPr>
        <w:t>制作</w:t>
      </w:r>
      <w:r>
        <w:rPr>
          <w:rFonts w:hint="eastAsia" w:ascii="Times New Roman" w:hAnsi="Times New Roman" w:eastAsia="宋体" w:cs="Times New Roman"/>
          <w:kern w:val="0"/>
          <w:sz w:val="24"/>
          <w:szCs w:val="24"/>
          <w:highlight w:val="none"/>
        </w:rPr>
        <w:t>投标</w:t>
      </w:r>
      <w:r>
        <w:rPr>
          <w:rFonts w:ascii="Times New Roman" w:hAnsi="Times New Roman" w:eastAsia="宋体" w:cs="Times New Roman"/>
          <w:kern w:val="0"/>
          <w:sz w:val="24"/>
          <w:szCs w:val="24"/>
          <w:highlight w:val="none"/>
        </w:rPr>
        <w:t>文件，便于</w:t>
      </w:r>
      <w:r>
        <w:rPr>
          <w:rFonts w:hint="eastAsia" w:ascii="Times New Roman" w:hAnsi="Times New Roman" w:eastAsia="宋体" w:cs="Times New Roman"/>
          <w:kern w:val="0"/>
          <w:sz w:val="24"/>
          <w:szCs w:val="24"/>
          <w:highlight w:val="none"/>
        </w:rPr>
        <w:t>评标委员会</w:t>
      </w:r>
      <w:r>
        <w:rPr>
          <w:rFonts w:ascii="Times New Roman" w:hAnsi="Times New Roman" w:eastAsia="宋体" w:cs="Times New Roman"/>
          <w:kern w:val="0"/>
          <w:sz w:val="24"/>
          <w:szCs w:val="24"/>
          <w:highlight w:val="none"/>
        </w:rPr>
        <w:t>评审时统一标准，《示范文本》对适宜的内容提供了统一的</w:t>
      </w:r>
      <w:r>
        <w:rPr>
          <w:rFonts w:hint="eastAsia" w:ascii="Times New Roman" w:hAnsi="Times New Roman" w:eastAsia="宋体" w:cs="Times New Roman"/>
          <w:kern w:val="0"/>
          <w:sz w:val="24"/>
          <w:szCs w:val="24"/>
          <w:highlight w:val="none"/>
        </w:rPr>
        <w:t>投标</w:t>
      </w:r>
      <w:r>
        <w:rPr>
          <w:rFonts w:ascii="Times New Roman" w:hAnsi="Times New Roman" w:eastAsia="宋体" w:cs="Times New Roman"/>
          <w:kern w:val="0"/>
          <w:sz w:val="24"/>
          <w:szCs w:val="24"/>
          <w:highlight w:val="none"/>
        </w:rPr>
        <w:t>文件参考格式，尽可能对格式中需要填列的内容进行了简化，尽可能减少了格式中需要签字、盖章的要求。</w:t>
      </w:r>
    </w:p>
    <w:p w14:paraId="5151BA9A">
      <w:pPr>
        <w:autoSpaceDE w:val="0"/>
        <w:autoSpaceDN w:val="0"/>
        <w:adjustRightInd w:val="0"/>
        <w:spacing w:line="360" w:lineRule="auto"/>
        <w:ind w:firstLine="480" w:firstLineChars="200"/>
        <w:jc w:val="left"/>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w:t>
      </w:r>
      <w:r>
        <w:rPr>
          <w:rFonts w:ascii="Times New Roman" w:hAnsi="Times New Roman" w:eastAsia="宋体" w:cs="Times New Roman"/>
          <w:kern w:val="0"/>
          <w:sz w:val="24"/>
          <w:szCs w:val="24"/>
          <w:highlight w:val="none"/>
        </w:rPr>
        <w:t>《示范文本》</w:t>
      </w:r>
      <w:r>
        <w:rPr>
          <w:rFonts w:hint="eastAsia" w:ascii="Times New Roman" w:hAnsi="Times New Roman" w:eastAsia="宋体" w:cs="Times New Roman"/>
          <w:kern w:val="0"/>
          <w:sz w:val="24"/>
          <w:szCs w:val="24"/>
          <w:highlight w:val="none"/>
          <w:lang w:val="en-US" w:eastAsia="zh-CN"/>
        </w:rPr>
        <w:t>第二章中“投标人须知前附表”所列条款号与“投标人须知正文”的序号一一对应。</w:t>
      </w:r>
    </w:p>
    <w:p w14:paraId="20C65AE7">
      <w:pPr>
        <w:autoSpaceDE w:val="0"/>
        <w:autoSpaceDN w:val="0"/>
        <w:adjustRightInd w:val="0"/>
        <w:spacing w:line="360" w:lineRule="auto"/>
        <w:ind w:firstLine="482" w:firstLineChars="200"/>
        <w:jc w:val="left"/>
        <w:rPr>
          <w:rFonts w:ascii="Times New Roman" w:hAnsi="Times New Roman" w:eastAsia="宋体" w:cs="Times New Roman"/>
          <w:b/>
          <w:kern w:val="0"/>
          <w:sz w:val="24"/>
          <w:szCs w:val="24"/>
          <w:highlight w:val="none"/>
        </w:rPr>
      </w:pPr>
      <w:r>
        <w:rPr>
          <w:rFonts w:hint="eastAsia" w:ascii="Times New Roman" w:hAnsi="Times New Roman" w:eastAsia="宋体" w:cs="Times New Roman"/>
          <w:b/>
          <w:kern w:val="0"/>
          <w:sz w:val="24"/>
          <w:szCs w:val="24"/>
          <w:highlight w:val="none"/>
          <w:lang w:val="en-US" w:eastAsia="zh-CN"/>
        </w:rPr>
        <w:t>七</w:t>
      </w:r>
      <w:r>
        <w:rPr>
          <w:rFonts w:ascii="Times New Roman" w:hAnsi="Times New Roman" w:eastAsia="宋体" w:cs="Times New Roman"/>
          <w:b/>
          <w:kern w:val="0"/>
          <w:sz w:val="24"/>
          <w:szCs w:val="24"/>
          <w:highlight w:val="none"/>
        </w:rPr>
        <w:t>、实施及修改</w:t>
      </w:r>
    </w:p>
    <w:p w14:paraId="5B0AA978">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请各采购代理机构认真组织好《示范文本》的推广使用，使用中有任何意见建议，请及时与</w:t>
      </w:r>
      <w:r>
        <w:rPr>
          <w:rFonts w:hint="eastAsia" w:ascii="Times New Roman" w:hAnsi="Times New Roman" w:eastAsia="宋体" w:cs="Times New Roman"/>
          <w:kern w:val="0"/>
          <w:sz w:val="24"/>
          <w:szCs w:val="24"/>
          <w:highlight w:val="none"/>
          <w:lang w:val="en-US" w:eastAsia="zh-CN"/>
        </w:rPr>
        <w:t>安徽省财政厅采购处</w:t>
      </w:r>
      <w:r>
        <w:rPr>
          <w:rFonts w:ascii="Times New Roman" w:hAnsi="Times New Roman" w:eastAsia="宋体" w:cs="Times New Roman"/>
          <w:kern w:val="0"/>
          <w:sz w:val="24"/>
          <w:szCs w:val="24"/>
          <w:highlight w:val="none"/>
        </w:rPr>
        <w:t>联系。我们将及时总结经验，以进一步修订完善《示范文本》并协同推进其规范运用。</w:t>
      </w:r>
    </w:p>
    <w:p w14:paraId="7B1DCFE1">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采购人或</w:t>
      </w:r>
      <w:r>
        <w:rPr>
          <w:rFonts w:hint="eastAsia" w:ascii="Times New Roman" w:hAnsi="Times New Roman" w:eastAsia="宋体" w:cs="Times New Roman"/>
          <w:kern w:val="0"/>
          <w:sz w:val="24"/>
          <w:szCs w:val="24"/>
          <w:highlight w:val="none"/>
          <w:lang w:eastAsia="zh-CN"/>
        </w:rPr>
        <w:t>采购</w:t>
      </w:r>
      <w:r>
        <w:rPr>
          <w:rFonts w:hint="eastAsia" w:ascii="Times New Roman" w:hAnsi="Times New Roman" w:eastAsia="宋体" w:cs="Times New Roman"/>
          <w:kern w:val="0"/>
          <w:sz w:val="24"/>
          <w:szCs w:val="24"/>
          <w:highlight w:val="none"/>
        </w:rPr>
        <w:t>代理机构可根据法律法规、政府采购政策文件等更新情况或项目具体特点，对示范文本适当进行更新或调整。</w:t>
      </w:r>
    </w:p>
    <w:p w14:paraId="241E8649">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sectPr>
          <w:headerReference r:id="rId3" w:type="default"/>
          <w:footerReference r:id="rId4"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8E4097E">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1D5C9BC6">
      <w:pPr>
        <w:pStyle w:val="18"/>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_Toc23443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投标邀请</w:t>
      </w:r>
      <w:r>
        <w:tab/>
      </w:r>
      <w:r>
        <w:fldChar w:fldCharType="begin"/>
      </w:r>
      <w:r>
        <w:instrText xml:space="preserve"> PAGEREF _Toc23443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315F83D5">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_Toc31935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fldChar w:fldCharType="begin"/>
      </w:r>
      <w:r>
        <w:instrText xml:space="preserve"> PAGEREF _Toc31935 \h </w:instrText>
      </w:r>
      <w:r>
        <w:fldChar w:fldCharType="separate"/>
      </w:r>
      <w:r>
        <w:t>5</w:t>
      </w:r>
      <w:r>
        <w:fldChar w:fldCharType="end"/>
      </w:r>
      <w:r>
        <w:rPr>
          <w:rFonts w:asciiTheme="minorEastAsia" w:hAnsiTheme="minorEastAsia" w:eastAsiaTheme="minorEastAsia"/>
          <w:color w:val="auto"/>
          <w:szCs w:val="24"/>
          <w:highlight w:val="none"/>
        </w:rPr>
        <w:fldChar w:fldCharType="end"/>
      </w:r>
    </w:p>
    <w:p w14:paraId="695374E3">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_Toc10891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_Toc10891 \h </w:instrText>
      </w:r>
      <w:r>
        <w:fldChar w:fldCharType="separate"/>
      </w:r>
      <w:r>
        <w:t>25</w:t>
      </w:r>
      <w:r>
        <w:fldChar w:fldCharType="end"/>
      </w:r>
      <w:r>
        <w:rPr>
          <w:rFonts w:asciiTheme="minorEastAsia" w:hAnsiTheme="minorEastAsia" w:eastAsiaTheme="minorEastAsia"/>
          <w:color w:val="auto"/>
          <w:szCs w:val="24"/>
          <w:highlight w:val="none"/>
        </w:rPr>
        <w:fldChar w:fldCharType="end"/>
      </w:r>
    </w:p>
    <w:p w14:paraId="358F286E">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_Toc16417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tab/>
      </w:r>
      <w:r>
        <w:fldChar w:fldCharType="begin"/>
      </w:r>
      <w:r>
        <w:instrText xml:space="preserve"> PAGEREF _Toc16417 \h </w:instrText>
      </w:r>
      <w:r>
        <w:fldChar w:fldCharType="separate"/>
      </w:r>
      <w:r>
        <w:t>19</w:t>
      </w:r>
      <w:r>
        <w:fldChar w:fldCharType="end"/>
      </w:r>
      <w:r>
        <w:rPr>
          <w:rFonts w:asciiTheme="minorEastAsia" w:hAnsiTheme="minorEastAsia" w:eastAsiaTheme="minorEastAsia"/>
          <w:color w:val="auto"/>
          <w:szCs w:val="24"/>
          <w:highlight w:val="none"/>
        </w:rPr>
        <w:fldChar w:fldCharType="end"/>
      </w:r>
    </w:p>
    <w:p w14:paraId="71E1E6B1">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_Toc4682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_Toc4682 \h </w:instrText>
      </w:r>
      <w:r>
        <w:fldChar w:fldCharType="separate"/>
      </w:r>
      <w:r>
        <w:t>32</w:t>
      </w:r>
      <w:r>
        <w:fldChar w:fldCharType="end"/>
      </w:r>
      <w:r>
        <w:rPr>
          <w:rFonts w:asciiTheme="minorEastAsia" w:hAnsiTheme="minorEastAsia" w:eastAsiaTheme="minorEastAsia"/>
          <w:color w:val="auto"/>
          <w:szCs w:val="24"/>
          <w:highlight w:val="none"/>
        </w:rPr>
        <w:fldChar w:fldCharType="end"/>
      </w:r>
    </w:p>
    <w:p w14:paraId="10A60E6C">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_Toc22492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_Toc22492 \h </w:instrText>
      </w:r>
      <w:r>
        <w:fldChar w:fldCharType="separate"/>
      </w:r>
      <w:r>
        <w:t>53</w:t>
      </w:r>
      <w:r>
        <w:fldChar w:fldCharType="end"/>
      </w:r>
      <w:r>
        <w:rPr>
          <w:rFonts w:asciiTheme="minorEastAsia" w:hAnsiTheme="minorEastAsia" w:eastAsiaTheme="minorEastAsia"/>
          <w:color w:val="auto"/>
          <w:szCs w:val="24"/>
          <w:highlight w:val="none"/>
        </w:rPr>
        <w:fldChar w:fldCharType="end"/>
      </w:r>
    </w:p>
    <w:p w14:paraId="02681B91">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_Toc18131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_Toc18131 \h </w:instrText>
      </w:r>
      <w:r>
        <w:fldChar w:fldCharType="separate"/>
      </w:r>
      <w:r>
        <w:t>53</w:t>
      </w:r>
      <w:r>
        <w:fldChar w:fldCharType="end"/>
      </w:r>
      <w:r>
        <w:rPr>
          <w:rFonts w:asciiTheme="minorEastAsia" w:hAnsiTheme="minorEastAsia" w:eastAsiaTheme="minorEastAsia"/>
          <w:color w:val="auto"/>
          <w:szCs w:val="24"/>
          <w:highlight w:val="none"/>
        </w:rPr>
        <w:fldChar w:fldCharType="end"/>
      </w:r>
    </w:p>
    <w:p w14:paraId="1E49792F">
      <w:pPr>
        <w:spacing w:line="360" w:lineRule="auto"/>
        <w:jc w:val="center"/>
        <w:outlineLvl w:val="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fldChar w:fldCharType="end"/>
      </w:r>
      <w:bookmarkStart w:id="4" w:name="_Toc23443"/>
    </w:p>
    <w:p w14:paraId="122FC19B">
      <w:pPr>
        <w:spacing w:line="360" w:lineRule="auto"/>
        <w:jc w:val="center"/>
        <w:outlineLvl w:val="0"/>
        <w:rPr>
          <w:rFonts w:asciiTheme="minorEastAsia" w:hAnsiTheme="minorEastAsia" w:eastAsiaTheme="minorEastAsia"/>
          <w:color w:val="auto"/>
          <w:szCs w:val="24"/>
          <w:highlight w:val="none"/>
        </w:rPr>
      </w:pPr>
    </w:p>
    <w:p w14:paraId="22A5B84A">
      <w:pPr>
        <w:spacing w:line="360" w:lineRule="auto"/>
        <w:jc w:val="center"/>
        <w:outlineLvl w:val="0"/>
        <w:rPr>
          <w:rFonts w:asciiTheme="minorEastAsia" w:hAnsiTheme="minorEastAsia" w:eastAsiaTheme="minorEastAsia"/>
          <w:color w:val="auto"/>
          <w:szCs w:val="24"/>
          <w:highlight w:val="none"/>
        </w:rPr>
      </w:pPr>
    </w:p>
    <w:p w14:paraId="365FB3AE">
      <w:pPr>
        <w:spacing w:line="360" w:lineRule="auto"/>
        <w:jc w:val="center"/>
        <w:outlineLvl w:val="0"/>
        <w:rPr>
          <w:rFonts w:asciiTheme="minorEastAsia" w:hAnsiTheme="minorEastAsia" w:eastAsiaTheme="minorEastAsia"/>
          <w:color w:val="auto"/>
          <w:szCs w:val="24"/>
          <w:highlight w:val="none"/>
        </w:rPr>
      </w:pPr>
    </w:p>
    <w:p w14:paraId="6CD66A78">
      <w:pPr>
        <w:spacing w:line="360" w:lineRule="auto"/>
        <w:jc w:val="center"/>
        <w:outlineLvl w:val="0"/>
        <w:rPr>
          <w:rFonts w:asciiTheme="minorEastAsia" w:hAnsiTheme="minorEastAsia" w:eastAsiaTheme="minorEastAsia"/>
          <w:color w:val="auto"/>
          <w:szCs w:val="24"/>
          <w:highlight w:val="none"/>
        </w:rPr>
      </w:pPr>
    </w:p>
    <w:p w14:paraId="235C3D92">
      <w:pPr>
        <w:spacing w:line="360" w:lineRule="auto"/>
        <w:jc w:val="center"/>
        <w:outlineLvl w:val="0"/>
        <w:rPr>
          <w:rFonts w:asciiTheme="minorEastAsia" w:hAnsiTheme="minorEastAsia" w:eastAsiaTheme="minorEastAsia"/>
          <w:color w:val="auto"/>
          <w:szCs w:val="24"/>
          <w:highlight w:val="none"/>
        </w:rPr>
      </w:pPr>
    </w:p>
    <w:p w14:paraId="1A5D3588">
      <w:pPr>
        <w:spacing w:line="360" w:lineRule="auto"/>
        <w:jc w:val="center"/>
        <w:outlineLvl w:val="0"/>
        <w:rPr>
          <w:rFonts w:asciiTheme="minorEastAsia" w:hAnsiTheme="minorEastAsia" w:eastAsiaTheme="minorEastAsia"/>
          <w:color w:val="auto"/>
          <w:szCs w:val="24"/>
          <w:highlight w:val="none"/>
        </w:rPr>
      </w:pPr>
    </w:p>
    <w:p w14:paraId="5F6E4CE0">
      <w:pPr>
        <w:spacing w:line="360" w:lineRule="auto"/>
        <w:jc w:val="center"/>
        <w:outlineLvl w:val="0"/>
        <w:rPr>
          <w:rFonts w:asciiTheme="minorEastAsia" w:hAnsiTheme="minorEastAsia" w:eastAsiaTheme="minorEastAsia"/>
          <w:color w:val="auto"/>
          <w:szCs w:val="24"/>
          <w:highlight w:val="none"/>
        </w:rPr>
      </w:pPr>
    </w:p>
    <w:p w14:paraId="068C11E2">
      <w:pPr>
        <w:spacing w:line="360" w:lineRule="auto"/>
        <w:jc w:val="center"/>
        <w:outlineLvl w:val="0"/>
        <w:rPr>
          <w:rFonts w:asciiTheme="minorEastAsia" w:hAnsiTheme="minorEastAsia" w:eastAsiaTheme="minorEastAsia"/>
          <w:color w:val="auto"/>
          <w:szCs w:val="24"/>
          <w:highlight w:val="none"/>
        </w:rPr>
      </w:pPr>
    </w:p>
    <w:p w14:paraId="13D32E94">
      <w:pPr>
        <w:spacing w:line="360" w:lineRule="auto"/>
        <w:jc w:val="center"/>
        <w:outlineLvl w:val="0"/>
        <w:rPr>
          <w:rFonts w:asciiTheme="minorEastAsia" w:hAnsiTheme="minorEastAsia" w:eastAsiaTheme="minorEastAsia"/>
          <w:color w:val="auto"/>
          <w:szCs w:val="24"/>
          <w:highlight w:val="none"/>
        </w:rPr>
      </w:pPr>
    </w:p>
    <w:p w14:paraId="6283E6E3">
      <w:pPr>
        <w:spacing w:line="360" w:lineRule="auto"/>
        <w:jc w:val="center"/>
        <w:outlineLvl w:val="0"/>
        <w:rPr>
          <w:rFonts w:asciiTheme="minorEastAsia" w:hAnsiTheme="minorEastAsia" w:eastAsiaTheme="minorEastAsia"/>
          <w:color w:val="auto"/>
          <w:szCs w:val="24"/>
          <w:highlight w:val="none"/>
        </w:rPr>
      </w:pPr>
    </w:p>
    <w:p w14:paraId="456A0DBB">
      <w:pPr>
        <w:spacing w:line="360" w:lineRule="auto"/>
        <w:jc w:val="center"/>
        <w:outlineLvl w:val="0"/>
        <w:rPr>
          <w:rFonts w:asciiTheme="minorEastAsia" w:hAnsiTheme="minorEastAsia" w:eastAsiaTheme="minorEastAsia"/>
          <w:color w:val="auto"/>
          <w:szCs w:val="24"/>
          <w:highlight w:val="none"/>
        </w:rPr>
      </w:pPr>
    </w:p>
    <w:p w14:paraId="09BDC724">
      <w:pPr>
        <w:spacing w:line="360" w:lineRule="auto"/>
        <w:jc w:val="center"/>
        <w:outlineLvl w:val="0"/>
        <w:rPr>
          <w:rFonts w:asciiTheme="minorEastAsia" w:hAnsiTheme="minorEastAsia" w:eastAsiaTheme="minorEastAsia"/>
          <w:color w:val="auto"/>
          <w:szCs w:val="24"/>
          <w:highlight w:val="none"/>
        </w:rPr>
      </w:pPr>
    </w:p>
    <w:p w14:paraId="4E4808D6">
      <w:pPr>
        <w:spacing w:line="360" w:lineRule="auto"/>
        <w:jc w:val="center"/>
        <w:outlineLvl w:val="0"/>
        <w:rPr>
          <w:rFonts w:asciiTheme="minorEastAsia" w:hAnsiTheme="minorEastAsia" w:eastAsiaTheme="minorEastAsia"/>
          <w:color w:val="auto"/>
          <w:szCs w:val="24"/>
          <w:highlight w:val="none"/>
        </w:rPr>
      </w:pPr>
    </w:p>
    <w:p w14:paraId="4A42525C">
      <w:pPr>
        <w:spacing w:line="360" w:lineRule="auto"/>
        <w:jc w:val="center"/>
        <w:outlineLvl w:val="0"/>
        <w:rPr>
          <w:rFonts w:asciiTheme="minorEastAsia" w:hAnsiTheme="minorEastAsia" w:eastAsiaTheme="minorEastAsia"/>
          <w:color w:val="auto"/>
          <w:szCs w:val="24"/>
          <w:highlight w:val="none"/>
        </w:rPr>
      </w:pPr>
    </w:p>
    <w:p w14:paraId="39B3CFD7">
      <w:pPr>
        <w:spacing w:line="360" w:lineRule="auto"/>
        <w:jc w:val="center"/>
        <w:outlineLvl w:val="0"/>
        <w:rPr>
          <w:rFonts w:asciiTheme="minorEastAsia" w:hAnsiTheme="minorEastAsia" w:eastAsiaTheme="minorEastAsia"/>
          <w:color w:val="auto"/>
          <w:szCs w:val="24"/>
          <w:highlight w:val="none"/>
        </w:rPr>
      </w:pPr>
    </w:p>
    <w:p w14:paraId="1B5004B9">
      <w:pPr>
        <w:spacing w:line="360" w:lineRule="auto"/>
        <w:jc w:val="center"/>
        <w:outlineLvl w:val="0"/>
        <w:rPr>
          <w:rFonts w:asciiTheme="minorEastAsia" w:hAnsiTheme="minorEastAsia" w:eastAsiaTheme="minorEastAsia"/>
          <w:color w:val="auto"/>
          <w:szCs w:val="24"/>
          <w:highlight w:val="none"/>
        </w:rPr>
      </w:pPr>
    </w:p>
    <w:p w14:paraId="20B896D1">
      <w:pPr>
        <w:spacing w:line="360" w:lineRule="auto"/>
        <w:jc w:val="center"/>
        <w:outlineLvl w:val="0"/>
        <w:rPr>
          <w:rFonts w:asciiTheme="minorEastAsia" w:hAnsiTheme="minorEastAsia" w:eastAsiaTheme="minorEastAsia"/>
          <w:color w:val="auto"/>
          <w:szCs w:val="24"/>
          <w:highlight w:val="none"/>
        </w:rPr>
      </w:pPr>
    </w:p>
    <w:p w14:paraId="49BF94CF">
      <w:pPr>
        <w:spacing w:line="360" w:lineRule="auto"/>
        <w:jc w:val="center"/>
        <w:outlineLvl w:val="0"/>
        <w:rPr>
          <w:rFonts w:asciiTheme="minorEastAsia" w:hAnsiTheme="minorEastAsia" w:eastAsiaTheme="minorEastAsia"/>
          <w:color w:val="auto"/>
          <w:szCs w:val="24"/>
          <w:highlight w:val="none"/>
        </w:rPr>
      </w:pPr>
    </w:p>
    <w:p w14:paraId="71323EB5">
      <w:pPr>
        <w:spacing w:line="360" w:lineRule="auto"/>
        <w:jc w:val="center"/>
        <w:outlineLvl w:val="0"/>
        <w:rPr>
          <w:rFonts w:asciiTheme="minorEastAsia" w:hAnsiTheme="minorEastAsia" w:eastAsiaTheme="minorEastAsia"/>
          <w:color w:val="auto"/>
          <w:szCs w:val="24"/>
          <w:highlight w:val="none"/>
        </w:rPr>
      </w:pPr>
    </w:p>
    <w:p w14:paraId="2B3B1A67">
      <w:pPr>
        <w:spacing w:line="360" w:lineRule="auto"/>
        <w:jc w:val="center"/>
        <w:outlineLvl w:val="0"/>
        <w:rPr>
          <w:rFonts w:asciiTheme="minorEastAsia" w:hAnsiTheme="minorEastAsia" w:eastAsiaTheme="minorEastAsia"/>
          <w:color w:val="auto"/>
          <w:szCs w:val="24"/>
          <w:highlight w:val="none"/>
        </w:rPr>
      </w:pPr>
    </w:p>
    <w:p w14:paraId="4DAF24F1">
      <w:pPr>
        <w:spacing w:line="360" w:lineRule="auto"/>
        <w:jc w:val="center"/>
        <w:outlineLvl w:val="0"/>
        <w:rPr>
          <w:rFonts w:hint="eastAsia" w:asciiTheme="minorEastAsia" w:hAnsiTheme="minorEastAsia" w:eastAsiaTheme="minorEastAsia"/>
          <w:b/>
          <w:color w:val="auto"/>
          <w:sz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E81B79D">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4"/>
    </w:p>
    <w:p w14:paraId="2F73C426">
      <w:pPr>
        <w:keepNext/>
        <w:keepLines/>
        <w:spacing w:line="360" w:lineRule="auto"/>
        <w:ind w:firstLine="480" w:firstLineChars="200"/>
        <w:rPr>
          <w:rFonts w:hint="eastAsia" w:ascii="宋体" w:hAnsi="宋体" w:eastAsia="宋体" w:cs="宋体"/>
          <w:sz w:val="24"/>
          <w:szCs w:val="24"/>
        </w:rPr>
      </w:pPr>
      <w:bookmarkStart w:id="5" w:name="_Toc7265"/>
      <w:bookmarkStart w:id="6" w:name="_Toc3854"/>
      <w:r>
        <w:rPr>
          <w:rFonts w:hint="eastAsia" w:ascii="宋体" w:hAnsi="宋体" w:eastAsia="宋体" w:cs="宋体"/>
          <w:sz w:val="24"/>
          <w:szCs w:val="24"/>
        </w:rPr>
        <w:t>项目概况</w:t>
      </w:r>
    </w:p>
    <w:p w14:paraId="5067A92D">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eastAsia="zh-CN"/>
        </w:rPr>
        <w:t xml:space="preserve">小溪河S312与梨园路口、G345与前进村路口、西泉镇S315与许村交叉路口、黄泥铺G329与X041路口、老人桥路与凤阳二中北门路口5处智能交通项目 </w:t>
      </w:r>
      <w:r>
        <w:rPr>
          <w:rFonts w:hint="eastAsia" w:ascii="宋体" w:hAnsi="宋体" w:eastAsia="宋体" w:cs="宋体"/>
          <w:sz w:val="24"/>
          <w:szCs w:val="24"/>
        </w:rPr>
        <w:t>的潜在投标人应在</w:t>
      </w:r>
      <w:r>
        <w:rPr>
          <w:rFonts w:hint="eastAsia" w:ascii="宋体" w:hAnsi="宋体" w:eastAsia="宋体" w:cs="宋体"/>
          <w:sz w:val="24"/>
          <w:szCs w:val="24"/>
          <w:u w:val="single"/>
        </w:rPr>
        <w:t>滁州市公共资源交易中心网（http：//ggzy.chuzhou.gov.cn/）</w:t>
      </w:r>
      <w:r>
        <w:rPr>
          <w:rFonts w:hint="eastAsia" w:ascii="宋体" w:hAnsi="宋体" w:eastAsia="宋体" w:cs="宋体"/>
          <w:sz w:val="24"/>
          <w:szCs w:val="24"/>
        </w:rPr>
        <w:t>获取招标文件，并于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日08点00分</w:t>
      </w:r>
      <w:r>
        <w:rPr>
          <w:rFonts w:hint="eastAsia" w:ascii="宋体" w:hAnsi="宋体" w:eastAsia="宋体" w:cs="宋体"/>
          <w:sz w:val="24"/>
          <w:szCs w:val="24"/>
        </w:rPr>
        <w:t>（北京时间）前递交投标文件。</w:t>
      </w:r>
    </w:p>
    <w:p w14:paraId="793B0F5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一、项目基本情况</w:t>
      </w:r>
    </w:p>
    <w:p w14:paraId="58C37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czfycg202504-001</w:t>
      </w:r>
      <w:r>
        <w:rPr>
          <w:rFonts w:hint="eastAsia" w:ascii="宋体" w:hAnsi="宋体" w:eastAsia="宋体" w:cs="宋体"/>
          <w:sz w:val="24"/>
          <w:szCs w:val="24"/>
        </w:rPr>
        <w:t xml:space="preserve">  </w:t>
      </w:r>
    </w:p>
    <w:p w14:paraId="172CA4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 xml:space="preserve">小溪河S312与梨园路口、G345与前进村路口、西泉镇S315与许村交叉路口、黄泥铺G329与X041路口、老人桥路与凤阳二中北门路口5处智能交通项目 </w:t>
      </w:r>
    </w:p>
    <w:p w14:paraId="19AF8590">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预算金额：</w:t>
      </w:r>
      <w:r>
        <w:rPr>
          <w:rFonts w:hint="eastAsia" w:ascii="宋体" w:hAnsi="宋体" w:eastAsia="宋体" w:cs="宋体"/>
          <w:sz w:val="24"/>
          <w:szCs w:val="24"/>
          <w:lang w:val="en-US" w:eastAsia="zh-CN"/>
        </w:rPr>
        <w:t>400</w:t>
      </w:r>
      <w:r>
        <w:rPr>
          <w:rFonts w:hint="eastAsia" w:ascii="宋体" w:hAnsi="宋体" w:eastAsia="宋体" w:cs="宋体"/>
          <w:sz w:val="24"/>
          <w:szCs w:val="24"/>
        </w:rPr>
        <w:t>万元</w:t>
      </w:r>
    </w:p>
    <w:p w14:paraId="58836455">
      <w:pPr>
        <w:wordWrap w:val="0"/>
        <w:spacing w:line="360" w:lineRule="auto"/>
        <w:ind w:firstLine="480" w:firstLineChars="200"/>
        <w:outlineLvl w:val="2"/>
        <w:rPr>
          <w:rFonts w:ascii="宋体" w:hAnsi="宋体" w:eastAsia="宋体" w:cs="宋体"/>
          <w:sz w:val="24"/>
          <w:szCs w:val="24"/>
        </w:rPr>
      </w:pPr>
      <w:r>
        <w:rPr>
          <w:rFonts w:hint="eastAsia" w:ascii="宋体" w:hAnsi="宋体" w:eastAsia="宋体" w:cs="宋体"/>
          <w:sz w:val="24"/>
          <w:szCs w:val="24"/>
        </w:rPr>
        <w:t>最高限价：本项目最高限价355.5万元；高于最高限价的，其投标文件按无效投标处理。</w:t>
      </w:r>
    </w:p>
    <w:p w14:paraId="08B9112F">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rPr>
        <w:t>项目实施地点：小溪河S312与梨园路口、G345与前进村路口、西泉镇S315与许村交叉路口、汤河路(东南外环)与庄子路交叉口、老人桥路与凤阳二中北门路口5处，采购内容为：(1)前端设备：机动车信号灯、人行信号灯、信号机、环保电警摄像机、环保卡口高清摄像机、频闪补光灯、环保爆闪灯、前端控制主机、违停球机、枪球一体机等。(2)后台系统：智能交通设备监测系统、云存储节点、核心交换机。(3)配套</w:t>
      </w:r>
      <w:r>
        <w:rPr>
          <w:rFonts w:hint="eastAsia" w:ascii="宋体" w:hAnsi="宋体" w:eastAsia="宋体" w:cs="宋体"/>
          <w:sz w:val="24"/>
          <w:szCs w:val="24"/>
          <w:lang w:val="en-US" w:eastAsia="zh-CN"/>
        </w:rPr>
        <w:t>项目</w:t>
      </w:r>
      <w:r>
        <w:rPr>
          <w:rFonts w:hint="eastAsia" w:ascii="宋体" w:hAnsi="宋体" w:eastAsia="宋体" w:cs="宋体"/>
          <w:sz w:val="24"/>
          <w:szCs w:val="24"/>
        </w:rPr>
        <w:t>：交通标志、标线、护栏及土建等。</w:t>
      </w:r>
    </w:p>
    <w:p w14:paraId="4DA457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合同履行期限：自合同签订之日起不高于</w:t>
      </w:r>
      <w:r>
        <w:rPr>
          <w:rFonts w:hint="eastAsia" w:ascii="宋体" w:hAnsi="宋体" w:eastAsia="宋体" w:cs="宋体"/>
          <w:sz w:val="24"/>
          <w:szCs w:val="24"/>
          <w:lang w:val="en-US" w:eastAsia="zh-CN"/>
        </w:rPr>
        <w:t>8</w:t>
      </w:r>
      <w:r>
        <w:rPr>
          <w:rFonts w:hint="eastAsia" w:ascii="宋体" w:hAnsi="宋体" w:eastAsia="宋体" w:cs="宋体"/>
          <w:sz w:val="24"/>
          <w:szCs w:val="24"/>
        </w:rPr>
        <w:t>0个日历天供货安装调试完毕。</w:t>
      </w:r>
    </w:p>
    <w:p w14:paraId="7344D1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本项目不接受联合体投标。</w:t>
      </w:r>
    </w:p>
    <w:p w14:paraId="07EC7E74">
      <w:pPr>
        <w:spacing w:line="360" w:lineRule="auto"/>
        <w:ind w:firstLine="437"/>
        <w:outlineLvl w:val="1"/>
        <w:rPr>
          <w:rFonts w:hint="eastAsia" w:ascii="宋体" w:hAnsi="宋体" w:eastAsia="宋体"/>
          <w:b/>
          <w:bCs/>
          <w:color w:val="auto"/>
          <w:sz w:val="24"/>
          <w:szCs w:val="18"/>
          <w:highlight w:val="none"/>
        </w:rPr>
      </w:pPr>
      <w:bookmarkStart w:id="7" w:name="_Toc35393622"/>
      <w:bookmarkStart w:id="8" w:name="_Toc28359003"/>
      <w:bookmarkStart w:id="9" w:name="_Toc35393791"/>
      <w:bookmarkStart w:id="10" w:name="_Toc28359080"/>
      <w:r>
        <w:rPr>
          <w:rFonts w:hint="eastAsia" w:ascii="宋体" w:hAnsi="宋体" w:eastAsia="宋体"/>
          <w:b/>
          <w:bCs/>
          <w:color w:val="auto"/>
          <w:sz w:val="24"/>
          <w:szCs w:val="18"/>
          <w:highlight w:val="none"/>
        </w:rPr>
        <w:t>二、申请人的资格要求</w:t>
      </w:r>
      <w:bookmarkEnd w:id="7"/>
      <w:bookmarkEnd w:id="8"/>
      <w:bookmarkEnd w:id="9"/>
      <w:bookmarkEnd w:id="10"/>
    </w:p>
    <w:p w14:paraId="6E2011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5CB7FB8">
      <w:pPr>
        <w:spacing w:line="360" w:lineRule="auto"/>
        <w:ind w:firstLine="480" w:firstLineChars="200"/>
        <w:rPr>
          <w:rFonts w:hint="eastAsia" w:ascii="宋体" w:hAnsi="宋体" w:eastAsia="宋体" w:cs="宋体"/>
          <w:sz w:val="24"/>
          <w:szCs w:val="24"/>
          <w:lang w:eastAsia="zh-CN"/>
        </w:rPr>
      </w:pPr>
      <w:bookmarkStart w:id="11" w:name="_Toc28359081"/>
      <w:bookmarkStart w:id="12" w:name="_Toc28359004"/>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rPr>
        <w:t>按照财政部、工业和信息化部制定的《政府采购促进中小企业发展管理办法》（财库〔2020〕46 号），本项目为专门面向中小企业采购项目。企业划型标准按照《关于印发中小企业划型标准规定的通知》（工信部联企业〔2011〕300 号）规定执行</w:t>
      </w:r>
      <w:r>
        <w:rPr>
          <w:rFonts w:hint="eastAsia" w:ascii="宋体" w:hAnsi="宋体" w:eastAsia="宋体" w:cs="宋体"/>
          <w:sz w:val="24"/>
          <w:szCs w:val="24"/>
          <w:u w:val="single"/>
          <w:lang w:eastAsia="zh-CN"/>
        </w:rPr>
        <w:t>。</w:t>
      </w:r>
    </w:p>
    <w:p w14:paraId="58EE656D">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sz w:val="24"/>
          <w:szCs w:val="24"/>
        </w:rPr>
        <w:t>3.本项目的特定资格要求：</w:t>
      </w:r>
      <w:r>
        <w:rPr>
          <w:rFonts w:hint="eastAsia" w:ascii="宋体" w:hAnsi="宋体" w:eastAsia="宋体" w:cs="宋体"/>
          <w:color w:val="auto"/>
          <w:sz w:val="24"/>
          <w:szCs w:val="24"/>
          <w:u w:val="single"/>
          <w:lang w:val="en-US" w:eastAsia="zh-CN"/>
        </w:rPr>
        <w:t>①供应商具有电子与智能化工程专业承包二级及以上资质，并具有有效的安全生产许可证；</w:t>
      </w:r>
    </w:p>
    <w:p w14:paraId="7A30FC8A">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②拟派项目负责人须具有本单位注册的机电工程专业二级及以上注册建造师资格及安全生产考核合格证书（B 证）。</w:t>
      </w:r>
    </w:p>
    <w:p w14:paraId="1AA1FA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4.信誉要求：投标人不得存在以下情形：</w:t>
      </w:r>
    </w:p>
    <w:p w14:paraId="07850C1E">
      <w:pPr>
        <w:spacing w:line="360" w:lineRule="auto"/>
        <w:ind w:firstLine="480" w:firstLineChars="200"/>
        <w:rPr>
          <w:rFonts w:hint="eastAsia" w:ascii="宋体" w:hAnsi="宋体" w:eastAsia="宋体" w:cs="宋体"/>
          <w:sz w:val="24"/>
          <w:szCs w:val="24"/>
        </w:rPr>
      </w:pPr>
      <w:bookmarkStart w:id="13" w:name="_Toc35393623"/>
      <w:bookmarkStart w:id="14" w:name="_Toc35393792"/>
      <w:r>
        <w:rPr>
          <w:rFonts w:hint="eastAsia" w:ascii="宋体" w:hAnsi="宋体" w:eastAsia="宋体" w:cs="宋体"/>
          <w:sz w:val="24"/>
          <w:szCs w:val="24"/>
        </w:rPr>
        <w:t>①投标人被人民法院列入失信被执行人的；</w:t>
      </w:r>
    </w:p>
    <w:p w14:paraId="1FD985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②投标人或其法定代表人或拟派项目经理（项目负责人）前三年有行贿犯罪行为的；</w:t>
      </w:r>
    </w:p>
    <w:p w14:paraId="5402E9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③投标人被市场监督管理部门列入经营异常名录或者严重违法企业名单的；</w:t>
      </w:r>
    </w:p>
    <w:p w14:paraId="187AE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④投标人被税务部门列入重大税收违法案件当事人的；</w:t>
      </w:r>
    </w:p>
    <w:p w14:paraId="1A7D6E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⑤投标人被政府采购监管部门列入政府采购严重违法失信行为记录名单的；</w:t>
      </w:r>
    </w:p>
    <w:p w14:paraId="74605A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⑥在“信用中国”网站上披露仍在公示期的严重失信行为的。</w:t>
      </w:r>
    </w:p>
    <w:p w14:paraId="13533C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5.投标人所属分公司、办事处等分支机构存在第4款信誉要求①-⑥项情形之一的，接受投标人参加本项目。</w:t>
      </w:r>
    </w:p>
    <w:p w14:paraId="6E0B0E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备注：第4、5条按照“关于联合惩戒失信行为加强信用查询管理的通知”查询或承诺。</w:t>
      </w:r>
    </w:p>
    <w:p w14:paraId="1B784BFA">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三、获取招标文件</w:t>
      </w:r>
      <w:bookmarkEnd w:id="11"/>
      <w:bookmarkEnd w:id="12"/>
      <w:bookmarkEnd w:id="13"/>
      <w:bookmarkEnd w:id="14"/>
    </w:p>
    <w:p w14:paraId="0404131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日</w:t>
      </w:r>
    </w:p>
    <w:p w14:paraId="2B7CC0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地点：滁州市公共资源交易平台电子交易系统</w:t>
      </w:r>
    </w:p>
    <w:p w14:paraId="563DEC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方式：网上下载</w:t>
      </w:r>
    </w:p>
    <w:p w14:paraId="253BCD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14:paraId="1308C037">
      <w:pPr>
        <w:spacing w:line="360" w:lineRule="auto"/>
        <w:ind w:firstLine="437"/>
        <w:outlineLvl w:val="1"/>
        <w:rPr>
          <w:rFonts w:hint="eastAsia" w:ascii="宋体" w:hAnsi="宋体" w:eastAsia="宋体"/>
          <w:b/>
          <w:bCs/>
          <w:color w:val="auto"/>
          <w:sz w:val="24"/>
          <w:szCs w:val="18"/>
          <w:highlight w:val="none"/>
        </w:rPr>
      </w:pPr>
      <w:bookmarkStart w:id="15" w:name="_Toc28359007"/>
      <w:bookmarkStart w:id="16" w:name="_Toc28359084"/>
      <w:bookmarkStart w:id="17" w:name="_Toc35393794"/>
      <w:bookmarkStart w:id="18" w:name="_Toc35393625"/>
      <w:r>
        <w:rPr>
          <w:rFonts w:hint="eastAsia" w:ascii="宋体" w:hAnsi="宋体" w:eastAsia="宋体"/>
          <w:b/>
          <w:bCs/>
          <w:color w:val="auto"/>
          <w:sz w:val="24"/>
          <w:szCs w:val="18"/>
          <w:highlight w:val="none"/>
        </w:rPr>
        <w:t>四、提交投标文件截止时间、开标时间和地点</w:t>
      </w:r>
    </w:p>
    <w:p w14:paraId="331ABA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日08点00分</w:t>
      </w:r>
      <w:r>
        <w:rPr>
          <w:rFonts w:hint="eastAsia" w:ascii="宋体" w:hAnsi="宋体" w:eastAsia="宋体" w:cs="宋体"/>
          <w:sz w:val="24"/>
          <w:szCs w:val="24"/>
        </w:rPr>
        <w:t>（北京时间）</w:t>
      </w:r>
    </w:p>
    <w:p w14:paraId="6D875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地点：滁州市公共资源交易平台电子交易系统</w:t>
      </w:r>
    </w:p>
    <w:p w14:paraId="4E4C874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五、公告期限</w:t>
      </w:r>
      <w:bookmarkEnd w:id="15"/>
      <w:bookmarkEnd w:id="16"/>
      <w:bookmarkEnd w:id="17"/>
      <w:bookmarkEnd w:id="18"/>
    </w:p>
    <w:p w14:paraId="13D8BE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93457B3">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六、投标保证金金额及缴纳账户</w:t>
      </w:r>
    </w:p>
    <w:p w14:paraId="00B575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是否要求投标人提交投标保证金：不要求。</w:t>
      </w:r>
    </w:p>
    <w:p w14:paraId="1008F8AB">
      <w:pPr>
        <w:spacing w:line="360" w:lineRule="auto"/>
        <w:ind w:firstLine="437"/>
        <w:outlineLvl w:val="1"/>
        <w:rPr>
          <w:rFonts w:hint="eastAsia" w:ascii="宋体" w:hAnsi="宋体" w:eastAsia="宋体"/>
          <w:b/>
          <w:bCs/>
          <w:color w:val="auto"/>
          <w:sz w:val="24"/>
          <w:szCs w:val="18"/>
          <w:highlight w:val="none"/>
        </w:rPr>
      </w:pPr>
      <w:bookmarkStart w:id="19" w:name="_Toc35393626"/>
      <w:bookmarkStart w:id="20" w:name="_Toc35393795"/>
      <w:r>
        <w:rPr>
          <w:rFonts w:hint="eastAsia" w:ascii="宋体" w:hAnsi="宋体" w:eastAsia="宋体"/>
          <w:b/>
          <w:bCs/>
          <w:color w:val="auto"/>
          <w:sz w:val="24"/>
          <w:szCs w:val="18"/>
          <w:highlight w:val="none"/>
        </w:rPr>
        <w:t>七、其他补充事宜</w:t>
      </w:r>
      <w:bookmarkEnd w:id="19"/>
      <w:bookmarkEnd w:id="20"/>
    </w:p>
    <w:p w14:paraId="66499B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CAE5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2.请投标人登录滁州市公共资源交易中心网站查看参加本项目的程序。（具体操作步骤和程序请参见服务指南&gt;交易须知&gt;投标人填写投标信息、下载文件及网上提问操作手册）。</w:t>
      </w:r>
    </w:p>
    <w:p w14:paraId="03DC855C">
      <w:pPr>
        <w:wordWrap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采用不见面开标（远程解密)方式，开标时投标人无须至开标现场进行解密，开标采取远程解密方式解密投标文件，解密方式为：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19D60D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64F2CD60">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八</w:t>
      </w:r>
      <w:r>
        <w:rPr>
          <w:rFonts w:hint="eastAsia" w:ascii="宋体" w:hAnsi="宋体" w:eastAsia="宋体"/>
          <w:b/>
          <w:bCs/>
          <w:color w:val="auto"/>
          <w:sz w:val="24"/>
          <w:szCs w:val="18"/>
          <w:highlight w:val="none"/>
        </w:rPr>
        <w:t>、</w:t>
      </w:r>
      <w:bookmarkEnd w:id="5"/>
      <w:r>
        <w:rPr>
          <w:rFonts w:hint="eastAsia" w:ascii="宋体" w:hAnsi="宋体" w:eastAsia="宋体"/>
          <w:b/>
          <w:bCs/>
          <w:color w:val="auto"/>
          <w:sz w:val="24"/>
          <w:szCs w:val="18"/>
          <w:highlight w:val="none"/>
        </w:rPr>
        <w:t>对本次招标提出询问，请按以下方式联系</w:t>
      </w:r>
      <w:bookmarkEnd w:id="6"/>
    </w:p>
    <w:p w14:paraId="18165F5C">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EB8399E">
      <w:pPr>
        <w:spacing w:line="360" w:lineRule="auto"/>
        <w:ind w:firstLine="437"/>
        <w:outlineLvl w:val="2"/>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名称：</w:t>
      </w:r>
      <w:r>
        <w:rPr>
          <w:rFonts w:hint="eastAsia" w:ascii="宋体" w:hAnsi="宋体" w:eastAsia="宋体"/>
          <w:b w:val="0"/>
          <w:bCs/>
          <w:color w:val="auto"/>
          <w:sz w:val="24"/>
          <w:szCs w:val="18"/>
          <w:highlight w:val="none"/>
          <w:u w:val="single"/>
          <w:lang w:val="en-US" w:eastAsia="zh-CN"/>
        </w:rPr>
        <w:t>凤阳县公安局</w:t>
      </w:r>
    </w:p>
    <w:p w14:paraId="03D2BAB9">
      <w:pPr>
        <w:spacing w:line="360" w:lineRule="auto"/>
        <w:ind w:firstLine="437"/>
        <w:outlineLvl w:val="2"/>
        <w:rPr>
          <w:rFonts w:hint="default"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地址：</w:t>
      </w:r>
      <w:r>
        <w:rPr>
          <w:rFonts w:hint="eastAsia" w:ascii="宋体" w:hAnsi="宋体" w:eastAsia="宋体"/>
          <w:b w:val="0"/>
          <w:bCs/>
          <w:color w:val="auto"/>
          <w:sz w:val="24"/>
          <w:szCs w:val="18"/>
          <w:highlight w:val="none"/>
          <w:u w:val="single"/>
          <w:lang w:val="en-US" w:eastAsia="zh-CN"/>
        </w:rPr>
        <w:t>滁州市凤阳县府城镇中都大道中段</w:t>
      </w:r>
    </w:p>
    <w:p w14:paraId="1C0CF4DA">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lang w:val="en-US" w:eastAsia="zh-CN"/>
        </w:rPr>
        <w:t>杨队长、张队长</w:t>
      </w:r>
    </w:p>
    <w:p w14:paraId="041D7312">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en-US" w:eastAsia="zh-CN"/>
        </w:rPr>
        <w:t>0550-6721457</w:t>
      </w:r>
    </w:p>
    <w:p w14:paraId="30C13909">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2FE62B3">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b w:val="0"/>
          <w:bCs/>
          <w:color w:val="auto"/>
          <w:sz w:val="24"/>
          <w:szCs w:val="18"/>
          <w:highlight w:val="none"/>
          <w:u w:val="single"/>
          <w:lang w:val="en-US" w:eastAsia="zh-CN"/>
        </w:rPr>
        <w:t>安徽峰途项目管理有限公司</w:t>
      </w:r>
    </w:p>
    <w:p w14:paraId="4B724AB4">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安徽省滁州市南谯区港汇中心A座2117室</w:t>
      </w:r>
    </w:p>
    <w:p w14:paraId="2DED9FC1">
      <w:pPr>
        <w:spacing w:line="360" w:lineRule="auto"/>
        <w:ind w:firstLine="435"/>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lang w:val="en-US" w:eastAsia="zh-CN"/>
        </w:rPr>
        <w:t>朱婷婷、刘伯静</w:t>
      </w:r>
    </w:p>
    <w:p w14:paraId="73682BCB">
      <w:pPr>
        <w:spacing w:line="360" w:lineRule="auto"/>
        <w:ind w:firstLine="435"/>
        <w:rPr>
          <w:rFonts w:hint="default" w:ascii="宋体" w:hAnsi="宋体" w:eastAsia="宋体"/>
          <w:color w:val="auto"/>
          <w:sz w:val="24"/>
          <w:szCs w:val="18"/>
          <w:highlight w:val="none"/>
          <w:lang w:val="en-US"/>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en-US" w:eastAsia="zh-CN"/>
        </w:rPr>
        <w:t>15855050707</w:t>
      </w:r>
    </w:p>
    <w:p w14:paraId="36D75889">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64AAFEA6">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en-US" w:eastAsia="zh-CN"/>
        </w:rPr>
        <w:t>凤阳县财政局</w:t>
      </w:r>
    </w:p>
    <w:p w14:paraId="11D2877F">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lang w:val="en-US" w:eastAsia="zh-CN"/>
        </w:rPr>
        <w:t>凤阳县辅仁路与惠政路交叉口财政局三楼政府采购股</w:t>
      </w:r>
    </w:p>
    <w:p w14:paraId="0F41FB4D">
      <w:pPr>
        <w:spacing w:line="360" w:lineRule="auto"/>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en-US" w:eastAsia="zh-CN"/>
        </w:rPr>
        <w:t>0550-6726600</w:t>
      </w:r>
    </w:p>
    <w:p w14:paraId="3810B293">
      <w:pPr>
        <w:widowControl/>
        <w:spacing w:line="360" w:lineRule="auto"/>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30E46A32">
      <w:pPr>
        <w:spacing w:line="360" w:lineRule="auto"/>
        <w:jc w:val="center"/>
        <w:outlineLvl w:val="0"/>
        <w:rPr>
          <w:rFonts w:asciiTheme="minorEastAsia" w:hAnsiTheme="minorEastAsia" w:eastAsiaTheme="minorEastAsia"/>
          <w:b/>
          <w:color w:val="auto"/>
          <w:sz w:val="28"/>
          <w:highlight w:val="none"/>
        </w:rPr>
      </w:pPr>
      <w:bookmarkStart w:id="21"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1"/>
    </w:p>
    <w:p w14:paraId="106E7339">
      <w:pPr>
        <w:spacing w:line="360" w:lineRule="auto"/>
        <w:jc w:val="center"/>
        <w:outlineLvl w:val="1"/>
        <w:rPr>
          <w:rFonts w:asciiTheme="minorEastAsia" w:hAnsiTheme="minorEastAsia" w:eastAsiaTheme="minorEastAsia"/>
          <w:b/>
          <w:color w:val="auto"/>
          <w:sz w:val="24"/>
          <w:highlight w:val="none"/>
        </w:rPr>
      </w:pPr>
      <w:bookmarkStart w:id="22" w:name="_Toc7178"/>
      <w:bookmarkStart w:id="23" w:name="_Toc3114"/>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2"/>
      <w:bookmarkEnd w:id="23"/>
    </w:p>
    <w:p w14:paraId="044F5D1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5B5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C441529">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4CC2841">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AD7D217">
            <w:pPr>
              <w:pStyle w:val="43"/>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3EC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9763DC">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4E73C12A">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1842E3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6107E8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522ACC8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8E66E5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659721D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5DF3CCF">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5143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878345F">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877D4BD">
            <w:pPr>
              <w:pStyle w:val="4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349A0339">
            <w:pPr>
              <w:pStyle w:val="43"/>
              <w:widowControl w:val="0"/>
              <w:spacing w:before="0" w:beforeAutospacing="0" w:after="0" w:afterAutospacing="0"/>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4</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09</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30</w:t>
            </w:r>
            <w:r>
              <w:rPr>
                <w:rFonts w:hint="eastAsia" w:ascii="宋体" w:hAnsi="宋体" w:eastAsia="宋体"/>
                <w:b w:val="0"/>
                <w:color w:val="auto"/>
                <w:sz w:val="24"/>
                <w:highlight w:val="none"/>
              </w:rPr>
              <w:t>分</w:t>
            </w:r>
          </w:p>
        </w:tc>
      </w:tr>
      <w:tr w14:paraId="189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510180">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BAD6415">
            <w:pPr>
              <w:pStyle w:val="43"/>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3E12643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hint="eastAsia" w:ascii="宋体" w:hAnsi="宋体" w:eastAsia="宋体"/>
                <w:b w:val="0"/>
                <w:color w:val="auto"/>
                <w:sz w:val="24"/>
                <w:highlight w:val="none"/>
                <w:lang w:val="en-US" w:eastAsia="zh-CN"/>
              </w:rPr>
              <w:t>两</w:t>
            </w:r>
            <w:r>
              <w:rPr>
                <w:rFonts w:ascii="宋体" w:hAnsi="宋体" w:eastAsia="宋体"/>
                <w:b w:val="0"/>
                <w:color w:val="auto"/>
                <w:sz w:val="24"/>
                <w:highlight w:val="none"/>
              </w:rPr>
              <w:t>个包</w:t>
            </w:r>
          </w:p>
          <w:p w14:paraId="4EADD1B5">
            <w:pPr>
              <w:pStyle w:val="43"/>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lang w:val="en-US" w:eastAsia="zh-CN"/>
              </w:rPr>
              <w:t>无</w:t>
            </w:r>
            <w:r>
              <w:rPr>
                <w:rFonts w:ascii="宋体" w:hAnsi="宋体" w:eastAsia="宋体"/>
                <w:b w:val="0"/>
                <w:bCs w:val="0"/>
                <w:color w:val="auto"/>
                <w:sz w:val="24"/>
                <w:szCs w:val="18"/>
                <w:highlight w:val="none"/>
                <w:u w:val="single"/>
              </w:rPr>
              <w:t xml:space="preserve"> </w:t>
            </w:r>
          </w:p>
        </w:tc>
      </w:tr>
      <w:tr w14:paraId="78C8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79C5AB5">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0F151610">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5F3CA861">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2F6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224D8B2">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55E9B1E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DD3F37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56D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6815E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6ED645EE">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5C22CB64">
            <w:pPr>
              <w:pStyle w:val="43"/>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u w:val="none"/>
              </w:rPr>
              <w:t>分钟内</w:t>
            </w:r>
            <w:r>
              <w:rPr>
                <w:rFonts w:hint="eastAsia" w:ascii="宋体" w:hAnsi="宋体" w:eastAsia="宋体"/>
                <w:b w:val="0"/>
                <w:color w:val="auto"/>
                <w:sz w:val="24"/>
                <w:highlight w:val="none"/>
                <w:u w:val="none"/>
                <w:lang w:eastAsia="zh-CN"/>
              </w:rPr>
              <w:t>（以本项目网上招投标系统解密倒计时为准）</w:t>
            </w:r>
          </w:p>
        </w:tc>
      </w:tr>
      <w:tr w14:paraId="63D2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912B0C">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537974C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203A63AB">
            <w:pPr>
              <w:pStyle w:val="43"/>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88BAFD6">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52DE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4FDC3A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6929E477">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2A802051">
            <w:pPr>
              <w:pStyle w:val="43"/>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3AF2142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5DFD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21A431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77A70ED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0B50177E">
            <w:pPr>
              <w:pStyle w:val="43"/>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007DAB5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10%  </w:t>
            </w:r>
            <w:r>
              <w:rPr>
                <w:rFonts w:hint="eastAsia" w:ascii="宋体" w:hAnsi="宋体" w:eastAsia="宋体"/>
                <w:b w:val="0"/>
                <w:color w:val="auto"/>
                <w:sz w:val="24"/>
                <w:highlight w:val="none"/>
              </w:rPr>
              <w:t>。</w:t>
            </w:r>
          </w:p>
          <w:p w14:paraId="2DFB0F0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44EE48D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11BB961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5DF1BEC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2432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14A79C">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EC6552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5A9CCB6A">
            <w:pPr>
              <w:pStyle w:val="43"/>
              <w:widowControl w:val="0"/>
              <w:spacing w:before="0" w:beforeAutospacing="0" w:after="0" w:afterAutospacing="0" w:line="360" w:lineRule="auto"/>
              <w:jc w:val="both"/>
              <w:rPr>
                <w:rFonts w:hint="default" w:ascii="宋体" w:hAnsi="宋体" w:eastAsia="宋体"/>
                <w:b w:val="0"/>
                <w:color w:val="auto"/>
                <w:sz w:val="24"/>
                <w:highlight w:val="none"/>
                <w:u w:val="single"/>
                <w:lang w:val="en-US"/>
              </w:rPr>
            </w:pPr>
            <w:r>
              <w:rPr>
                <w:rFonts w:hint="eastAsia" w:ascii="宋体" w:hAnsi="宋体" w:eastAsia="宋体"/>
                <w:b w:val="0"/>
                <w:color w:val="auto"/>
                <w:sz w:val="24"/>
                <w:highlight w:val="none"/>
                <w:u w:val="single"/>
                <w:lang w:val="en-US" w:eastAsia="zh-CN"/>
              </w:rPr>
              <w:t xml:space="preserve"> 3家，并标明排序</w:t>
            </w:r>
          </w:p>
        </w:tc>
      </w:tr>
      <w:tr w14:paraId="14F4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B69CB4">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255B794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5ADFF024">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16251C5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565B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1D0A59A">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448AF12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0BB0F2CA">
            <w:pPr>
              <w:pStyle w:val="43"/>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000CE1B6">
            <w:pPr>
              <w:pStyle w:val="43"/>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7B34EC7C">
            <w:pPr>
              <w:pStyle w:val="43"/>
              <w:widowControl w:val="0"/>
              <w:spacing w:before="0" w:beforeAutospacing="0" w:after="0" w:afterAutospacing="0" w:line="360" w:lineRule="auto"/>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p w14:paraId="41CB8BEA">
            <w:pPr>
              <w:pStyle w:val="43"/>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lang w:val="en-US" w:eastAsia="zh-CN"/>
              </w:rPr>
              <w:t xml:space="preserve">（4）投标人业绩；（如有）   </w:t>
            </w:r>
          </w:p>
          <w:p w14:paraId="57658BCB">
            <w:pPr>
              <w:pStyle w:val="4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5</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u w:val="none"/>
                <w:lang w:val="en-US" w:eastAsia="zh-CN"/>
              </w:rPr>
              <w:t>招标文件中规定进行公示的其他内容；</w:t>
            </w:r>
          </w:p>
        </w:tc>
      </w:tr>
      <w:tr w14:paraId="5DA5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414AA93">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0DE32BD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7F9D7FAD">
            <w:pPr>
              <w:pStyle w:val="4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13A5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3DB95C2">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6510CB6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7595020B">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34D8CB41">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473E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1760D81F">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22E58D9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521EDBC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4E869BE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08D898A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hint="eastAsia" w:ascii="宋体" w:hAnsi="宋体" w:eastAsia="宋体"/>
                <w:bCs/>
                <w:color w:val="auto"/>
                <w:kern w:val="0"/>
                <w:sz w:val="24"/>
                <w:szCs w:val="28"/>
                <w:highlight w:val="none"/>
                <w:u w:val="single"/>
                <w:lang w:val="en-US" w:eastAsia="zh-CN"/>
              </w:rPr>
              <w:t>2</w:t>
            </w:r>
            <w:r>
              <w:rPr>
                <w:rFonts w:ascii="宋体" w:hAnsi="宋体" w:eastAsia="宋体"/>
                <w:bCs/>
                <w:color w:val="auto"/>
                <w:kern w:val="0"/>
                <w:sz w:val="24"/>
                <w:szCs w:val="28"/>
                <w:highlight w:val="none"/>
              </w:rPr>
              <w:t>%</w:t>
            </w:r>
          </w:p>
          <w:p w14:paraId="5D0B7AC6">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7F99B6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085D2BB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14EB8947">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另行通知</w:t>
            </w:r>
            <w:r>
              <w:rPr>
                <w:rFonts w:hint="eastAsia" w:ascii="宋体" w:hAnsi="宋体" w:eastAsia="宋体"/>
                <w:bCs/>
                <w:kern w:val="0"/>
                <w:sz w:val="24"/>
                <w:szCs w:val="28"/>
                <w:highlight w:val="none"/>
              </w:rPr>
              <w:t xml:space="preserve">               </w:t>
            </w:r>
          </w:p>
          <w:p w14:paraId="17B193F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kern w:val="0"/>
                <w:sz w:val="24"/>
                <w:szCs w:val="28"/>
                <w:highlight w:val="none"/>
                <w:u w:val="single"/>
              </w:rPr>
              <w:t>另行通知</w:t>
            </w:r>
            <w:r>
              <w:rPr>
                <w:rFonts w:hint="eastAsia" w:ascii="宋体" w:hAnsi="宋体" w:eastAsia="宋体"/>
                <w:bCs/>
                <w:kern w:val="0"/>
                <w:sz w:val="24"/>
                <w:szCs w:val="28"/>
                <w:highlight w:val="none"/>
              </w:rPr>
              <w:t xml:space="preserve"> </w:t>
            </w:r>
          </w:p>
          <w:p w14:paraId="55136E87">
            <w:pPr>
              <w:spacing w:line="360" w:lineRule="auto"/>
              <w:rPr>
                <w:rFonts w:hint="eastAsia" w:ascii="宋体" w:hAnsi="宋体" w:eastAsia="宋体"/>
                <w:sz w:val="24"/>
                <w:highlight w:val="none"/>
                <w:u w:val="singl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sz w:val="24"/>
                <w:highlight w:val="none"/>
                <w:u w:val="single"/>
              </w:rPr>
              <w:t>①采用银行转账方式：政府采购验收合格后，一次性退还；②采用支票、汇票、本票、保函等方式：有效期为自合同签订之日起至供货期满后止。</w:t>
            </w:r>
          </w:p>
          <w:p w14:paraId="1FFC2358">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99761C8">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86C27FC">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17BA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5C149FA4">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EFC132A">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768D301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3FBAA93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在安徽省政府采购网和滁州市公共资源交易中心网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5847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FFF2972">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4648A11E">
            <w:pPr>
              <w:pStyle w:val="4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1F187290">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rPr>
              <w:t>中标人</w:t>
            </w:r>
          </w:p>
          <w:p w14:paraId="38FE9D7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rPr>
              <w:t>由成交供应商在领取成交通知书时，一次性支付给代理公司</w:t>
            </w:r>
          </w:p>
          <w:p w14:paraId="07A7889A">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yellow"/>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b w:val="0"/>
                <w:sz w:val="24"/>
                <w:u w:val="single"/>
              </w:rPr>
              <w:t>2</w:t>
            </w:r>
            <w:r>
              <w:rPr>
                <w:rFonts w:hint="eastAsia" w:ascii="宋体" w:hAnsi="宋体" w:eastAsia="宋体"/>
                <w:b w:val="0"/>
                <w:sz w:val="24"/>
                <w:u w:val="single"/>
                <w:lang w:val="en-US" w:eastAsia="zh-CN"/>
              </w:rPr>
              <w:t>1552</w:t>
            </w:r>
            <w:r>
              <w:rPr>
                <w:rFonts w:hint="eastAsia" w:ascii="宋体" w:hAnsi="宋体" w:eastAsia="宋体" w:cs="宋体"/>
                <w:b w:val="0"/>
                <w:bCs w:val="0"/>
                <w:sz w:val="24"/>
                <w:szCs w:val="24"/>
                <w:u w:val="single" w:color="auto"/>
                <w:lang w:val="en-US" w:eastAsia="zh-CN"/>
              </w:rPr>
              <w:t>元，</w:t>
            </w:r>
            <w:r>
              <w:rPr>
                <w:rFonts w:hint="default" w:ascii="宋体" w:hAnsi="宋体" w:eastAsia="宋体" w:cs="@仿宋_GB2312"/>
                <w:b w:val="0"/>
                <w:bCs/>
                <w:color w:val="auto"/>
                <w:kern w:val="0"/>
                <w:sz w:val="24"/>
                <w:szCs w:val="28"/>
                <w:highlight w:val="none"/>
                <w:u w:val="single"/>
                <w:lang w:val="en-US" w:eastAsia="zh-CN" w:bidi="ar-SA"/>
              </w:rPr>
              <w:t>按照《滁州市公共资源交易代理机构及从业人员管理暂行办法》滁公管【2022】5号文，以及补充文件滁公管综【2023】19号《关于进一步明确代理费计取标准的通知》标准；</w:t>
            </w:r>
          </w:p>
        </w:tc>
      </w:tr>
      <w:tr w14:paraId="50B9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78CEE07">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451019C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0130F9F1">
            <w:pPr>
              <w:pStyle w:val="43"/>
              <w:widowControl w:val="0"/>
              <w:shd w:val="clea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书面形式</w:t>
            </w:r>
            <w:r>
              <w:rPr>
                <w:rFonts w:hint="eastAsia" w:ascii="宋体" w:hAnsi="宋体" w:eastAsia="宋体"/>
                <w:b w:val="0"/>
                <w:color w:val="auto"/>
                <w:sz w:val="24"/>
                <w:highlight w:val="none"/>
                <w:u w:val="single"/>
                <w:lang w:val="en-US" w:eastAsia="zh-CN"/>
              </w:rPr>
              <w:t>或在滁州市公共资源交易中心网电子交易系统中进行质疑；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r>
              <w:rPr>
                <w:rFonts w:hint="eastAsia" w:ascii="宋体" w:hAnsi="宋体" w:eastAsia="宋体"/>
                <w:b w:val="0"/>
                <w:color w:val="auto"/>
                <w:sz w:val="24"/>
                <w:highlight w:val="none"/>
              </w:rPr>
              <w:t xml:space="preserve">  </w:t>
            </w:r>
          </w:p>
          <w:p w14:paraId="1DFF3D7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eastAsia="zh-CN"/>
              </w:rPr>
              <w:t>凤阳县公安局</w:t>
            </w:r>
            <w:r>
              <w:rPr>
                <w:rFonts w:hint="eastAsia" w:ascii="宋体" w:hAnsi="宋体" w:eastAsia="宋体"/>
                <w:b w:val="0"/>
                <w:color w:val="auto"/>
                <w:sz w:val="24"/>
                <w:highlight w:val="none"/>
                <w:u w:val="single"/>
                <w:lang w:val="en-US" w:eastAsia="zh-CN"/>
              </w:rPr>
              <w:t>、安徽峰途项目管理有限公司</w:t>
            </w:r>
          </w:p>
          <w:p w14:paraId="1A9C593E">
            <w:pPr>
              <w:pStyle w:val="43"/>
              <w:widowControl w:val="0"/>
              <w:spacing w:before="0" w:beforeAutospacing="0" w:after="0" w:afterAutospacing="0" w:line="360" w:lineRule="auto"/>
              <w:jc w:val="both"/>
              <w:rPr>
                <w:rFonts w:hint="default" w:ascii="宋体" w:hAnsi="宋体" w:eastAsia="宋体"/>
                <w:b w:val="0"/>
                <w:color w:val="auto"/>
                <w:sz w:val="24"/>
                <w:highlight w:val="none"/>
                <w:lang w:val="en-US"/>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rPr>
              <w:t>0550-6721457</w:t>
            </w:r>
            <w:r>
              <w:rPr>
                <w:rFonts w:hint="eastAsia" w:ascii="宋体" w:hAnsi="宋体" w:eastAsia="宋体"/>
                <w:b w:val="0"/>
                <w:color w:val="auto"/>
                <w:sz w:val="24"/>
                <w:highlight w:val="none"/>
                <w:u w:val="single"/>
                <w:lang w:eastAsia="zh-CN"/>
              </w:rPr>
              <w:t>、15</w:t>
            </w:r>
            <w:r>
              <w:rPr>
                <w:rFonts w:hint="eastAsia" w:ascii="宋体" w:hAnsi="宋体" w:eastAsia="宋体"/>
                <w:b w:val="0"/>
                <w:color w:val="auto"/>
                <w:sz w:val="24"/>
                <w:highlight w:val="none"/>
                <w:u w:val="single"/>
                <w:lang w:val="en-US" w:eastAsia="zh-CN"/>
              </w:rPr>
              <w:t>855050707</w:t>
            </w:r>
          </w:p>
          <w:p w14:paraId="43B702A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通讯地址： </w:t>
            </w:r>
            <w:r>
              <w:rPr>
                <w:rFonts w:hint="eastAsia" w:ascii="宋体" w:hAnsi="宋体" w:eastAsia="宋体"/>
                <w:b w:val="0"/>
                <w:bCs/>
                <w:color w:val="auto"/>
                <w:sz w:val="24"/>
                <w:szCs w:val="18"/>
                <w:highlight w:val="none"/>
                <w:u w:val="single"/>
                <w:lang w:val="en-US" w:eastAsia="zh-CN"/>
              </w:rPr>
              <w:t>滁州市凤阳县府城镇中都大道中段</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安徽省滁州市南谯区港汇中心A座2117室</w:t>
            </w:r>
          </w:p>
        </w:tc>
      </w:tr>
      <w:tr w14:paraId="037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63C660">
            <w:pPr>
              <w:pStyle w:val="44"/>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3723B1BB">
            <w:pPr>
              <w:pStyle w:val="43"/>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31F741E3">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1、解释权：</w:t>
            </w:r>
          </w:p>
          <w:p w14:paraId="29693CB7">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（1）构成本招标文件的各个组成文件应互为解释，互为说明；</w:t>
            </w:r>
          </w:p>
          <w:p w14:paraId="6901D881">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（2）同一组成文件中就同一事项的规定或约定不一致的，以编排顺序在后者为准；</w:t>
            </w:r>
          </w:p>
          <w:p w14:paraId="0CEB5DD3">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（3）如有不明确或不一致，构成合同文件组成内容的，以合同文件约定内容为准，且以专用合同条款约定的合同文件优先顺序解释；</w:t>
            </w:r>
          </w:p>
          <w:p w14:paraId="45E2467D">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（4）除招标文件中有特别规定外，仅适用于招标投标阶段的规定，按招标公告、投标邀请、投标人须知、评标方法和标准、投标文件格式的先后顺序解释；</w:t>
            </w:r>
          </w:p>
          <w:p w14:paraId="7A481E4A">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（5）按本款前述规定仍不能形成结论的，由采购人负责解释。</w:t>
            </w:r>
          </w:p>
          <w:p w14:paraId="7803263F">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政采贷”融资指引：有融资需求的中标人在取得政府采购中标或成交通知书后，可访问安徽省政府采购网“政采贷”栏目，查看和联系第三方平台或者金融机构，商洽融资事项，确定融资意向。中标人签署政府采购中标（成交）合同后，登录“徽采云”金融服务模块，选择意向产品进行申请，并填写相关信息，“徽采云”金融服务模块将中标人融资申请信息推送第三方平台、意向金融机构。</w:t>
            </w:r>
          </w:p>
          <w:p w14:paraId="2F74FACD">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39416A96">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4、部分可提供线下政采贷的金融机构</w:t>
            </w:r>
          </w:p>
          <w:p w14:paraId="1BA9FE59">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凤阳县 </w:t>
            </w:r>
          </w:p>
          <w:p w14:paraId="2644780B">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金融机构名称：凤阳利民村镇银行 </w:t>
            </w:r>
          </w:p>
          <w:p w14:paraId="1BE43D99">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地址：安徽省滁州市凤阳县府城镇名城世家小区 D 区 2 幢 1 号商铺 </w:t>
            </w:r>
          </w:p>
          <w:p w14:paraId="3D167204">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联系人及电话：宁聪 0550-6715501 </w:t>
            </w:r>
          </w:p>
          <w:p w14:paraId="40A9537F">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金融机构名称：凤阳农村商业银行股份有限公司 </w:t>
            </w:r>
          </w:p>
          <w:p w14:paraId="2F058B79">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地址：凤阳县府城镇中都街道云霁路 99 号 </w:t>
            </w:r>
          </w:p>
          <w:p w14:paraId="29AFAF8D">
            <w:pPr>
              <w:pStyle w:val="43"/>
              <w:widowControl w:val="0"/>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联系人及电话：王龙纪 0550-672504 </w:t>
            </w:r>
          </w:p>
        </w:tc>
      </w:tr>
      <w:tr w14:paraId="5DC4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05721A4">
            <w:pPr>
              <w:pStyle w:val="44"/>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33</w:t>
            </w:r>
          </w:p>
        </w:tc>
        <w:tc>
          <w:tcPr>
            <w:tcW w:w="1174" w:type="pct"/>
            <w:vAlign w:val="center"/>
          </w:tcPr>
          <w:p w14:paraId="23DBBCB7">
            <w:pPr>
              <w:shd w:val="clear"/>
              <w:spacing w:line="360" w:lineRule="auto"/>
              <w:rPr>
                <w:rFonts w:hint="eastAsia" w:ascii="宋体" w:hAnsi="宋体" w:eastAsia="宋体"/>
                <w:b w:val="0"/>
                <w:color w:val="auto"/>
                <w:sz w:val="24"/>
                <w:highlight w:val="none"/>
                <w:lang w:val="en-US" w:eastAsia="zh-CN"/>
              </w:rPr>
            </w:pPr>
            <w:r>
              <w:rPr>
                <w:rFonts w:hint="eastAsia" w:asciiTheme="minorEastAsia" w:hAnsiTheme="minorEastAsia" w:eastAsiaTheme="minorEastAsia"/>
                <w:bCs/>
                <w:color w:val="auto"/>
                <w:sz w:val="24"/>
                <w:szCs w:val="24"/>
                <w:highlight w:val="none"/>
              </w:rPr>
              <w:t>特别提示</w:t>
            </w:r>
          </w:p>
        </w:tc>
        <w:tc>
          <w:tcPr>
            <w:tcW w:w="3244" w:type="pct"/>
            <w:vAlign w:val="top"/>
          </w:tcPr>
          <w:p w14:paraId="356115AE">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特别提示：</w:t>
            </w:r>
          </w:p>
          <w:p w14:paraId="0756E77C">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（1）投标人应填写投标信息并下载招标文件，否则无法上传投标文件。</w:t>
            </w:r>
          </w:p>
          <w:p w14:paraId="43D13234">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注：投标人如为联合体的，牵头人必须完善投标人信息，并在上传投标文件环节添加联合体投标信息。</w:t>
            </w:r>
          </w:p>
          <w:p w14:paraId="2CE28BF1">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2C523263">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（3）如果过程中出现招标文件更改，应以最后发布的招标答疑澄清文件中的模板制作本项目最新投标文件。</w:t>
            </w:r>
          </w:p>
          <w:p w14:paraId="7DD8017E">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 xml:space="preserve">（4）投标人应当用本单位CA数字证书制作投标文件，制作成功后进行投标文件上传。 </w:t>
            </w:r>
          </w:p>
          <w:p w14:paraId="38CF0750">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59782CD6">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（6）请投标人注意加密投标文件CA数字证书的有效期，不在有效期的CA数字证书无法解密投标文件。</w:t>
            </w:r>
          </w:p>
          <w:p w14:paraId="4132BF31">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（7）投标人投标MAC地址或投标人联系人或联系电话相同的，由评标委员会否决其投标，并报告监管部门作不良行为处理和进一步调查。</w:t>
            </w:r>
          </w:p>
          <w:p w14:paraId="4AE54481">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（8）投标人单方面出现其他投标人材料的，由评标委员会否决其投标。</w:t>
            </w:r>
          </w:p>
          <w:p w14:paraId="7202AF9C">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23B6711">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5262F073">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6.评标过程中的澄清、说明或补正：</w:t>
            </w:r>
          </w:p>
          <w:p w14:paraId="2B083C40">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420AA88B">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19F15A69">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7.同义词语：</w:t>
            </w:r>
          </w:p>
          <w:p w14:paraId="30B31BF7">
            <w:pPr>
              <w:pStyle w:val="43"/>
              <w:widowControl w:val="0"/>
              <w:spacing w:before="0" w:beforeAutospacing="0" w:after="0" w:afterAutospacing="0" w:line="360" w:lineRule="auto"/>
              <w:jc w:val="both"/>
              <w:rPr>
                <w:rFonts w:hint="eastAsia"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招标文件第六章  投标文件格式、附件1“关于联合惩戒失信行为 加强信用查询管理的通知”等章节中 “招标人”、“供应商”，等同于“采购人”、“投标人”。</w:t>
            </w:r>
          </w:p>
          <w:p w14:paraId="29C35771">
            <w:pPr>
              <w:pStyle w:val="43"/>
              <w:widowControl w:val="0"/>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8.落实政府采购支持节能产品、环境标志产品政策。9.采购标的对应的中小企业划分标准所属行业：工业</w:t>
            </w:r>
          </w:p>
        </w:tc>
      </w:tr>
    </w:tbl>
    <w:p w14:paraId="05191A26">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4" w:name="_Toc24882"/>
      <w:bookmarkStart w:id="25"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4"/>
      <w:bookmarkEnd w:id="25"/>
    </w:p>
    <w:p w14:paraId="3BB83632">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171E89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31B5A6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CAEA5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313467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70CA48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125C3A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19817D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AEF47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C38A3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2C9D693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141561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2A8E705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6FBB4C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0705F9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34C3AF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D9FA71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2C6E1E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1BD9E14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F6E6E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6391F9CC">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43168C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4E45087">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705D46DE">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51B6D022">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2BB24BC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4D4A543A">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170D367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73AF0D51">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385132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1CBDEBC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6EFAA7A7">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18DA052A">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7102E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6AF20B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492EA15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3A36A4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6B78DCDE">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644863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5CB73B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w:t>
      </w:r>
      <w:r>
        <w:rPr>
          <w:rFonts w:hint="eastAsia" w:ascii="宋体" w:hAnsi="宋体" w:eastAsia="宋体" w:cs="宋体"/>
          <w:b w:val="0"/>
          <w:bCs w:val="0"/>
          <w:color w:val="auto"/>
          <w:sz w:val="24"/>
          <w:szCs w:val="24"/>
          <w:highlight w:val="none"/>
          <w:lang w:val="en-US" w:eastAsia="zh-CN"/>
        </w:rPr>
        <w:t>和滁州市公共资源交易中心网</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2FF75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E33BEB6">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7698C689">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5117D2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3CA787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CF6A9F1">
      <w:pPr>
        <w:spacing w:line="360" w:lineRule="auto"/>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6"/>
    <w:p w14:paraId="01373A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F8334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7FD34EF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0FFBB5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7297287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7" w:name="_Hlk11703583"/>
      <w:r>
        <w:rPr>
          <w:rFonts w:hint="eastAsia" w:asciiTheme="minorEastAsia" w:hAnsiTheme="minorEastAsia" w:eastAsiaTheme="minorEastAsia"/>
          <w:color w:val="auto"/>
          <w:sz w:val="24"/>
          <w:highlight w:val="none"/>
          <w:lang w:val="en-US" w:eastAsia="zh-CN"/>
        </w:rPr>
        <w:t>等。</w:t>
      </w:r>
    </w:p>
    <w:bookmarkEnd w:id="27"/>
    <w:p w14:paraId="6E8E2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CA038A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4067FE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260E4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4E0DBD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290A61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5BBBD6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3A1B996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64BB70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50E3BCD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3C696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1BD3CE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56F1EF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C86FA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2245276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1A258F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5C5AFEE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0CA96C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347D33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7BF7AE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采购人或采购代理机构将对开标过程进行记录，并存档备查。</w:t>
      </w:r>
    </w:p>
    <w:p w14:paraId="7AC13C82">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A3C72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3F95DF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74A86C0C">
      <w:pPr>
        <w:spacing w:line="360" w:lineRule="auto"/>
        <w:ind w:firstLine="435"/>
        <w:rPr>
          <w:rFonts w:hint="eastAsia" w:ascii="宋体" w:hAnsi="宋体" w:eastAsia="宋体" w:cs="宋体"/>
          <w:color w:val="auto"/>
          <w:sz w:val="24"/>
          <w:szCs w:val="24"/>
          <w:highlight w:val="none"/>
        </w:rPr>
      </w:pPr>
      <w:bookmarkStart w:id="28"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58529A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64F38C9">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8"/>
    <w:p w14:paraId="42EE8DEA">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4C0F305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4F5E21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6F66AB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6E7E1F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18426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1E6090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7E017D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051CE5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4D5A23B6">
      <w:pPr>
        <w:spacing w:line="360" w:lineRule="auto"/>
        <w:ind w:firstLine="435"/>
        <w:rPr>
          <w:rFonts w:ascii="宋体" w:hAnsi="宋体" w:eastAsia="宋体"/>
          <w:b/>
          <w:bCs/>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18B3CA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0A2063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488AC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6D60C82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0A29D86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5BAC1B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38FB6D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217AB0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85C95B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40E058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D32A2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7C4F5A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0B0F0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308D0E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663ED3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AC60D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096A5D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6A869A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3AA8376D">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276709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3261D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3781926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1822BE9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F1589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1604BFA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4EA3CF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D8B25A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5D3FE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F5380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2197630D">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78570F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957EF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AFE1F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4F39A1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695744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4E9A7C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76786F2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6A473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13366D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7A23C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1642A8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36807C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9F509E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780E990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33C57F9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9F08C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592DB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29E195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452001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64A099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34495F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CC1C8C7">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7BEC5B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w:t>
      </w:r>
      <w:r>
        <w:rPr>
          <w:rFonts w:asciiTheme="minorEastAsia" w:hAnsiTheme="minorEastAsia" w:eastAsiaTheme="minorEastAsia"/>
          <w:color w:val="auto"/>
          <w:sz w:val="24"/>
          <w:highlight w:val="none"/>
        </w:rPr>
        <w:t>规格型号、数量、单价，中标公告期限、评审专家名单以及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0AEF08C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521C68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001D635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2F16D1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2FC6A80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4D344E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36265F4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78EFF7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60CF361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6ECD44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0E98E6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757F1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1B619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6A9573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4B201A9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1BC77F8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1FA63AFC">
      <w:pPr>
        <w:spacing w:line="360" w:lineRule="auto"/>
        <w:ind w:firstLine="437"/>
        <w:outlineLvl w:val="2"/>
        <w:rPr>
          <w:rFonts w:asciiTheme="minorEastAsia" w:hAnsiTheme="minorEastAsia" w:eastAsiaTheme="minorEastAsia"/>
          <w:b/>
          <w:color w:val="auto"/>
          <w:sz w:val="24"/>
          <w:highlight w:val="none"/>
        </w:rPr>
      </w:pPr>
      <w:bookmarkStart w:id="29" w:name="_Toc518923100"/>
      <w:bookmarkStart w:id="30"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9"/>
      <w:bookmarkEnd w:id="30"/>
    </w:p>
    <w:p w14:paraId="45F5468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E0FA8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0E557A7">
      <w:pPr>
        <w:spacing w:line="360" w:lineRule="auto"/>
        <w:ind w:firstLine="437"/>
        <w:outlineLvl w:val="2"/>
        <w:rPr>
          <w:rFonts w:asciiTheme="minorEastAsia" w:hAnsiTheme="minorEastAsia" w:eastAsiaTheme="minorEastAsia"/>
          <w:b/>
          <w:color w:val="auto"/>
          <w:sz w:val="24"/>
          <w:highlight w:val="none"/>
        </w:rPr>
      </w:pPr>
      <w:bookmarkStart w:id="31" w:name="_Toc518923101"/>
      <w:bookmarkStart w:id="32"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1"/>
      <w:bookmarkEnd w:id="32"/>
    </w:p>
    <w:p w14:paraId="4AD88ED5">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645644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4ABEFA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2185FB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3F1728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604F9ECF">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注：上述条款中所要求的书面形式包含通过电子交易系统递交方式。</w:t>
      </w:r>
    </w:p>
    <w:p w14:paraId="709D7F5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投诉</w:t>
      </w:r>
    </w:p>
    <w:p w14:paraId="2F7F4579">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w:t>
      </w:r>
    </w:p>
    <w:p w14:paraId="36DA5281">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C3B37FA">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32.3政府采购监督管理部门在处理投诉事项期间，可以视具体情况书面通知采购人暂停采购活动，但暂停时间最长不得超过30日。</w:t>
      </w:r>
    </w:p>
    <w:p w14:paraId="62DB03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0EFBD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A346120">
      <w:pPr>
        <w:spacing w:line="360" w:lineRule="auto"/>
        <w:rPr>
          <w:rFonts w:asciiTheme="minorEastAsia" w:hAnsiTheme="minorEastAsia" w:eastAsiaTheme="minorEastAsia"/>
          <w:color w:val="auto"/>
          <w:sz w:val="24"/>
          <w:highlight w:val="none"/>
        </w:rPr>
      </w:pPr>
    </w:p>
    <w:p w14:paraId="35A54B0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701B6CEE">
      <w:pPr>
        <w:spacing w:line="360" w:lineRule="auto"/>
        <w:jc w:val="center"/>
        <w:outlineLvl w:val="0"/>
        <w:rPr>
          <w:rFonts w:hint="eastAsia" w:asciiTheme="minorEastAsia" w:hAnsiTheme="minorEastAsia" w:eastAsiaTheme="minorEastAsia"/>
          <w:b/>
          <w:color w:val="auto"/>
          <w:sz w:val="28"/>
          <w:highlight w:val="none"/>
          <w:lang w:eastAsia="zh-CN"/>
        </w:rPr>
      </w:pPr>
      <w:bookmarkStart w:id="33" w:name="_Toc10891"/>
      <w:r>
        <w:rPr>
          <w:rFonts w:hint="eastAsia" w:asciiTheme="minorEastAsia" w:hAnsiTheme="minorEastAsia" w:eastAsiaTheme="minorEastAsia"/>
          <w:b/>
          <w:color w:val="auto"/>
          <w:sz w:val="28"/>
          <w:highlight w:val="none"/>
        </w:rPr>
        <w:t>第三章  采购需求</w:t>
      </w:r>
      <w:bookmarkEnd w:id="33"/>
    </w:p>
    <w:p w14:paraId="4ADBA34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6EFD6236">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0B162694">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olor w:val="auto"/>
          <w:sz w:val="24"/>
          <w:szCs w:val="18"/>
          <w:highlight w:val="none"/>
        </w:rPr>
        <w:t>：</w:t>
      </w:r>
    </w:p>
    <w:p w14:paraId="33FB775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39EF35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D67D91A">
      <w:pPr>
        <w:spacing w:line="360" w:lineRule="auto"/>
        <w:ind w:firstLine="435"/>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本项目核心产品：</w:t>
      </w:r>
      <w:r>
        <w:rPr>
          <w:rFonts w:hint="eastAsia" w:ascii="宋体" w:hAnsi="宋体" w:eastAsia="宋体" w:cs="宋体"/>
          <w:color w:val="auto"/>
          <w:sz w:val="24"/>
          <w:szCs w:val="24"/>
          <w:highlight w:val="none"/>
          <w:u w:val="single"/>
          <w:lang w:val="en-US" w:eastAsia="zh-CN"/>
        </w:rPr>
        <w:t>核心交换机、云存储节点、不低于400万像素违停球机、900万像素环保电警摄像机、900万像素环保卡口高清摄像机、LED频闪补光灯、多合一环保爆闪灯</w:t>
      </w:r>
    </w:p>
    <w:p w14:paraId="264E1EFD">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05378A5D">
      <w:pPr>
        <w:spacing w:line="360" w:lineRule="auto"/>
        <w:ind w:firstLine="437"/>
        <w:outlineLvl w:val="1"/>
        <w:rPr>
          <w:rFonts w:ascii="宋体" w:hAnsi="宋体" w:eastAsia="宋体"/>
          <w:b/>
          <w:color w:val="auto"/>
          <w:sz w:val="24"/>
          <w:szCs w:val="18"/>
          <w:highlight w:val="none"/>
        </w:rPr>
      </w:pPr>
      <w:bookmarkStart w:id="34" w:name="_Toc32151"/>
      <w:bookmarkStart w:id="35" w:name="_Toc2554"/>
      <w:r>
        <w:rPr>
          <w:rFonts w:hint="eastAsia" w:ascii="宋体" w:hAnsi="宋体" w:eastAsia="宋体"/>
          <w:b/>
          <w:color w:val="auto"/>
          <w:sz w:val="24"/>
          <w:szCs w:val="18"/>
          <w:highlight w:val="none"/>
        </w:rPr>
        <w:t>一、采购需求前附表</w:t>
      </w:r>
      <w:bookmarkEnd w:id="34"/>
      <w:bookmarkEnd w:id="3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2D4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4AB1F14">
            <w:pPr>
              <w:pStyle w:val="44"/>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7019886E">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7EDC77F">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CB0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482B6A">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0FC1253B">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57147C0">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合同签订后支付成交合同金额的40%作为预付款（付预付款前供应商须向采购人提交银行、保险公司、担保公司等金融机构出具的预付款保函（保函须使用见索即付型）或其他担保措施），设备安装调试完成，验收合格后一次性付清剩余合同价款。</w:t>
            </w:r>
          </w:p>
        </w:tc>
      </w:tr>
      <w:tr w14:paraId="19D5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DD3D6A">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51C8737">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0269F1F3">
            <w:pPr>
              <w:pStyle w:val="43"/>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凤阳县公安局</w:t>
            </w:r>
          </w:p>
        </w:tc>
      </w:tr>
      <w:tr w14:paraId="6B7E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97B8124">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44764A36">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37C8AD7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自合同签订之日起不高于80个日历天内供货安装、调试验收完毕。</w:t>
            </w:r>
          </w:p>
        </w:tc>
      </w:tr>
      <w:tr w14:paraId="3DD5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8A0B38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129AFFCE">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5484" w:type="dxa"/>
            <w:vAlign w:val="center"/>
          </w:tcPr>
          <w:p w14:paraId="1CBEA177">
            <w:pPr>
              <w:spacing w:line="360" w:lineRule="auto"/>
              <w:jc w:val="left"/>
              <w:rPr>
                <w:rFonts w:hint="eastAsia" w:ascii="宋体" w:eastAsia="宋体"/>
                <w:color w:val="auto"/>
                <w:sz w:val="24"/>
                <w:highlight w:val="none"/>
                <w:lang w:eastAsia="zh-CN"/>
              </w:rPr>
            </w:pPr>
            <w:r>
              <w:rPr>
                <w:rFonts w:hint="eastAsia" w:ascii="宋体" w:eastAsia="宋体"/>
                <w:color w:val="auto"/>
                <w:sz w:val="24"/>
                <w:highlight w:val="none"/>
              </w:rPr>
              <w:t>标的名称：</w:t>
            </w:r>
            <w:r>
              <w:rPr>
                <w:rFonts w:hint="eastAsia" w:ascii="宋体" w:eastAsia="宋体"/>
                <w:color w:val="auto"/>
                <w:sz w:val="24"/>
                <w:highlight w:val="none"/>
                <w:lang w:eastAsia="zh-CN"/>
              </w:rPr>
              <w:t>小溪河S312与梨园路口、G345与前进村路口、西泉镇S315与许村交叉路口、黄泥铺G329与X041路口、老人桥路与凤阳二中北门路口5处智能交通项目</w:t>
            </w:r>
          </w:p>
          <w:p w14:paraId="0BD5DFDA">
            <w:pPr>
              <w:rPr>
                <w:rFonts w:ascii="宋体" w:hAnsi="宋体" w:eastAsia="宋体"/>
                <w:b w:val="0"/>
                <w:color w:val="auto"/>
                <w:sz w:val="24"/>
                <w:highlight w:val="none"/>
              </w:rPr>
            </w:pPr>
            <w:r>
              <w:rPr>
                <w:rFonts w:hint="eastAsia" w:ascii="宋体" w:eastAsia="宋体"/>
                <w:color w:val="auto"/>
                <w:sz w:val="24"/>
                <w:highlight w:val="none"/>
              </w:rPr>
              <w:t>所属行业：</w:t>
            </w:r>
            <w:r>
              <w:rPr>
                <w:rFonts w:hint="eastAsia" w:ascii="宋体" w:eastAsia="宋体"/>
                <w:color w:val="auto"/>
                <w:sz w:val="24"/>
                <w:highlight w:val="none"/>
                <w:lang w:val="en-US" w:eastAsia="zh-CN"/>
              </w:rPr>
              <w:t>工业</w:t>
            </w:r>
          </w:p>
        </w:tc>
      </w:tr>
      <w:tr w14:paraId="069D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F7B8BC">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bookmarkStart w:id="36" w:name="_Toc5944"/>
            <w:bookmarkStart w:id="37" w:name="_Toc7671"/>
            <w:r>
              <w:rPr>
                <w:rFonts w:hint="eastAsia" w:ascii="宋体" w:hAnsi="宋体" w:eastAsia="宋体"/>
                <w:bCs/>
                <w:color w:val="auto"/>
                <w:kern w:val="2"/>
                <w:highlight w:val="none"/>
                <w:lang w:val="en-US" w:eastAsia="zh-CN"/>
              </w:rPr>
              <w:t>5</w:t>
            </w:r>
          </w:p>
        </w:tc>
        <w:tc>
          <w:tcPr>
            <w:tcW w:w="2032" w:type="dxa"/>
            <w:vAlign w:val="center"/>
          </w:tcPr>
          <w:p w14:paraId="74757306">
            <w:pPr>
              <w:pStyle w:val="43"/>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63243554">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3年</w:t>
            </w:r>
          </w:p>
        </w:tc>
      </w:tr>
    </w:tbl>
    <w:p w14:paraId="528A3ADB">
      <w:pPr>
        <w:spacing w:line="360" w:lineRule="auto"/>
        <w:ind w:left="0"/>
        <w:rPr>
          <w:rFonts w:hint="eastAsia" w:ascii="宋体" w:hAnsi="宋体" w:eastAsia="宋体" w:cs="Times New Roman"/>
          <w:b/>
          <w:sz w:val="24"/>
          <w:szCs w:val="24"/>
        </w:rPr>
      </w:pPr>
    </w:p>
    <w:p w14:paraId="5380A58A">
      <w:pPr>
        <w:spacing w:line="360" w:lineRule="auto"/>
        <w:ind w:left="0"/>
        <w:rPr>
          <w:rFonts w:hint="eastAsia" w:ascii="宋体" w:hAnsi="宋体" w:eastAsia="宋体" w:cs="Times New Roman"/>
          <w:b/>
          <w:sz w:val="24"/>
          <w:szCs w:val="24"/>
        </w:rPr>
      </w:pPr>
    </w:p>
    <w:p w14:paraId="02A61A21">
      <w:pPr>
        <w:spacing w:line="360" w:lineRule="auto"/>
        <w:ind w:left="0"/>
        <w:rPr>
          <w:rFonts w:hint="eastAsia" w:ascii="宋体" w:hAnsi="宋体" w:eastAsia="宋体" w:cs="Times New Roman"/>
          <w:b/>
          <w:sz w:val="24"/>
          <w:szCs w:val="24"/>
        </w:rPr>
      </w:pPr>
    </w:p>
    <w:p w14:paraId="4E45EB4F">
      <w:pPr>
        <w:spacing w:line="360" w:lineRule="auto"/>
        <w:ind w:left="0"/>
        <w:rPr>
          <w:rFonts w:hint="eastAsia" w:ascii="宋体" w:hAnsi="宋体" w:eastAsia="宋体" w:cs="Times New Roman"/>
          <w:b/>
          <w:sz w:val="24"/>
          <w:szCs w:val="24"/>
        </w:rPr>
      </w:pPr>
    </w:p>
    <w:p w14:paraId="705CE964">
      <w:pPr>
        <w:spacing w:line="360" w:lineRule="auto"/>
        <w:ind w:left="0"/>
        <w:rPr>
          <w:rFonts w:hint="eastAsia" w:ascii="宋体" w:hAnsi="宋体" w:eastAsia="宋体" w:cs="Times New Roman"/>
          <w:b/>
          <w:sz w:val="24"/>
          <w:szCs w:val="24"/>
        </w:rPr>
      </w:pPr>
    </w:p>
    <w:p w14:paraId="7BBBCDC4">
      <w:pPr>
        <w:spacing w:line="360" w:lineRule="auto"/>
        <w:ind w:left="0"/>
        <w:rPr>
          <w:rFonts w:hint="eastAsia" w:ascii="宋体" w:hAnsi="宋体" w:eastAsia="宋体" w:cs="Times New Roman"/>
          <w:b/>
          <w:sz w:val="24"/>
          <w:szCs w:val="24"/>
        </w:rPr>
      </w:pPr>
    </w:p>
    <w:p w14:paraId="21485F6A">
      <w:pPr>
        <w:spacing w:line="360" w:lineRule="auto"/>
        <w:ind w:left="0"/>
        <w:rPr>
          <w:rFonts w:hint="eastAsia" w:ascii="宋体" w:hAnsi="宋体" w:eastAsia="宋体" w:cs="Times New Roman"/>
          <w:b/>
          <w:sz w:val="24"/>
          <w:szCs w:val="24"/>
        </w:rPr>
      </w:pPr>
    </w:p>
    <w:p w14:paraId="4D56436D">
      <w:pPr>
        <w:spacing w:line="360" w:lineRule="auto"/>
        <w:ind w:left="0"/>
        <w:rPr>
          <w:rFonts w:hint="eastAsia" w:ascii="宋体" w:hAnsi="宋体" w:eastAsia="宋体" w:cs="Times New Roman"/>
          <w:b/>
          <w:sz w:val="24"/>
          <w:szCs w:val="24"/>
        </w:rPr>
      </w:pPr>
    </w:p>
    <w:p w14:paraId="7AC8CAD8">
      <w:pPr>
        <w:spacing w:line="360" w:lineRule="auto"/>
        <w:ind w:left="0"/>
        <w:rPr>
          <w:rFonts w:hint="eastAsia" w:ascii="宋体" w:hAnsi="宋体" w:eastAsia="宋体" w:cs="Times New Roman"/>
          <w:b/>
          <w:sz w:val="24"/>
          <w:szCs w:val="24"/>
        </w:rPr>
      </w:pPr>
    </w:p>
    <w:p w14:paraId="25F02131">
      <w:pPr>
        <w:spacing w:line="360" w:lineRule="auto"/>
        <w:ind w:left="0"/>
        <w:rPr>
          <w:rFonts w:hint="eastAsia" w:ascii="宋体" w:hAnsi="宋体" w:eastAsia="宋体" w:cs="Times New Roman"/>
          <w:b/>
          <w:sz w:val="24"/>
          <w:szCs w:val="24"/>
        </w:rPr>
      </w:pPr>
    </w:p>
    <w:p w14:paraId="5AB427AC">
      <w:pPr>
        <w:spacing w:line="360" w:lineRule="auto"/>
        <w:ind w:left="0"/>
        <w:rPr>
          <w:rFonts w:hint="eastAsia" w:ascii="宋体" w:hAnsi="宋体" w:eastAsia="宋体" w:cs="Times New Roman"/>
          <w:b/>
          <w:sz w:val="24"/>
          <w:szCs w:val="24"/>
        </w:rPr>
      </w:pPr>
    </w:p>
    <w:p w14:paraId="4CA3C55D">
      <w:pPr>
        <w:spacing w:line="360" w:lineRule="auto"/>
        <w:ind w:left="0"/>
        <w:rPr>
          <w:rFonts w:hint="eastAsia" w:ascii="宋体" w:hAnsi="宋体" w:eastAsia="宋体" w:cs="Times New Roman"/>
          <w:b/>
          <w:sz w:val="24"/>
          <w:szCs w:val="24"/>
        </w:rPr>
      </w:pPr>
    </w:p>
    <w:p w14:paraId="1E4ED82E">
      <w:pPr>
        <w:spacing w:line="360" w:lineRule="auto"/>
        <w:ind w:left="0"/>
        <w:rPr>
          <w:rFonts w:hint="eastAsia" w:ascii="宋体" w:hAnsi="宋体" w:eastAsia="宋体" w:cs="Times New Roman"/>
          <w:b/>
          <w:sz w:val="24"/>
          <w:szCs w:val="24"/>
        </w:rPr>
      </w:pPr>
    </w:p>
    <w:p w14:paraId="47BB5C71">
      <w:pPr>
        <w:spacing w:line="360" w:lineRule="auto"/>
        <w:ind w:left="0"/>
        <w:rPr>
          <w:rFonts w:hint="eastAsia" w:ascii="宋体" w:hAnsi="宋体" w:eastAsia="宋体" w:cs="Times New Roman"/>
          <w:b/>
          <w:sz w:val="24"/>
          <w:szCs w:val="24"/>
        </w:rPr>
      </w:pPr>
    </w:p>
    <w:p w14:paraId="0C1D4B60">
      <w:pPr>
        <w:spacing w:line="360" w:lineRule="auto"/>
        <w:ind w:left="0"/>
        <w:rPr>
          <w:rFonts w:hint="eastAsia" w:ascii="宋体" w:hAnsi="宋体" w:eastAsia="宋体" w:cs="Times New Roman"/>
          <w:b/>
          <w:sz w:val="24"/>
          <w:szCs w:val="24"/>
        </w:rPr>
      </w:pPr>
    </w:p>
    <w:p w14:paraId="27C0F6CA">
      <w:pPr>
        <w:spacing w:line="360" w:lineRule="auto"/>
        <w:ind w:left="0"/>
        <w:rPr>
          <w:rFonts w:hint="eastAsia" w:ascii="宋体" w:hAnsi="宋体" w:eastAsia="宋体" w:cs="Times New Roman"/>
          <w:b/>
          <w:sz w:val="24"/>
          <w:szCs w:val="24"/>
        </w:rPr>
      </w:pPr>
    </w:p>
    <w:p w14:paraId="7AB8BDC6">
      <w:pPr>
        <w:spacing w:line="360" w:lineRule="auto"/>
        <w:ind w:left="0"/>
        <w:rPr>
          <w:rFonts w:hint="eastAsia" w:ascii="宋体" w:hAnsi="宋体" w:eastAsia="宋体" w:cs="Times New Roman"/>
          <w:b/>
          <w:sz w:val="24"/>
          <w:szCs w:val="24"/>
        </w:rPr>
      </w:pPr>
    </w:p>
    <w:p w14:paraId="28E1485A">
      <w:pPr>
        <w:spacing w:line="360" w:lineRule="auto"/>
        <w:ind w:left="0"/>
        <w:rPr>
          <w:rFonts w:hint="eastAsia" w:ascii="宋体" w:hAnsi="宋体" w:eastAsia="宋体" w:cs="Times New Roman"/>
          <w:b/>
          <w:sz w:val="24"/>
          <w:szCs w:val="24"/>
        </w:rPr>
      </w:pPr>
    </w:p>
    <w:p w14:paraId="657C01CE">
      <w:pPr>
        <w:spacing w:line="360" w:lineRule="auto"/>
        <w:ind w:left="0"/>
        <w:rPr>
          <w:rFonts w:hint="eastAsia" w:ascii="宋体" w:hAnsi="宋体" w:eastAsia="宋体" w:cs="Times New Roman"/>
          <w:b/>
          <w:sz w:val="24"/>
          <w:szCs w:val="24"/>
        </w:rPr>
      </w:pPr>
    </w:p>
    <w:p w14:paraId="2F2AA692">
      <w:pPr>
        <w:spacing w:line="360" w:lineRule="auto"/>
        <w:ind w:left="0"/>
        <w:rPr>
          <w:rFonts w:hint="eastAsia" w:ascii="宋体" w:hAnsi="宋体" w:eastAsia="宋体" w:cs="Times New Roman"/>
          <w:b/>
          <w:sz w:val="24"/>
          <w:szCs w:val="24"/>
        </w:rPr>
      </w:pPr>
    </w:p>
    <w:p w14:paraId="7B3B3A0A">
      <w:pPr>
        <w:spacing w:line="360" w:lineRule="auto"/>
        <w:ind w:left="0"/>
        <w:rPr>
          <w:rFonts w:hint="eastAsia" w:ascii="宋体" w:hAnsi="宋体" w:eastAsia="宋体" w:cs="Times New Roman"/>
          <w:b/>
          <w:sz w:val="24"/>
          <w:szCs w:val="24"/>
        </w:rPr>
      </w:pPr>
    </w:p>
    <w:p w14:paraId="10E0009B">
      <w:pPr>
        <w:spacing w:line="360" w:lineRule="auto"/>
        <w:ind w:left="0"/>
        <w:rPr>
          <w:rFonts w:hint="eastAsia" w:ascii="宋体" w:hAnsi="宋体" w:eastAsia="宋体" w:cs="Times New Roman"/>
          <w:b/>
          <w:sz w:val="24"/>
          <w:szCs w:val="24"/>
        </w:rPr>
      </w:pPr>
    </w:p>
    <w:p w14:paraId="1542A859">
      <w:pPr>
        <w:spacing w:line="360" w:lineRule="auto"/>
        <w:ind w:left="0"/>
        <w:rPr>
          <w:rFonts w:hint="eastAsia" w:ascii="宋体" w:hAnsi="宋体" w:eastAsia="宋体" w:cs="Times New Roman"/>
          <w:b/>
          <w:sz w:val="24"/>
          <w:szCs w:val="24"/>
        </w:rPr>
      </w:pPr>
    </w:p>
    <w:p w14:paraId="1D77C6A7">
      <w:pPr>
        <w:spacing w:line="360" w:lineRule="auto"/>
        <w:ind w:left="0"/>
        <w:rPr>
          <w:rFonts w:hint="eastAsia" w:ascii="宋体" w:hAnsi="宋体" w:eastAsia="宋体" w:cs="Times New Roman"/>
          <w:b/>
          <w:sz w:val="24"/>
          <w:szCs w:val="24"/>
        </w:rPr>
      </w:pPr>
    </w:p>
    <w:bookmarkEnd w:id="36"/>
    <w:bookmarkEnd w:id="37"/>
    <w:p w14:paraId="044A515B">
      <w:pPr>
        <w:numPr>
          <w:ilvl w:val="0"/>
          <w:numId w:val="3"/>
        </w:numPr>
        <w:spacing w:line="360" w:lineRule="auto"/>
        <w:ind w:firstLine="437"/>
        <w:outlineLvl w:val="1"/>
        <w:rPr>
          <w:rFonts w:ascii="宋体" w:hAnsi="宋体" w:eastAsia="宋体"/>
          <w:b/>
          <w:bCs/>
          <w:sz w:val="24"/>
          <w:szCs w:val="18"/>
        </w:rPr>
      </w:pPr>
      <w:bookmarkStart w:id="38" w:name="_Toc16417"/>
      <w:r>
        <w:rPr>
          <w:rFonts w:hint="eastAsia" w:ascii="宋体" w:hAnsi="宋体" w:eastAsia="宋体"/>
          <w:b/>
          <w:sz w:val="24"/>
          <w:szCs w:val="18"/>
        </w:rPr>
        <w:t>货物</w:t>
      </w:r>
      <w:r>
        <w:rPr>
          <w:rFonts w:hint="eastAsia" w:ascii="宋体" w:hAnsi="宋体" w:eastAsia="宋体"/>
          <w:b/>
          <w:bCs/>
          <w:sz w:val="24"/>
          <w:szCs w:val="18"/>
        </w:rPr>
        <w:t>需求</w:t>
      </w:r>
    </w:p>
    <w:p w14:paraId="3F2F9403">
      <w:pPr>
        <w:spacing w:line="360" w:lineRule="auto"/>
        <w:jc w:val="both"/>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1.标志标线：</w:t>
      </w:r>
    </w:p>
    <w:tbl>
      <w:tblPr>
        <w:tblStyle w:val="26"/>
        <w:tblW w:w="961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2"/>
        <w:gridCol w:w="13"/>
        <w:gridCol w:w="666"/>
        <w:gridCol w:w="1586"/>
        <w:gridCol w:w="14"/>
        <w:gridCol w:w="1017"/>
        <w:gridCol w:w="2533"/>
        <w:gridCol w:w="1084"/>
        <w:gridCol w:w="2"/>
        <w:gridCol w:w="1066"/>
        <w:gridCol w:w="32"/>
        <w:gridCol w:w="885"/>
      </w:tblGrid>
      <w:tr w14:paraId="6923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612" w:type="dxa"/>
            <w:gridSpan w:val="13"/>
            <w:tcBorders>
              <w:top w:val="nil"/>
              <w:left w:val="nil"/>
              <w:bottom w:val="nil"/>
              <w:right w:val="nil"/>
            </w:tcBorders>
            <w:shd w:val="clear" w:color="auto" w:fill="auto"/>
            <w:noWrap/>
            <w:vAlign w:val="center"/>
          </w:tcPr>
          <w:p w14:paraId="3BEC85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highlight w:val="none"/>
                <w:u w:val="none"/>
                <w:lang w:val="en-US" w:eastAsia="zh-CN" w:bidi="ar"/>
              </w:rPr>
              <w:t>1-小溪河S312与梨园路口</w:t>
            </w:r>
          </w:p>
        </w:tc>
      </w:tr>
      <w:tr w14:paraId="60E7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3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4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D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0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2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290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0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4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单黄线、车道分界线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线宽15cm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C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6A2">
            <w:pPr>
              <w:jc w:val="center"/>
              <w:rPr>
                <w:rFonts w:hint="eastAsia" w:ascii="宋体" w:hAnsi="宋体" w:eastAsia="宋体" w:cs="宋体"/>
                <w:i w:val="0"/>
                <w:iCs w:val="0"/>
                <w:color w:val="000000"/>
                <w:sz w:val="20"/>
                <w:szCs w:val="20"/>
                <w:u w:val="none"/>
              </w:rPr>
            </w:pPr>
          </w:p>
        </w:tc>
      </w:tr>
      <w:tr w14:paraId="0DDD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756A">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停止线、人行横道线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6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3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CE5">
            <w:pPr>
              <w:jc w:val="center"/>
              <w:rPr>
                <w:rFonts w:hint="eastAsia" w:ascii="宋体" w:hAnsi="宋体" w:eastAsia="宋体" w:cs="宋体"/>
                <w:i w:val="0"/>
                <w:iCs w:val="0"/>
                <w:color w:val="000000"/>
                <w:sz w:val="20"/>
                <w:szCs w:val="20"/>
                <w:u w:val="none"/>
              </w:rPr>
            </w:pPr>
          </w:p>
        </w:tc>
      </w:tr>
      <w:tr w14:paraId="7D58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7F84">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B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A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0492">
            <w:pPr>
              <w:jc w:val="center"/>
              <w:rPr>
                <w:rFonts w:hint="eastAsia" w:ascii="宋体" w:hAnsi="宋体" w:eastAsia="宋体" w:cs="宋体"/>
                <w:i w:val="0"/>
                <w:iCs w:val="0"/>
                <w:color w:val="000000"/>
                <w:sz w:val="20"/>
                <w:szCs w:val="20"/>
                <w:u w:val="none"/>
              </w:rPr>
            </w:pPr>
          </w:p>
        </w:tc>
      </w:tr>
      <w:tr w14:paraId="43AB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12F8">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F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导向箭头（直行+左转+右转）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8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6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3F8A">
            <w:pPr>
              <w:jc w:val="center"/>
              <w:rPr>
                <w:rFonts w:hint="eastAsia" w:ascii="宋体" w:hAnsi="宋体" w:eastAsia="宋体" w:cs="宋体"/>
                <w:i w:val="0"/>
                <w:iCs w:val="0"/>
                <w:color w:val="000000"/>
                <w:sz w:val="20"/>
                <w:szCs w:val="20"/>
                <w:u w:val="none"/>
              </w:rPr>
            </w:pPr>
          </w:p>
        </w:tc>
      </w:tr>
      <w:tr w14:paraId="2867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4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9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Φ80mm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5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FE9C">
            <w:pPr>
              <w:jc w:val="center"/>
              <w:rPr>
                <w:rFonts w:hint="eastAsia" w:ascii="宋体" w:hAnsi="宋体" w:eastAsia="宋体" w:cs="宋体"/>
                <w:i w:val="0"/>
                <w:iCs w:val="0"/>
                <w:color w:val="000000"/>
                <w:sz w:val="20"/>
                <w:szCs w:val="20"/>
                <w:u w:val="none"/>
              </w:rPr>
            </w:pPr>
          </w:p>
        </w:tc>
      </w:tr>
      <w:tr w14:paraId="2669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612" w:type="dxa"/>
            <w:gridSpan w:val="13"/>
            <w:tcBorders>
              <w:top w:val="nil"/>
              <w:left w:val="nil"/>
              <w:bottom w:val="nil"/>
              <w:right w:val="nil"/>
            </w:tcBorders>
            <w:shd w:val="clear" w:color="auto" w:fill="auto"/>
            <w:noWrap/>
            <w:vAlign w:val="center"/>
          </w:tcPr>
          <w:p w14:paraId="01E8C7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2-G345与前进村路口</w:t>
            </w:r>
          </w:p>
        </w:tc>
      </w:tr>
      <w:tr w14:paraId="7E49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7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3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E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3DA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3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4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单黄线、车道分界线、禁止变换车道线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7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线宽15cm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F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6556">
            <w:pPr>
              <w:jc w:val="center"/>
              <w:rPr>
                <w:rFonts w:hint="eastAsia" w:ascii="宋体" w:hAnsi="宋体" w:eastAsia="宋体" w:cs="宋体"/>
                <w:i w:val="0"/>
                <w:iCs w:val="0"/>
                <w:color w:val="000000"/>
                <w:sz w:val="20"/>
                <w:szCs w:val="20"/>
                <w:u w:val="none"/>
              </w:rPr>
            </w:pPr>
          </w:p>
        </w:tc>
      </w:tr>
      <w:tr w14:paraId="51E9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5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B9E7">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7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停止线、人行横道线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3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E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C229">
            <w:pPr>
              <w:jc w:val="center"/>
              <w:rPr>
                <w:rFonts w:hint="eastAsia" w:ascii="宋体" w:hAnsi="宋体" w:eastAsia="宋体" w:cs="宋体"/>
                <w:i w:val="0"/>
                <w:iCs w:val="0"/>
                <w:color w:val="000000"/>
                <w:sz w:val="20"/>
                <w:szCs w:val="20"/>
                <w:u w:val="none"/>
              </w:rPr>
            </w:pPr>
          </w:p>
        </w:tc>
      </w:tr>
      <w:tr w14:paraId="628E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7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D361">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双黄线填充线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5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DD0A">
            <w:pPr>
              <w:jc w:val="center"/>
              <w:rPr>
                <w:rFonts w:hint="eastAsia" w:ascii="宋体" w:hAnsi="宋体" w:eastAsia="宋体" w:cs="宋体"/>
                <w:i w:val="0"/>
                <w:iCs w:val="0"/>
                <w:color w:val="000000"/>
                <w:sz w:val="20"/>
                <w:szCs w:val="20"/>
                <w:u w:val="none"/>
              </w:rPr>
            </w:pPr>
          </w:p>
        </w:tc>
      </w:tr>
      <w:tr w14:paraId="2175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6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E887">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1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震荡线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F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线宽30cm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A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89AA">
            <w:pPr>
              <w:jc w:val="center"/>
              <w:rPr>
                <w:rFonts w:hint="eastAsia" w:ascii="宋体" w:hAnsi="宋体" w:eastAsia="宋体" w:cs="宋体"/>
                <w:i w:val="0"/>
                <w:iCs w:val="0"/>
                <w:color w:val="000000"/>
                <w:sz w:val="20"/>
                <w:szCs w:val="20"/>
                <w:u w:val="none"/>
              </w:rPr>
            </w:pPr>
          </w:p>
        </w:tc>
      </w:tr>
      <w:tr w14:paraId="285F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5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EF09">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5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减速让行标线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680">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7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9BE9">
            <w:pPr>
              <w:jc w:val="center"/>
              <w:rPr>
                <w:rFonts w:hint="eastAsia" w:ascii="宋体" w:hAnsi="宋体" w:eastAsia="宋体" w:cs="宋体"/>
                <w:i w:val="0"/>
                <w:iCs w:val="0"/>
                <w:color w:val="000000"/>
                <w:sz w:val="20"/>
                <w:szCs w:val="20"/>
                <w:u w:val="none"/>
              </w:rPr>
            </w:pPr>
          </w:p>
        </w:tc>
      </w:tr>
      <w:tr w14:paraId="7BA1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BEA5">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8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F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1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FACF">
            <w:pPr>
              <w:jc w:val="center"/>
              <w:rPr>
                <w:rFonts w:hint="eastAsia" w:ascii="宋体" w:hAnsi="宋体" w:eastAsia="宋体" w:cs="宋体"/>
                <w:i w:val="0"/>
                <w:iCs w:val="0"/>
                <w:color w:val="000000"/>
                <w:sz w:val="20"/>
                <w:szCs w:val="20"/>
                <w:u w:val="none"/>
              </w:rPr>
            </w:pPr>
          </w:p>
        </w:tc>
      </w:tr>
      <w:tr w14:paraId="44A9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2098">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5252">
            <w:pPr>
              <w:jc w:val="center"/>
              <w:rPr>
                <w:rFonts w:hint="eastAsia" w:ascii="宋体" w:hAnsi="宋体" w:eastAsia="宋体" w:cs="宋体"/>
                <w:i w:val="0"/>
                <w:iCs w:val="0"/>
                <w:color w:val="000000"/>
                <w:sz w:val="20"/>
                <w:szCs w:val="20"/>
                <w:u w:val="none"/>
              </w:rPr>
            </w:pPr>
          </w:p>
        </w:tc>
      </w:tr>
      <w:tr w14:paraId="39FA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CE34">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D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人行横道预告</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F96A">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5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303">
            <w:pPr>
              <w:jc w:val="center"/>
              <w:rPr>
                <w:rFonts w:hint="eastAsia" w:ascii="宋体" w:hAnsi="宋体" w:eastAsia="宋体" w:cs="宋体"/>
                <w:i w:val="0"/>
                <w:iCs w:val="0"/>
                <w:color w:val="000000"/>
                <w:sz w:val="20"/>
                <w:szCs w:val="20"/>
                <w:u w:val="none"/>
              </w:rPr>
            </w:pPr>
          </w:p>
        </w:tc>
      </w:tr>
      <w:tr w14:paraId="7BC7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6E4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2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清除现状标线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29CC">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1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E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06F1">
            <w:pPr>
              <w:jc w:val="center"/>
              <w:rPr>
                <w:rFonts w:hint="eastAsia" w:ascii="宋体" w:hAnsi="宋体" w:eastAsia="宋体" w:cs="宋体"/>
                <w:i w:val="0"/>
                <w:iCs w:val="0"/>
                <w:color w:val="000000"/>
                <w:sz w:val="20"/>
                <w:szCs w:val="20"/>
                <w:u w:val="none"/>
              </w:rPr>
            </w:pPr>
          </w:p>
        </w:tc>
      </w:tr>
      <w:tr w14:paraId="20FC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D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C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1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单柱标志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3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减速让行+禁止左转</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0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1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3575">
            <w:pPr>
              <w:jc w:val="center"/>
              <w:rPr>
                <w:rFonts w:hint="eastAsia" w:ascii="宋体" w:hAnsi="宋体" w:eastAsia="宋体" w:cs="宋体"/>
                <w:i w:val="0"/>
                <w:iCs w:val="0"/>
                <w:color w:val="000000"/>
                <w:sz w:val="20"/>
                <w:szCs w:val="20"/>
                <w:u w:val="none"/>
              </w:rPr>
            </w:pPr>
          </w:p>
        </w:tc>
      </w:tr>
      <w:tr w14:paraId="4FE1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2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隔离护栏</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9D0F">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8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DFDF">
            <w:pPr>
              <w:jc w:val="center"/>
              <w:rPr>
                <w:rFonts w:hint="eastAsia" w:ascii="宋体" w:hAnsi="宋体" w:eastAsia="宋体" w:cs="宋体"/>
                <w:i w:val="0"/>
                <w:iCs w:val="0"/>
                <w:color w:val="000000"/>
                <w:sz w:val="20"/>
                <w:szCs w:val="20"/>
                <w:u w:val="none"/>
              </w:rPr>
            </w:pPr>
          </w:p>
        </w:tc>
      </w:tr>
      <w:tr w14:paraId="45C9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F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F9C2">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5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道口标柱</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53A">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2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CF1E">
            <w:pPr>
              <w:jc w:val="center"/>
              <w:rPr>
                <w:rFonts w:hint="eastAsia" w:ascii="宋体" w:hAnsi="宋体" w:eastAsia="宋体" w:cs="宋体"/>
                <w:i w:val="0"/>
                <w:iCs w:val="0"/>
                <w:color w:val="000000"/>
                <w:sz w:val="20"/>
                <w:szCs w:val="20"/>
                <w:u w:val="none"/>
              </w:rPr>
            </w:pPr>
          </w:p>
        </w:tc>
      </w:tr>
      <w:tr w14:paraId="5173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7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1B32">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中分带硬化宽50cm、长10m</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7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25cm厚C25砼+15cm厚碎石</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5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5031">
            <w:pPr>
              <w:jc w:val="center"/>
              <w:rPr>
                <w:rFonts w:hint="eastAsia" w:ascii="宋体" w:hAnsi="宋体" w:eastAsia="宋体" w:cs="宋体"/>
                <w:i w:val="0"/>
                <w:iCs w:val="0"/>
                <w:color w:val="000000"/>
                <w:sz w:val="20"/>
                <w:szCs w:val="20"/>
                <w:u w:val="none"/>
              </w:rPr>
            </w:pPr>
          </w:p>
        </w:tc>
      </w:tr>
      <w:tr w14:paraId="30E6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12" w:type="dxa"/>
            <w:gridSpan w:val="13"/>
            <w:tcBorders>
              <w:top w:val="nil"/>
              <w:left w:val="nil"/>
              <w:bottom w:val="nil"/>
              <w:right w:val="nil"/>
            </w:tcBorders>
            <w:shd w:val="clear" w:color="auto" w:fill="auto"/>
            <w:noWrap/>
            <w:vAlign w:val="center"/>
          </w:tcPr>
          <w:p w14:paraId="0F31B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3-西泉镇S315与许村交叉路口</w:t>
            </w:r>
          </w:p>
        </w:tc>
      </w:tr>
      <w:tr w14:paraId="66CC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4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B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C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E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186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5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F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C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单黄线、车道分界线、禁止变换车道线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1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线宽15cm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5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6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C0A7">
            <w:pPr>
              <w:jc w:val="center"/>
              <w:rPr>
                <w:rFonts w:hint="eastAsia" w:ascii="宋体" w:hAnsi="宋体" w:eastAsia="宋体" w:cs="宋体"/>
                <w:i w:val="0"/>
                <w:iCs w:val="0"/>
                <w:color w:val="000000"/>
                <w:sz w:val="20"/>
                <w:szCs w:val="20"/>
                <w:u w:val="none"/>
              </w:rPr>
            </w:pPr>
          </w:p>
        </w:tc>
      </w:tr>
      <w:tr w14:paraId="5D76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7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C064">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E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停止线、人行横道线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3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B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EA6F">
            <w:pPr>
              <w:jc w:val="center"/>
              <w:rPr>
                <w:rFonts w:hint="eastAsia" w:ascii="宋体" w:hAnsi="宋体" w:eastAsia="宋体" w:cs="宋体"/>
                <w:i w:val="0"/>
                <w:iCs w:val="0"/>
                <w:color w:val="000000"/>
                <w:sz w:val="20"/>
                <w:szCs w:val="20"/>
                <w:u w:val="none"/>
              </w:rPr>
            </w:pPr>
          </w:p>
        </w:tc>
      </w:tr>
      <w:tr w14:paraId="723C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7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56E3">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1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震荡线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4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线宽30cm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8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FF75">
            <w:pPr>
              <w:jc w:val="center"/>
              <w:rPr>
                <w:rFonts w:hint="eastAsia" w:ascii="宋体" w:hAnsi="宋体" w:eastAsia="宋体" w:cs="宋体"/>
                <w:i w:val="0"/>
                <w:iCs w:val="0"/>
                <w:color w:val="000000"/>
                <w:sz w:val="20"/>
                <w:szCs w:val="20"/>
                <w:u w:val="none"/>
              </w:rPr>
            </w:pPr>
          </w:p>
        </w:tc>
      </w:tr>
      <w:tr w14:paraId="2749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7D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3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减速让行标线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2C4A">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5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6150">
            <w:pPr>
              <w:jc w:val="center"/>
              <w:rPr>
                <w:rFonts w:hint="eastAsia" w:ascii="宋体" w:hAnsi="宋体" w:eastAsia="宋体" w:cs="宋体"/>
                <w:i w:val="0"/>
                <w:iCs w:val="0"/>
                <w:color w:val="000000"/>
                <w:sz w:val="20"/>
                <w:szCs w:val="20"/>
                <w:u w:val="none"/>
              </w:rPr>
            </w:pPr>
          </w:p>
        </w:tc>
      </w:tr>
      <w:tr w14:paraId="5CA8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5B95">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C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4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E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1287">
            <w:pPr>
              <w:jc w:val="center"/>
              <w:rPr>
                <w:rFonts w:hint="eastAsia" w:ascii="宋体" w:hAnsi="宋体" w:eastAsia="宋体" w:cs="宋体"/>
                <w:i w:val="0"/>
                <w:iCs w:val="0"/>
                <w:color w:val="000000"/>
                <w:sz w:val="20"/>
                <w:szCs w:val="20"/>
                <w:u w:val="none"/>
              </w:rPr>
            </w:pPr>
          </w:p>
        </w:tc>
      </w:tr>
      <w:tr w14:paraId="084C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7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0A2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D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1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3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ABF0">
            <w:pPr>
              <w:jc w:val="center"/>
              <w:rPr>
                <w:rFonts w:hint="eastAsia" w:ascii="宋体" w:hAnsi="宋体" w:eastAsia="宋体" w:cs="宋体"/>
                <w:i w:val="0"/>
                <w:iCs w:val="0"/>
                <w:color w:val="000000"/>
                <w:sz w:val="20"/>
                <w:szCs w:val="20"/>
                <w:u w:val="none"/>
              </w:rPr>
            </w:pPr>
          </w:p>
        </w:tc>
      </w:tr>
      <w:tr w14:paraId="25F1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9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0CEB">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F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导向箭头（直行+左转+右转）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0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5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399A">
            <w:pPr>
              <w:jc w:val="center"/>
              <w:rPr>
                <w:rFonts w:hint="eastAsia" w:ascii="宋体" w:hAnsi="宋体" w:eastAsia="宋体" w:cs="宋体"/>
                <w:i w:val="0"/>
                <w:iCs w:val="0"/>
                <w:color w:val="000000"/>
                <w:sz w:val="20"/>
                <w:szCs w:val="20"/>
                <w:u w:val="none"/>
              </w:rPr>
            </w:pPr>
          </w:p>
        </w:tc>
      </w:tr>
      <w:tr w14:paraId="2EED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F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A2A8">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6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导向箭头（直行+左转+右转）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8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2A80">
            <w:pPr>
              <w:jc w:val="center"/>
              <w:rPr>
                <w:rFonts w:hint="eastAsia" w:ascii="宋体" w:hAnsi="宋体" w:eastAsia="宋体" w:cs="宋体"/>
                <w:i w:val="0"/>
                <w:iCs w:val="0"/>
                <w:color w:val="000000"/>
                <w:sz w:val="20"/>
                <w:szCs w:val="20"/>
                <w:u w:val="none"/>
              </w:rPr>
            </w:pPr>
          </w:p>
        </w:tc>
      </w:tr>
      <w:tr w14:paraId="4A84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48DA">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0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非机动车标记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449D">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D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6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C132">
            <w:pPr>
              <w:jc w:val="center"/>
              <w:rPr>
                <w:rFonts w:hint="eastAsia" w:ascii="宋体" w:hAnsi="宋体" w:eastAsia="宋体" w:cs="宋体"/>
                <w:i w:val="0"/>
                <w:iCs w:val="0"/>
                <w:color w:val="000000"/>
                <w:sz w:val="20"/>
                <w:szCs w:val="20"/>
                <w:u w:val="none"/>
              </w:rPr>
            </w:pPr>
          </w:p>
        </w:tc>
      </w:tr>
      <w:tr w14:paraId="0D67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3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A9C">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E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清除现状标线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397B">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F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F5A">
            <w:pPr>
              <w:jc w:val="center"/>
              <w:rPr>
                <w:rFonts w:hint="eastAsia" w:ascii="宋体" w:hAnsi="宋体" w:eastAsia="宋体" w:cs="宋体"/>
                <w:i w:val="0"/>
                <w:iCs w:val="0"/>
                <w:color w:val="000000"/>
                <w:sz w:val="20"/>
                <w:szCs w:val="20"/>
                <w:u w:val="none"/>
              </w:rPr>
            </w:pPr>
          </w:p>
        </w:tc>
      </w:tr>
      <w:tr w14:paraId="0768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F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A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Φ80mm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A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5F45">
            <w:pPr>
              <w:jc w:val="center"/>
              <w:rPr>
                <w:rFonts w:hint="eastAsia" w:ascii="宋体" w:hAnsi="宋体" w:eastAsia="宋体" w:cs="宋体"/>
                <w:i w:val="0"/>
                <w:iCs w:val="0"/>
                <w:color w:val="000000"/>
                <w:sz w:val="20"/>
                <w:szCs w:val="20"/>
                <w:u w:val="none"/>
              </w:rPr>
            </w:pPr>
          </w:p>
        </w:tc>
      </w:tr>
      <w:tr w14:paraId="13EC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3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1" w:type="dxa"/>
            <w:gridSpan w:val="3"/>
            <w:tcBorders>
              <w:top w:val="nil"/>
              <w:left w:val="single" w:color="000000" w:sz="4" w:space="0"/>
              <w:bottom w:val="single" w:color="000000" w:sz="4" w:space="0"/>
              <w:right w:val="single" w:color="000000" w:sz="4" w:space="0"/>
            </w:tcBorders>
            <w:shd w:val="clear" w:color="auto" w:fill="auto"/>
            <w:noWrap/>
            <w:vAlign w:val="center"/>
          </w:tcPr>
          <w:p w14:paraId="43A00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侧分带、路肩局部硬化</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E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25cm厚C25砼+15cm厚碎石</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E67C">
            <w:pPr>
              <w:jc w:val="center"/>
              <w:rPr>
                <w:rFonts w:hint="eastAsia" w:ascii="宋体" w:hAnsi="宋体" w:eastAsia="宋体" w:cs="宋体"/>
                <w:i w:val="0"/>
                <w:iCs w:val="0"/>
                <w:color w:val="000000"/>
                <w:sz w:val="20"/>
                <w:szCs w:val="20"/>
                <w:u w:val="none"/>
              </w:rPr>
            </w:pPr>
          </w:p>
        </w:tc>
      </w:tr>
      <w:tr w14:paraId="68BF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12" w:type="dxa"/>
            <w:gridSpan w:val="13"/>
            <w:tcBorders>
              <w:top w:val="nil"/>
              <w:left w:val="nil"/>
              <w:bottom w:val="nil"/>
              <w:right w:val="nil"/>
            </w:tcBorders>
            <w:shd w:val="clear" w:color="auto" w:fill="auto"/>
            <w:noWrap/>
            <w:vAlign w:val="center"/>
          </w:tcPr>
          <w:p w14:paraId="6688C7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4-老人桥路与凤阳二中北门路口</w:t>
            </w:r>
          </w:p>
        </w:tc>
      </w:tr>
      <w:tr w14:paraId="779C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C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B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F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F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78F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1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4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单黄线、车道分界线、禁止变换车道线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D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线宽15cm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C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6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7BC4">
            <w:pPr>
              <w:jc w:val="center"/>
              <w:rPr>
                <w:rFonts w:hint="eastAsia" w:ascii="宋体" w:hAnsi="宋体" w:eastAsia="宋体" w:cs="宋体"/>
                <w:i w:val="0"/>
                <w:iCs w:val="0"/>
                <w:color w:val="000000"/>
                <w:sz w:val="20"/>
                <w:szCs w:val="20"/>
                <w:u w:val="none"/>
              </w:rPr>
            </w:pPr>
          </w:p>
        </w:tc>
      </w:tr>
      <w:tr w14:paraId="1CDF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C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B965">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停止线、人行横道线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4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4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7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1AA8">
            <w:pPr>
              <w:jc w:val="center"/>
              <w:rPr>
                <w:rFonts w:hint="eastAsia" w:ascii="宋体" w:hAnsi="宋体" w:eastAsia="宋体" w:cs="宋体"/>
                <w:i w:val="0"/>
                <w:iCs w:val="0"/>
                <w:color w:val="000000"/>
                <w:sz w:val="20"/>
                <w:szCs w:val="20"/>
                <w:u w:val="none"/>
              </w:rPr>
            </w:pPr>
          </w:p>
        </w:tc>
      </w:tr>
      <w:tr w14:paraId="65F7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8CB">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F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1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A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7F08">
            <w:pPr>
              <w:jc w:val="center"/>
              <w:rPr>
                <w:rFonts w:hint="eastAsia" w:ascii="宋体" w:hAnsi="宋体" w:eastAsia="宋体" w:cs="宋体"/>
                <w:i w:val="0"/>
                <w:iCs w:val="0"/>
                <w:color w:val="000000"/>
                <w:sz w:val="20"/>
                <w:szCs w:val="20"/>
                <w:u w:val="none"/>
              </w:rPr>
            </w:pPr>
          </w:p>
        </w:tc>
      </w:tr>
      <w:tr w14:paraId="3A41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2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046">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0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D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D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3A9F">
            <w:pPr>
              <w:jc w:val="center"/>
              <w:rPr>
                <w:rFonts w:hint="eastAsia" w:ascii="宋体" w:hAnsi="宋体" w:eastAsia="宋体" w:cs="宋体"/>
                <w:i w:val="0"/>
                <w:iCs w:val="0"/>
                <w:color w:val="000000"/>
                <w:sz w:val="20"/>
                <w:szCs w:val="20"/>
                <w:u w:val="none"/>
              </w:rPr>
            </w:pPr>
          </w:p>
        </w:tc>
      </w:tr>
      <w:tr w14:paraId="3A08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D5AC">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F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导向箭头（直行+右转、直行+左转）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B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A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5928">
            <w:pPr>
              <w:jc w:val="center"/>
              <w:rPr>
                <w:rFonts w:hint="eastAsia" w:ascii="宋体" w:hAnsi="宋体" w:eastAsia="宋体" w:cs="宋体"/>
                <w:i w:val="0"/>
                <w:iCs w:val="0"/>
                <w:color w:val="000000"/>
                <w:sz w:val="20"/>
                <w:szCs w:val="20"/>
                <w:u w:val="none"/>
              </w:rPr>
            </w:pPr>
          </w:p>
        </w:tc>
      </w:tr>
      <w:tr w14:paraId="450A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1B07">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C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导向箭头（左转+掉头）</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B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C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252">
            <w:pPr>
              <w:jc w:val="center"/>
              <w:rPr>
                <w:rFonts w:hint="eastAsia" w:ascii="宋体" w:hAnsi="宋体" w:eastAsia="宋体" w:cs="宋体"/>
                <w:i w:val="0"/>
                <w:iCs w:val="0"/>
                <w:color w:val="000000"/>
                <w:sz w:val="20"/>
                <w:szCs w:val="20"/>
                <w:u w:val="none"/>
              </w:rPr>
            </w:pPr>
          </w:p>
        </w:tc>
      </w:tr>
      <w:tr w14:paraId="4BD4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9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D07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非机动车标记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CFC">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6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CC79">
            <w:pPr>
              <w:jc w:val="center"/>
              <w:rPr>
                <w:rFonts w:hint="eastAsia" w:ascii="宋体" w:hAnsi="宋体" w:eastAsia="宋体" w:cs="宋体"/>
                <w:i w:val="0"/>
                <w:iCs w:val="0"/>
                <w:color w:val="000000"/>
                <w:sz w:val="20"/>
                <w:szCs w:val="20"/>
                <w:u w:val="none"/>
              </w:rPr>
            </w:pPr>
          </w:p>
        </w:tc>
      </w:tr>
      <w:tr w14:paraId="5E15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2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3DA2">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6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清除现状标线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E29C">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E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A331">
            <w:pPr>
              <w:jc w:val="center"/>
              <w:rPr>
                <w:rFonts w:hint="eastAsia" w:ascii="宋体" w:hAnsi="宋体" w:eastAsia="宋体" w:cs="宋体"/>
                <w:i w:val="0"/>
                <w:iCs w:val="0"/>
                <w:color w:val="000000"/>
                <w:sz w:val="20"/>
                <w:szCs w:val="20"/>
                <w:u w:val="none"/>
              </w:rPr>
            </w:pPr>
          </w:p>
        </w:tc>
      </w:tr>
      <w:tr w14:paraId="1E38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1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9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Φ80mm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E3F5">
            <w:pPr>
              <w:jc w:val="center"/>
              <w:rPr>
                <w:rFonts w:hint="eastAsia" w:ascii="宋体" w:hAnsi="宋体" w:eastAsia="宋体" w:cs="宋体"/>
                <w:i w:val="0"/>
                <w:iCs w:val="0"/>
                <w:color w:val="000000"/>
                <w:sz w:val="20"/>
                <w:szCs w:val="20"/>
                <w:u w:val="none"/>
              </w:rPr>
            </w:pPr>
          </w:p>
        </w:tc>
      </w:tr>
      <w:tr w14:paraId="5E67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9612" w:type="dxa"/>
            <w:gridSpan w:val="13"/>
            <w:tcBorders>
              <w:top w:val="nil"/>
              <w:left w:val="nil"/>
              <w:bottom w:val="nil"/>
              <w:right w:val="nil"/>
            </w:tcBorders>
            <w:shd w:val="clear" w:color="auto" w:fill="auto"/>
            <w:noWrap/>
            <w:vAlign w:val="center"/>
          </w:tcPr>
          <w:p w14:paraId="3E8C99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5-汤河路与庄子路交叉口</w:t>
            </w:r>
          </w:p>
        </w:tc>
      </w:tr>
      <w:tr w14:paraId="423D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F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D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7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F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277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0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E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标线</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9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单黄线、车道分界线、禁止变换车道线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9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线宽15cm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C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3BBA">
            <w:pPr>
              <w:jc w:val="center"/>
              <w:rPr>
                <w:rFonts w:hint="eastAsia" w:ascii="宋体" w:hAnsi="宋体" w:eastAsia="宋体" w:cs="宋体"/>
                <w:i w:val="0"/>
                <w:iCs w:val="0"/>
                <w:color w:val="000000"/>
                <w:sz w:val="20"/>
                <w:szCs w:val="20"/>
                <w:u w:val="none"/>
              </w:rPr>
            </w:pPr>
          </w:p>
        </w:tc>
      </w:tr>
      <w:tr w14:paraId="0289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B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7D9B">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4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停止线、人行横道线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E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9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E222">
            <w:pPr>
              <w:jc w:val="center"/>
              <w:rPr>
                <w:rFonts w:hint="eastAsia" w:ascii="宋体" w:hAnsi="宋体" w:eastAsia="宋体" w:cs="宋体"/>
                <w:i w:val="0"/>
                <w:iCs w:val="0"/>
                <w:color w:val="000000"/>
                <w:sz w:val="20"/>
                <w:szCs w:val="20"/>
                <w:u w:val="none"/>
              </w:rPr>
            </w:pPr>
          </w:p>
        </w:tc>
      </w:tr>
      <w:tr w14:paraId="3C1A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A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C69A">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D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双黄线填充线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D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线宽45cm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6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7A9B">
            <w:pPr>
              <w:jc w:val="center"/>
              <w:rPr>
                <w:rFonts w:hint="eastAsia" w:ascii="宋体" w:hAnsi="宋体" w:eastAsia="宋体" w:cs="宋体"/>
                <w:i w:val="0"/>
                <w:iCs w:val="0"/>
                <w:color w:val="000000"/>
                <w:sz w:val="20"/>
                <w:szCs w:val="20"/>
                <w:u w:val="none"/>
              </w:rPr>
            </w:pPr>
          </w:p>
        </w:tc>
      </w:tr>
      <w:tr w14:paraId="0A67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A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3D47">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右转危险区标线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7FF2">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7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C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6AC3">
            <w:pPr>
              <w:jc w:val="center"/>
              <w:rPr>
                <w:rFonts w:hint="eastAsia" w:ascii="宋体" w:hAnsi="宋体" w:eastAsia="宋体" w:cs="宋体"/>
                <w:i w:val="0"/>
                <w:iCs w:val="0"/>
                <w:color w:val="000000"/>
                <w:sz w:val="20"/>
                <w:szCs w:val="20"/>
                <w:u w:val="none"/>
              </w:rPr>
            </w:pPr>
          </w:p>
        </w:tc>
      </w:tr>
      <w:tr w14:paraId="2D9B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4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0B54">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D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8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5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0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0D3">
            <w:pPr>
              <w:jc w:val="center"/>
              <w:rPr>
                <w:rFonts w:hint="eastAsia" w:ascii="宋体" w:hAnsi="宋体" w:eastAsia="宋体" w:cs="宋体"/>
                <w:i w:val="0"/>
                <w:iCs w:val="0"/>
                <w:color w:val="000000"/>
                <w:sz w:val="20"/>
                <w:szCs w:val="20"/>
                <w:u w:val="none"/>
              </w:rPr>
            </w:pPr>
          </w:p>
        </w:tc>
      </w:tr>
      <w:tr w14:paraId="18D5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9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E1C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F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导向箭头（左转、右转）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0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E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2E4A">
            <w:pPr>
              <w:jc w:val="center"/>
              <w:rPr>
                <w:rFonts w:hint="eastAsia" w:ascii="宋体" w:hAnsi="宋体" w:eastAsia="宋体" w:cs="宋体"/>
                <w:i w:val="0"/>
                <w:iCs w:val="0"/>
                <w:color w:val="000000"/>
                <w:sz w:val="20"/>
                <w:szCs w:val="20"/>
                <w:u w:val="none"/>
              </w:rPr>
            </w:pPr>
          </w:p>
        </w:tc>
      </w:tr>
      <w:tr w14:paraId="486D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BB26">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3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导向箭头（直行+左转）</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3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长6m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1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CD64">
            <w:pPr>
              <w:jc w:val="center"/>
              <w:rPr>
                <w:rFonts w:hint="eastAsia" w:ascii="宋体" w:hAnsi="宋体" w:eastAsia="宋体" w:cs="宋体"/>
                <w:i w:val="0"/>
                <w:iCs w:val="0"/>
                <w:color w:val="000000"/>
                <w:sz w:val="20"/>
                <w:szCs w:val="20"/>
                <w:u w:val="none"/>
              </w:rPr>
            </w:pPr>
          </w:p>
        </w:tc>
      </w:tr>
      <w:tr w14:paraId="6E75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7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08D6">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C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清除现状标线</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CC25">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C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0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D17F">
            <w:pPr>
              <w:jc w:val="center"/>
              <w:rPr>
                <w:rFonts w:hint="eastAsia" w:ascii="宋体" w:hAnsi="宋体" w:eastAsia="宋体" w:cs="宋体"/>
                <w:i w:val="0"/>
                <w:iCs w:val="0"/>
                <w:color w:val="000000"/>
                <w:sz w:val="20"/>
                <w:szCs w:val="20"/>
                <w:u w:val="none"/>
              </w:rPr>
            </w:pPr>
          </w:p>
        </w:tc>
      </w:tr>
      <w:tr w14:paraId="3D68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8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F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8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7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Φ80mm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2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8087">
            <w:pPr>
              <w:jc w:val="center"/>
              <w:rPr>
                <w:rFonts w:hint="eastAsia" w:ascii="宋体" w:hAnsi="宋体" w:eastAsia="宋体" w:cs="宋体"/>
                <w:i w:val="0"/>
                <w:iCs w:val="0"/>
                <w:color w:val="000000"/>
                <w:sz w:val="20"/>
                <w:szCs w:val="20"/>
                <w:u w:val="none"/>
              </w:rPr>
            </w:pPr>
          </w:p>
        </w:tc>
      </w:tr>
      <w:tr w14:paraId="015E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F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1571">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2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指路标志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9B4">
            <w:pPr>
              <w:jc w:val="left"/>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D45">
            <w:pPr>
              <w:jc w:val="center"/>
              <w:rPr>
                <w:rFonts w:hint="eastAsia" w:ascii="宋体" w:hAnsi="宋体" w:eastAsia="宋体" w:cs="宋体"/>
                <w:i w:val="0"/>
                <w:iCs w:val="0"/>
                <w:color w:val="000000"/>
                <w:sz w:val="20"/>
                <w:szCs w:val="20"/>
                <w:u w:val="none"/>
              </w:rPr>
            </w:pPr>
          </w:p>
        </w:tc>
      </w:tr>
      <w:tr w14:paraId="02E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CF8E">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C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分道标志</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7A2A">
            <w:pPr>
              <w:jc w:val="center"/>
              <w:rPr>
                <w:rFonts w:hint="eastAsia" w:ascii="宋体" w:hAnsi="宋体" w:eastAsia="宋体" w:cs="宋体"/>
                <w:i w:val="0"/>
                <w:iCs w:val="0"/>
                <w:color w:val="000000"/>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5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4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B946">
            <w:pPr>
              <w:jc w:val="center"/>
              <w:rPr>
                <w:rFonts w:hint="eastAsia" w:ascii="宋体" w:hAnsi="宋体" w:eastAsia="宋体" w:cs="宋体"/>
                <w:i w:val="0"/>
                <w:iCs w:val="0"/>
                <w:color w:val="000000"/>
                <w:sz w:val="20"/>
                <w:szCs w:val="20"/>
                <w:u w:val="none"/>
              </w:rPr>
            </w:pPr>
          </w:p>
        </w:tc>
      </w:tr>
      <w:tr w14:paraId="24C5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D45">
            <w:pPr>
              <w:jc w:val="center"/>
              <w:rPr>
                <w:rFonts w:hint="eastAsia" w:ascii="宋体" w:hAnsi="宋体" w:eastAsia="宋体" w:cs="宋体"/>
                <w:i w:val="0"/>
                <w:iCs w:val="0"/>
                <w:color w:val="000000"/>
                <w:sz w:val="20"/>
                <w:szCs w:val="20"/>
                <w:u w:val="none"/>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分道标牌贴膜更换</w:t>
            </w:r>
          </w:p>
        </w:tc>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400×200cm</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7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287">
            <w:pPr>
              <w:jc w:val="center"/>
              <w:rPr>
                <w:rFonts w:hint="eastAsia" w:ascii="宋体" w:hAnsi="宋体" w:eastAsia="宋体" w:cs="宋体"/>
                <w:i w:val="0"/>
                <w:iCs w:val="0"/>
                <w:color w:val="000000"/>
                <w:sz w:val="20"/>
                <w:szCs w:val="20"/>
                <w:u w:val="none"/>
              </w:rPr>
            </w:pPr>
          </w:p>
        </w:tc>
      </w:tr>
      <w:tr w14:paraId="74C0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9612" w:type="dxa"/>
            <w:gridSpan w:val="13"/>
            <w:tcBorders>
              <w:top w:val="nil"/>
              <w:left w:val="nil"/>
              <w:bottom w:val="single" w:color="000000" w:sz="4" w:space="0"/>
              <w:right w:val="nil"/>
            </w:tcBorders>
            <w:shd w:val="clear" w:color="auto" w:fill="auto"/>
            <w:noWrap/>
            <w:vAlign w:val="center"/>
          </w:tcPr>
          <w:p w14:paraId="0AD90FB2">
            <w:pPr>
              <w:spacing w:line="360" w:lineRule="auto"/>
              <w:jc w:val="both"/>
              <w:rPr>
                <w:rFonts w:hint="eastAsia" w:ascii="宋体" w:hAnsi="宋体" w:eastAsia="仿宋" w:cs="宋体"/>
                <w:b/>
                <w:bCs/>
                <w:i w:val="0"/>
                <w:iCs w:val="0"/>
                <w:color w:val="000000"/>
                <w:kern w:val="0"/>
                <w:sz w:val="22"/>
                <w:szCs w:val="22"/>
                <w:u w:val="none"/>
                <w:lang w:val="en-US" w:eastAsia="zh-CN" w:bidi="ar"/>
              </w:rPr>
            </w:pPr>
            <w:r>
              <w:rPr>
                <w:rFonts w:hint="eastAsia" w:ascii="仿宋" w:hAnsi="仿宋" w:eastAsia="仿宋"/>
                <w:b/>
                <w:bCs/>
                <w:sz w:val="28"/>
                <w:szCs w:val="28"/>
                <w:lang w:val="en-US" w:eastAsia="zh-CN"/>
              </w:rPr>
              <w:t>2.</w:t>
            </w:r>
            <w:r>
              <w:rPr>
                <w:rFonts w:hint="eastAsia" w:ascii="仿宋" w:hAnsi="仿宋" w:eastAsia="仿宋"/>
                <w:b/>
                <w:bCs/>
                <w:sz w:val="28"/>
                <w:szCs w:val="28"/>
              </w:rPr>
              <w:t>信号灯、电警、球机、后台存储</w:t>
            </w:r>
            <w:r>
              <w:rPr>
                <w:rFonts w:hint="eastAsia" w:ascii="仿宋" w:hAnsi="仿宋" w:eastAsia="仿宋"/>
                <w:b/>
                <w:bCs/>
                <w:sz w:val="28"/>
                <w:szCs w:val="28"/>
                <w:lang w:eastAsia="zh-CN"/>
              </w:rPr>
              <w:t>：</w:t>
            </w:r>
          </w:p>
          <w:p w14:paraId="19A64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1-小溪河S312与梨园路口</w:t>
            </w:r>
          </w:p>
        </w:tc>
      </w:tr>
      <w:tr w14:paraId="45FD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B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6" w:type="dxa"/>
            <w:gridSpan w:val="3"/>
            <w:tcBorders>
              <w:top w:val="single" w:color="000000" w:sz="4" w:space="0"/>
              <w:left w:val="single" w:color="000000" w:sz="4" w:space="0"/>
              <w:bottom w:val="single" w:color="000000" w:sz="4" w:space="0"/>
              <w:right w:val="nil"/>
            </w:tcBorders>
            <w:shd w:val="clear" w:color="auto" w:fill="auto"/>
            <w:vAlign w:val="center"/>
          </w:tcPr>
          <w:p w14:paraId="384F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09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1C8F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237E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信号灯</w:t>
            </w:r>
          </w:p>
        </w:tc>
      </w:tr>
      <w:tr w14:paraId="5C55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FD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信号机(含机柜)</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21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参数见《第三部分 信号灯》说明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5C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2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09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Φ400满屏灯，三色红、黄、绿独立显示</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6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73B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EF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倒计时器</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E4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与信号指示灯配套，独立安装</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A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1A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C6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0E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高6.5米，横臂4米</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6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2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E3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4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CE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人行指示灯</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E0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上联：红、绿双色人形，下联：红、绿双色倒计时</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A94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2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99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人行灯杆件及地笼</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34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高3.5米，上白下蓝，喷塑</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2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89E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FA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4A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RVV5×1.5</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2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55D6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61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32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RVV4×1.5</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0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6235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4E06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电警</w:t>
            </w:r>
          </w:p>
        </w:tc>
      </w:tr>
      <w:tr w14:paraId="32CB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70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900万像素环保电警摄像机</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64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F9C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6A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900万像素环保卡口高清摄像机</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1E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B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5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AA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0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5A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LED频闪补光灯</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58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0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BDD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F3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多合一环保爆闪灯</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CF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F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A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BBE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5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38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终端服务器(含机柜)</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45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4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9C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5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0C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交通信号灯检测器</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1A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0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E2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E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18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不低于400万像素违停球机</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3C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1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F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9C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8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66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76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2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7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2A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8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2B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悬挂机箱</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5E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具有防雷、防水、防尘、防盗，自动散热系统等功能；喷塑</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9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B79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A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D3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9C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高6.3m，横臂4m</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D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13C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A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7C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51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超五类室外防水屏蔽网线，CAT 5E、0.5mm实心无氧裸铜导体、抗拉强度2KN</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9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6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1E79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3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86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工业级光纤收发器</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E5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1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EFA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99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71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D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B7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22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E8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单模四芯</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B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7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2367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C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2F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2A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7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3D08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E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7009">
            <w:pPr>
              <w:jc w:val="left"/>
              <w:rPr>
                <w:rFonts w:hint="eastAsia" w:ascii="宋体" w:hAnsi="宋体" w:eastAsia="宋体" w:cs="宋体"/>
                <w:i w:val="0"/>
                <w:iCs w:val="0"/>
                <w:color w:val="000000"/>
                <w:sz w:val="20"/>
                <w:szCs w:val="20"/>
                <w:u w:val="none"/>
              </w:rPr>
            </w:pP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10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RVVP2×1.0</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5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726A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8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6B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系统集成及安装调试</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49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电子警察及信号系统</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0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E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D5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A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E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回传光纤租赁费用</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1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1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84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7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2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C9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7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土建及附属</w:t>
            </w:r>
          </w:p>
        </w:tc>
      </w:tr>
      <w:tr w14:paraId="192BA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D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3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KVV3×6</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57F4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5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50mmPE、壁厚2mm</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F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电源线套管</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8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182B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75mmPE、壁厚3mm</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2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人行道或绿化带内埋管、引线管</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4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1BF8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F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SC80镀锌钢管、壁厚3mm</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F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过车行道钢管</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7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4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B88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3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F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M7.5浆砌MU10砖、500×500×800mm</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2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D82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5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4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恢复人行道铺装</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9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6cm厚C25砼砖+3cm厚1:3水泥砂浆+15cm厚C25砼基层</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9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65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1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恢复车行道路面</w:t>
            </w:r>
          </w:p>
        </w:tc>
        <w:tc>
          <w:tcPr>
            <w:tcW w:w="46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5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25cm厚C25砼+15cm厚碎石</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6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453C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612" w:type="dxa"/>
            <w:gridSpan w:val="13"/>
            <w:tcBorders>
              <w:top w:val="single" w:color="000000" w:sz="4" w:space="0"/>
              <w:left w:val="nil"/>
              <w:bottom w:val="single" w:color="000000" w:sz="4" w:space="0"/>
              <w:right w:val="nil"/>
            </w:tcBorders>
            <w:shd w:val="clear" w:color="auto" w:fill="auto"/>
            <w:noWrap/>
            <w:vAlign w:val="center"/>
          </w:tcPr>
          <w:p w14:paraId="29510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2-西泉镇S315与许村交叉路口</w:t>
            </w:r>
          </w:p>
        </w:tc>
      </w:tr>
      <w:tr w14:paraId="6683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3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6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4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049B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F72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信号灯</w:t>
            </w:r>
          </w:p>
        </w:tc>
      </w:tr>
      <w:tr w14:paraId="5F5C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5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43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信号机(含机柜)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5B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参数见《第三部分 信号灯》说明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B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26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B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7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E2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Φ400满屏灯，三色红、黄、绿独立显示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5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AF9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2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2C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B7D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与信号指示灯配套，独立安装</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A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C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C57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A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40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7F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高6.5米，横臂5米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1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6FF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FE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13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高5.2米，单立柱</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A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AA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A9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8E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上联：红、绿双色人形，下联：红、绿双色倒计时</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D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DA0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F4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72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高3.5米，上白下蓝，喷塑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2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0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B1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8A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A4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RVV5×1.5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4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77AB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4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FC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54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5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2E6E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E514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电警</w:t>
            </w:r>
          </w:p>
        </w:tc>
      </w:tr>
      <w:tr w14:paraId="7E4B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E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50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900万像素环保电警摄像机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E3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0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FAB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4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40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900万像素环保卡口高清摄像机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C6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D0A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2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1E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LED频闪补光灯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03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B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8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D82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35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多合一环保爆闪灯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C6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A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1AB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0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39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终端服务器(含机柜)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71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29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DD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交通信号灯检测器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6A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C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7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E3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F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90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C1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EF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3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D5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悬挂机箱</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1B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具有防雷、防水、防尘、防盗，自动散热系统等功能；喷塑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A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CD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E2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7F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高6.3m，横臂3m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0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F5B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CC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AD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高6.3m，横臂5m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4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1F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1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33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D4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超五类室外防水屏蔽网线，CAT 5E、0.5mm实心无氧裸铜导体、抗拉强度2KN</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3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687B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4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E3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工业级光纤收发器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32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E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7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E56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3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1E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04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4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093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8A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54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单模四芯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B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37AE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8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A8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55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B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267F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8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90C7">
            <w:pPr>
              <w:jc w:val="left"/>
              <w:rPr>
                <w:rFonts w:hint="eastAsia" w:ascii="宋体" w:hAnsi="宋体" w:eastAsia="宋体" w:cs="宋体"/>
                <w:i w:val="0"/>
                <w:iCs w:val="0"/>
                <w:color w:val="000000"/>
                <w:sz w:val="20"/>
                <w:szCs w:val="20"/>
                <w:u w:val="none"/>
              </w:rPr>
            </w:pP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E2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RVVP2×1.0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5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0B07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E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27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系统集成及安装调试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C1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电子警察及信号系统</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7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6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BF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E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回传光纤租赁费用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0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43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8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6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3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C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B5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96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土建及附属</w:t>
            </w:r>
          </w:p>
        </w:tc>
      </w:tr>
      <w:tr w14:paraId="42FE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B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5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8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1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6F19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9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9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50mmPE、壁厚2mm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4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电源线套管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7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D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730A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75mmPE、壁厚3mm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2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人行道或绿化带内埋管、引线管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3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1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8C8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7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0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90mmPE、壁厚4mm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定向钻过路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A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0573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2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2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SC80镀锌钢管、壁厚3mm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2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过车行道钢管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115E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C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1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B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M7.5浆砌MU10砖、500×500×800mm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E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8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1730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C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拆除破损水泥砼路面</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F055">
            <w:pPr>
              <w:jc w:val="lef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D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F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8B2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4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恢复水泥混凝土路面及局部硬化</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5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25cm厚C25砼+15cm厚碎石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9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A20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12" w:type="dxa"/>
            <w:gridSpan w:val="13"/>
            <w:tcBorders>
              <w:top w:val="single" w:color="000000" w:sz="4" w:space="0"/>
              <w:left w:val="nil"/>
              <w:bottom w:val="single" w:color="000000" w:sz="4" w:space="0"/>
              <w:right w:val="nil"/>
            </w:tcBorders>
            <w:shd w:val="clear" w:color="auto" w:fill="auto"/>
            <w:noWrap/>
            <w:vAlign w:val="center"/>
          </w:tcPr>
          <w:p w14:paraId="04070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3-老人桥路与凤阳二中北门路口</w:t>
            </w:r>
          </w:p>
        </w:tc>
      </w:tr>
      <w:tr w14:paraId="640B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33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04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5D6A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B7CF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信号灯</w:t>
            </w:r>
          </w:p>
        </w:tc>
      </w:tr>
      <w:tr w14:paraId="2C41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3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E6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信号机(含机柜)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17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参数见《第三部分 信号灯》说明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F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A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D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2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43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Φ400满屏灯，三色红、黄、绿独立显示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6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F44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F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D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66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与信号指示灯配套，独立安装</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7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0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796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8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B6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02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高6.5米，横臂3米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7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06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A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F1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1B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高6.5米，横臂5米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9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7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27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B1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51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高6.5米，横臂8米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5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C3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BB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64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上联：红、绿双色人形，下联：红、绿双色倒计时</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B05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B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D6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62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高3.5米，上白下蓝，喷塑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9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074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3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59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061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RVV5×1.5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B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28D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E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52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A8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4473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E52C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电警</w:t>
            </w:r>
          </w:p>
        </w:tc>
      </w:tr>
      <w:tr w14:paraId="0B23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74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900万像素环保电警摄像机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A5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1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E6A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F4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900万像素环保卡口高清摄像机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83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B4E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3B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LED频闪补光灯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3A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E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D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288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A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34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多合一环保爆闪灯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B4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C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18A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45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终端服务器(含机柜)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EC7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0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E4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5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1E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交通信号灯检测器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2A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7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9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1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4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C8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枪球一体机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96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0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F1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60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DE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5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39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F1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悬挂机箱</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12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具有防雷、防水、防尘、防盗，自动散热系统等功能；喷塑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E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0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AEA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9A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6A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高6.3m，横臂4m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E1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EE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8A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高6.3m，横臂8m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2CA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5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7D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C6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超五类室外防水屏蔽网线，CAT 5E、0.5mm实心无氧裸铜导体、抗拉强度2KN</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5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3B5C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7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工业级光纤收发器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4D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8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BBD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2B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1F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2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76F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2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C2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5A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单模四芯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B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0BF5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1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9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FA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3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6A8E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B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1278">
            <w:pPr>
              <w:jc w:val="left"/>
              <w:rPr>
                <w:rFonts w:hint="eastAsia" w:ascii="宋体" w:hAnsi="宋体" w:eastAsia="宋体" w:cs="宋体"/>
                <w:i w:val="0"/>
                <w:iCs w:val="0"/>
                <w:color w:val="000000"/>
                <w:sz w:val="20"/>
                <w:szCs w:val="20"/>
                <w:u w:val="none"/>
              </w:rPr>
            </w:pP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EC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RVVP2×1.0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2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r>
      <w:tr w14:paraId="46BA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24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系统集成及安装调试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39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电子警察及信号系统</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3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4D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回传光纤租赁费用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2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7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D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7E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6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A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2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D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E2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F8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土建及附属</w:t>
            </w:r>
          </w:p>
        </w:tc>
      </w:tr>
      <w:tr w14:paraId="010D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7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D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A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A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614C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1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4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50mmPE、壁厚2mm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电源线套管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F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43AE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4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75mmPE、壁厚3mm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7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人行道或绿化带内埋管、引线管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1D8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0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90mmPE、壁厚4mm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2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定向钻过路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6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0E3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B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9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6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M7.5浆砌MU10砖、500×500×800mm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A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5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D6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E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1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恢复人行道铺装</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2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6cm厚C25砼砖+3cm厚1:3水泥砂浆+15cm厚C25砼基层</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3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50D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612" w:type="dxa"/>
            <w:gridSpan w:val="13"/>
            <w:tcBorders>
              <w:top w:val="single" w:color="000000" w:sz="4" w:space="0"/>
              <w:left w:val="nil"/>
              <w:bottom w:val="single" w:color="000000" w:sz="4" w:space="0"/>
              <w:right w:val="nil"/>
            </w:tcBorders>
            <w:shd w:val="clear" w:color="auto" w:fill="auto"/>
            <w:noWrap/>
            <w:vAlign w:val="center"/>
          </w:tcPr>
          <w:p w14:paraId="07C90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4-黄泥铺G329与X041路口（现为汤河路与庄子路交叉口）</w:t>
            </w:r>
          </w:p>
        </w:tc>
      </w:tr>
      <w:tr w14:paraId="059E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5" w:type="dxa"/>
            <w:gridSpan w:val="3"/>
            <w:tcBorders>
              <w:top w:val="single" w:color="000000" w:sz="4" w:space="0"/>
              <w:left w:val="nil"/>
              <w:bottom w:val="single" w:color="000000" w:sz="4" w:space="0"/>
              <w:right w:val="single" w:color="000000" w:sz="4" w:space="0"/>
            </w:tcBorders>
            <w:shd w:val="clear" w:color="auto" w:fill="auto"/>
            <w:vAlign w:val="center"/>
          </w:tcPr>
          <w:p w14:paraId="57AC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1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9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E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1AF6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535B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信号灯</w:t>
            </w:r>
          </w:p>
        </w:tc>
      </w:tr>
      <w:tr w14:paraId="7322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02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信号机(含机柜)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4A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参数见《第三部分 信号灯》说明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5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F8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A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E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9B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Φ400满屏灯，三色红、黄、绿独立显示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B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D6D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4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3C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Φ400箭头灯，三色红、黄、绿独立显示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8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6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48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E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7F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F6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与信号指示灯配套，独立安装</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C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79E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7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4A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16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高6.5米，横臂3米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C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C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7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92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信号指示灯杆件及地笼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A2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高6.5米，横臂8米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E8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3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8D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人行指示灯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8B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上联：红、绿双色人形，下联：红、绿双色倒计时</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4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D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65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9D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人行灯杆件及地笼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03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高3.5米，上白下蓝，喷塑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D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C7A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8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E2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45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RVV5×1.5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9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456E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00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EE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RVV4×1.5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757A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5D8D9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电警</w:t>
            </w:r>
          </w:p>
        </w:tc>
      </w:tr>
      <w:tr w14:paraId="7368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0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FB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900万像素环保电警摄像机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66F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6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9E6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7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F9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900万像素环保卡口高清摄像机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8B3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3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D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D6F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A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62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LED频闪补光灯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0BA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2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3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9D5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C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C3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多合一环保爆闪灯</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3D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F8B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C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75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终端服务器(含机柜)</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A40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E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2F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0C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交通信号灯检测器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32B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CD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C3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不低于400万像素违停球机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1E5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3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31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37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764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2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D9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9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9E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悬挂机箱</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D7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具有防雷、防水、防尘、防盗，自动散热系统等功能；喷塑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7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1A9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B0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46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高6.3m，横臂8m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7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C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80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13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电子警察杆件及地笼</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6E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高6.3m，横臂10m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35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F7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1F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超五类室外防水屏蔽网线，CAT 5E、0.5mm实心无氧裸铜导体、抗拉强度2KN</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5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4D84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92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工业级光纤收发器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7F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7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DC7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7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8B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39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参数见《第四部分 电子警察系统》说明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404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4C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09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单模四芯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E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2B62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6C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E0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494C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A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E7EC">
            <w:pPr>
              <w:jc w:val="left"/>
              <w:rPr>
                <w:rFonts w:hint="eastAsia" w:ascii="宋体" w:hAnsi="宋体" w:eastAsia="宋体" w:cs="宋体"/>
                <w:i w:val="0"/>
                <w:iCs w:val="0"/>
                <w:color w:val="000000"/>
                <w:sz w:val="20"/>
                <w:szCs w:val="20"/>
                <w:u w:val="none"/>
              </w:rPr>
            </w:pP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15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RVVP2×1.0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4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B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76B3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E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98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系统集成及安装调试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5E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电子警察及信号系统</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9B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5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回传光纤租赁费用</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D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C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F0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A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6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时长3年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C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2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BD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6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45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土建及附属</w:t>
            </w:r>
          </w:p>
        </w:tc>
      </w:tr>
      <w:tr w14:paraId="5F1C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E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6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KVV3×6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8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2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5EB9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7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50mmPE、壁厚2mm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9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电源线套管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3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9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67BB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E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75mmPE、壁厚3mm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3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人行道或绿化带内埋管、引线管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9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8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237E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C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8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90mmPE、壁厚4mm</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定向钻过路</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9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7BD1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B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2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手孔井</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8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M7.5浆砌MU10砖、500×500×800mm</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2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5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2BE8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1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恢复人行道铺装</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6cm厚C25砼砖+3cm厚1:3水泥砂浆+15cm厚C25砼基层</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4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2B5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612" w:type="dxa"/>
            <w:gridSpan w:val="13"/>
            <w:tcBorders>
              <w:top w:val="nil"/>
              <w:left w:val="nil"/>
              <w:bottom w:val="single" w:color="000000" w:sz="4" w:space="0"/>
              <w:right w:val="nil"/>
            </w:tcBorders>
            <w:shd w:val="clear" w:color="auto" w:fill="auto"/>
            <w:noWrap/>
            <w:vAlign w:val="center"/>
          </w:tcPr>
          <w:p w14:paraId="0EF313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智能交通设备监测系统及后台存储等</w:t>
            </w:r>
          </w:p>
        </w:tc>
      </w:tr>
      <w:tr w14:paraId="6325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8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04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4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6E3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0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05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交通设备监测系统</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A2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参数见《第五部分 后台存储及监测系统》说明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2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C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BC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6A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云存储节点</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D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参数见《第五部分 后台存储及监测系统》说明、满配48块8TB企业级SATA磁盘</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1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20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E1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4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4A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参数见《第五部分 后台存储及监测系统》说明</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B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CEB77E9">
      <w:pPr>
        <w:spacing w:before="240" w:beforeLines="100" w:after="240" w:afterLines="100" w:line="440" w:lineRule="exact"/>
        <w:jc w:val="center"/>
        <w:rPr>
          <w:rFonts w:hint="eastAsia" w:ascii="宋体" w:hAnsi="宋体" w:cs="宋体"/>
          <w:b/>
          <w:sz w:val="30"/>
          <w:szCs w:val="30"/>
        </w:rPr>
      </w:pPr>
      <w:bookmarkStart w:id="39" w:name="_Toc15293"/>
      <w:bookmarkStart w:id="40" w:name="_Toc14698"/>
      <w:bookmarkStart w:id="41" w:name="_Toc24419"/>
    </w:p>
    <w:p w14:paraId="406BA974">
      <w:pPr>
        <w:spacing w:before="240" w:beforeLines="100" w:after="240" w:afterLines="100" w:line="440" w:lineRule="exact"/>
        <w:jc w:val="both"/>
        <w:rPr>
          <w:rFonts w:hint="eastAsia" w:ascii="宋体" w:hAnsi="宋体" w:cs="宋体"/>
          <w:b/>
          <w:sz w:val="30"/>
          <w:szCs w:val="30"/>
        </w:rPr>
      </w:pPr>
    </w:p>
    <w:p w14:paraId="118FF45F">
      <w:pPr>
        <w:widowControl/>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第一部分 </w:t>
      </w:r>
      <w:r>
        <w:rPr>
          <w:rFonts w:hint="eastAsia" w:ascii="宋体" w:hAnsi="宋体" w:eastAsia="宋体" w:cs="宋体"/>
          <w:b/>
          <w:bCs/>
          <w:color w:val="000000"/>
          <w:kern w:val="0"/>
          <w:sz w:val="24"/>
          <w:szCs w:val="24"/>
          <w:lang w:val="en-US" w:eastAsia="zh-CN" w:bidi="ar"/>
        </w:rPr>
        <w:t>项目</w:t>
      </w:r>
      <w:r>
        <w:rPr>
          <w:rFonts w:hint="eastAsia" w:ascii="宋体" w:hAnsi="宋体" w:eastAsia="宋体" w:cs="宋体"/>
          <w:b/>
          <w:bCs/>
          <w:color w:val="000000"/>
          <w:kern w:val="0"/>
          <w:sz w:val="24"/>
          <w:szCs w:val="24"/>
          <w:lang w:bidi="ar"/>
        </w:rPr>
        <w:t>概况</w:t>
      </w:r>
    </w:p>
    <w:p w14:paraId="247CD37C">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小溪河S312与梨园路口、G345与前进村路口、西泉镇S315与许村交叉路口、黄泥铺G329与X041路口、老人桥路与凤阳二中北门路口5处智能交通工程，主要建设内容如下：</w:t>
      </w:r>
    </w:p>
    <w:p w14:paraId="17E5E257">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1、小溪河S312与梨园路口：完善交通标志标线、设置信号灯及电子警察。</w:t>
      </w:r>
    </w:p>
    <w:p w14:paraId="52BD3A36">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2、G345与前进村路口：优化交通组织、设置“二次过街”、完善标志标线及附属设施。</w:t>
      </w:r>
    </w:p>
    <w:p w14:paraId="22F2C820">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3、西泉镇S315与许村交叉路口：完善交通标志标线、设置信号灯及电子警察。</w:t>
      </w:r>
    </w:p>
    <w:p w14:paraId="06CE41B3">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4、黄泥铺G329与X041路口(现为汤河路与庄子路交叉口)：优化交通组织、完善交通标志标线、设置信号灯及电子警察。</w:t>
      </w:r>
    </w:p>
    <w:p w14:paraId="48A0B5F1">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5、老人桥路与凤阳二中北门路口：完善交通标志标线、设置信号灯及电子警察。</w:t>
      </w:r>
    </w:p>
    <w:p w14:paraId="3D8E25F0">
      <w:pPr>
        <w:widowControl/>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w:t>
      </w:r>
      <w:r>
        <w:rPr>
          <w:rFonts w:hint="eastAsia" w:ascii="宋体" w:hAnsi="宋体" w:eastAsia="宋体" w:cs="宋体"/>
          <w:color w:val="000000"/>
          <w:kern w:val="0"/>
          <w:sz w:val="24"/>
          <w:szCs w:val="24"/>
          <w:lang w:val="en-US" w:eastAsia="zh-CN" w:bidi="ar"/>
        </w:rPr>
        <w:t>项目</w:t>
      </w:r>
      <w:r>
        <w:rPr>
          <w:rFonts w:hint="eastAsia" w:ascii="宋体" w:hAnsi="宋体" w:eastAsia="宋体" w:cs="宋体"/>
          <w:color w:val="000000"/>
          <w:kern w:val="0"/>
          <w:sz w:val="24"/>
          <w:szCs w:val="24"/>
          <w:lang w:bidi="ar"/>
        </w:rPr>
        <w:t>的实施可使本</w:t>
      </w:r>
      <w:r>
        <w:rPr>
          <w:rFonts w:hint="eastAsia" w:ascii="宋体" w:hAnsi="宋体" w:eastAsia="宋体" w:cs="宋体"/>
          <w:color w:val="000000"/>
          <w:kern w:val="0"/>
          <w:sz w:val="24"/>
          <w:szCs w:val="24"/>
          <w:lang w:val="en-US" w:eastAsia="zh-CN" w:bidi="ar"/>
        </w:rPr>
        <w:t>项目</w:t>
      </w:r>
      <w:r>
        <w:rPr>
          <w:rFonts w:hint="eastAsia" w:ascii="宋体" w:hAnsi="宋体" w:eastAsia="宋体" w:cs="宋体"/>
          <w:color w:val="000000"/>
          <w:kern w:val="0"/>
          <w:sz w:val="24"/>
          <w:szCs w:val="24"/>
          <w:lang w:bidi="ar"/>
        </w:rPr>
        <w:t>5处交叉口交通运行有序、实现安全、畅通的出行环境。</w:t>
      </w:r>
    </w:p>
    <w:p w14:paraId="024E9331">
      <w:pPr>
        <w:widowControl/>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第二部分 交通标志标线</w:t>
      </w:r>
    </w:p>
    <w:p w14:paraId="4CDD93F0">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一、设计规范及标准</w:t>
      </w:r>
    </w:p>
    <w:p w14:paraId="34E32A8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《城市道路设计规范》(CJJ37-2012)2016版</w:t>
      </w:r>
    </w:p>
    <w:p w14:paraId="571D9F5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《城市道路交叉口设计规程》(CJJ152-2010)</w:t>
      </w:r>
    </w:p>
    <w:p w14:paraId="3551FA1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《城市道路交通标志和标线设置规范》(GB51038-2015)</w:t>
      </w:r>
    </w:p>
    <w:p w14:paraId="428A231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《道路交通标志和标线 第1部分：总则》(GB5768.1-2009)</w:t>
      </w:r>
    </w:p>
    <w:p w14:paraId="5A5E12F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《道路交通标志和标线 第2部分：道路交通标志》(GB5768.2-2022)</w:t>
      </w:r>
    </w:p>
    <w:p w14:paraId="3681EF6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《道路交通标志和标线 第3部分：道路交通标线》(GB5768.3-2009)</w:t>
      </w:r>
    </w:p>
    <w:p w14:paraId="7E6FC24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《城市道路交通设施设计规范》(GB50688-2011)2019年版</w:t>
      </w:r>
    </w:p>
    <w:p w14:paraId="2FB8891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《道路交通标志板及支撑件》(GB/T23827-2021)</w:t>
      </w:r>
    </w:p>
    <w:p w14:paraId="59C5661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《道路交通反光膜》(GB/T18833-2012)</w:t>
      </w:r>
    </w:p>
    <w:p w14:paraId="7860773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《路面标线涂料》(JT/T280-2004)</w:t>
      </w:r>
    </w:p>
    <w:p w14:paraId="3013C2F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《道路交通标线质量要求和检测方法》(GB/T16311-2024)</w:t>
      </w:r>
    </w:p>
    <w:p w14:paraId="5FDAF7B7">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二、设计原则</w:t>
      </w:r>
    </w:p>
    <w:p w14:paraId="60F0F35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交通标志和标线应根据道路条件、交通流条件、交通环境、道路使用者的需求及交通管理的需要进行设置，并应与周边的设施环境和景观条件相协调。当设置条件发生变化时，应及时增减、调换、更新交通标志和标线。</w:t>
      </w:r>
    </w:p>
    <w:p w14:paraId="586A3E1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通标志和标线的的设置应立足道路交通有序、安全、畅通的原则，符合国家现行有关标准的规定，并保持清晰、醒目、准确。交通标志不应被行道树、广告、灯箱等设施遮挡，且不应遮挡信号灯或其他交通标志。</w:t>
      </w:r>
    </w:p>
    <w:p w14:paraId="513D7DE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3、交通标志和标线应根据情况配合使用，其传递的信息应相互协调，同时应与交通管理措施、设施相协调。</w:t>
      </w:r>
    </w:p>
    <w:p w14:paraId="198A6B4E">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三、交通标线</w:t>
      </w:r>
    </w:p>
    <w:p w14:paraId="0EF96A0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1、交通标线的平面布设</w:t>
      </w:r>
    </w:p>
    <w:p w14:paraId="70E5347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按照《道路交通标志和标线》(GB5768-2009)的布设原则，本工程交通标线设有车行道边缘线、人行横道线、停止线、单黄线及导向箭头等。</w:t>
      </w:r>
    </w:p>
    <w:p w14:paraId="280C5C9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(1)车行道分界线：白色、线宽15cm；实线段2m、空档4m。</w:t>
      </w:r>
    </w:p>
    <w:p w14:paraId="6D29D06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(2)人行横道线：白色实线、线宽0.4m、间距0.6m、长度2～5m；</w:t>
      </w:r>
    </w:p>
    <w:p w14:paraId="0ECD36B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(3)停止线：白色实线、线宽0.4m，路口处距离人行横道线2m；</w:t>
      </w:r>
    </w:p>
    <w:p w14:paraId="5226E90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(4)导向箭头：白色、长6m、线宽0.3m及长3m、线宽0.15m两种。</w:t>
      </w:r>
    </w:p>
    <w:p w14:paraId="5D629B9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(5)减速让行线：两条平行的虚线和一个倒三角形，白色。虚线宽20cm，两条虚线间隔20cm，实线长60cm，空档20cm。倒三角形底宽120cm，高300cm,底部线宽40cm，余下部分线宽15cm。</w:t>
      </w:r>
    </w:p>
    <w:p w14:paraId="6EF85F8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(6)减速震荡标线：白色、宽30cm。</w:t>
      </w:r>
    </w:p>
    <w:p w14:paraId="7E5C352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2、交通标线材料的选择</w:t>
      </w:r>
    </w:p>
    <w:p w14:paraId="2649328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(1)标线采用热熔反光型涂料进行标划，标线干膜厚度为1.8mm；震荡标线基线厚度1.8mm，凸起厚度4mm。</w:t>
      </w:r>
    </w:p>
    <w:p w14:paraId="488783F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(2)涂料中含反光玻璃珠，含量18%～25%。</w:t>
      </w:r>
    </w:p>
    <w:p w14:paraId="7857E21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标线材料应耐久、耐磨耗、耐腐蚀，与路面黏结力强；抗龟裂好，冬季也不易开裂；色泽鲜艳、表面光泽度好，具有较好的可辨性。标线的亮度因数、逆反射亮度系数指标要符合《城市道路交通设施设计规范》(GB50688-2011)的要求。</w:t>
      </w:r>
    </w:p>
    <w:p w14:paraId="7DA754DA">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四、交通标志及附属</w:t>
      </w:r>
    </w:p>
    <w:p w14:paraId="4983A91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1、交通标志版面及结构形式</w:t>
      </w:r>
    </w:p>
    <w:p w14:paraId="76F13B5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交通标志底膜采用3MⅢ类反光膜、字膜采用3MⅣ类反光膜。</w:t>
      </w:r>
    </w:p>
    <w:p w14:paraId="071076F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标志的结构形式主要有单柱式、悬臂式及附着式。</w:t>
      </w:r>
    </w:p>
    <w:p w14:paraId="621D5F3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2、交通标志材料及结构</w:t>
      </w:r>
    </w:p>
    <w:p w14:paraId="2E4164C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(1)对于版面面积＜1㎡的，采用1.5mm厚的铝合金板制作；对于版面面积≥1㎡的，采用3mm厚的铝合金板制作。铝板与铝槽、铝角之间采用焊接工艺连接。</w:t>
      </w:r>
    </w:p>
    <w:p w14:paraId="19EBB73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(2)标志的支撑结构应保证安全、美观、耐用。标志结构中所有的钢构件均应进行热浸镀锌处理，螺母、螺栓等小型构件的镀锌量为350g/㎡，其余为550g/㎡。</w:t>
      </w:r>
    </w:p>
    <w:p w14:paraId="0CF6BB7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(3)交通标志杆件安装时，标志基础采用现浇混凝土基础。混凝土标号为C25。标志立柱在基础砼强度到达设计强度的100%时方可安装。</w:t>
      </w:r>
    </w:p>
    <w:p w14:paraId="2019560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(4)交通标志应按设计图要求进行定位和设置，指路和警告标志板与行车方向的垂线为0°～10°交角，禁令和指示标志成0°～45°交角，以减少对驾驶员的眩光。</w:t>
      </w:r>
    </w:p>
    <w:p w14:paraId="74D1C383">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五、</w:t>
      </w:r>
      <w:r>
        <w:rPr>
          <w:rFonts w:hint="eastAsia" w:ascii="宋体" w:hAnsi="宋体" w:eastAsia="宋体" w:cs="宋体"/>
          <w:b/>
          <w:bCs/>
          <w:color w:val="000000"/>
          <w:kern w:val="0"/>
          <w:sz w:val="24"/>
          <w:szCs w:val="24"/>
          <w:lang w:val="en-US" w:eastAsia="zh-CN" w:bidi="ar"/>
        </w:rPr>
        <w:t>服务</w:t>
      </w:r>
      <w:r>
        <w:rPr>
          <w:rFonts w:hint="eastAsia" w:ascii="宋体" w:hAnsi="宋体" w:eastAsia="宋体" w:cs="宋体"/>
          <w:b/>
          <w:bCs/>
          <w:color w:val="000000"/>
          <w:kern w:val="0"/>
          <w:sz w:val="24"/>
          <w:szCs w:val="24"/>
          <w:lang w:bidi="ar"/>
        </w:rPr>
        <w:t>要求</w:t>
      </w:r>
    </w:p>
    <w:p w14:paraId="5EC1122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交通标线应符合《路面标线涂料》(JT/T280-2004)要求，并满足《道路交通标线质量要求和检测方法》(GB/T16311-2024)的要求。</w:t>
      </w:r>
    </w:p>
    <w:p w14:paraId="2A4AD58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交通标志反光膜应符合《道路交通反光膜》(GB/T18833-2012)的要求。</w:t>
      </w:r>
    </w:p>
    <w:p w14:paraId="016990E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标志板采用铝合金，曲边采用U字形曲边，板材质量应符合《道路交通标志板及支撑件》(GB/T23827-2021)的要求。</w:t>
      </w:r>
    </w:p>
    <w:p w14:paraId="4A2485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交通标志须按照《道路交通标志和标线》(GB5768-2009)的要求进行制作，形状、图案、文字均应符合相关规定。标志板的尺寸偏差应在0.5%以内，标志相邻边夹角偏差≤±0.5°。</w:t>
      </w:r>
    </w:p>
    <w:p w14:paraId="7514D85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标志板平面应平整，表面无明显皱纹，凹凸痕迹。标志板制作完成后，不得有明显的裂纹、划痕，反光膜颜色应均匀。</w:t>
      </w:r>
    </w:p>
    <w:p w14:paraId="41F5225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标志立柱应垂直固定于基础预埋件上，标志板与支撑结构抱箍连接，连接螺栓紧固应适中，不得造成标志版面变形，标志板在安装过程中应避免损伤标志版面。</w:t>
      </w:r>
    </w:p>
    <w:p w14:paraId="2E10570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标志中所有的钢构件均应进行热浸镀锌处理。外露铁件均应采取防腐处理，并应符合施工规范要求。各紧固件规格须与标志版面配套使用。</w:t>
      </w:r>
    </w:p>
    <w:p w14:paraId="4C561DE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各部位杆件焊接时必须满焊牢固，不得虚焊，焊接质量应符合《钢筋焊接及验收规程》(JGJ18-2012)行业标准。</w:t>
      </w:r>
    </w:p>
    <w:p w14:paraId="75E7A7E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图纸上的标志牌位置、指路牌的道路名称以及车辆限速等信息，施工单位在施工前均应与业主、地名办、交警大队等部门联系做进一步确认。</w:t>
      </w:r>
    </w:p>
    <w:p w14:paraId="29437E7B">
      <w:pPr>
        <w:widowControl/>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第三部分 信号灯</w:t>
      </w:r>
    </w:p>
    <w:p w14:paraId="544FB462">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一、设计规范</w:t>
      </w:r>
    </w:p>
    <w:p w14:paraId="716B56B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《城市道路交通标志和标线设置规范》(GB51038-2015)</w:t>
      </w:r>
    </w:p>
    <w:p w14:paraId="1FC2FD6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《钢结构设计标准》(GB50017-2017)</w:t>
      </w:r>
    </w:p>
    <w:p w14:paraId="03B9C59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《道路交通信号灯》(GB14887-2011)</w:t>
      </w:r>
    </w:p>
    <w:p w14:paraId="63F34F6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《道路交通信号控制机》(GB25280-2016)</w:t>
      </w:r>
    </w:p>
    <w:p w14:paraId="40D6CEF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《道路交通信号灯设置与安装规范》(GB14886-2016)</w:t>
      </w:r>
    </w:p>
    <w:p w14:paraId="6BDD698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《人行横道信号灯设置规范》(GAT851-2009)</w:t>
      </w:r>
    </w:p>
    <w:p w14:paraId="27728D6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《道路交通信号倒计时显示器》(GA/T508-2014)</w:t>
      </w:r>
    </w:p>
    <w:p w14:paraId="1DA6DE5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《滁州市智能交通外场设施设计导则》</w:t>
      </w:r>
    </w:p>
    <w:p w14:paraId="32A57811">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二、交通信号灯</w:t>
      </w:r>
    </w:p>
    <w:p w14:paraId="284B844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1、机动车信号灯</w:t>
      </w:r>
    </w:p>
    <w:p w14:paraId="6D77C00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(1)基本要求</w:t>
      </w:r>
    </w:p>
    <w:p w14:paraId="2DF59CB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1)机动车满屏灯、箭头灯应符合GB14887的各项规定；</w:t>
      </w:r>
    </w:p>
    <w:p w14:paraId="34117AD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2)机动车信号灯每组由红、黄、绿三个几何位置分立单元组成，同一方向红、黄、绿三色方向指示信号灯应为三个几何位置分离单元，车道信号灯每组由红、绿两个几何位置分立单元组成；</w:t>
      </w:r>
    </w:p>
    <w:p w14:paraId="0E64B98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3)显示画面：红箭头/黄箭头/绿箭头；红满屏/黄满屏/绿满屏。</w:t>
      </w:r>
    </w:p>
    <w:p w14:paraId="2EC44D0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(2)外形尺寸及材质</w:t>
      </w:r>
    </w:p>
    <w:p w14:paraId="7990184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1)灯体外壳颜色按照凤阳县在用机动车信号灯黑底进行制作，外壳、前盖、遮沿、色片及密封圈表面平滑，无缺料、无开裂、无银丝、无明显变型和毛刺等缺陷；</w:t>
      </w:r>
    </w:p>
    <w:p w14:paraId="102BCB9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2)机动车满屏信号灯、方向指示信号灯灯面直径统一使用Φ400mm(辅灯可使用Φ300mm)，灯体尺寸要求如下：遮沿伸出灯壳外长度不小于450mm，灯壳厚(不含遮沿)120mm～200mm，灯壳宽630mm～670mm，灯壳高1550mm～1600mm；</w:t>
      </w:r>
    </w:p>
    <w:p w14:paraId="29B751D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(3)发光单元采用高亮度发光二极管，发光亮度不低于5000cd/㎡，信号灯投入使用1年以后，信号灯发光单元基准轴上的发光强度(亮度)不得低于规定值的80%；</w:t>
      </w:r>
    </w:p>
    <w:p w14:paraId="55E30ED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(4)在交流220V额定电压下，Φ400无图案信号灯单个发光单元最大功率不应超过20W，有图案信号灯单个发光单元最大功率不应超过15W。</w:t>
      </w:r>
    </w:p>
    <w:p w14:paraId="2692786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(5)Φ400mmLED面发光道路交通信号灯应满足如下条件：</w:t>
      </w:r>
    </w:p>
    <w:p w14:paraId="7ED73CC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1)出光直径不小于Φ365mm；</w:t>
      </w:r>
    </w:p>
    <w:p w14:paraId="34332F3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2)无图案信号灯基准轴发光强度不小于600cd，有图案信号灯基准轴发光亮度5000cd/ ㎡；</w:t>
      </w:r>
    </w:p>
    <w:p w14:paraId="744F49C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3)额定功率不大于20W；</w:t>
      </w:r>
    </w:p>
    <w:p w14:paraId="08F5A62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4)功率因素不小于0.9；</w:t>
      </w:r>
    </w:p>
    <w:p w14:paraId="5034B6E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5)绝缘电阻不小于10MΩ；</w:t>
      </w:r>
    </w:p>
    <w:p w14:paraId="7795160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6)瞬间启动电流小于2A；</w:t>
      </w:r>
    </w:p>
    <w:p w14:paraId="43A69D8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7)启动/关闭响应时间小于0.1s。</w:t>
      </w:r>
    </w:p>
    <w:p w14:paraId="06B6D5C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(6)防护等级不低于IP53；</w:t>
      </w:r>
    </w:p>
    <w:p w14:paraId="7F52ADB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(7)整灯寿命不小于十年；</w:t>
      </w:r>
    </w:p>
    <w:p w14:paraId="6E7934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(8)环境适应性满足：温度-30℃～+70℃，湿度 10%～90%；</w:t>
      </w:r>
    </w:p>
    <w:p w14:paraId="3B71758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(9)工作电压：AC220V±15%、50Hz±2Hz；</w:t>
      </w:r>
    </w:p>
    <w:p w14:paraId="0E1D324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(10)外壳防护等级不低于IP53；</w:t>
      </w:r>
    </w:p>
    <w:p w14:paraId="77CB46C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(11)产品通过公安部交通安全产品质量监督监测检测中心检测，符合中华人民共和国道路交通信号灯GB14887～2011的要求。</w:t>
      </w:r>
    </w:p>
    <w:p w14:paraId="749EB3D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2、人行信号灯</w:t>
      </w:r>
    </w:p>
    <w:p w14:paraId="687673E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(1)基本要求</w:t>
      </w:r>
    </w:p>
    <w:p w14:paraId="1C942AF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1)选择的人行横道信号灯应符合GB14887的各项规定；</w:t>
      </w:r>
    </w:p>
    <w:p w14:paraId="792090B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2)人行横道信号灯每组由红人、绿人和倒计时器三个几何位置分立单元组成。</w:t>
      </w:r>
    </w:p>
    <w:p w14:paraId="38BE1BB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(2)外形尺寸及材质</w:t>
      </w:r>
    </w:p>
    <w:p w14:paraId="17166C8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1)灯体外壳颜色按照凤阳县在用人行横道信号灯黑底白边进行制作，外壳、前盖、遮沿、色片及密封圈表面平滑，无缺料、无开裂、无银丝、无明显变型和毛刺等缺陷；</w:t>
      </w:r>
    </w:p>
    <w:p w14:paraId="0C3CD15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2)灯面直径统一使用Φ300mm(误差在±5%以内)；</w:t>
      </w:r>
    </w:p>
    <w:p w14:paraId="5F0DEAA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3)灯体材质采用铝合金压铸灯箱，与信号灯杆连接固定的安装支架采用热镀锌钢结构件，其外观颜色与信号灯杆一致。</w:t>
      </w:r>
    </w:p>
    <w:p w14:paraId="0382658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(3)发光单元：采用高亮度发光二极管，发光强度不低于5000cd，可定制调光功能，信号灯投入使用1年以后，信号灯发光单元基准轴上的发光强度(亮度)不得低于规定值的80%；</w:t>
      </w:r>
    </w:p>
    <w:p w14:paraId="635A110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(4)整灯寿命超过十年，信号灯单个发光单元的功率应不大于12W；</w:t>
      </w:r>
    </w:p>
    <w:p w14:paraId="70212DA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(5)环境适应性满足：温度-30℃～+70℃，湿度10%～90%；</w:t>
      </w:r>
    </w:p>
    <w:p w14:paraId="406B29C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(6)工作电压：AC220V±15%、50Hz±2Hz；</w:t>
      </w:r>
    </w:p>
    <w:p w14:paraId="318A890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(7)外壳防护等级不低于IP55；</w:t>
      </w:r>
    </w:p>
    <w:p w14:paraId="44A376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(8)产品通过公安部交通安全产品质量监督监测检测中心检测。</w:t>
      </w:r>
    </w:p>
    <w:p w14:paraId="4CC3331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3、车行灯倒计时器</w:t>
      </w:r>
    </w:p>
    <w:p w14:paraId="6B8FAD5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(1)信号灯倒计时器外框尺寸为：800mm×600mm，数字间距，字宽，字高，笔画宽度符合 GA/T 508《道路交通信号倒计时显示器》的规定；</w:t>
      </w:r>
    </w:p>
    <w:p w14:paraId="038B2DD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(2)灯体外壳颜色按照凤阳县在用信号灯倒计时器进行制作，倒计时器机箱内、外表面光洁、平整，无凹痕、划伤、裂缝、变形和毛刺等缺陷；</w:t>
      </w:r>
    </w:p>
    <w:p w14:paraId="4C97A79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(3)倒计时显示器应显示阿拉伯数字0～9，以1s为单位递减，显示结束时数字为1；</w:t>
      </w:r>
    </w:p>
    <w:p w14:paraId="4962F73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(4)同步误差不得超过0.3s，发光强度不低于5000cd/㎡；</w:t>
      </w:r>
    </w:p>
    <w:p w14:paraId="6282A25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(5)倒计时显示器显示有效数字应右对齐；</w:t>
      </w:r>
    </w:p>
    <w:p w14:paraId="385D1D9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(6)当道路交通信号控制机启动或倒计时显示器无法确认显示数值时，应显示黑屏。十位数字为“0”时，十位应显示黑屏；</w:t>
      </w:r>
    </w:p>
    <w:p w14:paraId="58FBEFD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(7)倒计时显示器定程显示方式在非显示阶段应为黑屏状态；</w:t>
      </w:r>
    </w:p>
    <w:p w14:paraId="523A5A2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(8)在正常状态下，倒计时器显示连贯递减，无乱码、丢码、等现象，通讯中断时，或者道路交通信号机由自动转为手动控制时，能在 2 秒之内显示黑屏；</w:t>
      </w:r>
    </w:p>
    <w:p w14:paraId="06E0963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(9)倒计时器应具有跟随控制方式，同时可支持通讯、触发控制方式；</w:t>
      </w:r>
    </w:p>
    <w:p w14:paraId="645109C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(10)LED灯珠使用寿命＞10 万小时，整机最大功耗小于25W；</w:t>
      </w:r>
    </w:p>
    <w:p w14:paraId="769CACE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(11)环境适应性满足：温度-30℃～+70℃，湿度 10%～90%；</w:t>
      </w:r>
    </w:p>
    <w:p w14:paraId="23EB072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(12)工作电压：AC220V±15%、50Hz±2Hz；</w:t>
      </w:r>
    </w:p>
    <w:p w14:paraId="3054C1A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(13)外壳防护等级不低于IP53。</w:t>
      </w:r>
    </w:p>
    <w:p w14:paraId="20238D2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4、信号机</w:t>
      </w:r>
    </w:p>
    <w:p w14:paraId="1E78232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(1)信号机主电源额定电压：AC220V±44V，50Hz±2Hz，(GB25280～2016《道路交通信号控制机》5.3.2)机柜内应安装两个标准AC220V电源备用插座；</w:t>
      </w:r>
    </w:p>
    <w:p w14:paraId="60D7DDC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(2)满足日最大时段数不少于48个，最大配时方案数不少于20个，最大相位数不少于32个，最大灯组数不少于32个；</w:t>
      </w:r>
    </w:p>
    <w:p w14:paraId="3152014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(3)至少可连接32路检测器，可以连接线圈、地磁、多目标雷达、视频流量检测器等各类检测器，支撑本地自动优化控制；</w:t>
      </w:r>
    </w:p>
    <w:p w14:paraId="746A105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(4)通信接口电路应采用通用的标准接口；</w:t>
      </w:r>
    </w:p>
    <w:p w14:paraId="2C70E26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(5)满足《道路交通信号控制机》(GB25280～2016)中关于C类信号机的功能要求；</w:t>
      </w:r>
    </w:p>
    <w:p w14:paraId="128C4E9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(6)信号机应支持：行人过街请求控制、信号机与信号灯状态监测、启动自检功能、公交优先、可变车道、触屏或按键控制等方式授权管理；</w:t>
      </w:r>
    </w:p>
    <w:p w14:paraId="1192351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(7)支持勤务控制、应急预案控制等交警业务特殊控制，支持一键下发多个交叉口方案，并能够在保证安全的前提下，快速执行方案；</w:t>
      </w:r>
    </w:p>
    <w:p w14:paraId="5E019DD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(8)人机界面友好，适应交警实际业务及技术能力，通过简单操作即可配置信号方案；</w:t>
      </w:r>
    </w:p>
    <w:p w14:paraId="6EEB89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(9)支持基于灯组的切换相位控制、手动控制；</w:t>
      </w:r>
    </w:p>
    <w:p w14:paraId="5810001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(10)支持通讯式和触发式倒计时器控制；</w:t>
      </w:r>
    </w:p>
    <w:p w14:paraId="7F33C0B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(11)支持故障检测降级；</w:t>
      </w:r>
    </w:p>
    <w:p w14:paraId="02F9DAA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(12)信号机整机功耗不超过80W，信号机绝缘电阻不应小于10MΩ；</w:t>
      </w:r>
    </w:p>
    <w:p w14:paraId="304D101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(13)信号机环境适应性满足：温度-40～＋70℃，湿度45%～95%；</w:t>
      </w:r>
    </w:p>
    <w:p w14:paraId="428B310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(14)电磁抗扰度符合国标A类判定要求；</w:t>
      </w:r>
    </w:p>
    <w:p w14:paraId="255E208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(15)防水、防尘满足不低于IP54，机柜材质应选用能够适应恶劣环境、耐腐蚀的材料；</w:t>
      </w:r>
    </w:p>
    <w:p w14:paraId="464E84B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(16)时钟精度±1s/d；</w:t>
      </w:r>
    </w:p>
    <w:p w14:paraId="4A79C81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(17)停电时，一个月不丢失数据；</w:t>
      </w:r>
    </w:p>
    <w:p w14:paraId="3905DBE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(18)支持通过黄闪按钮和手动按钮操作，执行应急的黄闪和手动步进等控制指令。</w:t>
      </w:r>
    </w:p>
    <w:p w14:paraId="0A5B15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(19)无缝接入凤阳交警大队现有的交通管控信号平台，不做二次开发。</w:t>
      </w:r>
    </w:p>
    <w:p w14:paraId="46FAB1E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5、信号灯杆结构</w:t>
      </w:r>
    </w:p>
    <w:p w14:paraId="2625CF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信号灯结构由信号灯、支柱、基础、紧固件等组成。</w:t>
      </w:r>
    </w:p>
    <w:p w14:paraId="1C0997A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杆件整体采用热镀锌进行防锈处理，立柱、横梁、法兰盘的镀锌量为550g/㎡，紧固件为350g/㎡；所用的贴角焊缝，其厚度和强度应与被焊构件相等，焊缝应打磨光滑。</w:t>
      </w:r>
    </w:p>
    <w:p w14:paraId="37189C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表面热镀锌后喷塑处理，黑色。</w:t>
      </w:r>
    </w:p>
    <w:p w14:paraId="5DDB1DE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6、基础埋设</w:t>
      </w:r>
    </w:p>
    <w:p w14:paraId="6613F36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采用现浇制作，位于机非分隔带中央，位于人行道上的基础中心距路缘石1米。基础顶面应预埋Q235钢底座法兰盘及地脚螺栓。在浇筑混凝土时，应注意使底座法兰盘与基础对中，并将其嵌进基础，同时保持其顶面水平；地脚下部为标准弯钩，地脚螺栓宜事先进行热浸镀锌处理，镀锌量为350g/㎡，预埋时其方向应与底座法兰盘保持垂直。基础施工完毕，地脚螺栓外露长度宜控制在80-100mm以内，并对外露螺纹部分加以妥善保护，基坑应分层回填夯实；基础须经养护达到设计强度后，方可安装上部结构物。</w:t>
      </w:r>
    </w:p>
    <w:p w14:paraId="7F7581F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7、信号灯管线</w:t>
      </w:r>
    </w:p>
    <w:p w14:paraId="4396971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信号灯管线要求：每组信号灯必须单独放线至信号控制箱，每方向预留一根四芯线，电源线采用钢带线。</w:t>
      </w:r>
    </w:p>
    <w:p w14:paraId="5C2778B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交通信号设施的路段管道在人行道或绿化带内布置，采用Φ75PE管，埋深0.7m；过车行道处采用Φ90PE拉管。预埋管内预留穿线铅丝，同时两端暂以木帧封口。</w:t>
      </w:r>
    </w:p>
    <w:p w14:paraId="71A5536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信号灯、控制机接地应符合GB 14886-2016、GB 25280-2016等相关规范。</w:t>
      </w:r>
    </w:p>
    <w:p w14:paraId="50EA2B1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8、电缆线</w:t>
      </w:r>
    </w:p>
    <w:p w14:paraId="30CC745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缆线均使用芯线标称面积不小于1.5平方毫米的铜芯、塑料绝缘、塑料护套或特殊橡胶材料绝缘、护套电缆线，每根电缆线至少留有一股备用芯线；采用绝缘层颜色与灯色想对应的芯线，备用芯线颜色区别于已有颜色芯线，每组信号灯单独使用一根电缆线连接到信号机，地下敷设的电缆线严禁有接头，电缆线采用国标RVV5×1.5mm2、RVV3×1.5mm2两种规格。</w:t>
      </w:r>
    </w:p>
    <w:p w14:paraId="3B49B1D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9、手孔井</w:t>
      </w:r>
    </w:p>
    <w:p w14:paraId="1EBD40A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手孔井布设要求：工作井与PE管预埋同步实施，M7.5水泥砂浆砖砌井，500×500×1000mm，内壁用1:2防水水泥砂浆抹面20mm，交警部门统一球墨铸铁井盖井圈。</w:t>
      </w:r>
    </w:p>
    <w:p w14:paraId="3CB0E268">
      <w:pPr>
        <w:widowControl/>
        <w:jc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bidi="ar"/>
        </w:rPr>
        <w:t>第四部分 电子警察</w:t>
      </w:r>
      <w:r>
        <w:rPr>
          <w:rFonts w:hint="eastAsia" w:ascii="宋体" w:hAnsi="宋体" w:eastAsia="宋体" w:cs="宋体"/>
          <w:b/>
          <w:bCs/>
          <w:color w:val="000000"/>
          <w:kern w:val="0"/>
          <w:sz w:val="24"/>
          <w:szCs w:val="24"/>
          <w:lang w:val="en-US" w:eastAsia="zh-CN" w:bidi="ar"/>
        </w:rPr>
        <w:t>系统</w:t>
      </w:r>
    </w:p>
    <w:p w14:paraId="7D3A8C5C">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一、设计主要内容</w:t>
      </w:r>
    </w:p>
    <w:p w14:paraId="7121448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电子警察系统由高清全景摄像机、终端服务器、辅助照明、后台设备以及各类机箱辅材组成。</w:t>
      </w:r>
    </w:p>
    <w:p w14:paraId="053BFFFE">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二、高清电子警察系统要求</w:t>
      </w:r>
    </w:p>
    <w:p w14:paraId="6149170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数据接入要求：必须保证前端设备能够与凤阳县交警大队目前使用的电子警察综合管理平台无缝对接，接入到平台的前端设备须满足：</w:t>
      </w:r>
    </w:p>
    <w:p w14:paraId="1DE24DD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1、图片、视频和违法数据能上传到平台；</w:t>
      </w:r>
    </w:p>
    <w:p w14:paraId="7134C67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2、能把设备实时工作状态上传到平台；</w:t>
      </w:r>
    </w:p>
    <w:p w14:paraId="2E7ECD2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3、支持平台对设备的参数进行修改，包括但不限于视频参数、虚拟线圈设置等主要应用功能设置。</w:t>
      </w:r>
    </w:p>
    <w:p w14:paraId="6BEA1803">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三、主要设备参数</w:t>
      </w:r>
    </w:p>
    <w:p w14:paraId="04F474B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1、不低于900万像素一体化环保电警抓拍单元(含镜头、防护罩等)</w:t>
      </w:r>
    </w:p>
    <w:p w14:paraId="3AE03D6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(1)采用不小于1"英寸全局曝光CMOS技术图像传感器；</w:t>
      </w:r>
    </w:p>
    <w:p w14:paraId="77A88F1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(2)视频帧率在1～25fps可调，图像分辨率不小于4096×2160像素(不含OSD叠加)；</w:t>
      </w:r>
    </w:p>
    <w:p w14:paraId="05908DE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(3)通讯接口：不少于1个RJ45 100M/1000M自适应网口，不少于1个RS485接口，不少于1个RS232接口；</w:t>
      </w:r>
    </w:p>
    <w:p w14:paraId="5E6597C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(4)应采用白光、红外光的双光融合技术或超微光感光技术，全天输出全彩图像； </w:t>
      </w:r>
    </w:p>
    <w:p w14:paraId="34E248E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(5)视频压缩标准：支持H.265、H.264(Main Profile、High Profile、Base Profile)，M～JPEG；</w:t>
      </w:r>
    </w:p>
    <w:p w14:paraId="5408E99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(6)可支持TCP/IP、HTTP、HTTPS、FTP、DNS、RTP、RTSP、RTCP、NTP、IPv6、DHCP、802.1x等网络协议；</w:t>
      </w:r>
    </w:p>
    <w:p w14:paraId="32D7F10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(7)内置视频识别功能，支持车牌识别、视频触发、车身颜色识别、车型识别，通行车辆信息捕获和违章检测功能；</w:t>
      </w:r>
    </w:p>
    <w:p w14:paraId="2D073E6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(8)可支持视频、线圈、雷达等车辆检测联动功能；</w:t>
      </w:r>
    </w:p>
    <w:p w14:paraId="6016D2C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(9)支持新能源车牌识别功能；</w:t>
      </w:r>
    </w:p>
    <w:p w14:paraId="21F3D93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(10)支持危险品车检测功能，识别准确率不低于90%；</w:t>
      </w:r>
    </w:p>
    <w:p w14:paraId="2A3E1C2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(11)可识别不少于19种车型，全天抓拍准确率不低于97%；</w:t>
      </w:r>
    </w:p>
    <w:p w14:paraId="3A57B44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★(12)支持车辆子品牌识别检测功能，可识别常见的 3600 种车辆子品牌；（提供检测报告）</w:t>
      </w:r>
    </w:p>
    <w:p w14:paraId="122D583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(13)支持深度学习功能，图片合成功能支持多种违法图片记录的合成处理，图片合成可以配置多种合成方式，支持JPEG图片、视频流同时输出； </w:t>
      </w:r>
    </w:p>
    <w:p w14:paraId="4F74051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(14)配置存储卡或内置存储，具备断点续传功能；</w:t>
      </w:r>
    </w:p>
    <w:p w14:paraId="6269397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(15)防护等级不低于IP66；</w:t>
      </w:r>
    </w:p>
    <w:p w14:paraId="75119A7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(16)支持GB35114～A级要求</w:t>
      </w:r>
    </w:p>
    <w:p w14:paraId="08ABB2C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(17)产品颜色按用户需求定制。</w:t>
      </w:r>
    </w:p>
    <w:p w14:paraId="67EC8AC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2、不低于900万像素反向环保人脸卡口抓拍单元(含镜头、防护罩等)</w:t>
      </w:r>
    </w:p>
    <w:p w14:paraId="6B8311C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(1)采用不小于1"英寸全局曝光CMOS图像传感器；</w:t>
      </w:r>
    </w:p>
    <w:p w14:paraId="5DBDA48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(2)视频帧率在1～50fps可调，图像分辨率不小于4096×2160像素(不含OSD叠加)；</w:t>
      </w:r>
    </w:p>
    <w:p w14:paraId="32022B3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(3)应支持对前排驾乘人员的人脸目标及其位置和大小进行辨识，配置的镜头焦距应满足图像使用及解析要求，抓拍的面部图像应不小于100×100个像素点；</w:t>
      </w:r>
    </w:p>
    <w:p w14:paraId="43EB01A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(4)应采用白光、红外光的双光融合技术或超微光感光技术，全天输出全彩图像；</w:t>
      </w:r>
    </w:p>
    <w:p w14:paraId="1C46A6D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(5)宜支持接入由频闪灯、白光气体爆闪灯或由频闪灯、白光气体爆闪灯、红外气体爆闪灯组成的多光源一体补光灯；</w:t>
      </w:r>
    </w:p>
    <w:p w14:paraId="6413177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(6)通讯接口：不少于1个RJ45 100M/1000M自适应网口，不少于1个RS485接口，不少于1个RS232接口；</w:t>
      </w:r>
    </w:p>
    <w:p w14:paraId="5F81916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(7)视频压缩标准：支持H.265、H.264(Main Profile、High Profile、Base Profile)、M～JPEG；</w:t>
      </w:r>
    </w:p>
    <w:p w14:paraId="2D1C74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(8)可支持TCP/IP、HTTP、HTTPS、FTP、DNS、RTP、RTSP、RTCP、NTP、IPv6、DHCP、802.1x等网络协议；</w:t>
      </w:r>
    </w:p>
    <w:p w14:paraId="770BF1A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(9)内置视频识别功能，支持车牌识别、视频触发、车身颜色识别、车型识别，通行车辆信息捕获和违章检测功能；</w:t>
      </w:r>
    </w:p>
    <w:p w14:paraId="2DE4830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(10)可支持视频、线圈、雷达等车辆检测联动功能；</w:t>
      </w:r>
    </w:p>
    <w:p w14:paraId="09D88A9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(11)支持新能源车牌识别功能；</w:t>
      </w:r>
    </w:p>
    <w:p w14:paraId="27059B0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(12)支持危险品车检测功能，识别准确率不低于 90%；</w:t>
      </w:r>
    </w:p>
    <w:p w14:paraId="3022199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(13)可识别不少于19种车型，全天抓拍准确率不低于97%；</w:t>
      </w:r>
    </w:p>
    <w:p w14:paraId="684073A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★(14)支持车辆子品牌识别检测功能，可识别常见的3600种车辆子品牌；（提供检测报告）</w:t>
      </w:r>
    </w:p>
    <w:p w14:paraId="50A089F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★(15)支持驾驶员行车时打电话动作的检测，是否打电话检测准确率不低于80%；（提供检测报告）</w:t>
      </w:r>
    </w:p>
    <w:p w14:paraId="6456BEA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(16)支持未系安全带检测功能，驾驶人未系安全带识别准确率不低于95%；</w:t>
      </w:r>
    </w:p>
    <w:p w14:paraId="7A53048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(17)支持深度学习功能，图片合成功能支持多种违法图片记录的合成处理，图片合成可以配置多种合成方式，支持JPEG图片、视频流同时输出；</w:t>
      </w:r>
    </w:p>
    <w:p w14:paraId="61BD2C6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(18)非机动车、行人抓拍：具备对通过卡口的非机动车、行人进行抓拍的功能；</w:t>
      </w:r>
    </w:p>
    <w:p w14:paraId="3B0EEA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(19)支持车头和车尾的视频触发抓拍功能；</w:t>
      </w:r>
    </w:p>
    <w:p w14:paraId="6E74ED5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(20)配置存储卡或内置存储，具备断点续传功能；</w:t>
      </w:r>
    </w:p>
    <w:p w14:paraId="46BBF01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(21)防护等级不低于IP66；</w:t>
      </w:r>
    </w:p>
    <w:p w14:paraId="28DD4B9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(22)支持GB35114-A级要求；</w:t>
      </w:r>
    </w:p>
    <w:p w14:paraId="1409C8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(23)产品颜色按用户需求定制。</w:t>
      </w:r>
    </w:p>
    <w:p w14:paraId="10C4FA6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3、LED补光灯(频闪)</w:t>
      </w:r>
    </w:p>
    <w:p w14:paraId="52DFC95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★(1)符合GA/T1202～2022《交通技术监控成像补光装置通用技术条件》的要求；（提供检测报告）</w:t>
      </w:r>
    </w:p>
    <w:p w14:paraId="3780B6B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(2)色温：≥3000K；</w:t>
      </w:r>
    </w:p>
    <w:p w14:paraId="6B55EAC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(3)支持内部参数设置，如日夜功能开启阈值、频闪延时设置；</w:t>
      </w:r>
    </w:p>
    <w:p w14:paraId="1BE5B2A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(4)单车道补光灯功率不大于40w；</w:t>
      </w:r>
    </w:p>
    <w:p w14:paraId="036A316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(5)可通过控制接口与抓拍单元交互；</w:t>
      </w:r>
    </w:p>
    <w:p w14:paraId="71B4B56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(6)金属铝外壳；</w:t>
      </w:r>
    </w:p>
    <w:p w14:paraId="778DD5B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(7)有效补光距离18m～30m；</w:t>
      </w:r>
    </w:p>
    <w:p w14:paraId="59D606D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(8)工作温度-30℃～+70℃，防护等级IP65；</w:t>
      </w:r>
    </w:p>
    <w:p w14:paraId="54D5A3C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(9)补光装置安装应符合GA/T1202-2022附录B的要求，在路面上形成的补光区域应与摄像机的监控成像区域相匹配，且不得对周边环境产生影响；</w:t>
      </w:r>
    </w:p>
    <w:p w14:paraId="6D59862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(10)补光装置与路面的垂直距离大于或等于6m；</w:t>
      </w:r>
    </w:p>
    <w:p w14:paraId="35614FE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(11)补光装置安装在车道的侧上方时，补光装置基准轴与补光车道的两条车道分界线所成的空间角度大于或等于20°。</w:t>
      </w:r>
    </w:p>
    <w:p w14:paraId="2566269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4、多合一环保爆闪灯</w:t>
      </w:r>
    </w:p>
    <w:p w14:paraId="3B7C55F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★(1)符合GA/T1202～2022《交通技术监控成像补光装置通用技术条件》的要求；（提供检测报告）</w:t>
      </w:r>
    </w:p>
    <w:p w14:paraId="2B596CF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(2)色温≥3000K；</w:t>
      </w:r>
    </w:p>
    <w:p w14:paraId="66E5AA9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(3)在AC220V±44V、50HZ±2Hz 的电源条件下，应能正常工作，基准轴上光照度的变化幅度应不大于额定电压下的5%；</w:t>
      </w:r>
    </w:p>
    <w:p w14:paraId="07F28E8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(4)工作环境温度：-30℃～+70℃；</w:t>
      </w:r>
    </w:p>
    <w:p w14:paraId="578B1D0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白光LED频闪，可见光型脉冲补光装置在环境光照度小于500lx时自动关闭，但仅记录超速车辆图像的机动车测速取证系统使用的一级可见型脉冲补光装置不受此限制，夜间可采用可见光型频闪补光装置，光照度满足GA/T1202-2022《交通技术监控成像补光装置通用技术条件》规定的一级要求；</w:t>
      </w:r>
    </w:p>
    <w:p w14:paraId="1B26CA8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(6)能与抓拍机进行关联；</w:t>
      </w:r>
    </w:p>
    <w:p w14:paraId="6C33A76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(7)补光装置安装应符合GA/T1202-2022附录B的要求，在路面上形成的补光区域应与摄像机的监控成像区域相匹配，且不得对周边环境产生影响；</w:t>
      </w:r>
    </w:p>
    <w:p w14:paraId="16F8387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(8)补光装置与路面的垂直距离大于或等于6m；</w:t>
      </w:r>
    </w:p>
    <w:p w14:paraId="40FFF42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(9)补光装置安装在车道的侧上方时，补光装置基准轴与补光车道的两条车道分界线所成的空间角度大于或等20°。</w:t>
      </w:r>
    </w:p>
    <w:p w14:paraId="49C0AD1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5、终端服务器(含落地机柜)</w:t>
      </w:r>
    </w:p>
    <w:p w14:paraId="465A34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(1)采用嵌入式实时操作系统，内存容量不低于2GB；</w:t>
      </w:r>
    </w:p>
    <w:p w14:paraId="4D7A02A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(2)具备前端图片视频数据存储及违法图片合成功能；</w:t>
      </w:r>
    </w:p>
    <w:p w14:paraId="5189F11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(3)具有不少于1个千兆以太网电口、RS232、RS485、报警等接口，支持10M/100M/1000M输出接口，可根据需要加装千兆光口；</w:t>
      </w:r>
    </w:p>
    <w:p w14:paraId="0108BFC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(4)路口终端服务器支持不少于16路相机接入；</w:t>
      </w:r>
    </w:p>
    <w:p w14:paraId="581F1E7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(5)路段终端服务器支持不少于4路相机接入；</w:t>
      </w:r>
    </w:p>
    <w:p w14:paraId="36AD894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(6)所有接入相机的视频及图片等数据存储时间不少于30天，根据路口接入的设备数量测算硬盘容量；</w:t>
      </w:r>
    </w:p>
    <w:p w14:paraId="7467767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(7)支持违章图片合成，合成图片方式及质量可配置；</w:t>
      </w:r>
    </w:p>
    <w:p w14:paraId="1C3EEAB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(8)具备录像功能，可按时间设置定时录像、报警录像等多种录像模式，并能进行回放；</w:t>
      </w:r>
    </w:p>
    <w:p w14:paraId="67ED26A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(9)可配置车牌、车道、违章类型等OSD信息；</w:t>
      </w:r>
    </w:p>
    <w:p w14:paraId="2B67AD1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(10)具备图片防篡改功能；</w:t>
      </w:r>
    </w:p>
    <w:p w14:paraId="19B8445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(11)具备断网恢复后的自动续传功能；</w:t>
      </w:r>
    </w:p>
    <w:p w14:paraId="190EA94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(12)工作温度：～30℃～+70℃，工作湿度10%～90%；</w:t>
      </w:r>
    </w:p>
    <w:p w14:paraId="60AAB1B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(13)机柜满足存放交换机等相关设备的要求，外形尺寸与交叉口信号机机柜保持一致(容许误差3～5cm)；</w:t>
      </w:r>
    </w:p>
    <w:p w14:paraId="3294692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(14)机柜规格、型号：室外用，含遮阳，机体结构：镀锌钢板(厚度不低于1.5mm)，工作温度：-30℃～+70℃，防护等级：IP55以上。</w:t>
      </w:r>
    </w:p>
    <w:p w14:paraId="131F04C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6、违停监测球机</w:t>
      </w:r>
    </w:p>
    <w:p w14:paraId="52C18CD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(1)不低于400万像素违停监测一体球机，摄像机靶面尺寸不小于1/1.8英寸；</w:t>
      </w:r>
    </w:p>
    <w:p w14:paraId="6F4DB4B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(2)摄像机内置镜头，支持不小于37倍光学变倍；</w:t>
      </w:r>
    </w:p>
    <w:p w14:paraId="63DA6F5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(3)图像分辨率不小于2560×1440(不含OSD叠加)，视频帧率1～25fps可调；</w:t>
      </w:r>
    </w:p>
    <w:p w14:paraId="04EEDA8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(4)摄像机有效检测半径范围不小于200m；</w:t>
      </w:r>
    </w:p>
    <w:p w14:paraId="498C809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(5)支持最低照度可达彩色0.002Lux，黑白0.001Lux；</w:t>
      </w:r>
    </w:p>
    <w:p w14:paraId="6EF4738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(6)支持3D降噪、背光补偿、宽动态、透雾、支持强光抑制、支持电子防抖；</w:t>
      </w:r>
    </w:p>
    <w:p w14:paraId="3949494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(7)补光功能：当环境照度低于100lx条件下，设备应能自动开启补光功能；</w:t>
      </w:r>
    </w:p>
    <w:p w14:paraId="7CE94FB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(8)设备内置计时功能模块，24小时内计时误差不超过 1.0s，并具备自动校时功能；</w:t>
      </w:r>
    </w:p>
    <w:p w14:paraId="2095826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(9)支持不少于2路报警输入接口，不少于1路报警输出接口，支持不少于1路音频输入和输出接口；</w:t>
      </w:r>
    </w:p>
    <w:p w14:paraId="5DD5858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(10)水平旋转范围为360°连续旋转，垂直旋转范围为-20°～90°；</w:t>
      </w:r>
    </w:p>
    <w:p w14:paraId="2BAE09C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(11)支持不少于300个预置位，可按照所设置的预置位完成不少于8条巡航路径；</w:t>
      </w:r>
    </w:p>
    <w:p w14:paraId="13F5047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(12)配置存储卡或内置存储，支持断点续传功能；</w:t>
      </w:r>
    </w:p>
    <w:p w14:paraId="75E60EB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(13)支持采用 H.264、MJPEG、H.265 视频编码标准；</w:t>
      </w:r>
    </w:p>
    <w:p w14:paraId="504A3FB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★(14)支持违法停车抓拍功能，且白天和晚上违法停车捕获率、捕获有效率均大于90%；（提供检测报告）</w:t>
      </w:r>
    </w:p>
    <w:p w14:paraId="34FE02B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(15)具备较好的环境适应性，工作温度范围可达-30℃～+70℃；</w:t>
      </w:r>
    </w:p>
    <w:p w14:paraId="5C5C4CB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(16)防护等级：不低于IP66；</w:t>
      </w:r>
    </w:p>
    <w:p w14:paraId="02DE698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(17)支持GB 35114-A 级要求；</w:t>
      </w:r>
    </w:p>
    <w:p w14:paraId="173B451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(18)产品颜色按用户需求定制。</w:t>
      </w:r>
    </w:p>
    <w:p w14:paraId="2E30169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7、枪球一体机</w:t>
      </w:r>
    </w:p>
    <w:p w14:paraId="1057D9F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(1)设备内置不少于2个全景通道和1个细节通道，全景通道分辨率均不小于3680×1656，细节通道分辨率不小于2688×1520；</w:t>
      </w:r>
    </w:p>
    <w:p w14:paraId="04421F3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(2)全景通道1、2均支持最低照度彩色不大于0.0005lx，黑白不大于0.0001lx；</w:t>
      </w:r>
    </w:p>
    <w:p w14:paraId="5B7B7E2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(3)全景通道1、2靶面尺寸均不小于1/1.8英寸；</w:t>
      </w:r>
    </w:p>
    <w:p w14:paraId="360E9D6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(4)细节通道支持不小于25倍光学变倍,最大焦距不小于120mm；</w:t>
      </w:r>
    </w:p>
    <w:p w14:paraId="70CDB07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(5)设备支持不少于300个预置位，可按照所设置的预置位设置不少于8条巡航路径，具有预置位视频冻结功能；</w:t>
      </w:r>
    </w:p>
    <w:p w14:paraId="4CB9DF1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(6)支持H.264、H.265、MJPEG视频编码格式，且具有High Profile编码能力；</w:t>
      </w:r>
    </w:p>
    <w:p w14:paraId="532D8DE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(7)支持开启白光灯三通道均可抓拍15m处人脸图片，开启红外灯时，通道1均可识别200m处的人体；</w:t>
      </w:r>
    </w:p>
    <w:p w14:paraId="24C8419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(8)设备具有示例功能，智能配置界面支持对每一步操作配置示例。示例中包括检测区域、检测线标识，最小瞳距要求和规则区域的注释；</w:t>
      </w:r>
    </w:p>
    <w:p w14:paraId="4C7BF9A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★(9)设备通道1、通道2、通道3可分别或同时对行人、非机动车、机动车进行检测、跟踪、抓拍，支持对人脸、机动车车牌、非机动车车牌进行抠图，可将人脸与人体、车牌与车辆关联显示；（提供检测报告）</w:t>
      </w:r>
    </w:p>
    <w:p w14:paraId="422AC06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(10)设备具有2个安装接口，1个为旋转安装接口，1个为多孔安装接口；</w:t>
      </w:r>
    </w:p>
    <w:p w14:paraId="0546F5D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(11)支持接管跟随功能，全景通道监控场景中，触发区域入侵、越界入侵、进入区域、离开区域事件，且细节通道开启联动抓拍功能时，可联动细节通道进行目标跟踪；</w:t>
      </w:r>
    </w:p>
    <w:p w14:paraId="6EA2A48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设备具有闪光灯报警输出功能，可设置闪光灯闪烁时间(1~300s)，闪烁频率(高、中、低、常亮)、亮度(1~100)，当监控画面中有目标触发区域入侵侦测、越界入侵侦测、进入区域侦测、离开区域侦测等报警时，可联动白光灯闪光报警；</w:t>
      </w:r>
    </w:p>
    <w:p w14:paraId="42FB74D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(13)设备支持不少于7路报警输入，不少于2路报警输出，不少于1路音频输入，不少于1路音频输出，不少于1个SD卡槽，不少于1个RJ45网口，不少于1个485接口。</w:t>
      </w:r>
    </w:p>
    <w:p w14:paraId="254935D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8、工业级交换机</w:t>
      </w:r>
    </w:p>
    <w:p w14:paraId="14A64BF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(1)产品应具有8个千兆电接口，8个千兆光电复用接口，可进行Vlan划分，支持SNMP网管，全/半双工自适应MDI/MDI-X自动识别；全铝制外壳，便于设备与外界温度交换；</w:t>
      </w:r>
    </w:p>
    <w:p w14:paraId="011BE23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(2)为防止网络中某台出现工作故障，导致整个网络中断，设备需具有冗余技术，支持MR-ring环网协议(自愈时间&lt;20ms)、STP或RSTP(自愈时间&lt;50ms)；</w:t>
      </w:r>
    </w:p>
    <w:p w14:paraId="6380C4E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(3)室外设备需防尘、放水、几种电器在箱内需具有高的防护等级。防护等级：IP40，无风扇设计；</w:t>
      </w:r>
    </w:p>
    <w:p w14:paraId="7D51E7D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(4)输入电压：AC/DC85～265V，支持备份双电源；</w:t>
      </w:r>
    </w:p>
    <w:p w14:paraId="2594000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(5)工作温度：-40℃～85℃，保证不出现极端气候的情况下，设备在冬季和夏季可正常稳定工作。</w:t>
      </w:r>
    </w:p>
    <w:p w14:paraId="6526416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9、交通信号灯检测器</w:t>
      </w:r>
    </w:p>
    <w:p w14:paraId="0F508EB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(1)信号灯交流信号输入接口不低于16路；</w:t>
      </w:r>
    </w:p>
    <w:p w14:paraId="3E45D65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(2)配置不低于16路交通灯信号状态指示灯；</w:t>
      </w:r>
    </w:p>
    <w:p w14:paraId="50963C0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(3)工作环境温度：-30℃～+65℃。</w:t>
      </w:r>
    </w:p>
    <w:p w14:paraId="6E4A4AF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10、工业级光纤收发器</w:t>
      </w:r>
    </w:p>
    <w:p w14:paraId="5C78190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(1)低功耗无风扇设计，工业级产品，适用于不同应用环境；</w:t>
      </w:r>
    </w:p>
    <w:p w14:paraId="18222F9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(2)工作温度：-30℃～+70℃，湿度5%～95%(无凝露)；</w:t>
      </w:r>
    </w:p>
    <w:p w14:paraId="17A3481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(3)防护等级IP40及以上；</w:t>
      </w:r>
    </w:p>
    <w:p w14:paraId="3D4B06C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(4)功耗低，即插即用；</w:t>
      </w:r>
    </w:p>
    <w:p w14:paraId="36073E0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(5)支持传统光纤点到点、链型及星型连接；</w:t>
      </w:r>
    </w:p>
    <w:p w14:paraId="68DEE1C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(6)具有2个千兆光口，4个10/100/1000/M以太网电口。</w:t>
      </w:r>
    </w:p>
    <w:p w14:paraId="2A638FB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11、防雷器</w:t>
      </w:r>
    </w:p>
    <w:p w14:paraId="20CCB63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(1)电源、数据二合一，外壳保护等级IP55；</w:t>
      </w:r>
    </w:p>
    <w:p w14:paraId="34FB68C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(2)工作温度：-30℃～+70℃，湿度：5%～95%(无凝露)。</w:t>
      </w:r>
    </w:p>
    <w:p w14:paraId="0BA8018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12、悬挂机箱</w:t>
      </w:r>
    </w:p>
    <w:p w14:paraId="00AF9AC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(1)满足使用功能，外形尺寸为650×450×190mm(容许误差3～5cm)；</w:t>
      </w:r>
    </w:p>
    <w:p w14:paraId="636FE5A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(2)规格、型号：室外用，含遮阳，机体结构：镀锌钢板(厚度不低于1.5mm)，工作温度：-30℃～+70℃，防护等级：IP55以上。</w:t>
      </w:r>
    </w:p>
    <w:p w14:paraId="6CC0E69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13、电缆线</w:t>
      </w:r>
    </w:p>
    <w:p w14:paraId="1EE7189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地下敷设的电缆线严禁有接头，电缆线采用国标RVV3×1.5mm2、RVVP2×1.0mm2两种规格。所用电缆不得有接头，每根电缆在经过的电缆井中应有2m余量。</w:t>
      </w:r>
    </w:p>
    <w:p w14:paraId="4C170F1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14、杆件结构</w:t>
      </w:r>
    </w:p>
    <w:p w14:paraId="72A3FEB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立柱、钢管横梁、法兰盘、抱箍、抱箍底衬、柱帽、横梁帽、加劲肋及连接螺栓、螺母、垫圈等钢铁件，采用热浸镀锌进行防锈处理，立柱、横梁、法兰盘的镀锌量为550g/㎡，紧固件为350g/㎡；所用的贴角焊缝，其厚度和强度应与被焊构件相等，焊缝应打磨光滑。</w:t>
      </w:r>
    </w:p>
    <w:p w14:paraId="58F99C0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15、基础埋设</w:t>
      </w:r>
    </w:p>
    <w:p w14:paraId="3A97D6F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采用现浇制作，距路缘石1米，位置可根据实际优化。基础顶面应预埋Q235钢底座法兰盘及地脚螺栓。在浇筑混凝土时，应注意使底座法兰盘与基础对中，并将其嵌进基础，同时保持其顶面水平；地脚下部为标准弯钩，地脚螺栓宜事先进行热浸镀锌处理，镀锌量为350g/㎡，预埋时其方向应与底座法兰盘保持垂直。基础施工完毕，地脚螺栓外露长度宜控制在80～100mm以内，并对外露螺纹部分加以妥善保护，基坑应分层回填夯实；基础须经养护达到设计强度后，方可安装上部结构物。</w:t>
      </w:r>
    </w:p>
    <w:p w14:paraId="73027CD2">
      <w:pPr>
        <w:widowControl/>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第五部分 后台存储及监测系统</w:t>
      </w:r>
    </w:p>
    <w:p w14:paraId="6AE1A83B">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一、核心交换机</w:t>
      </w:r>
    </w:p>
    <w:p w14:paraId="571799E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(1)支持独立主控板槽位数≥2，独立交换网板槽位数≥6，独立网络业务板槽位数≥8，设备高度≤12U；</w:t>
      </w:r>
    </w:p>
    <w:p w14:paraId="3D92C37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(2)可插拔电源模块槽位数≥6，风扇框槽位数≥3，本次系统配置3个风扇、6块交换网板、4块电源板、2块主控；</w:t>
      </w:r>
    </w:p>
    <w:p w14:paraId="5D57A32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(3)支持千兆电口，千兆光口，万兆光口，25G光口，40G光口，100G光口；</w:t>
      </w:r>
    </w:p>
    <w:p w14:paraId="5512827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(4)本次系统接口配置：16个40G光口、120个万兆光口、48个千兆电口，32个千兆光口；</w:t>
      </w:r>
    </w:p>
    <w:p w14:paraId="70E3D5C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(5)单板40G端口数≥16；单板100G端口数≥16；单板可同时提供25G端口数和100G光口，且实际可用端口总数≥52；</w:t>
      </w:r>
    </w:p>
    <w:p w14:paraId="15340BD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★(6)交换容量≥645Tbps/1935Tbps，包转发率≥230400Mpps；（提供检测报告）</w:t>
      </w:r>
    </w:p>
    <w:p w14:paraId="51E24AB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(7)支持IPv4\IPv6 BFD功能，支持与OSPF/v2/v3、VRRP联动，BFD 3ms最小探测间隔测试，平均收敛性能≤12ms；</w:t>
      </w:r>
    </w:p>
    <w:p w14:paraId="5B12366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(8)支持ERSPAN/RSPAN镜像功能，支持Netconf Python、Ansible、可编程性(python)功能，支持MPLS OAM和Ethernet OAM功能；</w:t>
      </w:r>
    </w:p>
    <w:p w14:paraId="1A09819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(9)配套提供40个万兆10公里单模双纤模块、20个千兆10公里单模双纤模块、10个MPO接口的多模光电模块。</w:t>
      </w:r>
    </w:p>
    <w:p w14:paraId="39056F9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(10)核心交换机需无缝接入到凤阳县交警大队现有台后系统。</w:t>
      </w:r>
    </w:p>
    <w:p w14:paraId="017A6B0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bookmarkStart w:id="42" w:name="OLE_LINK1"/>
      <w:bookmarkStart w:id="43" w:name="OLE_LINK2"/>
      <w:r>
        <w:rPr>
          <w:rFonts w:hint="eastAsia" w:ascii="宋体" w:hAnsi="宋体" w:eastAsia="宋体" w:cs="宋体"/>
          <w:color w:val="000000"/>
          <w:kern w:val="0"/>
          <w:sz w:val="24"/>
          <w:szCs w:val="24"/>
          <w:lang w:bidi="ar"/>
        </w:rPr>
        <w:t>核心交换机新增加的业务板卡可与现有的核心交换机直接适耦合配使用，支持热插拔。</w:t>
      </w:r>
    </w:p>
    <w:bookmarkEnd w:id="42"/>
    <w:bookmarkEnd w:id="43"/>
    <w:p w14:paraId="5A8243C1">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二、云存储节点</w:t>
      </w:r>
    </w:p>
    <w:p w14:paraId="7C720D5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(1)≥4U标准机架，可接入硬盘≥48块，单设备配置双 64 位多核处理器，内存≥32GB；</w:t>
      </w:r>
    </w:p>
    <w:p w14:paraId="3E86700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(2)配置48块8T企业级SATA磁盘；</w:t>
      </w:r>
    </w:p>
    <w:p w14:paraId="665780E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★(3)支持视音频、图片、直接写入，支持视频高速预览、回放、下载，支持云内容灾备份，支持一体化运维，支持 GB/T28181～2011、Onvif、RTSP、H265、SVAC 等标准视频协议；（提供检测报告）</w:t>
      </w:r>
    </w:p>
    <w:p w14:paraId="397DF72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(4)配置≥4个千兆网口，可增扩≥6个千兆网口，或可增扩≥4个万兆网口；支持≥12级扩展柜级联扩展；可支持12GB SAS扩展口；</w:t>
      </w:r>
    </w:p>
    <w:p w14:paraId="18F0A00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(5)支持对视音频、图片及智能分析录像的混合直存，支持流媒体协议直存；</w:t>
      </w:r>
    </w:p>
    <w:p w14:paraId="563F80E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(6)支持不低于700Mbps图片并发输入，同时不低于700Mbps图片并发输出；</w:t>
      </w:r>
    </w:p>
    <w:p w14:paraId="77301FA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(7)支持将损坏RAID按照RAID损坏等级进行重构；</w:t>
      </w:r>
    </w:p>
    <w:p w14:paraId="54D8B9E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(8)支持网络中断后重新恢复，可续存断网期间存储在前端设备中的录像文件，支持256路4Mbps的录像回传；</w:t>
      </w:r>
    </w:p>
    <w:p w14:paraId="3AF1B73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(9)云存储主机需无缝接入到凤阳县交警大队现有云存储系统，不做二次开发。</w:t>
      </w:r>
    </w:p>
    <w:p w14:paraId="1673244D">
      <w:pPr>
        <w:widowControl/>
        <w:jc w:val="lef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三、交通设备监测系统</w:t>
      </w:r>
    </w:p>
    <w:p w14:paraId="2DB9301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(1)600路前端视频设备的接入与视频图像检测要求，服务期限3年；</w:t>
      </w:r>
    </w:p>
    <w:p w14:paraId="0C8949E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智能分析：实现信号灯、前端视频设备等设备运行状态的识别与分析。至少支持三种不同品牌、型号的信号灯故障检测；可对交通信号灯灯盘异常现象进行监测，异常现象包括：红、黄、绿灯盘全灭，红、黄、绿灯盘两两同亮或三者同亮，单灯盘不亮，单灯盘常亮，倒计时灯不亮；10000张白天灯组图片(包含红灯亮，黄灯亮，绿灯亮，倒计时灯亮，红、黄、绿灯盘全灭,倒计时灯灭,红、黄灯同亮及红、绿灯同亮等情况的图片)正确识别信号灯状态的图片数量应大于9900张；10000张夜晚灯组图片(包含红灯亮，黄灯亮，绿灯亮，倒计时灯亮，红、黄、绿灯盘全灭,倒计时灯灭,红、黄灯同亮及红、绿灯同亮等情况的图片)正确识别信号灯状态的图片数量应大于9800张；当监控画面中的交通信号灯位置发生偏移时，可自动监测并识别发生偏移后的交通信号灯；运行时间一小时可将不少于120万张的电警图片进行批量导入及进行交通信号灯状态检测；（提供检测报告）</w:t>
      </w:r>
    </w:p>
    <w:p w14:paraId="377D1BC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电子地图展示：实现接入设备的路口分布与状态展示。具备电子地图功能，可将路口位置在电子地图上显示并生成颜色图标，并可通过路口关键字索引定位到路口；可通过前端视频设备对交通信号灯灯盘进行监视并抓拍，当灯盘有异常时，可给出报警信息提示，对应路口的图标在电子地图中将变成黄色；当人工确认灯盘为故障时，可生成故障列表，对应路口的图标在电子地图中将变成红色；</w:t>
      </w:r>
    </w:p>
    <w:p w14:paraId="07BE077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异常告警：实现异常告警的记录、展示与查询。具备告警信息列表展示；具备告警数据的历史查询；具备弹出异常告警弹框功能，对应电子地图图标颜色发生变化、产生声音报警提醒设备发生异常情况；预警信息须包括故障时间、设备位置、设备基本信息、设备故障时的抓拍图片及实时抓拍图片；</w:t>
      </w:r>
    </w:p>
    <w:p w14:paraId="524F851C">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(5)故障报表：实现故障设备信息的记录、查询与导出；</w:t>
      </w:r>
    </w:p>
    <w:p w14:paraId="1FBB490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具备故障设备列表的查看功能，并支持按时间、路口等条件查询，包括故障记录的历史查询；故障信息包含故障时间、设备位置、设备实景抓拍图片；具备报表的批量导出；</w:t>
      </w:r>
    </w:p>
    <w:p w14:paraId="39ED00B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(6)检测记录：对交通信号灯灯盘状态进行检查并生成记录，并可进行查询。具备对检测结果生成记录与历史数据查询的功能；批量设备检测记录支持详细列表展示；检测记录包含时间、点位、图片等详细信息；</w:t>
      </w:r>
    </w:p>
    <w:p w14:paraId="601D4BF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信号灯管理：对前端交通设备进行新建、编辑、巡检配置、批量操作等；具备被监测设备的分组管理功能；具备被监测设备的批量导入与管理功能；支持按不同路口选择交通信号灯设备，并可按照设置的时间段和时间间隔进行分组，可进行组间的轮巡；</w:t>
      </w:r>
    </w:p>
    <w:p w14:paraId="5C5AAF7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(8)统计分析：实现图形化的统计分析功能；</w:t>
      </w:r>
    </w:p>
    <w:p w14:paraId="641E564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(9)用户管理：实现系统用户的新增、删除、密码重置等管理；</w:t>
      </w:r>
    </w:p>
    <w:p w14:paraId="0C372D8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(10)平台管理：需接入大队现有信号灯故障监测系统。</w:t>
      </w:r>
    </w:p>
    <w:p w14:paraId="189948B2">
      <w:pPr>
        <w:widowControl/>
        <w:jc w:val="left"/>
        <w:rPr>
          <w:rFonts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备注：  </w:t>
      </w:r>
    </w:p>
    <w:p w14:paraId="56C58CF3">
      <w:pPr>
        <w:widowControl/>
        <w:numPr>
          <w:ilvl w:val="0"/>
          <w:numId w:val="4"/>
        </w:numPr>
        <w:jc w:val="left"/>
        <w:rPr>
          <w:rFonts w:ascii="宋体" w:hAnsi="宋体" w:eastAsia="宋体" w:cs="宋体"/>
          <w:b/>
          <w:bCs/>
          <w:color w:val="000000"/>
          <w:kern w:val="0"/>
          <w:sz w:val="22"/>
          <w:szCs w:val="22"/>
          <w:highlight w:val="none"/>
          <w:lang w:bidi="ar"/>
        </w:rPr>
      </w:pPr>
      <w:r>
        <w:rPr>
          <w:rFonts w:hint="eastAsia" w:ascii="宋体" w:hAnsi="宋体" w:eastAsia="宋体" w:cs="宋体"/>
          <w:b/>
          <w:bCs/>
          <w:color w:val="000000"/>
          <w:kern w:val="0"/>
          <w:sz w:val="22"/>
          <w:szCs w:val="22"/>
          <w:highlight w:val="none"/>
          <w:lang w:bidi="ar"/>
        </w:rPr>
        <w:t>负责与凤阳县公安局（凤阳县交警大队）现有信息系统对接，保证前端数据能与凤阳县交警大队平台软件电子警察综合管理平台、</w:t>
      </w:r>
      <w:r>
        <w:rPr>
          <w:rFonts w:hint="eastAsia" w:ascii="宋体" w:hAnsi="宋体" w:eastAsia="宋体" w:cs="宋体"/>
          <w:b/>
          <w:bCs/>
          <w:color w:val="000000"/>
          <w:kern w:val="0"/>
          <w:sz w:val="22"/>
          <w:szCs w:val="22"/>
          <w:highlight w:val="none"/>
          <w:lang w:val="en-US" w:eastAsia="zh-CN" w:bidi="ar"/>
        </w:rPr>
        <w:t>凤阳县公安局交通管理大队智能交通管控</w:t>
      </w:r>
      <w:r>
        <w:rPr>
          <w:rFonts w:hint="eastAsia" w:ascii="宋体" w:hAnsi="宋体" w:eastAsia="宋体" w:cs="宋体"/>
          <w:b/>
          <w:bCs/>
          <w:color w:val="000000"/>
          <w:kern w:val="0"/>
          <w:sz w:val="22"/>
          <w:szCs w:val="22"/>
          <w:highlight w:val="none"/>
          <w:lang w:bidi="ar"/>
        </w:rPr>
        <w:t>平台、</w:t>
      </w:r>
      <w:r>
        <w:rPr>
          <w:rFonts w:hint="eastAsia" w:ascii="宋体" w:hAnsi="宋体" w:eastAsia="宋体" w:cs="宋体"/>
          <w:b/>
          <w:bCs/>
          <w:color w:val="000000"/>
          <w:kern w:val="0"/>
          <w:sz w:val="22"/>
          <w:szCs w:val="22"/>
          <w:highlight w:val="none"/>
          <w:lang w:val="en-US" w:eastAsia="zh-CN" w:bidi="ar"/>
        </w:rPr>
        <w:t>信号灯动态检测系统（智能交通设备监测系统）、信号机动态管控</w:t>
      </w:r>
      <w:r>
        <w:rPr>
          <w:rFonts w:hint="eastAsia" w:ascii="宋体" w:hAnsi="宋体" w:eastAsia="宋体" w:cs="宋体"/>
          <w:b/>
          <w:bCs/>
          <w:color w:val="000000"/>
          <w:kern w:val="0"/>
          <w:sz w:val="22"/>
          <w:szCs w:val="22"/>
          <w:highlight w:val="none"/>
          <w:lang w:bidi="ar"/>
        </w:rPr>
        <w:t>平台等无缝对接上传及完成上级检查考核要求</w:t>
      </w:r>
      <w:r>
        <w:rPr>
          <w:rFonts w:hint="eastAsia" w:ascii="宋体" w:hAnsi="宋体" w:eastAsia="宋体" w:cs="宋体"/>
          <w:b/>
          <w:bCs/>
          <w:color w:val="000000"/>
          <w:kern w:val="0"/>
          <w:sz w:val="22"/>
          <w:szCs w:val="22"/>
          <w:highlight w:val="none"/>
          <w:lang w:val="en-US" w:eastAsia="zh-CN" w:bidi="ar"/>
        </w:rPr>
        <w:t>且备案成功</w:t>
      </w:r>
      <w:r>
        <w:rPr>
          <w:rFonts w:hint="eastAsia" w:ascii="宋体" w:hAnsi="宋体" w:eastAsia="宋体" w:cs="宋体"/>
          <w:b/>
          <w:bCs/>
          <w:color w:val="000000"/>
          <w:kern w:val="0"/>
          <w:sz w:val="22"/>
          <w:szCs w:val="22"/>
          <w:highlight w:val="none"/>
          <w:lang w:bidi="ar"/>
        </w:rPr>
        <w:t>，费用包含在报价当中。出具无缝对接承诺函，投标文件中未提供无缝对接承诺函，按投标无效处理。</w:t>
      </w:r>
    </w:p>
    <w:p w14:paraId="4FD78071">
      <w:pPr>
        <w:widowControl/>
        <w:numPr>
          <w:ilvl w:val="0"/>
          <w:numId w:val="4"/>
        </w:numPr>
        <w:jc w:val="left"/>
        <w:rPr>
          <w:rFonts w:ascii="宋体" w:hAnsi="宋体" w:eastAsia="宋体" w:cs="宋体"/>
          <w:b/>
          <w:bCs/>
          <w:color w:val="000000"/>
          <w:kern w:val="0"/>
          <w:sz w:val="22"/>
          <w:szCs w:val="22"/>
          <w:lang w:bidi="ar"/>
        </w:rPr>
      </w:pPr>
      <w:r>
        <w:rPr>
          <w:rFonts w:ascii="宋体" w:hAnsi="宋体" w:eastAsia="宋体" w:cs="宋体"/>
          <w:b/>
          <w:bCs/>
          <w:color w:val="000000"/>
          <w:kern w:val="0"/>
          <w:sz w:val="22"/>
          <w:szCs w:val="22"/>
          <w:lang w:bidi="ar"/>
        </w:rPr>
        <w:t>设备安装调试：供应商负责将设备运输至采购人指定的现场，</w:t>
      </w:r>
      <w:r>
        <w:rPr>
          <w:rFonts w:hint="eastAsia" w:ascii="宋体" w:hAnsi="宋体" w:eastAsia="宋体" w:cs="宋体"/>
          <w:b/>
          <w:bCs/>
          <w:color w:val="000000"/>
          <w:kern w:val="0"/>
          <w:sz w:val="22"/>
          <w:szCs w:val="22"/>
          <w:lang w:bidi="ar"/>
        </w:rPr>
        <w:t>保证所供设备为全新产品</w:t>
      </w:r>
      <w:r>
        <w:rPr>
          <w:rFonts w:ascii="宋体" w:hAnsi="宋体" w:eastAsia="宋体" w:cs="宋体"/>
          <w:b/>
          <w:bCs/>
          <w:color w:val="000000"/>
          <w:kern w:val="0"/>
          <w:sz w:val="22"/>
          <w:szCs w:val="22"/>
          <w:lang w:bidi="ar"/>
        </w:rPr>
        <w:t>并</w:t>
      </w:r>
      <w:r>
        <w:rPr>
          <w:rFonts w:hint="eastAsia" w:ascii="宋体" w:hAnsi="宋体" w:eastAsia="宋体" w:cs="宋体"/>
          <w:b/>
          <w:bCs/>
          <w:color w:val="000000"/>
          <w:kern w:val="0"/>
          <w:sz w:val="22"/>
          <w:szCs w:val="22"/>
          <w:lang w:bidi="ar"/>
        </w:rPr>
        <w:t>满足</w:t>
      </w:r>
      <w:r>
        <w:rPr>
          <w:rFonts w:ascii="宋体" w:hAnsi="宋体" w:eastAsia="宋体" w:cs="宋体"/>
          <w:b/>
          <w:bCs/>
          <w:color w:val="000000"/>
          <w:kern w:val="0"/>
          <w:sz w:val="22"/>
          <w:szCs w:val="22"/>
          <w:lang w:bidi="ar"/>
        </w:rPr>
        <w:t>采购文件要求的技术规格，</w:t>
      </w:r>
      <w:r>
        <w:rPr>
          <w:rFonts w:hint="eastAsia" w:ascii="宋体" w:hAnsi="宋体" w:eastAsia="宋体" w:cs="宋体"/>
          <w:b/>
          <w:bCs/>
          <w:color w:val="000000"/>
          <w:kern w:val="0"/>
          <w:sz w:val="22"/>
          <w:szCs w:val="22"/>
          <w:lang w:bidi="ar"/>
        </w:rPr>
        <w:t>设备安装调试后达到使用要求。</w:t>
      </w:r>
      <w:r>
        <w:rPr>
          <w:rFonts w:ascii="宋体" w:hAnsi="宋体" w:eastAsia="宋体" w:cs="宋体"/>
          <w:b/>
          <w:bCs/>
          <w:color w:val="000000"/>
          <w:kern w:val="0"/>
          <w:sz w:val="22"/>
          <w:szCs w:val="22"/>
          <w:lang w:bidi="ar"/>
        </w:rPr>
        <w:t xml:space="preserve">如果由于设备本身原因在 </w:t>
      </w:r>
      <w:r>
        <w:rPr>
          <w:rFonts w:hint="eastAsia" w:ascii="宋体" w:hAnsi="宋体" w:eastAsia="宋体" w:cs="宋体"/>
          <w:b/>
          <w:bCs/>
          <w:color w:val="000000"/>
          <w:kern w:val="0"/>
          <w:sz w:val="22"/>
          <w:szCs w:val="22"/>
          <w:lang w:bidi="ar"/>
        </w:rPr>
        <w:t>7</w:t>
      </w:r>
      <w:r>
        <w:rPr>
          <w:rFonts w:ascii="宋体" w:hAnsi="宋体" w:eastAsia="宋体" w:cs="宋体"/>
          <w:b/>
          <w:bCs/>
          <w:color w:val="000000"/>
          <w:kern w:val="0"/>
          <w:sz w:val="22"/>
          <w:szCs w:val="22"/>
          <w:lang w:bidi="ar"/>
        </w:rPr>
        <w:t xml:space="preserve"> 天内没有完成调试，供应商应更换一套新的</w:t>
      </w:r>
      <w:r>
        <w:rPr>
          <w:rFonts w:hint="eastAsia" w:ascii="宋体" w:hAnsi="宋体" w:eastAsia="宋体" w:cs="宋体"/>
          <w:b/>
          <w:bCs/>
          <w:color w:val="000000"/>
          <w:kern w:val="0"/>
          <w:sz w:val="22"/>
          <w:szCs w:val="22"/>
          <w:lang w:bidi="ar"/>
        </w:rPr>
        <w:t>所投产品且</w:t>
      </w:r>
      <w:r>
        <w:rPr>
          <w:rFonts w:ascii="宋体" w:hAnsi="宋体" w:eastAsia="宋体" w:cs="宋体"/>
          <w:b/>
          <w:bCs/>
          <w:color w:val="000000"/>
          <w:kern w:val="0"/>
          <w:sz w:val="22"/>
          <w:szCs w:val="22"/>
          <w:lang w:bidi="ar"/>
        </w:rPr>
        <w:t>符合技术规格的设备，重新安装调试</w:t>
      </w:r>
      <w:r>
        <w:rPr>
          <w:rFonts w:hint="eastAsia" w:ascii="宋体" w:hAnsi="宋体" w:eastAsia="宋体" w:cs="宋体"/>
          <w:b/>
          <w:bCs/>
          <w:color w:val="000000"/>
          <w:kern w:val="0"/>
          <w:sz w:val="22"/>
          <w:szCs w:val="22"/>
          <w:lang w:bidi="ar"/>
        </w:rPr>
        <w:t>。</w:t>
      </w:r>
    </w:p>
    <w:p w14:paraId="41236890">
      <w:pPr>
        <w:widowControl/>
        <w:numPr>
          <w:ilvl w:val="0"/>
          <w:numId w:val="4"/>
        </w:numPr>
        <w:jc w:val="left"/>
        <w:rPr>
          <w:rFonts w:ascii="宋体" w:hAnsi="宋体" w:eastAsia="宋体" w:cs="宋体"/>
          <w:b/>
          <w:bCs/>
          <w:color w:val="000000"/>
          <w:kern w:val="0"/>
          <w:sz w:val="22"/>
          <w:szCs w:val="22"/>
          <w:lang w:bidi="ar"/>
        </w:rPr>
      </w:pPr>
      <w:r>
        <w:rPr>
          <w:rFonts w:ascii="宋体" w:hAnsi="宋体" w:eastAsia="宋体" w:cs="宋体"/>
          <w:b/>
          <w:bCs/>
          <w:color w:val="000000"/>
          <w:kern w:val="0"/>
          <w:sz w:val="22"/>
          <w:szCs w:val="22"/>
          <w:lang w:bidi="ar"/>
        </w:rPr>
        <w:t>在质保期内出现</w:t>
      </w:r>
      <w:r>
        <w:rPr>
          <w:rFonts w:hint="eastAsia" w:ascii="宋体" w:hAnsi="宋体" w:eastAsia="宋体" w:cs="宋体"/>
          <w:b/>
          <w:bCs/>
          <w:color w:val="000000"/>
          <w:kern w:val="0"/>
          <w:sz w:val="22"/>
          <w:szCs w:val="22"/>
          <w:lang w:bidi="ar"/>
        </w:rPr>
        <w:t>故障</w:t>
      </w:r>
      <w:r>
        <w:rPr>
          <w:rFonts w:ascii="宋体" w:hAnsi="宋体" w:eastAsia="宋体" w:cs="宋体"/>
          <w:b/>
          <w:bCs/>
          <w:color w:val="000000"/>
          <w:kern w:val="0"/>
          <w:sz w:val="22"/>
          <w:szCs w:val="22"/>
          <w:lang w:bidi="ar"/>
        </w:rPr>
        <w:t>免费上门维修服务，当产品出现故障时及时安排技术人员做电话及邮件解决办法，一般软件故障，接到通知后 0.5 小时内作出响应，给予解决方案。特殊故障 2 小时内技术人员到现场</w:t>
      </w:r>
      <w:r>
        <w:rPr>
          <w:rFonts w:hint="eastAsia" w:ascii="宋体" w:hAnsi="宋体" w:eastAsia="宋体" w:cs="宋体"/>
          <w:b/>
          <w:bCs/>
          <w:color w:val="000000"/>
          <w:kern w:val="0"/>
          <w:sz w:val="22"/>
          <w:szCs w:val="22"/>
          <w:lang w:bidi="ar"/>
        </w:rPr>
        <w:t>并</w:t>
      </w:r>
      <w:r>
        <w:rPr>
          <w:rFonts w:ascii="宋体" w:hAnsi="宋体" w:eastAsia="宋体" w:cs="宋体"/>
          <w:b/>
          <w:bCs/>
          <w:color w:val="000000"/>
          <w:kern w:val="0"/>
          <w:sz w:val="22"/>
          <w:szCs w:val="22"/>
          <w:lang w:bidi="ar"/>
        </w:rPr>
        <w:t>处理</w:t>
      </w:r>
      <w:r>
        <w:rPr>
          <w:rFonts w:hint="eastAsia" w:ascii="宋体" w:hAnsi="宋体" w:eastAsia="宋体" w:cs="宋体"/>
          <w:b/>
          <w:bCs/>
          <w:color w:val="000000"/>
          <w:kern w:val="0"/>
          <w:sz w:val="22"/>
          <w:szCs w:val="22"/>
          <w:lang w:bidi="ar"/>
        </w:rPr>
        <w:t>完成</w:t>
      </w:r>
      <w:r>
        <w:rPr>
          <w:rFonts w:ascii="宋体" w:hAnsi="宋体" w:eastAsia="宋体" w:cs="宋体"/>
          <w:b/>
          <w:bCs/>
          <w:color w:val="000000"/>
          <w:kern w:val="0"/>
          <w:sz w:val="22"/>
          <w:szCs w:val="22"/>
          <w:lang w:bidi="ar"/>
        </w:rPr>
        <w:t>。</w:t>
      </w:r>
    </w:p>
    <w:p w14:paraId="7A62C70C">
      <w:pPr>
        <w:widowControl/>
        <w:numPr>
          <w:ilvl w:val="0"/>
          <w:numId w:val="4"/>
        </w:numPr>
        <w:jc w:val="left"/>
        <w:rPr>
          <w:rFonts w:ascii="宋体" w:hAnsi="宋体" w:eastAsia="宋体" w:cs="宋体"/>
          <w:b/>
          <w:bCs/>
          <w:color w:val="000000"/>
          <w:kern w:val="0"/>
          <w:sz w:val="22"/>
          <w:szCs w:val="22"/>
          <w:lang w:bidi="ar"/>
        </w:rPr>
      </w:pPr>
      <w:r>
        <w:rPr>
          <w:rFonts w:ascii="宋体" w:hAnsi="宋体" w:eastAsia="宋体" w:cs="宋体"/>
          <w:b/>
          <w:bCs/>
          <w:color w:val="000000"/>
          <w:kern w:val="0"/>
          <w:sz w:val="22"/>
          <w:szCs w:val="22"/>
          <w:lang w:bidi="ar"/>
        </w:rPr>
        <w:t>技术培训</w:t>
      </w:r>
      <w:r>
        <w:rPr>
          <w:rFonts w:hint="eastAsia" w:ascii="宋体" w:hAnsi="宋体" w:eastAsia="宋体" w:cs="宋体"/>
          <w:b/>
          <w:bCs/>
          <w:color w:val="000000"/>
          <w:kern w:val="0"/>
          <w:sz w:val="22"/>
          <w:szCs w:val="22"/>
          <w:lang w:bidi="ar"/>
        </w:rPr>
        <w:t>：</w:t>
      </w:r>
      <w:r>
        <w:rPr>
          <w:rFonts w:ascii="宋体" w:hAnsi="宋体" w:eastAsia="宋体" w:cs="宋体"/>
          <w:b/>
          <w:bCs/>
          <w:color w:val="000000"/>
          <w:kern w:val="0"/>
          <w:sz w:val="22"/>
          <w:szCs w:val="22"/>
          <w:lang w:bidi="ar"/>
        </w:rPr>
        <w:t>供应商应对采购人指定人员进行培训。培训内容包括仪器操作、软件使用及数据后处理等。通过培训使采购人完全掌握本产品的性能、特点，在培训期结束后能够</w:t>
      </w:r>
      <w:r>
        <w:rPr>
          <w:rFonts w:hint="eastAsia" w:ascii="宋体" w:hAnsi="宋体" w:eastAsia="宋体" w:cs="宋体"/>
          <w:b/>
          <w:bCs/>
          <w:color w:val="000000"/>
          <w:kern w:val="0"/>
          <w:sz w:val="22"/>
          <w:szCs w:val="22"/>
          <w:lang w:bidi="ar"/>
        </w:rPr>
        <w:t>独立</w:t>
      </w:r>
      <w:r>
        <w:rPr>
          <w:rFonts w:ascii="宋体" w:hAnsi="宋体" w:eastAsia="宋体" w:cs="宋体"/>
          <w:b/>
          <w:bCs/>
          <w:color w:val="000000"/>
          <w:kern w:val="0"/>
          <w:sz w:val="22"/>
          <w:szCs w:val="22"/>
          <w:lang w:bidi="ar"/>
        </w:rPr>
        <w:t>开展工作。</w:t>
      </w:r>
    </w:p>
    <w:p w14:paraId="7210D3D8">
      <w:pPr>
        <w:widowControl/>
        <w:jc w:val="left"/>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投标人在投标文件中必须如实的填写所投产品的参数响应情况；中标后如发现投标人虚假响应，其所投产品任一实际技术参数与投标时响应不符，或在合同履行中发现投标人在投标时虚假响应，所供产品任一实际技术参数与投标时响应不符，将依法处理。</w:t>
      </w:r>
    </w:p>
    <w:p w14:paraId="445FD441">
      <w:pPr>
        <w:widowControl/>
        <w:jc w:val="left"/>
        <w:rPr>
          <w:sz w:val="20"/>
          <w:szCs w:val="18"/>
        </w:rPr>
      </w:pPr>
      <w:r>
        <w:rPr>
          <w:rFonts w:hint="eastAsia" w:ascii="宋体" w:hAnsi="宋体" w:eastAsia="宋体" w:cs="宋体"/>
          <w:b/>
          <w:bCs/>
          <w:color w:val="000000"/>
          <w:kern w:val="0"/>
          <w:sz w:val="22"/>
          <w:szCs w:val="22"/>
          <w:lang w:bidi="ar"/>
        </w:rPr>
        <w:t xml:space="preserve">（四）、报价要求 </w:t>
      </w:r>
    </w:p>
    <w:p w14:paraId="2E4A7DCD">
      <w:pPr>
        <w:widowControl/>
        <w:jc w:val="left"/>
        <w:rPr>
          <w:sz w:val="20"/>
          <w:szCs w:val="18"/>
        </w:rPr>
      </w:pPr>
      <w:r>
        <w:rPr>
          <w:rFonts w:hint="eastAsia" w:ascii="宋体" w:hAnsi="宋体" w:eastAsia="宋体" w:cs="宋体"/>
          <w:color w:val="000000"/>
          <w:kern w:val="0"/>
          <w:sz w:val="22"/>
          <w:szCs w:val="22"/>
          <w:lang w:bidi="ar"/>
        </w:rPr>
        <w:t xml:space="preserve">1.投标报价文件中的单价和总价全部采用人民币表示。投标人的报价应含有服务（货物）、所有辅材、安装、利润、税金、政策性文件规定及合同包含的所有风险、责任、义务等，即为完成招标文件要求的服务（货物）内容所包含的一切应有费用，中标价格今后将不作任何调整，采购人后期不再追加费用，投标投标人自行考虑投标风险。 </w:t>
      </w:r>
    </w:p>
    <w:p w14:paraId="65E5479C">
      <w:pPr>
        <w:widowControl/>
        <w:jc w:val="left"/>
        <w:rPr>
          <w:sz w:val="20"/>
          <w:szCs w:val="18"/>
        </w:rPr>
      </w:pPr>
      <w:r>
        <w:rPr>
          <w:rFonts w:hint="eastAsia" w:ascii="宋体" w:hAnsi="宋体" w:eastAsia="宋体" w:cs="宋体"/>
          <w:color w:val="000000"/>
          <w:kern w:val="0"/>
          <w:sz w:val="22"/>
          <w:szCs w:val="22"/>
          <w:lang w:bidi="ar"/>
        </w:rPr>
        <w:t xml:space="preserve">2.分项报价清单上应清楚地标明投标人拟提供货物的名称、型号、生产厂家、 数量、单价和总价。 </w:t>
      </w:r>
    </w:p>
    <w:p w14:paraId="1A0289CA">
      <w:pPr>
        <w:widowControl/>
        <w:jc w:val="left"/>
        <w:rPr>
          <w:sz w:val="20"/>
          <w:szCs w:val="18"/>
        </w:rPr>
      </w:pPr>
      <w:r>
        <w:rPr>
          <w:rFonts w:hint="eastAsia" w:ascii="宋体" w:hAnsi="宋体" w:eastAsia="宋体" w:cs="宋体"/>
          <w:color w:val="000000"/>
          <w:kern w:val="0"/>
          <w:sz w:val="22"/>
          <w:szCs w:val="22"/>
          <w:lang w:bidi="ar"/>
        </w:rPr>
        <w:t xml:space="preserve">3.投标人只允许有一个方案、一个报价。 </w:t>
      </w:r>
    </w:p>
    <w:p w14:paraId="15C2A244">
      <w:pPr>
        <w:widowControl/>
        <w:jc w:val="left"/>
        <w:rPr>
          <w:sz w:val="20"/>
          <w:szCs w:val="18"/>
        </w:rPr>
      </w:pPr>
      <w:r>
        <w:rPr>
          <w:rFonts w:hint="eastAsia" w:ascii="宋体" w:hAnsi="宋体" w:eastAsia="宋体" w:cs="宋体"/>
          <w:color w:val="000000"/>
          <w:kern w:val="0"/>
          <w:sz w:val="22"/>
          <w:szCs w:val="22"/>
          <w:lang w:bidi="ar"/>
        </w:rPr>
        <w:t xml:space="preserve">4.投标报价的价格是完成项目全部内容的价格，其总价即为履行合同的固定总价。 </w:t>
      </w:r>
    </w:p>
    <w:p w14:paraId="5B775259">
      <w:pPr>
        <w:widowControl/>
        <w:jc w:val="left"/>
        <w:rPr>
          <w:sz w:val="20"/>
          <w:szCs w:val="18"/>
        </w:rPr>
      </w:pPr>
      <w:r>
        <w:rPr>
          <w:rFonts w:hint="eastAsia" w:ascii="宋体" w:hAnsi="宋体" w:eastAsia="宋体" w:cs="宋体"/>
          <w:color w:val="000000"/>
          <w:kern w:val="0"/>
          <w:sz w:val="22"/>
          <w:szCs w:val="22"/>
          <w:lang w:bidi="ar"/>
        </w:rPr>
        <w:t xml:space="preserve">5.技术要求中规定的安装、调试和培训费用应包括在投标价格中。投标文件报价为含税价，采购人不再为此次招标支付任何费用。 </w:t>
      </w:r>
    </w:p>
    <w:p w14:paraId="6974A6FE">
      <w:pPr>
        <w:widowControl/>
        <w:jc w:val="left"/>
        <w:rPr>
          <w:sz w:val="20"/>
          <w:szCs w:val="18"/>
        </w:rPr>
      </w:pPr>
      <w:r>
        <w:rPr>
          <w:rFonts w:hint="eastAsia" w:ascii="宋体" w:hAnsi="宋体" w:eastAsia="宋体" w:cs="宋体"/>
          <w:color w:val="000000"/>
          <w:kern w:val="0"/>
          <w:sz w:val="22"/>
          <w:szCs w:val="22"/>
          <w:lang w:bidi="ar"/>
        </w:rPr>
        <w:t xml:space="preserve">6.投标报价应由法定代表人或被授权人签署。 </w:t>
      </w:r>
    </w:p>
    <w:p w14:paraId="67BA1B04">
      <w:pPr>
        <w:widowControl/>
        <w:jc w:val="left"/>
        <w:rPr>
          <w:sz w:val="20"/>
          <w:szCs w:val="18"/>
        </w:rPr>
      </w:pPr>
      <w:r>
        <w:rPr>
          <w:rFonts w:hint="eastAsia" w:ascii="宋体" w:hAnsi="宋体" w:eastAsia="宋体" w:cs="宋体"/>
          <w:color w:val="000000"/>
          <w:kern w:val="0"/>
          <w:sz w:val="22"/>
          <w:szCs w:val="22"/>
          <w:lang w:bidi="ar"/>
        </w:rPr>
        <w:t>7.投标人的报价不得高于本次招标最高限价</w:t>
      </w:r>
      <w:r>
        <w:rPr>
          <w:rFonts w:hint="eastAsia" w:ascii="宋体" w:hAnsi="宋体" w:eastAsia="宋体" w:cs="宋体"/>
          <w:b/>
          <w:bCs/>
          <w:color w:val="000000"/>
          <w:kern w:val="0"/>
          <w:sz w:val="22"/>
          <w:szCs w:val="22"/>
          <w:lang w:bidi="ar"/>
        </w:rPr>
        <w:t xml:space="preserve">，否则将作为无效投标处理。 </w:t>
      </w:r>
    </w:p>
    <w:p w14:paraId="488D3E1C">
      <w:pPr>
        <w:widowControl/>
        <w:jc w:val="left"/>
        <w:rPr>
          <w:sz w:val="20"/>
          <w:szCs w:val="18"/>
        </w:rPr>
      </w:pPr>
      <w:r>
        <w:rPr>
          <w:rFonts w:hint="eastAsia" w:ascii="宋体" w:hAnsi="宋体" w:eastAsia="宋体" w:cs="宋体"/>
          <w:color w:val="000000"/>
          <w:kern w:val="0"/>
          <w:sz w:val="22"/>
          <w:szCs w:val="22"/>
          <w:lang w:bidi="ar"/>
        </w:rPr>
        <w:t xml:space="preserve">8.如投标文件中未列明全面实现投标货物功能而必须配置的配套或辅助设施及相应技术措施的费用，这些费用将被视为已包含在总投标价中。 </w:t>
      </w:r>
    </w:p>
    <w:p w14:paraId="4285E0B9">
      <w:pPr>
        <w:widowControl/>
        <w:jc w:val="left"/>
        <w:rPr>
          <w:sz w:val="20"/>
          <w:szCs w:val="18"/>
        </w:rPr>
      </w:pPr>
      <w:r>
        <w:rPr>
          <w:rFonts w:hint="eastAsia" w:ascii="宋体" w:hAnsi="宋体" w:eastAsia="宋体" w:cs="宋体"/>
          <w:color w:val="000000"/>
          <w:kern w:val="0"/>
          <w:sz w:val="22"/>
          <w:szCs w:val="22"/>
          <w:lang w:bidi="ar"/>
        </w:rPr>
        <w:t xml:space="preserve">9.投标价中不得包含招标文件要求以外的内容，否则，在评标时不予核减，但在授予合同时，采购人有权将这部分价格从其中标价格中扣除。 </w:t>
      </w:r>
    </w:p>
    <w:p w14:paraId="176A4DA4">
      <w:pPr>
        <w:widowControl/>
        <w:jc w:val="left"/>
        <w:rPr>
          <w:sz w:val="20"/>
          <w:szCs w:val="18"/>
        </w:rPr>
      </w:pPr>
      <w:r>
        <w:rPr>
          <w:rFonts w:hint="eastAsia" w:ascii="宋体" w:hAnsi="宋体" w:eastAsia="宋体" w:cs="宋体"/>
          <w:color w:val="000000"/>
          <w:kern w:val="0"/>
          <w:sz w:val="22"/>
          <w:szCs w:val="22"/>
          <w:lang w:bidi="ar"/>
        </w:rPr>
        <w:t xml:space="preserve">10.总投标价中不得缺漏招标文件所要求的内容，否则，评标时将有效投标中该项内容的最高价计入其评标总价，但在授予合同时，缺漏项目的报价视作已含在其他项目的报价中，这些项目将作为免费赠送而包含在合同内。 </w:t>
      </w:r>
    </w:p>
    <w:p w14:paraId="6CB68F23">
      <w:pPr>
        <w:widowControl/>
        <w:jc w:val="left"/>
        <w:rPr>
          <w:sz w:val="20"/>
          <w:szCs w:val="18"/>
        </w:rPr>
      </w:pPr>
      <w:r>
        <w:rPr>
          <w:rFonts w:hint="eastAsia" w:ascii="宋体" w:hAnsi="宋体" w:eastAsia="宋体" w:cs="宋体"/>
          <w:color w:val="000000"/>
          <w:kern w:val="0"/>
          <w:sz w:val="22"/>
          <w:szCs w:val="22"/>
          <w:lang w:bidi="ar"/>
        </w:rPr>
        <w:t xml:space="preserve">11.投标人不得对从第三方采购货物的随机备品、备件另行收费，否则在计算评标价时这部分费用将不予扣除，在授予合同时将从中标价格中扣除该部分费用。 </w:t>
      </w:r>
    </w:p>
    <w:p w14:paraId="19C76B96">
      <w:pPr>
        <w:widowControl/>
        <w:jc w:val="left"/>
        <w:rPr>
          <w:sz w:val="20"/>
          <w:szCs w:val="18"/>
        </w:rPr>
      </w:pPr>
      <w:r>
        <w:rPr>
          <w:rFonts w:hint="eastAsia" w:ascii="宋体" w:hAnsi="宋体" w:eastAsia="宋体" w:cs="宋体"/>
          <w:color w:val="000000"/>
          <w:kern w:val="0"/>
          <w:sz w:val="22"/>
          <w:szCs w:val="22"/>
          <w:lang w:bidi="ar"/>
        </w:rPr>
        <w:t xml:space="preserve">12.投标人应根据货物（服务）的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 </w:t>
      </w:r>
    </w:p>
    <w:p w14:paraId="2BD73BB4">
      <w:pPr>
        <w:widowControl/>
        <w:jc w:val="left"/>
        <w:rPr>
          <w:sz w:val="20"/>
          <w:szCs w:val="18"/>
        </w:rPr>
      </w:pPr>
      <w:r>
        <w:rPr>
          <w:rFonts w:hint="eastAsia" w:ascii="宋体" w:hAnsi="宋体" w:eastAsia="宋体" w:cs="宋体"/>
          <w:b/>
          <w:bCs/>
          <w:color w:val="000000"/>
          <w:kern w:val="0"/>
          <w:sz w:val="22"/>
          <w:szCs w:val="22"/>
          <w:lang w:bidi="ar"/>
        </w:rPr>
        <w:t xml:space="preserve">（五）、其他要求 </w:t>
      </w:r>
    </w:p>
    <w:p w14:paraId="39ACCC58">
      <w:pPr>
        <w:widowControl/>
        <w:jc w:val="left"/>
        <w:rPr>
          <w:sz w:val="20"/>
          <w:szCs w:val="18"/>
        </w:rPr>
      </w:pPr>
      <w:r>
        <w:rPr>
          <w:rFonts w:hint="eastAsia" w:ascii="宋体" w:hAnsi="宋体" w:eastAsia="宋体" w:cs="宋体"/>
          <w:color w:val="000000"/>
          <w:kern w:val="0"/>
          <w:sz w:val="22"/>
          <w:szCs w:val="22"/>
          <w:lang w:bidi="ar"/>
        </w:rPr>
        <w:t xml:space="preserve">（一）货物的生产、安装、维修、检验、验收等按照以下原则执行：有国家标准的执行国家标准；无国家标准的执行行业标准；无行业标准的执行地方标准；无地方标准的执行企业标准。 </w:t>
      </w:r>
    </w:p>
    <w:p w14:paraId="0D43120A">
      <w:pPr>
        <w:widowControl/>
        <w:jc w:val="left"/>
        <w:rPr>
          <w:sz w:val="20"/>
          <w:szCs w:val="18"/>
        </w:rPr>
      </w:pPr>
      <w:r>
        <w:rPr>
          <w:rFonts w:hint="eastAsia" w:ascii="宋体" w:hAnsi="宋体" w:eastAsia="宋体" w:cs="宋体"/>
          <w:color w:val="000000"/>
          <w:kern w:val="0"/>
          <w:sz w:val="22"/>
          <w:szCs w:val="22"/>
          <w:lang w:bidi="ar"/>
        </w:rPr>
        <w:t xml:space="preserve">（二）如果在技术参数或配置中标明了品牌或产地，则仅供参考，并非指定， 但投标人提供的货物必须满足主要技术参数及配置要求，投标人可以选用替代的方案，但这种替代整体上要优于或相当于招标文件的相关要求。 </w:t>
      </w:r>
    </w:p>
    <w:p w14:paraId="0935F08A">
      <w:pPr>
        <w:widowControl/>
        <w:jc w:val="left"/>
        <w:rPr>
          <w:sz w:val="20"/>
          <w:szCs w:val="18"/>
        </w:rPr>
      </w:pPr>
      <w:r>
        <w:rPr>
          <w:rFonts w:hint="eastAsia" w:ascii="宋体" w:hAnsi="宋体" w:eastAsia="宋体" w:cs="宋体"/>
          <w:color w:val="000000"/>
          <w:kern w:val="0"/>
          <w:sz w:val="22"/>
          <w:szCs w:val="22"/>
          <w:lang w:bidi="ar"/>
        </w:rPr>
        <w:t xml:space="preserve">（三）供货时所有货物（包括零部件）须为全新的、未使用过的原装正品，并完全符合国家质量标准，有国家强制性认证要求的产品须提供相应证书。 </w:t>
      </w:r>
    </w:p>
    <w:p w14:paraId="54BD33C9">
      <w:pPr>
        <w:widowControl/>
        <w:jc w:val="left"/>
        <w:rPr>
          <w:sz w:val="20"/>
          <w:szCs w:val="18"/>
        </w:rPr>
      </w:pPr>
      <w:r>
        <w:rPr>
          <w:rFonts w:hint="eastAsia" w:ascii="宋体" w:hAnsi="宋体" w:eastAsia="宋体" w:cs="宋体"/>
          <w:color w:val="000000"/>
          <w:kern w:val="0"/>
          <w:sz w:val="22"/>
          <w:szCs w:val="22"/>
          <w:lang w:bidi="ar"/>
        </w:rPr>
        <w:t xml:space="preserve">（四）技术支持 </w:t>
      </w:r>
    </w:p>
    <w:p w14:paraId="0B62A0C5">
      <w:pPr>
        <w:widowControl/>
        <w:jc w:val="left"/>
        <w:rPr>
          <w:sz w:val="20"/>
          <w:szCs w:val="18"/>
        </w:rPr>
      </w:pPr>
      <w:r>
        <w:rPr>
          <w:rFonts w:hint="eastAsia" w:ascii="宋体" w:hAnsi="宋体" w:eastAsia="宋体" w:cs="宋体"/>
          <w:color w:val="000000"/>
          <w:kern w:val="0"/>
          <w:sz w:val="22"/>
          <w:szCs w:val="22"/>
          <w:lang w:bidi="ar"/>
        </w:rPr>
        <w:t xml:space="preserve">1.中标人应向采购人提供全方位、及时而有效的技术支持和服务。 </w:t>
      </w:r>
    </w:p>
    <w:p w14:paraId="610D63A8">
      <w:pPr>
        <w:widowControl/>
        <w:jc w:val="left"/>
        <w:rPr>
          <w:sz w:val="20"/>
          <w:szCs w:val="18"/>
        </w:rPr>
      </w:pPr>
      <w:r>
        <w:rPr>
          <w:rFonts w:hint="eastAsia" w:ascii="宋体" w:hAnsi="宋体" w:eastAsia="宋体" w:cs="宋体"/>
          <w:color w:val="000000"/>
          <w:kern w:val="0"/>
          <w:sz w:val="22"/>
          <w:szCs w:val="22"/>
          <w:lang w:bidi="ar"/>
        </w:rPr>
        <w:t xml:space="preserve">2.中标人负责供货、安装、调试。 </w:t>
      </w:r>
    </w:p>
    <w:p w14:paraId="403A015B">
      <w:pPr>
        <w:widowControl/>
        <w:jc w:val="left"/>
        <w:rPr>
          <w:sz w:val="20"/>
          <w:szCs w:val="18"/>
        </w:rPr>
      </w:pPr>
      <w:r>
        <w:rPr>
          <w:rFonts w:hint="eastAsia" w:ascii="宋体" w:hAnsi="宋体" w:eastAsia="宋体" w:cs="宋体"/>
          <w:color w:val="000000"/>
          <w:kern w:val="0"/>
          <w:sz w:val="22"/>
          <w:szCs w:val="22"/>
          <w:lang w:bidi="ar"/>
        </w:rPr>
        <w:t xml:space="preserve">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 </w:t>
      </w:r>
    </w:p>
    <w:p w14:paraId="7633DACB">
      <w:pPr>
        <w:widowControl/>
        <w:jc w:val="left"/>
        <w:rPr>
          <w:sz w:val="20"/>
          <w:szCs w:val="18"/>
        </w:rPr>
      </w:pPr>
      <w:r>
        <w:rPr>
          <w:rFonts w:hint="eastAsia" w:ascii="宋体" w:hAnsi="宋体" w:eastAsia="宋体" w:cs="宋体"/>
          <w:color w:val="000000"/>
          <w:kern w:val="0"/>
          <w:sz w:val="22"/>
          <w:szCs w:val="22"/>
          <w:lang w:bidi="ar"/>
        </w:rPr>
        <w:t xml:space="preserve">（五）质保及售后服务： </w:t>
      </w:r>
    </w:p>
    <w:p w14:paraId="19B7779D">
      <w:pPr>
        <w:widowControl/>
        <w:jc w:val="left"/>
        <w:rPr>
          <w:sz w:val="20"/>
          <w:szCs w:val="18"/>
        </w:rPr>
      </w:pPr>
      <w:r>
        <w:rPr>
          <w:rFonts w:hint="eastAsia" w:ascii="宋体" w:hAnsi="宋体" w:eastAsia="宋体" w:cs="宋体"/>
          <w:color w:val="000000"/>
          <w:kern w:val="0"/>
          <w:sz w:val="22"/>
          <w:szCs w:val="22"/>
          <w:lang w:bidi="ar"/>
        </w:rPr>
        <w:t>1</w:t>
      </w:r>
      <w:r>
        <w:rPr>
          <w:rFonts w:hint="eastAsia" w:ascii="宋体" w:hAnsi="宋体" w:eastAsia="宋体" w:cs="宋体"/>
          <w:color w:val="000000"/>
          <w:kern w:val="0"/>
          <w:sz w:val="22"/>
          <w:szCs w:val="22"/>
          <w:highlight w:val="none"/>
          <w:lang w:bidi="ar"/>
        </w:rPr>
        <w:t>.中标人须</w:t>
      </w:r>
      <w:r>
        <w:rPr>
          <w:rFonts w:hint="eastAsia" w:ascii="宋体" w:hAnsi="宋体" w:eastAsia="宋体" w:cs="宋体"/>
          <w:color w:val="000000"/>
          <w:kern w:val="0"/>
          <w:sz w:val="22"/>
          <w:szCs w:val="22"/>
          <w:highlight w:val="none"/>
          <w:u w:val="single"/>
          <w:lang w:bidi="ar"/>
        </w:rPr>
        <w:t xml:space="preserve">提供至少 </w:t>
      </w:r>
      <w:r>
        <w:rPr>
          <w:rFonts w:hint="eastAsia" w:ascii="宋体" w:hAnsi="宋体" w:eastAsia="宋体" w:cs="宋体"/>
          <w:color w:val="000000"/>
          <w:kern w:val="0"/>
          <w:sz w:val="22"/>
          <w:szCs w:val="22"/>
          <w:highlight w:val="none"/>
          <w:u w:val="single"/>
          <w:lang w:val="en-US" w:eastAsia="zh-CN" w:bidi="ar"/>
        </w:rPr>
        <w:t>3</w:t>
      </w:r>
      <w:r>
        <w:rPr>
          <w:rFonts w:hint="eastAsia" w:ascii="宋体" w:hAnsi="宋体" w:eastAsia="宋体" w:cs="宋体"/>
          <w:color w:val="000000"/>
          <w:kern w:val="0"/>
          <w:sz w:val="22"/>
          <w:szCs w:val="22"/>
          <w:highlight w:val="none"/>
          <w:u w:val="single"/>
          <w:lang w:bidi="ar"/>
        </w:rPr>
        <w:t xml:space="preserve"> 年的</w:t>
      </w:r>
      <w:r>
        <w:rPr>
          <w:rFonts w:hint="eastAsia" w:ascii="宋体" w:hAnsi="宋体" w:eastAsia="宋体" w:cs="宋体"/>
          <w:color w:val="000000"/>
          <w:kern w:val="0"/>
          <w:sz w:val="22"/>
          <w:szCs w:val="22"/>
          <w:highlight w:val="none"/>
          <w:lang w:bidi="ar"/>
        </w:rPr>
        <w:t>免费质保服务，所</w:t>
      </w:r>
      <w:r>
        <w:rPr>
          <w:rFonts w:hint="eastAsia" w:ascii="宋体" w:hAnsi="宋体" w:eastAsia="宋体" w:cs="宋体"/>
          <w:color w:val="000000"/>
          <w:kern w:val="0"/>
          <w:sz w:val="22"/>
          <w:szCs w:val="22"/>
          <w:lang w:bidi="ar"/>
        </w:rPr>
        <w:t xml:space="preserve">有质保费用均已包含在投标报价中，质保期内免人工费、免配件费，质保期满后，应提供优先的有偿售后服务及按不高于投标文件中主要配件、易损件清单所报价格供应原厂零配件等。 </w:t>
      </w:r>
    </w:p>
    <w:p w14:paraId="6666C754">
      <w:pPr>
        <w:widowControl/>
        <w:jc w:val="left"/>
        <w:rPr>
          <w:sz w:val="20"/>
          <w:szCs w:val="18"/>
        </w:rPr>
      </w:pPr>
      <w:r>
        <w:rPr>
          <w:rFonts w:hint="eastAsia" w:ascii="宋体" w:hAnsi="宋体" w:eastAsia="宋体" w:cs="宋体"/>
          <w:color w:val="000000"/>
          <w:kern w:val="0"/>
          <w:sz w:val="22"/>
          <w:szCs w:val="22"/>
          <w:lang w:bidi="ar"/>
        </w:rPr>
        <w:t xml:space="preserve">2.中标人须设有维修服务电话，负责解答用户在货物使用中遇到的问题，及时提出解决问题的建议和操作方法。中标人应提供电话技术支持、上门服务、定期检查等多种服务形式，在质保期内，还应为本项目成立专门的维护服务和技术支持小组，提供免费技术支持与服务，服务方式包括 7×24 小时电话技术支持、 现场技术支持，并提供完善的售后服务方案。 </w:t>
      </w:r>
    </w:p>
    <w:p w14:paraId="2BFBFC45">
      <w:pPr>
        <w:widowControl/>
        <w:jc w:val="left"/>
        <w:rPr>
          <w:sz w:val="20"/>
          <w:szCs w:val="18"/>
        </w:rPr>
      </w:pPr>
      <w:r>
        <w:rPr>
          <w:rFonts w:hint="eastAsia" w:ascii="宋体" w:hAnsi="宋体" w:eastAsia="宋体" w:cs="宋体"/>
          <w:color w:val="000000"/>
          <w:kern w:val="0"/>
          <w:sz w:val="22"/>
          <w:szCs w:val="22"/>
          <w:lang w:bidi="ar"/>
        </w:rPr>
        <w:t xml:space="preserve">3.能够为本项目提供及时的售后服务及相关设施，并配备受过专业培训的售后服务人员，供货时，向采购人提供工程师联系方式。 </w:t>
      </w:r>
    </w:p>
    <w:p w14:paraId="72BD929F">
      <w:pPr>
        <w:widowControl/>
        <w:jc w:val="left"/>
        <w:rPr>
          <w:sz w:val="20"/>
          <w:szCs w:val="18"/>
        </w:rPr>
      </w:pPr>
      <w:r>
        <w:rPr>
          <w:rFonts w:hint="eastAsia" w:ascii="宋体" w:hAnsi="宋体" w:eastAsia="宋体" w:cs="宋体"/>
          <w:color w:val="000000"/>
          <w:kern w:val="0"/>
          <w:sz w:val="22"/>
          <w:szCs w:val="22"/>
          <w:lang w:bidi="ar"/>
        </w:rPr>
        <w:t xml:space="preserve">4.为保证设备正常运行，中标人应确保维修配件 10 年及以上的供应期，维修配件到项目地点周期不超过 4 天。 </w:t>
      </w:r>
    </w:p>
    <w:p w14:paraId="073DFEC3">
      <w:pPr>
        <w:widowControl/>
        <w:jc w:val="left"/>
        <w:rPr>
          <w:sz w:val="20"/>
          <w:szCs w:val="18"/>
        </w:rPr>
      </w:pPr>
      <w:r>
        <w:rPr>
          <w:rFonts w:hint="eastAsia" w:ascii="宋体" w:hAnsi="宋体" w:eastAsia="宋体" w:cs="宋体"/>
          <w:color w:val="000000"/>
          <w:kern w:val="0"/>
          <w:sz w:val="22"/>
          <w:szCs w:val="22"/>
          <w:lang w:bidi="ar"/>
        </w:rPr>
        <w:t xml:space="preserve">5.供货时，向采购人提供全国免费报修电话，每台设备均须向采购人提供操作人员及工程师的培训服务。 </w:t>
      </w:r>
    </w:p>
    <w:p w14:paraId="11362E2D">
      <w:pPr>
        <w:widowControl/>
        <w:jc w:val="left"/>
        <w:rPr>
          <w:sz w:val="20"/>
          <w:szCs w:val="18"/>
        </w:rPr>
      </w:pPr>
      <w:r>
        <w:rPr>
          <w:rFonts w:hint="eastAsia" w:ascii="宋体" w:hAnsi="宋体" w:eastAsia="宋体" w:cs="宋体"/>
          <w:color w:val="000000"/>
          <w:kern w:val="0"/>
          <w:sz w:val="22"/>
          <w:szCs w:val="22"/>
          <w:lang w:bidi="ar"/>
        </w:rPr>
        <w:t xml:space="preserve">（六）培训：供货时，向采购人提供全国免费报修电话，每台设备均须向采购人提供操作人员及工程师的培训服务。 </w:t>
      </w:r>
    </w:p>
    <w:p w14:paraId="78C5A778">
      <w:pPr>
        <w:widowControl/>
        <w:jc w:val="left"/>
        <w:rPr>
          <w:sz w:val="20"/>
          <w:szCs w:val="18"/>
        </w:rPr>
      </w:pPr>
      <w:r>
        <w:rPr>
          <w:rFonts w:hint="eastAsia" w:ascii="宋体" w:hAnsi="宋体" w:eastAsia="宋体" w:cs="宋体"/>
          <w:color w:val="000000"/>
          <w:kern w:val="0"/>
          <w:sz w:val="22"/>
          <w:szCs w:val="22"/>
          <w:lang w:bidi="ar"/>
        </w:rPr>
        <w:t xml:space="preserve">（七）验收： </w:t>
      </w:r>
    </w:p>
    <w:p w14:paraId="3B23A7FD">
      <w:pPr>
        <w:widowControl/>
        <w:jc w:val="left"/>
        <w:rPr>
          <w:sz w:val="20"/>
          <w:szCs w:val="18"/>
          <w:highlight w:val="none"/>
        </w:rPr>
      </w:pPr>
      <w:r>
        <w:rPr>
          <w:rFonts w:hint="eastAsia" w:ascii="宋体" w:hAnsi="宋体" w:eastAsia="宋体" w:cs="宋体"/>
          <w:color w:val="000000"/>
          <w:kern w:val="0"/>
          <w:sz w:val="22"/>
          <w:szCs w:val="22"/>
          <w:lang w:bidi="ar"/>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w:t>
      </w:r>
      <w:r>
        <w:rPr>
          <w:rFonts w:hint="eastAsia" w:ascii="宋体" w:hAnsi="宋体" w:eastAsia="宋体" w:cs="宋体"/>
          <w:color w:val="000000"/>
          <w:kern w:val="0"/>
          <w:sz w:val="22"/>
          <w:szCs w:val="22"/>
          <w:highlight w:val="none"/>
          <w:lang w:bidi="ar"/>
        </w:rPr>
        <w:t xml:space="preserve">家参加项目验收。 </w:t>
      </w:r>
    </w:p>
    <w:p w14:paraId="418B33E0">
      <w:pPr>
        <w:widowControl/>
        <w:jc w:val="left"/>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highlight w:val="none"/>
          <w:lang w:bidi="ar"/>
        </w:rPr>
        <w:t>2.货物在验收时，投标人应提供发票、制造厂家出具的产品合格证书、装箱清单、第三方检测报告等,涉及进口的产品、部件、配件等须提供中国海关进口货物报关单、完税证明及商检证明等材料；提供有关货物的操作规程和使用</w:t>
      </w:r>
      <w:r>
        <w:rPr>
          <w:rFonts w:hint="eastAsia" w:ascii="宋体" w:hAnsi="宋体" w:eastAsia="宋体" w:cs="宋体"/>
          <w:color w:val="000000"/>
          <w:kern w:val="0"/>
          <w:sz w:val="22"/>
          <w:szCs w:val="22"/>
          <w:lang w:bidi="ar"/>
        </w:rPr>
        <w:t>说明书，维护手册、保养修理所需的各种随机工具及相关设计、制造、检验、安装、技术性指导等文件和应由投标人提供的必要文件。</w:t>
      </w:r>
      <w:bookmarkEnd w:id="39"/>
      <w:bookmarkEnd w:id="40"/>
    </w:p>
    <w:bookmarkEnd w:id="41"/>
    <w:p w14:paraId="4A8389D0">
      <w:pPr>
        <w:spacing w:line="360" w:lineRule="auto"/>
        <w:rPr>
          <w:rFonts w:asciiTheme="minorEastAsia" w:hAnsiTheme="minorEastAsia" w:eastAsiaTheme="minorEastAsia"/>
          <w:color w:val="auto"/>
          <w:sz w:val="24"/>
          <w:highlight w:val="none"/>
        </w:rPr>
      </w:pPr>
    </w:p>
    <w:p w14:paraId="704ABF25">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评标方法和标准（综合评分法）</w:t>
      </w:r>
      <w:bookmarkEnd w:id="38"/>
    </w:p>
    <w:p w14:paraId="17C3A360">
      <w:pPr>
        <w:spacing w:line="360" w:lineRule="auto"/>
        <w:ind w:firstLine="437"/>
        <w:outlineLvl w:val="1"/>
        <w:rPr>
          <w:rFonts w:asciiTheme="minorEastAsia" w:hAnsiTheme="minorEastAsia" w:eastAsiaTheme="minorEastAsia"/>
          <w:b/>
          <w:color w:val="auto"/>
          <w:sz w:val="24"/>
          <w:highlight w:val="none"/>
        </w:rPr>
      </w:pPr>
      <w:bookmarkStart w:id="44" w:name="_Toc1246"/>
      <w:bookmarkStart w:id="45" w:name="_Toc11823"/>
      <w:r>
        <w:rPr>
          <w:rFonts w:hint="eastAsia" w:asciiTheme="minorEastAsia" w:hAnsiTheme="minorEastAsia" w:eastAsiaTheme="minorEastAsia"/>
          <w:b/>
          <w:color w:val="auto"/>
          <w:sz w:val="24"/>
          <w:highlight w:val="none"/>
        </w:rPr>
        <w:t>一、总则</w:t>
      </w:r>
      <w:bookmarkEnd w:id="44"/>
      <w:bookmarkEnd w:id="45"/>
    </w:p>
    <w:p w14:paraId="0843FC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2C1C09FD">
      <w:pPr>
        <w:spacing w:line="360" w:lineRule="auto"/>
        <w:ind w:firstLine="437"/>
        <w:outlineLvl w:val="1"/>
        <w:rPr>
          <w:rFonts w:asciiTheme="minorEastAsia" w:hAnsiTheme="minorEastAsia" w:eastAsiaTheme="minorEastAsia"/>
          <w:b/>
          <w:color w:val="auto"/>
          <w:sz w:val="24"/>
          <w:highlight w:val="none"/>
        </w:rPr>
      </w:pPr>
      <w:bookmarkStart w:id="46" w:name="_Toc13117"/>
      <w:bookmarkStart w:id="47" w:name="_Toc31871"/>
      <w:r>
        <w:rPr>
          <w:rFonts w:hint="eastAsia" w:asciiTheme="minorEastAsia" w:hAnsiTheme="minorEastAsia" w:eastAsiaTheme="minorEastAsia"/>
          <w:b/>
          <w:color w:val="auto"/>
          <w:sz w:val="24"/>
          <w:highlight w:val="none"/>
        </w:rPr>
        <w:t>二、评标方法</w:t>
      </w:r>
      <w:bookmarkEnd w:id="46"/>
      <w:bookmarkEnd w:id="47"/>
    </w:p>
    <w:p w14:paraId="47ADB809">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51"/>
        <w:gridCol w:w="4561"/>
        <w:gridCol w:w="1887"/>
      </w:tblGrid>
      <w:tr w14:paraId="006A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74F3ACB">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4A0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FDE9D3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2A734D47">
            <w:pPr>
              <w:pStyle w:val="44"/>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541C9FFF">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5" w:type="pct"/>
            <w:tcBorders>
              <w:bottom w:val="single" w:color="auto" w:sz="4" w:space="0"/>
            </w:tcBorders>
            <w:vAlign w:val="center"/>
          </w:tcPr>
          <w:p w14:paraId="71BF508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FE7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77D50514">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0182B756">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3" w:type="pct"/>
            <w:tcBorders>
              <w:bottom w:val="single" w:color="auto" w:sz="4" w:space="0"/>
            </w:tcBorders>
            <w:vAlign w:val="center"/>
          </w:tcPr>
          <w:p w14:paraId="2E5442CB">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0BE0129C">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3420CBBB">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113E8AE0">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7F5212D6">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075" w:type="pct"/>
            <w:vAlign w:val="center"/>
          </w:tcPr>
          <w:p w14:paraId="32BC3790">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1B57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07E4BCAE">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5720AC2F">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4F6C8ED4">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5" w:type="pct"/>
            <w:vAlign w:val="center"/>
          </w:tcPr>
          <w:p w14:paraId="56A70524">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34CC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58812DDA">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3BAE9A2D">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07970EFE">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5" w:type="pct"/>
            <w:tcBorders>
              <w:bottom w:val="single" w:color="auto" w:sz="4" w:space="0"/>
            </w:tcBorders>
            <w:vAlign w:val="center"/>
          </w:tcPr>
          <w:p w14:paraId="2659730C">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7E02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0F72340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vAlign w:val="center"/>
          </w:tcPr>
          <w:p w14:paraId="1E25F417">
            <w:pPr>
              <w:spacing w:after="50" w:line="360" w:lineRule="auto"/>
              <w:ind w:right="-10"/>
              <w:jc w:val="both"/>
              <w:rPr>
                <w:rFonts w:ascii="宋体" w:hAnsi="宋体" w:eastAsia="宋体" w:cs="宋体"/>
                <w:spacing w:val="10"/>
                <w:sz w:val="24"/>
                <w:szCs w:val="24"/>
                <w:lang w:val="en-US" w:eastAsia="zh-CN"/>
              </w:rPr>
            </w:pPr>
            <w:r>
              <w:rPr>
                <w:rFonts w:ascii="宋体" w:hAnsi="宋体" w:eastAsia="宋体" w:cs="宋体"/>
                <w:spacing w:val="10"/>
                <w:sz w:val="24"/>
                <w:szCs w:val="24"/>
              </w:rPr>
              <w:t>其他特定资格要求</w:t>
            </w:r>
          </w:p>
        </w:tc>
        <w:tc>
          <w:tcPr>
            <w:tcW w:w="2603" w:type="pct"/>
            <w:vAlign w:val="center"/>
          </w:tcPr>
          <w:p w14:paraId="264AD4E6">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见第一章《投标邀请》</w:t>
            </w:r>
          </w:p>
          <w:p w14:paraId="0714693E">
            <w:pPr>
              <w:spacing w:after="50" w:line="360" w:lineRule="auto"/>
              <w:ind w:right="-10"/>
              <w:jc w:val="both"/>
              <w:rPr>
                <w:rFonts w:hint="eastAsia" w:ascii="宋体" w:hAnsi="宋体" w:eastAsia="宋体" w:cs="宋体"/>
                <w:spacing w:val="10"/>
                <w:sz w:val="24"/>
                <w:szCs w:val="24"/>
                <w:highlight w:val="none"/>
                <w:lang w:eastAsia="zh-CN"/>
              </w:rPr>
            </w:pPr>
            <w:r>
              <w:rPr>
                <w:rFonts w:hint="eastAsia" w:ascii="宋体" w:hAnsi="宋体" w:eastAsia="宋体" w:cs="宋体"/>
                <w:spacing w:val="10"/>
                <w:sz w:val="24"/>
                <w:szCs w:val="24"/>
                <w:highlight w:val="none"/>
                <w:lang w:eastAsia="zh-CN"/>
              </w:rPr>
              <w:t>①供应商具有电子与智能化工程专业承包二级及以上资质，并具有有效的安全生产许可证；</w:t>
            </w:r>
          </w:p>
          <w:p w14:paraId="66B1F0F1">
            <w:pPr>
              <w:spacing w:after="50" w:line="360" w:lineRule="auto"/>
              <w:ind w:right="-10"/>
              <w:jc w:val="both"/>
              <w:rPr>
                <w:rFonts w:hint="eastAsia" w:ascii="宋体" w:hAnsi="宋体" w:eastAsia="宋体" w:cs="宋体"/>
                <w:spacing w:val="10"/>
                <w:sz w:val="24"/>
                <w:szCs w:val="24"/>
                <w:highlight w:val="none"/>
                <w:lang w:eastAsia="zh-CN"/>
              </w:rPr>
            </w:pPr>
            <w:r>
              <w:rPr>
                <w:rFonts w:hint="eastAsia" w:ascii="宋体" w:hAnsi="宋体" w:eastAsia="宋体" w:cs="宋体"/>
                <w:spacing w:val="10"/>
                <w:sz w:val="24"/>
                <w:szCs w:val="24"/>
                <w:highlight w:val="none"/>
                <w:lang w:eastAsia="zh-CN"/>
              </w:rPr>
              <w:t>②拟派项目负责人须具有本单位注册的机电工程专业二级及以上注册建造师资格及安全生产考核合格证书（B 证）。</w:t>
            </w:r>
          </w:p>
        </w:tc>
        <w:tc>
          <w:tcPr>
            <w:tcW w:w="1075" w:type="pct"/>
            <w:vAlign w:val="center"/>
          </w:tcPr>
          <w:p w14:paraId="4BE86A47">
            <w:pPr>
              <w:spacing w:after="50" w:line="360" w:lineRule="auto"/>
              <w:ind w:right="-10"/>
              <w:jc w:val="both"/>
              <w:rPr>
                <w:rFonts w:ascii="宋体" w:hAnsi="宋体" w:eastAsia="宋体" w:cs="宋体"/>
                <w:spacing w:val="10"/>
                <w:sz w:val="24"/>
                <w:szCs w:val="24"/>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4FCCF630">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6079B4DC">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5A1DB6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5"/>
        <w:gridCol w:w="3319"/>
        <w:gridCol w:w="2522"/>
      </w:tblGrid>
      <w:tr w14:paraId="246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743CAE7">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343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38" w:type="pct"/>
            <w:tcBorders>
              <w:bottom w:val="single" w:color="auto" w:sz="4" w:space="0"/>
            </w:tcBorders>
            <w:vAlign w:val="center"/>
          </w:tcPr>
          <w:p w14:paraId="6DAB2B4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13" w:type="pct"/>
            <w:tcBorders>
              <w:bottom w:val="single" w:color="auto" w:sz="4" w:space="0"/>
            </w:tcBorders>
            <w:vAlign w:val="center"/>
          </w:tcPr>
          <w:p w14:paraId="109AB790">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903" w:type="pct"/>
            <w:tcBorders>
              <w:bottom w:val="single" w:color="auto" w:sz="4" w:space="0"/>
            </w:tcBorders>
            <w:vAlign w:val="center"/>
          </w:tcPr>
          <w:p w14:paraId="7F1FBBF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44" w:type="pct"/>
            <w:tcBorders>
              <w:bottom w:val="single" w:color="auto" w:sz="4" w:space="0"/>
            </w:tcBorders>
            <w:vAlign w:val="center"/>
          </w:tcPr>
          <w:p w14:paraId="790423B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6C4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5EB7EB2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13" w:type="pct"/>
            <w:vAlign w:val="center"/>
          </w:tcPr>
          <w:p w14:paraId="3200926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903" w:type="pct"/>
            <w:vAlign w:val="center"/>
          </w:tcPr>
          <w:p w14:paraId="02EF8EF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44" w:type="pct"/>
            <w:vAlign w:val="center"/>
          </w:tcPr>
          <w:p w14:paraId="130CD29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3C5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2AB481F3">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13" w:type="pct"/>
            <w:vAlign w:val="center"/>
          </w:tcPr>
          <w:p w14:paraId="2EDCFF0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03" w:type="pct"/>
            <w:vAlign w:val="center"/>
          </w:tcPr>
          <w:p w14:paraId="0F30D58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44" w:type="pct"/>
            <w:vAlign w:val="center"/>
          </w:tcPr>
          <w:p w14:paraId="5267B51D">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0DB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23337AB2">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13" w:type="pct"/>
            <w:vAlign w:val="center"/>
          </w:tcPr>
          <w:p w14:paraId="4B69B7F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03" w:type="pct"/>
            <w:vAlign w:val="center"/>
          </w:tcPr>
          <w:p w14:paraId="51B1919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44" w:type="pct"/>
            <w:vAlign w:val="center"/>
          </w:tcPr>
          <w:p w14:paraId="57CFDF5E">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5D2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3F133DF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13" w:type="pct"/>
            <w:vAlign w:val="center"/>
          </w:tcPr>
          <w:p w14:paraId="04D81C9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03" w:type="pct"/>
            <w:vAlign w:val="center"/>
          </w:tcPr>
          <w:p w14:paraId="347F368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44" w:type="pct"/>
            <w:vAlign w:val="center"/>
          </w:tcPr>
          <w:p w14:paraId="7CF03B7F">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EC5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45A5A85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13" w:type="pct"/>
            <w:vAlign w:val="center"/>
          </w:tcPr>
          <w:p w14:paraId="4C72A12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03" w:type="pct"/>
            <w:vAlign w:val="center"/>
          </w:tcPr>
          <w:p w14:paraId="6074DE97">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44" w:type="pct"/>
            <w:vAlign w:val="center"/>
          </w:tcPr>
          <w:p w14:paraId="133F795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621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vAlign w:val="center"/>
          </w:tcPr>
          <w:p w14:paraId="6BFBEB6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1213" w:type="pct"/>
            <w:vAlign w:val="center"/>
          </w:tcPr>
          <w:p w14:paraId="421A7B7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03" w:type="pct"/>
            <w:vAlign w:val="center"/>
          </w:tcPr>
          <w:p w14:paraId="0AA479D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44" w:type="pct"/>
            <w:vAlign w:val="center"/>
          </w:tcPr>
          <w:p w14:paraId="5B007A44">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169C02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257FA8B">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3DAACA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41D821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各标包</w:t>
      </w:r>
      <w:r>
        <w:rPr>
          <w:rFonts w:hint="eastAsia" w:asciiTheme="minorEastAsia" w:hAnsiTheme="minorEastAsia" w:eastAsiaTheme="minorEastAsia"/>
          <w:color w:val="auto"/>
          <w:sz w:val="24"/>
          <w:highlight w:val="none"/>
        </w:rPr>
        <w:t>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65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35</w:t>
      </w:r>
      <w:r>
        <w:rPr>
          <w:rFonts w:asciiTheme="minorEastAsia" w:hAnsiTheme="minorEastAsia" w:eastAsiaTheme="minorEastAsia"/>
          <w:color w:val="auto"/>
          <w:sz w:val="24"/>
          <w:highlight w:val="none"/>
        </w:rPr>
        <w:t>%。具体评分细则如下：</w:t>
      </w:r>
    </w:p>
    <w:p w14:paraId="60229B90">
      <w:pPr>
        <w:spacing w:line="360" w:lineRule="auto"/>
        <w:rPr>
          <w:rFonts w:hint="eastAsia" w:eastAsiaTheme="minorEastAsia"/>
          <w:b/>
          <w:bCs/>
          <w:lang w:val="en-US" w:eastAsia="zh-CN"/>
        </w:rPr>
      </w:pPr>
      <w:r>
        <w:rPr>
          <w:rFonts w:asciiTheme="minorEastAsia" w:hAnsiTheme="minorEastAsia" w:eastAsiaTheme="minorEastAsia"/>
          <w:b/>
          <w:bCs/>
          <w:color w:val="auto"/>
          <w:sz w:val="24"/>
          <w:highlight w:val="none"/>
        </w:rPr>
        <w:t>评分细则</w:t>
      </w:r>
      <w:r>
        <w:rPr>
          <w:rFonts w:hint="eastAsia" w:asciiTheme="minorEastAsia" w:hAnsiTheme="minorEastAsia" w:eastAsiaTheme="minorEastAsia"/>
          <w:b/>
          <w:bCs/>
          <w:color w:val="auto"/>
          <w:sz w:val="24"/>
          <w:highlight w:val="none"/>
          <w:lang w:eastAsia="zh-CN"/>
        </w:rPr>
        <w:t>：</w:t>
      </w:r>
    </w:p>
    <w:tbl>
      <w:tblPr>
        <w:tblStyle w:val="26"/>
        <w:tblW w:w="5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0"/>
        <w:gridCol w:w="1473"/>
        <w:gridCol w:w="5812"/>
        <w:gridCol w:w="1114"/>
      </w:tblGrid>
      <w:tr w14:paraId="79F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9" w:type="pct"/>
            <w:gridSpan w:val="2"/>
            <w:tcBorders>
              <w:top w:val="single" w:color="auto" w:sz="4" w:space="0"/>
              <w:left w:val="single" w:color="auto" w:sz="4" w:space="0"/>
              <w:bottom w:val="single" w:color="auto" w:sz="4" w:space="0"/>
              <w:right w:val="single" w:color="auto" w:sz="4" w:space="0"/>
            </w:tcBorders>
            <w:vAlign w:val="center"/>
          </w:tcPr>
          <w:p w14:paraId="670B558A">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47" w:type="pct"/>
            <w:tcBorders>
              <w:top w:val="single" w:color="auto" w:sz="4" w:space="0"/>
              <w:left w:val="single" w:color="auto" w:sz="4" w:space="0"/>
              <w:bottom w:val="single" w:color="auto" w:sz="4" w:space="0"/>
              <w:right w:val="single" w:color="auto" w:sz="4" w:space="0"/>
            </w:tcBorders>
            <w:vAlign w:val="center"/>
          </w:tcPr>
          <w:p w14:paraId="12B7BF1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948" w:type="pct"/>
            <w:tcBorders>
              <w:top w:val="single" w:color="auto" w:sz="4" w:space="0"/>
              <w:left w:val="single" w:color="auto" w:sz="4" w:space="0"/>
              <w:bottom w:val="single" w:color="auto" w:sz="4" w:space="0"/>
              <w:right w:val="single" w:color="auto" w:sz="4" w:space="0"/>
            </w:tcBorders>
            <w:vAlign w:val="center"/>
          </w:tcPr>
          <w:p w14:paraId="404EB7C0">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564" w:type="pct"/>
            <w:tcBorders>
              <w:top w:val="single" w:color="auto" w:sz="4" w:space="0"/>
              <w:left w:val="single" w:color="auto" w:sz="4" w:space="0"/>
              <w:bottom w:val="single" w:color="auto" w:sz="4" w:space="0"/>
              <w:right w:val="single" w:color="auto" w:sz="4" w:space="0"/>
            </w:tcBorders>
            <w:vAlign w:val="center"/>
          </w:tcPr>
          <w:p w14:paraId="2F4334C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69D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restart"/>
            <w:tcBorders>
              <w:top w:val="single" w:color="auto" w:sz="4" w:space="0"/>
              <w:left w:val="single" w:color="auto" w:sz="4" w:space="0"/>
              <w:right w:val="single" w:color="auto" w:sz="4" w:space="0"/>
            </w:tcBorders>
            <w:vAlign w:val="center"/>
          </w:tcPr>
          <w:p w14:paraId="4B4F523B">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3158EF8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65</w:t>
            </w:r>
            <w:r>
              <w:rPr>
                <w:rFonts w:hint="eastAsia" w:asciiTheme="minorEastAsia" w:hAnsiTheme="minorEastAsia" w:eastAsiaTheme="minorEastAsia"/>
                <w:color w:val="auto"/>
                <w:sz w:val="24"/>
                <w:highlight w:val="none"/>
              </w:rPr>
              <w:t>分）</w:t>
            </w:r>
          </w:p>
        </w:tc>
        <w:tc>
          <w:tcPr>
            <w:tcW w:w="747" w:type="pct"/>
            <w:tcBorders>
              <w:top w:val="single" w:color="auto" w:sz="4" w:space="0"/>
              <w:left w:val="single" w:color="auto" w:sz="4" w:space="0"/>
              <w:right w:val="single" w:color="auto" w:sz="4" w:space="0"/>
            </w:tcBorders>
            <w:vAlign w:val="center"/>
          </w:tcPr>
          <w:p w14:paraId="6A18E51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业绩（资信标评审）</w:t>
            </w:r>
          </w:p>
        </w:tc>
        <w:tc>
          <w:tcPr>
            <w:tcW w:w="2948" w:type="pct"/>
            <w:tcBorders>
              <w:top w:val="single" w:color="auto" w:sz="4" w:space="0"/>
              <w:left w:val="single" w:color="auto" w:sz="4" w:space="0"/>
              <w:bottom w:val="single" w:color="auto" w:sz="4" w:space="0"/>
              <w:right w:val="single" w:color="auto" w:sz="4" w:space="0"/>
            </w:tcBorders>
            <w:vAlign w:val="center"/>
          </w:tcPr>
          <w:p w14:paraId="0E297DCE">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202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年1 月1 日至投标截止时间内（以合同签订时间为准），</w:t>
            </w:r>
            <w:r>
              <w:rPr>
                <w:rFonts w:hint="eastAsia" w:asciiTheme="minorEastAsia" w:hAnsiTheme="minorEastAsia" w:eastAsiaTheme="minorEastAsia"/>
                <w:sz w:val="24"/>
                <w:highlight w:val="none"/>
                <w:lang w:val="en-US" w:eastAsia="zh-CN"/>
              </w:rPr>
              <w:t>投标</w:t>
            </w:r>
            <w:r>
              <w:rPr>
                <w:rFonts w:hint="eastAsia" w:asciiTheme="minorEastAsia" w:hAnsiTheme="minorEastAsia" w:eastAsiaTheme="minorEastAsia"/>
                <w:sz w:val="24"/>
                <w:highlight w:val="none"/>
              </w:rPr>
              <w:t xml:space="preserve">人每提供道路智能交通项目业绩得 </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 xml:space="preserve"> 分， 本项目最高得</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分</w:t>
            </w:r>
            <w:r>
              <w:rPr>
                <w:rFonts w:hint="eastAsia" w:asciiTheme="minorEastAsia" w:hAnsiTheme="minorEastAsia" w:eastAsiaTheme="minorEastAsia"/>
                <w:sz w:val="24"/>
                <w:highlight w:val="none"/>
                <w:lang w:eastAsia="zh-CN"/>
              </w:rPr>
              <w:t>。</w:t>
            </w:r>
          </w:p>
          <w:p w14:paraId="49CE458F">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注：1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需提供合同扫描件，业绩时间、内容按合同载明的为准，每份业绩不重复累计加分。2</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投标人中标后，招标人有权对业绩、设备、材料的质量、性能等加分因素的真实性进行复核，如发现涉嫌造假，招标人将依法追究其法律责任。</w:t>
            </w:r>
          </w:p>
        </w:tc>
        <w:tc>
          <w:tcPr>
            <w:tcW w:w="564" w:type="pct"/>
            <w:tcBorders>
              <w:top w:val="single" w:color="auto" w:sz="4" w:space="0"/>
              <w:left w:val="single" w:color="auto" w:sz="4" w:space="0"/>
              <w:bottom w:val="single" w:color="auto" w:sz="4" w:space="0"/>
              <w:right w:val="single" w:color="auto" w:sz="4" w:space="0"/>
            </w:tcBorders>
            <w:vAlign w:val="center"/>
          </w:tcPr>
          <w:p w14:paraId="745C2020">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4E3C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2148A63C">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left w:val="single" w:color="auto" w:sz="4" w:space="0"/>
              <w:bottom w:val="single" w:color="auto" w:sz="4" w:space="0"/>
              <w:right w:val="single" w:color="auto" w:sz="4" w:space="0"/>
            </w:tcBorders>
            <w:vAlign w:val="center"/>
          </w:tcPr>
          <w:p w14:paraId="233BF32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人员配备</w:t>
            </w:r>
            <w:r>
              <w:rPr>
                <w:rFonts w:hint="eastAsia" w:asciiTheme="minorEastAsia" w:hAnsiTheme="minorEastAsia" w:eastAsiaTheme="minorEastAsia"/>
                <w:color w:val="auto"/>
                <w:sz w:val="24"/>
                <w:highlight w:val="none"/>
              </w:rPr>
              <w:t>（资信标评审）</w:t>
            </w:r>
          </w:p>
        </w:tc>
        <w:tc>
          <w:tcPr>
            <w:tcW w:w="2948" w:type="pct"/>
            <w:tcBorders>
              <w:top w:val="single" w:color="auto" w:sz="4" w:space="0"/>
              <w:left w:val="single" w:color="auto" w:sz="4" w:space="0"/>
              <w:bottom w:val="single" w:color="auto" w:sz="4" w:space="0"/>
              <w:right w:val="single" w:color="auto" w:sz="4" w:space="0"/>
            </w:tcBorders>
            <w:vAlign w:val="center"/>
          </w:tcPr>
          <w:p w14:paraId="202BA3F7">
            <w:pPr>
              <w:numPr>
                <w:ilvl w:val="0"/>
                <w:numId w:val="0"/>
              </w:numPr>
              <w:spacing w:line="360" w:lineRule="auto"/>
              <w:ind w:leftChars="0"/>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trike w:val="0"/>
                <w:dstrike w:val="0"/>
                <w:color w:val="auto"/>
                <w:sz w:val="24"/>
                <w:highlight w:val="none"/>
                <w:lang w:eastAsia="zh-CN"/>
              </w:rPr>
              <w:t>本项目组</w:t>
            </w:r>
            <w:r>
              <w:rPr>
                <w:rFonts w:hint="eastAsia" w:asciiTheme="minorEastAsia" w:hAnsiTheme="minorEastAsia" w:eastAsiaTheme="minorEastAsia"/>
                <w:strike w:val="0"/>
                <w:dstrike w:val="0"/>
                <w:color w:val="auto"/>
                <w:sz w:val="24"/>
                <w:highlight w:val="none"/>
                <w:lang w:val="en-US" w:eastAsia="zh-CN"/>
              </w:rPr>
              <w:t>人员配备</w:t>
            </w:r>
            <w:r>
              <w:rPr>
                <w:rFonts w:hint="eastAsia" w:asciiTheme="minorEastAsia" w:hAnsiTheme="minorEastAsia" w:eastAsiaTheme="minorEastAsia"/>
                <w:strike w:val="0"/>
                <w:dstrike w:val="0"/>
                <w:color w:val="auto"/>
                <w:sz w:val="24"/>
                <w:highlight w:val="none"/>
                <w:lang w:eastAsia="zh-CN"/>
              </w:rPr>
              <w:t>中：</w:t>
            </w:r>
          </w:p>
          <w:p w14:paraId="2F476BE1">
            <w:pPr>
              <w:numPr>
                <w:ilvl w:val="0"/>
                <w:numId w:val="0"/>
              </w:numPr>
              <w:spacing w:line="360" w:lineRule="auto"/>
              <w:ind w:leftChars="0"/>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trike w:val="0"/>
                <w:dstrike w:val="0"/>
                <w:color w:val="auto"/>
                <w:sz w:val="24"/>
                <w:highlight w:val="none"/>
                <w:lang w:eastAsia="zh-CN"/>
              </w:rPr>
              <w:t>1、具有</w:t>
            </w:r>
            <w:r>
              <w:rPr>
                <w:rFonts w:hint="eastAsia" w:asciiTheme="minorEastAsia" w:hAnsiTheme="minorEastAsia" w:eastAsiaTheme="minorEastAsia"/>
                <w:strike w:val="0"/>
                <w:dstrike w:val="0"/>
                <w:color w:val="auto"/>
                <w:sz w:val="24"/>
                <w:highlight w:val="none"/>
                <w:lang w:val="en-US" w:eastAsia="zh-CN"/>
              </w:rPr>
              <w:t>中</w:t>
            </w:r>
            <w:r>
              <w:rPr>
                <w:rFonts w:hint="eastAsia" w:asciiTheme="minorEastAsia" w:hAnsiTheme="minorEastAsia" w:eastAsiaTheme="minorEastAsia"/>
                <w:strike w:val="0"/>
                <w:dstrike w:val="0"/>
                <w:color w:val="auto"/>
                <w:sz w:val="24"/>
                <w:highlight w:val="none"/>
                <w:lang w:eastAsia="zh-CN"/>
              </w:rPr>
              <w:t>级及以上电工证书，得 2 分，本项最高得 2 分。</w:t>
            </w:r>
          </w:p>
          <w:p w14:paraId="5927A51F">
            <w:pPr>
              <w:numPr>
                <w:ilvl w:val="0"/>
                <w:numId w:val="0"/>
              </w:numPr>
              <w:spacing w:line="360" w:lineRule="auto"/>
              <w:ind w:leftChars="0"/>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trike w:val="0"/>
                <w:dstrike w:val="0"/>
                <w:color w:val="auto"/>
                <w:sz w:val="24"/>
                <w:highlight w:val="none"/>
                <w:lang w:val="en-US" w:eastAsia="zh-CN"/>
              </w:rPr>
              <w:t>2、</w:t>
            </w:r>
            <w:r>
              <w:rPr>
                <w:rFonts w:hint="eastAsia" w:asciiTheme="minorEastAsia" w:hAnsiTheme="minorEastAsia" w:eastAsiaTheme="minorEastAsia"/>
                <w:strike w:val="0"/>
                <w:dstrike w:val="0"/>
                <w:color w:val="auto"/>
                <w:sz w:val="24"/>
                <w:highlight w:val="none"/>
                <w:lang w:eastAsia="zh-CN"/>
              </w:rPr>
              <w:t xml:space="preserve">具有登高作业许可证的，得 2 分，本项最高得 </w:t>
            </w:r>
            <w:r>
              <w:rPr>
                <w:rFonts w:hint="eastAsia" w:asciiTheme="minorEastAsia" w:hAnsiTheme="minorEastAsia" w:eastAsiaTheme="minorEastAsia"/>
                <w:strike w:val="0"/>
                <w:dstrike w:val="0"/>
                <w:color w:val="auto"/>
                <w:sz w:val="24"/>
                <w:highlight w:val="none"/>
                <w:lang w:val="en-US" w:eastAsia="zh-CN"/>
              </w:rPr>
              <w:t>2</w:t>
            </w:r>
            <w:r>
              <w:rPr>
                <w:rFonts w:hint="eastAsia" w:asciiTheme="minorEastAsia" w:hAnsiTheme="minorEastAsia" w:eastAsiaTheme="minorEastAsia"/>
                <w:strike w:val="0"/>
                <w:dstrike w:val="0"/>
                <w:color w:val="auto"/>
                <w:sz w:val="24"/>
                <w:highlight w:val="none"/>
                <w:lang w:eastAsia="zh-CN"/>
              </w:rPr>
              <w:t xml:space="preserve"> 分；</w:t>
            </w:r>
          </w:p>
          <w:p w14:paraId="391366E9">
            <w:pPr>
              <w:numPr>
                <w:ilvl w:val="0"/>
                <w:numId w:val="0"/>
              </w:numPr>
              <w:spacing w:line="360" w:lineRule="auto"/>
              <w:ind w:leftChars="0"/>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trike w:val="0"/>
                <w:dstrike w:val="0"/>
                <w:color w:val="auto"/>
                <w:sz w:val="24"/>
                <w:highlight w:val="none"/>
                <w:lang w:val="en-US" w:eastAsia="zh-CN"/>
              </w:rPr>
              <w:t>3、</w:t>
            </w:r>
            <w:r>
              <w:rPr>
                <w:rFonts w:hint="eastAsia" w:asciiTheme="minorEastAsia" w:hAnsiTheme="minorEastAsia" w:eastAsiaTheme="minorEastAsia"/>
                <w:strike w:val="0"/>
                <w:dstrike w:val="0"/>
                <w:color w:val="auto"/>
                <w:sz w:val="24"/>
                <w:highlight w:val="none"/>
                <w:lang w:eastAsia="zh-CN"/>
              </w:rPr>
              <w:t>具有电工作业许可证（</w:t>
            </w:r>
            <w:r>
              <w:rPr>
                <w:rFonts w:hint="eastAsia" w:asciiTheme="minorEastAsia" w:hAnsiTheme="minorEastAsia" w:eastAsiaTheme="minorEastAsia"/>
                <w:strike w:val="0"/>
                <w:dstrike w:val="0"/>
                <w:color w:val="auto"/>
                <w:sz w:val="24"/>
                <w:highlight w:val="none"/>
                <w:lang w:val="en-US" w:eastAsia="zh-CN"/>
              </w:rPr>
              <w:t>高压或低压</w:t>
            </w:r>
            <w:r>
              <w:rPr>
                <w:rFonts w:hint="eastAsia" w:asciiTheme="minorEastAsia" w:hAnsiTheme="minorEastAsia" w:eastAsiaTheme="minorEastAsia"/>
                <w:strike w:val="0"/>
                <w:dstrike w:val="0"/>
                <w:color w:val="auto"/>
                <w:sz w:val="24"/>
                <w:highlight w:val="none"/>
                <w:lang w:eastAsia="zh-CN"/>
              </w:rPr>
              <w:t>）</w:t>
            </w:r>
            <w:r>
              <w:rPr>
                <w:rFonts w:hint="eastAsia" w:asciiTheme="minorEastAsia" w:hAnsiTheme="minorEastAsia" w:eastAsiaTheme="minorEastAsia"/>
                <w:strike w:val="0"/>
                <w:dstrike w:val="0"/>
                <w:color w:val="auto"/>
                <w:sz w:val="24"/>
                <w:highlight w:val="none"/>
                <w:lang w:val="en-US" w:eastAsia="zh-CN"/>
              </w:rPr>
              <w:t>或电工职业资格证书</w:t>
            </w:r>
            <w:r>
              <w:rPr>
                <w:rFonts w:hint="eastAsia" w:asciiTheme="minorEastAsia" w:hAnsiTheme="minorEastAsia" w:eastAsiaTheme="minorEastAsia"/>
                <w:strike w:val="0"/>
                <w:dstrike w:val="0"/>
                <w:color w:val="auto"/>
                <w:sz w:val="24"/>
                <w:highlight w:val="none"/>
                <w:lang w:eastAsia="zh-CN"/>
              </w:rPr>
              <w:t xml:space="preserve">，得 2 分，本项最高得 </w:t>
            </w:r>
            <w:r>
              <w:rPr>
                <w:rFonts w:hint="eastAsia" w:asciiTheme="minorEastAsia" w:hAnsiTheme="minorEastAsia" w:eastAsiaTheme="minorEastAsia"/>
                <w:strike w:val="0"/>
                <w:dstrike w:val="0"/>
                <w:color w:val="auto"/>
                <w:sz w:val="24"/>
                <w:highlight w:val="none"/>
                <w:lang w:val="en-US" w:eastAsia="zh-CN"/>
              </w:rPr>
              <w:t>4</w:t>
            </w:r>
            <w:r>
              <w:rPr>
                <w:rFonts w:hint="eastAsia" w:asciiTheme="minorEastAsia" w:hAnsiTheme="minorEastAsia" w:eastAsiaTheme="minorEastAsia"/>
                <w:strike w:val="0"/>
                <w:dstrike w:val="0"/>
                <w:color w:val="auto"/>
                <w:sz w:val="24"/>
                <w:highlight w:val="none"/>
                <w:lang w:eastAsia="zh-CN"/>
              </w:rPr>
              <w:t xml:space="preserve"> 分。</w:t>
            </w:r>
          </w:p>
          <w:p w14:paraId="7BC15B2D">
            <w:pPr>
              <w:spacing w:line="360" w:lineRule="auto"/>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trike w:val="0"/>
                <w:dstrike w:val="0"/>
                <w:color w:val="auto"/>
                <w:sz w:val="24"/>
                <w:highlight w:val="none"/>
                <w:lang w:eastAsia="zh-CN"/>
              </w:rPr>
              <w:t>注：（1）以上人员须提供相关证书原件扫描件，未提供不得分。（2）提供项目管理团队人员身份证及职称证书扫描件。若职称证书不能体现供应商单位名称的，则还需提供社保部门出具的本单位为其缴纳的投标前近三个月中任意 1 个月的养老保险证明（或官网在线打印件，证明文件两个月内有效）或供应商承诺已为其缴纳社保的承诺（格式自拟）。供应商是事业单位的，暂未缴纳社保的，须由其主管部门出具证明。退休人员应提供供应商缴纳的意外伤害保险投保缴费材料及退休证明。</w:t>
            </w:r>
          </w:p>
        </w:tc>
        <w:tc>
          <w:tcPr>
            <w:tcW w:w="564" w:type="pct"/>
            <w:tcBorders>
              <w:top w:val="single" w:color="auto" w:sz="4" w:space="0"/>
              <w:left w:val="single" w:color="auto" w:sz="4" w:space="0"/>
              <w:bottom w:val="single" w:color="auto" w:sz="4" w:space="0"/>
              <w:right w:val="single" w:color="auto" w:sz="4" w:space="0"/>
            </w:tcBorders>
            <w:vAlign w:val="center"/>
          </w:tcPr>
          <w:p w14:paraId="6D048380">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0-8分</w:t>
            </w:r>
          </w:p>
        </w:tc>
      </w:tr>
      <w:tr w14:paraId="0A6A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0ED2C6EA">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6D32DB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质保期（</w:t>
            </w:r>
            <w:r>
              <w:rPr>
                <w:rFonts w:hint="eastAsia" w:asciiTheme="minorEastAsia" w:hAnsiTheme="minorEastAsia" w:eastAsiaTheme="minorEastAsia"/>
                <w:color w:val="auto"/>
                <w:sz w:val="24"/>
                <w:highlight w:val="none"/>
              </w:rPr>
              <w:t>资信标评审</w:t>
            </w:r>
            <w:r>
              <w:rPr>
                <w:rFonts w:hint="eastAsia" w:asciiTheme="minorEastAsia" w:hAnsiTheme="minorEastAsia" w:eastAsiaTheme="minorEastAsia"/>
                <w:color w:val="auto"/>
                <w:sz w:val="24"/>
                <w:highlight w:val="none"/>
                <w:lang w:val="en-US" w:eastAsia="zh-CN"/>
              </w:rPr>
              <w:t>）</w:t>
            </w:r>
          </w:p>
        </w:tc>
        <w:tc>
          <w:tcPr>
            <w:tcW w:w="2948" w:type="pct"/>
            <w:tcBorders>
              <w:top w:val="single" w:color="auto" w:sz="4" w:space="0"/>
              <w:left w:val="single" w:color="auto" w:sz="4" w:space="0"/>
              <w:bottom w:val="single" w:color="auto" w:sz="4" w:space="0"/>
              <w:right w:val="single" w:color="auto" w:sz="4" w:space="0"/>
            </w:tcBorders>
            <w:vAlign w:val="center"/>
          </w:tcPr>
          <w:p w14:paraId="6ED33E02">
            <w:pPr>
              <w:spacing w:line="360" w:lineRule="auto"/>
              <w:rPr>
                <w:rFonts w:hint="eastAsia"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免费质保三年为基础，每增加一年得2分，本项最高得4分。</w:t>
            </w:r>
          </w:p>
          <w:p w14:paraId="34097A77">
            <w:pPr>
              <w:spacing w:line="360" w:lineRule="auto"/>
              <w:rPr>
                <w:rFonts w:hint="default"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注：提供质保期承诺函（格式自拟），不提供不得分。</w:t>
            </w:r>
          </w:p>
        </w:tc>
        <w:tc>
          <w:tcPr>
            <w:tcW w:w="564" w:type="pct"/>
            <w:tcBorders>
              <w:top w:val="single" w:color="auto" w:sz="4" w:space="0"/>
              <w:left w:val="single" w:color="auto" w:sz="4" w:space="0"/>
              <w:bottom w:val="single" w:color="auto" w:sz="4" w:space="0"/>
              <w:right w:val="single" w:color="auto" w:sz="4" w:space="0"/>
            </w:tcBorders>
            <w:vAlign w:val="center"/>
          </w:tcPr>
          <w:p w14:paraId="28177492">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7782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1FA5828F">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241CA61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车辆配置（</w:t>
            </w:r>
            <w:r>
              <w:rPr>
                <w:rFonts w:hint="eastAsia" w:asciiTheme="minorEastAsia" w:hAnsiTheme="minorEastAsia" w:eastAsiaTheme="minorEastAsia"/>
                <w:color w:val="auto"/>
                <w:sz w:val="24"/>
                <w:highlight w:val="none"/>
              </w:rPr>
              <w:t>资信标评审</w:t>
            </w:r>
            <w:r>
              <w:rPr>
                <w:rFonts w:hint="eastAsia" w:asciiTheme="minorEastAsia" w:hAnsiTheme="minorEastAsia" w:eastAsiaTheme="minorEastAsia"/>
                <w:color w:val="auto"/>
                <w:sz w:val="24"/>
                <w:highlight w:val="none"/>
                <w:lang w:val="en-US" w:eastAsia="zh-CN"/>
              </w:rPr>
              <w:t>）</w:t>
            </w:r>
          </w:p>
        </w:tc>
        <w:tc>
          <w:tcPr>
            <w:tcW w:w="2948" w:type="pct"/>
            <w:tcBorders>
              <w:top w:val="single" w:color="auto" w:sz="4" w:space="0"/>
              <w:left w:val="single" w:color="auto" w:sz="4" w:space="0"/>
              <w:bottom w:val="single" w:color="auto" w:sz="4" w:space="0"/>
              <w:right w:val="single" w:color="auto" w:sz="4" w:space="0"/>
            </w:tcBorders>
            <w:vAlign w:val="center"/>
          </w:tcPr>
          <w:p w14:paraId="729BD99B">
            <w:pPr>
              <w:spacing w:line="360" w:lineRule="auto"/>
              <w:rPr>
                <w:rFonts w:hint="eastAsia"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具有针对本项目需求的升降作业车辆，每提供1台，得2分，本项最高得2分。</w:t>
            </w:r>
          </w:p>
          <w:p w14:paraId="047A6F1C">
            <w:pPr>
              <w:spacing w:line="360" w:lineRule="auto"/>
              <w:rPr>
                <w:rFonts w:hint="default"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注：提供升降作业车辆有效期内行驶证，租赁车辆需同时提供租赁合同。未提供或提供材料不完全不得分。</w:t>
            </w:r>
          </w:p>
        </w:tc>
        <w:tc>
          <w:tcPr>
            <w:tcW w:w="564" w:type="pct"/>
            <w:tcBorders>
              <w:top w:val="single" w:color="auto" w:sz="4" w:space="0"/>
              <w:left w:val="single" w:color="auto" w:sz="4" w:space="0"/>
              <w:bottom w:val="single" w:color="auto" w:sz="4" w:space="0"/>
              <w:right w:val="single" w:color="auto" w:sz="4" w:space="0"/>
            </w:tcBorders>
            <w:vAlign w:val="center"/>
          </w:tcPr>
          <w:p w14:paraId="764D9001">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0-2分</w:t>
            </w:r>
          </w:p>
        </w:tc>
      </w:tr>
      <w:tr w14:paraId="3EAF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30FA6BB4">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1D91C785">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投标产品技术参数和配置要求响应情况（</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6A3BC036">
            <w:pPr>
              <w:spacing w:line="360" w:lineRule="auto"/>
              <w:rPr>
                <w:rFonts w:hint="eastAsia" w:asciiTheme="minorEastAsia" w:hAnsiTheme="minorEastAsia" w:eastAsiaTheme="minorEastAsia"/>
                <w:strike w:val="0"/>
                <w:dstrike w:val="0"/>
                <w:color w:val="auto"/>
                <w:sz w:val="24"/>
                <w:highlight w:val="none"/>
                <w:lang w:eastAsia="zh-CN"/>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eastAsia="zh-CN"/>
              </w:rPr>
              <w:t>标注“</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”号</w:t>
            </w:r>
            <w:r>
              <w:rPr>
                <w:rFonts w:hint="eastAsia" w:asciiTheme="minorEastAsia" w:hAnsiTheme="minorEastAsia" w:eastAsiaTheme="minorEastAsia"/>
                <w:strike w:val="0"/>
                <w:dstrike w:val="0"/>
                <w:color w:val="auto"/>
                <w:sz w:val="24"/>
                <w:highlight w:val="none"/>
                <w:lang w:eastAsia="zh-CN"/>
              </w:rPr>
              <w:t>技术参数，共有</w:t>
            </w:r>
            <w:r>
              <w:rPr>
                <w:rFonts w:hint="eastAsia" w:asciiTheme="minorEastAsia" w:hAnsiTheme="minorEastAsia" w:eastAsiaTheme="minorEastAsia"/>
                <w:strike w:val="0"/>
                <w:dstrike w:val="0"/>
                <w:color w:val="auto"/>
                <w:sz w:val="24"/>
                <w:highlight w:val="none"/>
                <w:lang w:val="en-US" w:eastAsia="zh-CN"/>
              </w:rPr>
              <w:t>10</w:t>
            </w:r>
            <w:r>
              <w:rPr>
                <w:rFonts w:hint="eastAsia" w:asciiTheme="minorEastAsia" w:hAnsiTheme="minorEastAsia" w:eastAsiaTheme="minorEastAsia"/>
                <w:strike w:val="0"/>
                <w:dstrike w:val="0"/>
                <w:color w:val="auto"/>
                <w:sz w:val="24"/>
                <w:highlight w:val="none"/>
                <w:lang w:eastAsia="zh-CN"/>
              </w:rPr>
              <w:t>项，每满足或优于一项得</w:t>
            </w:r>
            <w:r>
              <w:rPr>
                <w:rFonts w:hint="eastAsia" w:asciiTheme="minorEastAsia" w:hAnsiTheme="minorEastAsia" w:eastAsiaTheme="minorEastAsia"/>
                <w:strike w:val="0"/>
                <w:dstrike w:val="0"/>
                <w:color w:val="auto"/>
                <w:sz w:val="24"/>
                <w:highlight w:val="none"/>
                <w:lang w:val="en-US" w:eastAsia="zh-CN"/>
              </w:rPr>
              <w:t>2</w:t>
            </w:r>
            <w:r>
              <w:rPr>
                <w:rFonts w:hint="eastAsia" w:asciiTheme="minorEastAsia" w:hAnsiTheme="minorEastAsia" w:eastAsiaTheme="minorEastAsia"/>
                <w:strike w:val="0"/>
                <w:dstrike w:val="0"/>
                <w:color w:val="auto"/>
                <w:sz w:val="24"/>
                <w:highlight w:val="none"/>
                <w:lang w:eastAsia="zh-CN"/>
              </w:rPr>
              <w:t>分，共计</w:t>
            </w:r>
            <w:r>
              <w:rPr>
                <w:rFonts w:hint="eastAsia" w:asciiTheme="minorEastAsia" w:hAnsiTheme="minorEastAsia" w:eastAsiaTheme="minorEastAsia"/>
                <w:strike w:val="0"/>
                <w:dstrike w:val="0"/>
                <w:color w:val="auto"/>
                <w:sz w:val="24"/>
                <w:highlight w:val="none"/>
                <w:lang w:val="en-US" w:eastAsia="zh-CN"/>
              </w:rPr>
              <w:t>20</w:t>
            </w:r>
            <w:r>
              <w:rPr>
                <w:rFonts w:hint="eastAsia" w:asciiTheme="minorEastAsia" w:hAnsiTheme="minorEastAsia" w:eastAsiaTheme="minorEastAsia"/>
                <w:strike w:val="0"/>
                <w:dstrike w:val="0"/>
                <w:color w:val="auto"/>
                <w:sz w:val="24"/>
                <w:highlight w:val="none"/>
                <w:lang w:eastAsia="zh-CN"/>
              </w:rPr>
              <w:t>分。</w:t>
            </w:r>
          </w:p>
          <w:p w14:paraId="4EC50226">
            <w:pPr>
              <w:spacing w:line="360" w:lineRule="auto"/>
              <w:rPr>
                <w:rFonts w:hint="eastAsia"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2、无标识项不作为评审项，投标人逐条响应即可。</w:t>
            </w:r>
          </w:p>
          <w:p w14:paraId="6F86637C">
            <w:pPr>
              <w:spacing w:line="360" w:lineRule="auto"/>
              <w:rPr>
                <w:rFonts w:hint="eastAsia" w:asciiTheme="minorEastAsia" w:hAnsiTheme="minorEastAsia" w:eastAsiaTheme="minorEastAsia"/>
                <w:strike w:val="0"/>
                <w:dstrike w:val="0"/>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注：（1）如某项标识中包含多条技术参数或要求，则该项标识所含内容均需满足或优于招标文件要求，否则不予认可。</w:t>
            </w:r>
          </w:p>
          <w:p w14:paraId="24A14D0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strike w:val="0"/>
                <w:dstrike w:val="0"/>
                <w:color w:val="auto"/>
                <w:sz w:val="24"/>
                <w:highlight w:val="none"/>
                <w:lang w:val="en-US" w:eastAsia="zh-CN"/>
              </w:rPr>
              <w:t>（2）以技术参数响应表和采购需求中要求提供的证明材料要求作为评审依据。按招标清单内产品的技术参数及要求提供检测（验）报告证明材料上传至电子投标文件中，未能提供有效证明材料或证明材料不符合要求不得分。</w:t>
            </w:r>
          </w:p>
        </w:tc>
        <w:tc>
          <w:tcPr>
            <w:tcW w:w="564" w:type="pct"/>
            <w:tcBorders>
              <w:top w:val="single" w:color="auto" w:sz="4" w:space="0"/>
              <w:left w:val="single" w:color="auto" w:sz="4" w:space="0"/>
              <w:bottom w:val="single" w:color="auto" w:sz="4" w:space="0"/>
              <w:right w:val="single" w:color="auto" w:sz="4" w:space="0"/>
            </w:tcBorders>
            <w:vAlign w:val="center"/>
          </w:tcPr>
          <w:p w14:paraId="3A82BEE4">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0-20分</w:t>
            </w:r>
          </w:p>
        </w:tc>
      </w:tr>
      <w:tr w14:paraId="08B6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5A2E0B76">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5271D0E1">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售后服务方案（</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3B7B5A9F">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售后服务措施须包含或优于以上内容，评审根据投标文件中提供的售后服务方案与措施进行评比：</w:t>
            </w:r>
          </w:p>
          <w:p w14:paraId="42EC301A">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方案切合实际情况，各部分有深入的表述，解决方案、有具体</w:t>
            </w:r>
            <w:r>
              <w:rPr>
                <w:rFonts w:hint="eastAsia" w:asciiTheme="minorEastAsia" w:hAnsiTheme="minorEastAsia" w:eastAsiaTheme="minorEastAsia"/>
                <w:color w:val="auto"/>
                <w:sz w:val="24"/>
                <w:highlight w:val="none"/>
                <w:lang w:val="en-US" w:eastAsia="zh-CN"/>
              </w:rPr>
              <w:t>操作</w:t>
            </w:r>
            <w:r>
              <w:rPr>
                <w:rFonts w:hint="eastAsia" w:asciiTheme="minorEastAsia" w:hAnsiTheme="minorEastAsia" w:eastAsiaTheme="minorEastAsia"/>
                <w:color w:val="auto"/>
                <w:sz w:val="24"/>
                <w:highlight w:val="none"/>
                <w:lang w:eastAsia="zh-CN"/>
              </w:rPr>
              <w:t>的保障措施，售后人员配备充足、售后方案设计完整、安全，措施得力的得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分；</w:t>
            </w:r>
          </w:p>
          <w:p w14:paraId="660A58DB">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方案基本符合实际情况，内容完整、表述基本</w:t>
            </w:r>
            <w:r>
              <w:rPr>
                <w:rFonts w:hint="eastAsia" w:asciiTheme="minorEastAsia" w:hAnsiTheme="minorEastAsia" w:eastAsiaTheme="minorEastAsia"/>
                <w:color w:val="auto"/>
                <w:sz w:val="24"/>
                <w:highlight w:val="none"/>
                <w:lang w:val="en-US" w:eastAsia="zh-CN"/>
              </w:rPr>
              <w:t>清楚</w:t>
            </w:r>
            <w:r>
              <w:rPr>
                <w:rFonts w:hint="eastAsia" w:asciiTheme="minorEastAsia" w:hAnsiTheme="minorEastAsia" w:eastAsiaTheme="minorEastAsia"/>
                <w:color w:val="auto"/>
                <w:sz w:val="24"/>
                <w:highlight w:val="none"/>
                <w:lang w:eastAsia="zh-CN"/>
              </w:rPr>
              <w:t>，有保障措施，配备了售后服务人员，得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eastAsia="zh-CN"/>
              </w:rPr>
              <w:t>分；</w:t>
            </w:r>
          </w:p>
          <w:p w14:paraId="6F8B180D">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3</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方案考虑了一定的保障措施，保障措施及解决方案出现非专门针对本项目特性内容的得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lang w:eastAsia="zh-CN"/>
              </w:rPr>
              <w:t>分；</w:t>
            </w:r>
          </w:p>
          <w:p w14:paraId="7ED01888">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4</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eastAsia="zh-CN"/>
              </w:rPr>
              <w:t>方案有矛盾点、可行性受影响，对各个环节的保障措施、解决方案等缺项或关键点缺失的，整体逻辑混乱的</w:t>
            </w:r>
            <w:r>
              <w:rPr>
                <w:rFonts w:hint="eastAsia" w:asciiTheme="minorEastAsia" w:hAnsiTheme="minorEastAsia" w:eastAsiaTheme="minorEastAsia"/>
                <w:color w:val="auto"/>
                <w:sz w:val="24"/>
                <w:highlight w:val="none"/>
                <w:lang w:val="en-US" w:eastAsia="zh-CN"/>
              </w:rPr>
              <w:t>得1</w:t>
            </w:r>
            <w:r>
              <w:rPr>
                <w:rFonts w:hint="eastAsia" w:asciiTheme="minorEastAsia" w:hAnsiTheme="minorEastAsia" w:eastAsiaTheme="minorEastAsia"/>
                <w:color w:val="auto"/>
                <w:sz w:val="24"/>
                <w:highlight w:val="none"/>
                <w:lang w:eastAsia="zh-CN"/>
              </w:rPr>
              <w:t>分。</w:t>
            </w:r>
          </w:p>
          <w:p w14:paraId="689A9C82">
            <w:pPr>
              <w:spacing w:line="360" w:lineRule="auto"/>
              <w:rPr>
                <w:rFonts w:hint="default"/>
                <w:lang w:val="en-US" w:eastAsia="zh-CN"/>
              </w:rPr>
            </w:pPr>
            <w:r>
              <w:rPr>
                <w:rFonts w:hint="eastAsia" w:asciiTheme="minorEastAsia" w:hAnsiTheme="minorEastAsia" w:eastAsiaTheme="minorEastAsia"/>
                <w:color w:val="auto"/>
                <w:sz w:val="24"/>
                <w:highlight w:val="none"/>
                <w:lang w:val="en-US" w:eastAsia="zh-CN"/>
              </w:rPr>
              <w:t>5.不提供不得分。</w:t>
            </w:r>
          </w:p>
        </w:tc>
        <w:tc>
          <w:tcPr>
            <w:tcW w:w="564" w:type="pct"/>
            <w:tcBorders>
              <w:top w:val="single" w:color="auto" w:sz="4" w:space="0"/>
              <w:left w:val="single" w:color="auto" w:sz="4" w:space="0"/>
              <w:bottom w:val="single" w:color="auto" w:sz="4" w:space="0"/>
              <w:right w:val="single" w:color="auto" w:sz="4" w:space="0"/>
            </w:tcBorders>
            <w:vAlign w:val="center"/>
          </w:tcPr>
          <w:p w14:paraId="7DB2167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0-5分</w:t>
            </w:r>
          </w:p>
        </w:tc>
      </w:tr>
      <w:tr w14:paraId="33CC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56571A5E">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3111DBF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供货和安装实施方案</w:t>
            </w:r>
            <w:r>
              <w:rPr>
                <w:rFonts w:hint="eastAsia" w:asciiTheme="minorEastAsia" w:hAnsiTheme="minorEastAsia" w:eastAsiaTheme="minorEastAsia"/>
                <w:color w:val="auto"/>
                <w:sz w:val="24"/>
                <w:highlight w:val="none"/>
              </w:rPr>
              <w:t>（</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2EB00C06">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投标人根据采购需求提供明确的供货和安装实施方案，由评委会评分：</w:t>
            </w:r>
          </w:p>
          <w:p w14:paraId="50DD8763">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1.供货和安装实施方案措施得当，有详细全面的进度计划安排，各道工序衔接契合，方案</w:t>
            </w:r>
            <w:r>
              <w:rPr>
                <w:rFonts w:hint="eastAsia" w:asciiTheme="minorEastAsia" w:hAnsiTheme="minorEastAsia" w:eastAsiaTheme="minorEastAsia"/>
                <w:color w:val="auto"/>
                <w:sz w:val="24"/>
                <w:highlight w:val="none"/>
                <w:lang w:eastAsia="zh-CN"/>
              </w:rPr>
              <w:t>完整、安全，措施得力</w:t>
            </w:r>
            <w:r>
              <w:rPr>
                <w:rFonts w:hint="eastAsia" w:asciiTheme="minorEastAsia" w:hAnsiTheme="minorEastAsia" w:eastAsiaTheme="minorEastAsia"/>
                <w:color w:val="auto"/>
                <w:sz w:val="24"/>
                <w:highlight w:val="none"/>
                <w:lang w:val="en-US" w:eastAsia="zh-CN"/>
              </w:rPr>
              <w:t xml:space="preserve">的得 5 分； </w:t>
            </w:r>
          </w:p>
          <w:p w14:paraId="3896896D">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2.供货和安装实施方案，有较详细的进度计划安排，各工序衔接较契合，方案贴合项目实际的得4分； </w:t>
            </w:r>
          </w:p>
          <w:p w14:paraId="1F204B0D">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3.供货和安装实施方案，进度计划安排较简洁，各工序衔接基本契合，方案基本符合项目实际得 3 分； </w:t>
            </w:r>
          </w:p>
          <w:p w14:paraId="65E639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4.方案有矛盾点、缺项对各个环节的保障措施、解决方案等或关键点缺失的，整体逻辑混乱的得1分。</w:t>
            </w:r>
          </w:p>
          <w:p w14:paraId="5FC7E206">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5.未提供不得分；</w:t>
            </w:r>
          </w:p>
        </w:tc>
        <w:tc>
          <w:tcPr>
            <w:tcW w:w="564" w:type="pct"/>
            <w:tcBorders>
              <w:top w:val="single" w:color="auto" w:sz="4" w:space="0"/>
              <w:left w:val="single" w:color="auto" w:sz="4" w:space="0"/>
              <w:bottom w:val="single" w:color="auto" w:sz="4" w:space="0"/>
              <w:right w:val="single" w:color="auto" w:sz="4" w:space="0"/>
            </w:tcBorders>
            <w:vAlign w:val="center"/>
          </w:tcPr>
          <w:p w14:paraId="048B411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en-US" w:eastAsia="zh-CN"/>
              </w:rPr>
              <w:t>0-5分</w:t>
            </w:r>
          </w:p>
        </w:tc>
      </w:tr>
      <w:tr w14:paraId="26CB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39" w:type="pct"/>
            <w:gridSpan w:val="2"/>
            <w:vMerge w:val="continue"/>
            <w:tcBorders>
              <w:left w:val="single" w:color="auto" w:sz="4" w:space="0"/>
              <w:right w:val="single" w:color="auto" w:sz="4" w:space="0"/>
            </w:tcBorders>
            <w:vAlign w:val="center"/>
          </w:tcPr>
          <w:p w14:paraId="59B8C1AD">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759E08A4">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安全和质量保障方案</w:t>
            </w:r>
            <w:r>
              <w:rPr>
                <w:rFonts w:hint="eastAsia" w:asciiTheme="minorEastAsia" w:hAnsiTheme="minorEastAsia" w:eastAsiaTheme="minorEastAsia"/>
                <w:color w:val="auto"/>
                <w:sz w:val="24"/>
                <w:highlight w:val="none"/>
              </w:rPr>
              <w:t>（</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7B0288CB">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投标人根据采购需求提供明确的安 全和质量保障方案，由评委会评分：</w:t>
            </w:r>
          </w:p>
          <w:p w14:paraId="2D0BC47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1.安全和质量保障方案内容周密详尽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方案完整</w:t>
            </w:r>
            <w:r>
              <w:rPr>
                <w:rFonts w:hint="eastAsia" w:asciiTheme="minorEastAsia" w:hAnsiTheme="minorEastAsia" w:eastAsiaTheme="minorEastAsia"/>
                <w:color w:val="auto"/>
                <w:sz w:val="24"/>
                <w:highlight w:val="none"/>
              </w:rPr>
              <w:t xml:space="preserve">、 措施完善，充分满足项目实施要求的得 </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 xml:space="preserve"> 分；</w:t>
            </w:r>
          </w:p>
          <w:p w14:paraId="3BF0926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2.安全和质量保障方案内容有细节须待完善，逻辑性较强且可以保障本项目实施的，得 </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w:t>
            </w:r>
          </w:p>
          <w:p w14:paraId="675C1AF8">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3.安全和质量保障方案内容不详细，部分存在不足的得，得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p>
          <w:p w14:paraId="0BEDB90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564" w:type="pct"/>
            <w:tcBorders>
              <w:top w:val="single" w:color="auto" w:sz="4" w:space="0"/>
              <w:left w:val="single" w:color="auto" w:sz="4" w:space="0"/>
              <w:bottom w:val="single" w:color="auto" w:sz="4" w:space="0"/>
              <w:right w:val="single" w:color="auto" w:sz="4" w:space="0"/>
            </w:tcBorders>
            <w:vAlign w:val="center"/>
          </w:tcPr>
          <w:p w14:paraId="613840F9">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2188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39" w:type="pct"/>
            <w:gridSpan w:val="2"/>
            <w:vMerge w:val="continue"/>
            <w:tcBorders>
              <w:left w:val="single" w:color="auto" w:sz="4" w:space="0"/>
              <w:right w:val="single" w:color="auto" w:sz="4" w:space="0"/>
            </w:tcBorders>
            <w:vAlign w:val="center"/>
          </w:tcPr>
          <w:p w14:paraId="176AF937">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1ED03514">
            <w:pPr>
              <w:spacing w:line="360" w:lineRule="auto"/>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应急和处置方案</w:t>
            </w:r>
            <w:r>
              <w:rPr>
                <w:rFonts w:hint="eastAsia" w:asciiTheme="minorEastAsia" w:hAnsiTheme="minorEastAsia" w:eastAsiaTheme="minorEastAsia"/>
                <w:color w:val="auto"/>
                <w:sz w:val="24"/>
                <w:highlight w:val="none"/>
              </w:rPr>
              <w:t>（</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517CC91B">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投标人根据采购需求提供明确的应急和处置方案，由评委会评分：</w:t>
            </w:r>
          </w:p>
          <w:p w14:paraId="7E19336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1.制定的应急和处置方案内容完整全面，利于本项目顺利实施的，得 </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 分；</w:t>
            </w:r>
          </w:p>
          <w:p w14:paraId="631AB9A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2.制定的应急和处置方案细节须待完善，基本可以保障本项目实施的，得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 xml:space="preserve"> 分；</w:t>
            </w:r>
          </w:p>
          <w:p w14:paraId="0598BF62">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3.制定的应急和处置方案细节不详细，可能影响项目实施的，得 </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p>
          <w:p w14:paraId="778587A3">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4.未提供的不得分。</w:t>
            </w:r>
          </w:p>
        </w:tc>
        <w:tc>
          <w:tcPr>
            <w:tcW w:w="564" w:type="pct"/>
            <w:tcBorders>
              <w:top w:val="single" w:color="auto" w:sz="4" w:space="0"/>
              <w:left w:val="single" w:color="auto" w:sz="4" w:space="0"/>
              <w:bottom w:val="single" w:color="auto" w:sz="4" w:space="0"/>
              <w:right w:val="single" w:color="auto" w:sz="4" w:space="0"/>
            </w:tcBorders>
            <w:vAlign w:val="center"/>
          </w:tcPr>
          <w:p w14:paraId="60F257AB">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3FF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15160B0B">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6571D5D2">
            <w:pPr>
              <w:pStyle w:val="10"/>
              <w:spacing w:line="440" w:lineRule="exact"/>
              <w:ind w:left="0" w:leftChars="0"/>
              <w:jc w:val="left"/>
              <w:rPr>
                <w:rFonts w:hint="eastAsia" w:asciiTheme="minorEastAsia" w:hAnsiTheme="minorEastAsia" w:eastAsiaTheme="minorEastAsia"/>
                <w:color w:val="auto"/>
                <w:sz w:val="24"/>
                <w:highlight w:val="none"/>
                <w:lang w:val="en-US" w:eastAsia="zh-CN"/>
              </w:rPr>
            </w:pPr>
            <w:r>
              <w:rPr>
                <w:rFonts w:hint="eastAsia" w:ascii="宋体" w:eastAsia="宋体" w:cs="@仿宋_GB2312"/>
                <w:color w:val="auto"/>
                <w:kern w:val="2"/>
                <w:sz w:val="24"/>
                <w:szCs w:val="24"/>
                <w:highlight w:val="none"/>
                <w:lang w:val="en-US" w:eastAsia="zh-CN" w:bidi="ar-SA"/>
              </w:rPr>
              <w:t>技术培训（技术标评审）</w:t>
            </w:r>
          </w:p>
        </w:tc>
        <w:tc>
          <w:tcPr>
            <w:tcW w:w="2948" w:type="pct"/>
            <w:tcBorders>
              <w:top w:val="single" w:color="auto" w:sz="4" w:space="0"/>
              <w:left w:val="single" w:color="auto" w:sz="4" w:space="0"/>
              <w:bottom w:val="single" w:color="auto" w:sz="4" w:space="0"/>
              <w:right w:val="single" w:color="auto" w:sz="4" w:space="0"/>
            </w:tcBorders>
            <w:vAlign w:val="center"/>
          </w:tcPr>
          <w:p w14:paraId="2CBB6F35">
            <w:pPr>
              <w:pStyle w:val="10"/>
              <w:spacing w:line="440" w:lineRule="exact"/>
              <w:ind w:left="0" w:leftChars="0"/>
              <w:jc w:val="left"/>
              <w:rPr>
                <w:rFonts w:hint="eastAsia" w:ascii="宋体" w:eastAsia="宋体" w:cs="@仿宋_GB2312"/>
                <w:color w:val="auto"/>
                <w:kern w:val="2"/>
                <w:sz w:val="24"/>
                <w:szCs w:val="24"/>
                <w:highlight w:val="none"/>
                <w:lang w:val="en-US" w:eastAsia="zh-CN" w:bidi="ar-SA"/>
              </w:rPr>
            </w:pPr>
            <w:r>
              <w:rPr>
                <w:rFonts w:hint="eastAsia" w:ascii="宋体" w:eastAsia="宋体" w:cs="@仿宋_GB2312"/>
                <w:color w:val="auto"/>
                <w:kern w:val="2"/>
                <w:sz w:val="24"/>
                <w:szCs w:val="24"/>
                <w:highlight w:val="none"/>
                <w:lang w:val="en-US" w:eastAsia="zh-CN" w:bidi="ar-SA"/>
              </w:rPr>
              <w:t>根据培训的计划安排、培训措施等方面，评委根据方案的进行综合评比：</w:t>
            </w:r>
          </w:p>
          <w:p w14:paraId="319D2C5F">
            <w:pPr>
              <w:pStyle w:val="10"/>
              <w:numPr>
                <w:ilvl w:val="0"/>
                <w:numId w:val="5"/>
              </w:numPr>
              <w:spacing w:line="440" w:lineRule="exact"/>
              <w:ind w:left="0" w:leftChars="0"/>
              <w:jc w:val="left"/>
              <w:rPr>
                <w:rFonts w:hint="eastAsia" w:ascii="宋体" w:eastAsia="宋体" w:cs="@仿宋_GB2312"/>
                <w:color w:val="auto"/>
                <w:kern w:val="2"/>
                <w:sz w:val="24"/>
                <w:szCs w:val="24"/>
                <w:highlight w:val="none"/>
                <w:lang w:val="en-US" w:eastAsia="zh-CN" w:bidi="ar-SA"/>
              </w:rPr>
            </w:pPr>
            <w:r>
              <w:rPr>
                <w:rFonts w:hint="eastAsia" w:ascii="宋体" w:eastAsia="宋体" w:cs="@仿宋_GB2312"/>
                <w:color w:val="auto"/>
                <w:kern w:val="2"/>
                <w:sz w:val="24"/>
                <w:szCs w:val="24"/>
                <w:highlight w:val="none"/>
                <w:lang w:val="en-US" w:eastAsia="zh-CN" w:bidi="ar-SA"/>
              </w:rPr>
              <w:t>对本项目提供的培训方案理解准确，培训指导、设施设备维护、相关部门业务培训指导等内容，根据方案的计划安排、培训措施等方面方案完整详细的完全满足或优于采购需求的，得4分；</w:t>
            </w:r>
          </w:p>
          <w:p w14:paraId="53892B6B">
            <w:pPr>
              <w:pStyle w:val="10"/>
              <w:numPr>
                <w:ilvl w:val="0"/>
                <w:numId w:val="0"/>
              </w:numPr>
              <w:spacing w:line="440" w:lineRule="exact"/>
              <w:jc w:val="left"/>
              <w:rPr>
                <w:rFonts w:hint="eastAsia" w:ascii="宋体" w:eastAsia="宋体" w:cs="@仿宋_GB2312"/>
                <w:color w:val="auto"/>
                <w:kern w:val="2"/>
                <w:sz w:val="24"/>
                <w:szCs w:val="24"/>
                <w:highlight w:val="none"/>
                <w:lang w:val="en-US" w:eastAsia="zh-CN" w:bidi="ar-SA"/>
              </w:rPr>
            </w:pPr>
            <w:r>
              <w:rPr>
                <w:rFonts w:hint="eastAsia" w:ascii="宋体" w:eastAsia="宋体" w:cs="@仿宋_GB2312"/>
                <w:color w:val="auto"/>
                <w:kern w:val="2"/>
                <w:sz w:val="24"/>
                <w:szCs w:val="24"/>
                <w:highlight w:val="none"/>
                <w:lang w:val="en-US" w:eastAsia="zh-CN" w:bidi="ar-SA"/>
              </w:rPr>
              <w:t>2.对本项目提供的培训方案理解基本准确，培训指导、设施设备维护、相关部门业务培训指导等内容，根据方案的计划安排、培训措施等方面方案基本满足项目采购需求，得3分；</w:t>
            </w:r>
          </w:p>
          <w:p w14:paraId="453A4B56">
            <w:pPr>
              <w:pStyle w:val="10"/>
              <w:spacing w:line="440" w:lineRule="exact"/>
              <w:ind w:left="0" w:leftChars="0"/>
              <w:jc w:val="left"/>
              <w:rPr>
                <w:rFonts w:hint="eastAsia" w:ascii="宋体" w:eastAsia="宋体" w:cs="@仿宋_GB2312"/>
                <w:color w:val="auto"/>
                <w:kern w:val="2"/>
                <w:sz w:val="24"/>
                <w:szCs w:val="24"/>
                <w:highlight w:val="none"/>
                <w:lang w:val="en-US" w:eastAsia="zh-CN" w:bidi="ar-SA"/>
              </w:rPr>
            </w:pPr>
            <w:r>
              <w:rPr>
                <w:rFonts w:hint="eastAsia" w:ascii="宋体" w:eastAsia="宋体" w:cs="@仿宋_GB2312"/>
                <w:color w:val="auto"/>
                <w:kern w:val="2"/>
                <w:sz w:val="24"/>
                <w:szCs w:val="24"/>
                <w:highlight w:val="none"/>
                <w:lang w:val="en-US" w:eastAsia="zh-CN" w:bidi="ar-SA"/>
              </w:rPr>
              <w:t>3.对本项目提供的培训方案理解有待提升，培训指导、设施设备维护、相关部门业务培训指导等内容，根据方案的计划安排、培训措施等方面针对性不强有待改善的，得2分；</w:t>
            </w:r>
          </w:p>
          <w:p w14:paraId="7E74BD38">
            <w:pPr>
              <w:pStyle w:val="10"/>
              <w:spacing w:line="440" w:lineRule="exact"/>
              <w:ind w:left="0" w:leftChars="0"/>
              <w:jc w:val="left"/>
              <w:rPr>
                <w:rFonts w:hint="eastAsia" w:asciiTheme="minorEastAsia" w:hAnsiTheme="minorEastAsia" w:eastAsiaTheme="minorEastAsia"/>
                <w:color w:val="auto"/>
                <w:sz w:val="24"/>
                <w:highlight w:val="none"/>
                <w:lang w:val="en-US" w:eastAsia="zh-CN"/>
              </w:rPr>
            </w:pPr>
            <w:r>
              <w:rPr>
                <w:rFonts w:hint="eastAsia" w:ascii="宋体" w:eastAsia="宋体" w:cs="@仿宋_GB2312"/>
                <w:color w:val="auto"/>
                <w:kern w:val="2"/>
                <w:sz w:val="24"/>
                <w:szCs w:val="24"/>
                <w:highlight w:val="none"/>
                <w:lang w:val="en-US" w:eastAsia="zh-CN" w:bidi="ar-SA"/>
              </w:rPr>
              <w:t>4.方案不能满足项目实施要求或未提供的不得分；</w:t>
            </w:r>
          </w:p>
        </w:tc>
        <w:tc>
          <w:tcPr>
            <w:tcW w:w="564" w:type="pct"/>
            <w:tcBorders>
              <w:top w:val="single" w:color="auto" w:sz="4" w:space="0"/>
              <w:left w:val="single" w:color="auto" w:sz="4" w:space="0"/>
              <w:bottom w:val="single" w:color="auto" w:sz="4" w:space="0"/>
              <w:right w:val="single" w:color="auto" w:sz="4" w:space="0"/>
            </w:tcBorders>
            <w:vAlign w:val="center"/>
          </w:tcPr>
          <w:p w14:paraId="2404F6C4">
            <w:pPr>
              <w:ind w:firstLine="241" w:firstLineChars="100"/>
              <w:rPr>
                <w:rFonts w:hint="eastAsia"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0-4分</w:t>
            </w:r>
          </w:p>
        </w:tc>
      </w:tr>
      <w:tr w14:paraId="631E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gridSpan w:val="2"/>
            <w:vMerge w:val="continue"/>
            <w:tcBorders>
              <w:left w:val="single" w:color="auto" w:sz="4" w:space="0"/>
              <w:right w:val="single" w:color="auto" w:sz="4" w:space="0"/>
            </w:tcBorders>
            <w:vAlign w:val="center"/>
          </w:tcPr>
          <w:p w14:paraId="109984AD">
            <w:pPr>
              <w:spacing w:line="360" w:lineRule="auto"/>
              <w:ind w:firstLine="435" w:firstLineChars="0"/>
              <w:jc w:val="center"/>
              <w:rPr>
                <w:rFonts w:asciiTheme="minorEastAsia" w:hAnsiTheme="minorEastAsia" w:eastAsiaTheme="minorEastAsia"/>
                <w:b/>
                <w:bCs/>
                <w:color w:val="auto"/>
                <w:sz w:val="24"/>
                <w:highlight w:val="none"/>
              </w:rPr>
            </w:pPr>
          </w:p>
        </w:tc>
        <w:tc>
          <w:tcPr>
            <w:tcW w:w="747" w:type="pct"/>
            <w:tcBorders>
              <w:top w:val="single" w:color="auto" w:sz="4" w:space="0"/>
              <w:left w:val="single" w:color="auto" w:sz="4" w:space="0"/>
              <w:bottom w:val="single" w:color="auto" w:sz="4" w:space="0"/>
              <w:right w:val="single" w:color="auto" w:sz="4" w:space="0"/>
            </w:tcBorders>
            <w:vAlign w:val="center"/>
          </w:tcPr>
          <w:p w14:paraId="69DA3620">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lang w:val="en-US" w:eastAsia="zh-CN"/>
              </w:rPr>
              <w:t>服务质量控制方案</w:t>
            </w:r>
            <w:r>
              <w:rPr>
                <w:rFonts w:hint="eastAsia" w:asciiTheme="minorEastAsia" w:hAnsiTheme="minorEastAsia" w:eastAsiaTheme="minorEastAsia"/>
                <w:color w:val="auto"/>
                <w:sz w:val="24"/>
                <w:highlight w:val="none"/>
              </w:rPr>
              <w:t>（</w:t>
            </w:r>
            <w:r>
              <w:rPr>
                <w:rFonts w:hint="eastAsia" w:ascii="宋体" w:hAnsi="宋体" w:eastAsia="宋体" w:cs="宋体"/>
                <w:color w:val="000000"/>
                <w:kern w:val="0"/>
                <w:sz w:val="24"/>
                <w:szCs w:val="24"/>
                <w:lang w:val="en-US" w:eastAsia="zh-CN" w:bidi="ar"/>
              </w:rPr>
              <w:t>技术标</w:t>
            </w:r>
            <w:r>
              <w:rPr>
                <w:rFonts w:hint="eastAsia" w:asciiTheme="minorEastAsia" w:hAnsiTheme="minorEastAsia" w:eastAsiaTheme="minorEastAsia"/>
                <w:color w:val="auto"/>
                <w:sz w:val="24"/>
                <w:highlight w:val="none"/>
              </w:rPr>
              <w:t>评审）</w:t>
            </w:r>
          </w:p>
        </w:tc>
        <w:tc>
          <w:tcPr>
            <w:tcW w:w="2948" w:type="pct"/>
            <w:tcBorders>
              <w:top w:val="single" w:color="auto" w:sz="4" w:space="0"/>
              <w:left w:val="single" w:color="auto" w:sz="4" w:space="0"/>
              <w:bottom w:val="single" w:color="auto" w:sz="4" w:space="0"/>
              <w:right w:val="single" w:color="auto" w:sz="4" w:space="0"/>
            </w:tcBorders>
            <w:vAlign w:val="center"/>
          </w:tcPr>
          <w:p w14:paraId="687DE9BB">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投标人或所投产品制造商提供的服务质量控制方案进行综合评分，包括①服务质量控制目标；②服务质量控制措施；③服务质量控制体系。 </w:t>
            </w:r>
          </w:p>
          <w:p w14:paraId="3E8649AB">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1.服务质量控制方案完善、详尽、对各个环节的保障措施能够分析透彻的得 4 分；</w:t>
            </w:r>
          </w:p>
          <w:p w14:paraId="25E024FF">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2.服务质量控制方案待完善、对各个环节的保障措施进行分析的得 3 分；</w:t>
            </w:r>
          </w:p>
          <w:p w14:paraId="7FEB8A94">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3.服务质量控制方案内容简单、尚可实施的得 2 分；</w:t>
            </w:r>
          </w:p>
          <w:p w14:paraId="6658A701">
            <w:pPr>
              <w:spacing w:line="360" w:lineRule="auto"/>
            </w:pPr>
            <w:r>
              <w:rPr>
                <w:rFonts w:hint="eastAsia" w:asciiTheme="minorEastAsia" w:hAnsiTheme="minorEastAsia" w:eastAsiaTheme="minorEastAsia"/>
                <w:color w:val="auto"/>
                <w:sz w:val="24"/>
                <w:highlight w:val="none"/>
                <w:lang w:val="en-US" w:eastAsia="zh-CN"/>
              </w:rPr>
              <w:t>4.与需求无关或不提供的不得分。</w:t>
            </w:r>
          </w:p>
        </w:tc>
        <w:tc>
          <w:tcPr>
            <w:tcW w:w="564" w:type="pct"/>
            <w:tcBorders>
              <w:top w:val="single" w:color="auto" w:sz="4" w:space="0"/>
              <w:left w:val="single" w:color="auto" w:sz="4" w:space="0"/>
              <w:bottom w:val="single" w:color="auto" w:sz="4" w:space="0"/>
              <w:right w:val="single" w:color="auto" w:sz="4" w:space="0"/>
            </w:tcBorders>
            <w:vAlign w:val="center"/>
          </w:tcPr>
          <w:p w14:paraId="41A23858">
            <w:pPr>
              <w:spacing w:line="360" w:lineRule="auto"/>
              <w:jc w:val="center"/>
            </w:pPr>
            <w:r>
              <w:rPr>
                <w:rFonts w:hint="eastAsia" w:asciiTheme="minorEastAsia" w:hAnsiTheme="minorEastAsia" w:eastAsiaTheme="minorEastAsia"/>
                <w:b/>
                <w:bCs/>
                <w:color w:val="auto"/>
                <w:sz w:val="24"/>
                <w:highlight w:val="none"/>
                <w:lang w:val="en-US" w:eastAsia="zh-CN"/>
              </w:rPr>
              <w:t>0-4分</w:t>
            </w:r>
          </w:p>
        </w:tc>
      </w:tr>
      <w:tr w14:paraId="48AB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tcBorders>
              <w:left w:val="single" w:color="auto" w:sz="4" w:space="0"/>
              <w:right w:val="single" w:color="auto" w:sz="4" w:space="0"/>
            </w:tcBorders>
            <w:vAlign w:val="center"/>
          </w:tcPr>
          <w:p w14:paraId="17756BE9">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设备</w:t>
            </w:r>
            <w:r>
              <w:rPr>
                <w:rFonts w:hint="eastAsia" w:asciiTheme="minorEastAsia" w:hAnsiTheme="minorEastAsia" w:eastAsiaTheme="minorEastAsia"/>
                <w:color w:val="auto"/>
                <w:sz w:val="24"/>
                <w:highlight w:val="none"/>
              </w:rPr>
              <w:t>价格分</w:t>
            </w:r>
          </w:p>
          <w:p w14:paraId="4B57B32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35</w:t>
            </w:r>
            <w:r>
              <w:rPr>
                <w:rFonts w:hint="eastAsia" w:asciiTheme="minorEastAsia" w:hAnsiTheme="minorEastAsia" w:eastAsiaTheme="minorEastAsia"/>
                <w:color w:val="auto"/>
                <w:sz w:val="24"/>
                <w:highlight w:val="none"/>
              </w:rPr>
              <w:t>分）</w:t>
            </w:r>
          </w:p>
        </w:tc>
        <w:tc>
          <w:tcPr>
            <w:tcW w:w="4265" w:type="pct"/>
            <w:gridSpan w:val="4"/>
            <w:tcBorders>
              <w:top w:val="single" w:color="auto" w:sz="4" w:space="0"/>
              <w:left w:val="single" w:color="auto" w:sz="4" w:space="0"/>
              <w:bottom w:val="single" w:color="auto" w:sz="4" w:space="0"/>
              <w:right w:val="single" w:color="auto" w:sz="4" w:space="0"/>
            </w:tcBorders>
            <w:vAlign w:val="center"/>
          </w:tcPr>
          <w:p w14:paraId="4DC8AA4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w:t>
            </w:r>
            <w:r>
              <w:rPr>
                <w:rFonts w:hint="eastAsia" w:asciiTheme="minorEastAsia" w:hAnsiTheme="minorEastAsia" w:eastAsiaTheme="minorEastAsia"/>
                <w:color w:val="auto"/>
                <w:sz w:val="24"/>
                <w:highlight w:val="none"/>
                <w:lang w:val="en-US" w:eastAsia="zh-CN"/>
              </w:rPr>
              <w:t>设备汇总</w:t>
            </w:r>
            <w:r>
              <w:rPr>
                <w:rFonts w:hint="eastAsia" w:asciiTheme="minorEastAsia" w:hAnsiTheme="minorEastAsia" w:eastAsiaTheme="minorEastAsia"/>
                <w:color w:val="auto"/>
                <w:sz w:val="24"/>
                <w:highlight w:val="none"/>
              </w:rPr>
              <w:t>投</w:t>
            </w:r>
          </w:p>
          <w:p w14:paraId="5AC36A1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标价格最低的投标报价为评标基准价，其价格分为满分</w:t>
            </w:r>
            <w:r>
              <w:rPr>
                <w:rFonts w:hint="eastAsia" w:asciiTheme="minorEastAsia" w:hAnsiTheme="minorEastAsia" w:eastAsiaTheme="minorEastAsia"/>
                <w:color w:val="auto"/>
                <w:sz w:val="24"/>
                <w:highlight w:val="none"/>
                <w:u w:val="single"/>
                <w:lang w:val="en-US" w:eastAsia="zh-CN"/>
              </w:rPr>
              <w:t>35</w:t>
            </w:r>
            <w:r>
              <w:rPr>
                <w:rFonts w:hint="eastAsia" w:asciiTheme="minorEastAsia" w:hAnsiTheme="minorEastAsia" w:eastAsiaTheme="minorEastAsia"/>
                <w:color w:val="auto"/>
                <w:sz w:val="24"/>
                <w:highlight w:val="none"/>
              </w:rPr>
              <w:t>分。其他投标人的价格分统一按照下列公式计算：</w:t>
            </w:r>
          </w:p>
          <w:p w14:paraId="4ECCDD0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lang w:val="en-US" w:eastAsia="zh-CN"/>
              </w:rPr>
              <w:t>设备</w:t>
            </w: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35</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53BEBFE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22D563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26662F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544CEEE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7FBC17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07278B6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47A26C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60D05B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5FE9AE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02DC2F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0B504D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75ACB8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4E34FE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6BE8BD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34A888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465BE4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0EE1EC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48B494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0B0BE7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6E1252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3C189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006262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49B141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65AA29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3EE10B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4AB8CA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20BF2A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56D259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 经公共资源交易监督部门核准的；</w:t>
      </w:r>
    </w:p>
    <w:p w14:paraId="0F8262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370CB2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3324A6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050F21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6E3BBE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75E6F1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182D11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2AAC93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065AA4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4EB7BB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1E542F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532A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F273A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27E499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14FE17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6B58F26D">
      <w:pPr>
        <w:spacing w:line="360" w:lineRule="auto"/>
        <w:jc w:val="center"/>
        <w:outlineLvl w:val="0"/>
        <w:rPr>
          <w:rFonts w:hint="eastAsia" w:asciiTheme="minorEastAsia" w:hAnsiTheme="minorEastAsia" w:eastAsiaTheme="minorEastAsia"/>
          <w:b/>
          <w:color w:val="auto"/>
          <w:sz w:val="28"/>
          <w:highlight w:val="none"/>
        </w:rPr>
      </w:pPr>
      <w:bookmarkStart w:id="48" w:name="_Toc4682"/>
    </w:p>
    <w:p w14:paraId="3DF05118">
      <w:pPr>
        <w:spacing w:line="360" w:lineRule="auto"/>
        <w:jc w:val="center"/>
        <w:outlineLvl w:val="0"/>
        <w:rPr>
          <w:rFonts w:hint="eastAsia" w:asciiTheme="minorEastAsia" w:hAnsiTheme="minorEastAsia" w:eastAsiaTheme="minorEastAsia"/>
          <w:b/>
          <w:color w:val="auto"/>
          <w:sz w:val="28"/>
          <w:highlight w:val="none"/>
        </w:rPr>
      </w:pPr>
    </w:p>
    <w:p w14:paraId="13BD55B9">
      <w:pPr>
        <w:spacing w:line="360" w:lineRule="auto"/>
        <w:jc w:val="center"/>
        <w:outlineLvl w:val="0"/>
        <w:rPr>
          <w:rFonts w:hint="eastAsia" w:asciiTheme="minorEastAsia" w:hAnsiTheme="minorEastAsia" w:eastAsiaTheme="minorEastAsia"/>
          <w:b/>
          <w:color w:val="auto"/>
          <w:sz w:val="28"/>
          <w:highlight w:val="none"/>
        </w:rPr>
      </w:pPr>
    </w:p>
    <w:p w14:paraId="7C0E3C6F">
      <w:pPr>
        <w:spacing w:line="360" w:lineRule="auto"/>
        <w:jc w:val="center"/>
        <w:outlineLvl w:val="0"/>
        <w:rPr>
          <w:rFonts w:hint="eastAsia" w:asciiTheme="minorEastAsia" w:hAnsiTheme="minorEastAsia" w:eastAsiaTheme="minorEastAsia"/>
          <w:b/>
          <w:color w:val="auto"/>
          <w:sz w:val="28"/>
          <w:highlight w:val="none"/>
        </w:rPr>
      </w:pPr>
    </w:p>
    <w:p w14:paraId="10346215">
      <w:pPr>
        <w:spacing w:line="360" w:lineRule="auto"/>
        <w:jc w:val="center"/>
        <w:outlineLvl w:val="0"/>
        <w:rPr>
          <w:rFonts w:hint="eastAsia" w:asciiTheme="minorEastAsia" w:hAnsiTheme="minorEastAsia" w:eastAsiaTheme="minorEastAsia"/>
          <w:b/>
          <w:color w:val="auto"/>
          <w:sz w:val="28"/>
          <w:highlight w:val="none"/>
        </w:rPr>
      </w:pPr>
    </w:p>
    <w:p w14:paraId="72488896">
      <w:pPr>
        <w:spacing w:line="360" w:lineRule="auto"/>
        <w:jc w:val="center"/>
        <w:outlineLvl w:val="0"/>
        <w:rPr>
          <w:rFonts w:hint="eastAsia" w:asciiTheme="minorEastAsia" w:hAnsiTheme="minorEastAsia" w:eastAsiaTheme="minorEastAsia"/>
          <w:b/>
          <w:color w:val="auto"/>
          <w:sz w:val="28"/>
          <w:highlight w:val="none"/>
        </w:rPr>
      </w:pPr>
    </w:p>
    <w:p w14:paraId="4C37730A">
      <w:pPr>
        <w:spacing w:line="360" w:lineRule="auto"/>
        <w:jc w:val="center"/>
        <w:outlineLvl w:val="0"/>
        <w:rPr>
          <w:rFonts w:hint="eastAsia" w:asciiTheme="minorEastAsia" w:hAnsiTheme="minorEastAsia" w:eastAsiaTheme="minorEastAsia"/>
          <w:b/>
          <w:color w:val="auto"/>
          <w:sz w:val="28"/>
          <w:highlight w:val="none"/>
        </w:rPr>
      </w:pPr>
    </w:p>
    <w:p w14:paraId="4A078C39">
      <w:pPr>
        <w:spacing w:line="360" w:lineRule="auto"/>
        <w:jc w:val="center"/>
        <w:outlineLvl w:val="0"/>
        <w:rPr>
          <w:rFonts w:hint="eastAsia" w:asciiTheme="minorEastAsia" w:hAnsiTheme="minorEastAsia" w:eastAsiaTheme="minorEastAsia"/>
          <w:b/>
          <w:color w:val="auto"/>
          <w:sz w:val="28"/>
          <w:highlight w:val="none"/>
        </w:rPr>
      </w:pPr>
    </w:p>
    <w:p w14:paraId="3B1EC1FD">
      <w:pPr>
        <w:spacing w:line="360" w:lineRule="auto"/>
        <w:jc w:val="center"/>
        <w:outlineLvl w:val="0"/>
        <w:rPr>
          <w:rFonts w:hint="eastAsia" w:asciiTheme="minorEastAsia" w:hAnsiTheme="minorEastAsia" w:eastAsiaTheme="minorEastAsia"/>
          <w:b/>
          <w:color w:val="auto"/>
          <w:sz w:val="28"/>
          <w:highlight w:val="none"/>
        </w:rPr>
      </w:pPr>
    </w:p>
    <w:p w14:paraId="77BC17A2">
      <w:pPr>
        <w:spacing w:line="360" w:lineRule="auto"/>
        <w:jc w:val="center"/>
        <w:outlineLvl w:val="0"/>
        <w:rPr>
          <w:rFonts w:hint="eastAsia" w:asciiTheme="minorEastAsia" w:hAnsiTheme="minorEastAsia" w:eastAsiaTheme="minorEastAsia"/>
          <w:b/>
          <w:color w:val="auto"/>
          <w:sz w:val="28"/>
          <w:highlight w:val="none"/>
        </w:rPr>
      </w:pPr>
    </w:p>
    <w:p w14:paraId="444363A9">
      <w:pPr>
        <w:spacing w:line="360" w:lineRule="auto"/>
        <w:jc w:val="center"/>
        <w:outlineLvl w:val="0"/>
        <w:rPr>
          <w:rFonts w:hint="eastAsia" w:asciiTheme="minorEastAsia" w:hAnsiTheme="minorEastAsia" w:eastAsiaTheme="minorEastAsia"/>
          <w:b/>
          <w:color w:val="auto"/>
          <w:sz w:val="28"/>
          <w:highlight w:val="none"/>
        </w:rPr>
      </w:pPr>
    </w:p>
    <w:p w14:paraId="7614E740">
      <w:pPr>
        <w:spacing w:line="360" w:lineRule="auto"/>
        <w:jc w:val="both"/>
        <w:outlineLvl w:val="0"/>
        <w:rPr>
          <w:rFonts w:hint="eastAsia" w:asciiTheme="minorEastAsia" w:hAnsiTheme="minorEastAsia" w:eastAsiaTheme="minorEastAsia"/>
          <w:b/>
          <w:color w:val="auto"/>
          <w:sz w:val="28"/>
          <w:highlight w:val="none"/>
          <w:lang w:eastAsia="zh-CN"/>
        </w:rPr>
      </w:pPr>
    </w:p>
    <w:p w14:paraId="07317111">
      <w:pPr>
        <w:spacing w:line="360" w:lineRule="auto"/>
        <w:jc w:val="both"/>
        <w:outlineLvl w:val="0"/>
        <w:rPr>
          <w:rFonts w:hint="eastAsia" w:asciiTheme="minorEastAsia" w:hAnsiTheme="minorEastAsia" w:eastAsiaTheme="minorEastAsia"/>
          <w:b/>
          <w:color w:val="auto"/>
          <w:sz w:val="28"/>
          <w:highlight w:val="none"/>
          <w:lang w:eastAsia="zh-CN"/>
        </w:rPr>
      </w:pPr>
    </w:p>
    <w:p w14:paraId="52848769">
      <w:pPr>
        <w:spacing w:line="360" w:lineRule="auto"/>
        <w:jc w:val="center"/>
        <w:outlineLvl w:val="0"/>
        <w:rPr>
          <w:rFonts w:hint="eastAsia" w:asciiTheme="minorEastAsia" w:hAnsiTheme="minorEastAsia" w:eastAsiaTheme="minorEastAsia"/>
          <w:b/>
          <w:color w:val="auto"/>
          <w:sz w:val="28"/>
          <w:highlight w:val="none"/>
        </w:rPr>
      </w:pPr>
    </w:p>
    <w:p w14:paraId="20AD1958">
      <w:pPr>
        <w:spacing w:line="360" w:lineRule="auto"/>
        <w:jc w:val="center"/>
        <w:outlineLvl w:val="0"/>
        <w:rPr>
          <w:rFonts w:hint="eastAsia" w:asciiTheme="minorEastAsia" w:hAnsiTheme="minorEastAsia" w:eastAsiaTheme="minorEastAsia"/>
          <w:b/>
          <w:color w:val="auto"/>
          <w:sz w:val="28"/>
          <w:highlight w:val="none"/>
        </w:rPr>
      </w:pPr>
    </w:p>
    <w:p w14:paraId="01E8E72C">
      <w:pPr>
        <w:spacing w:line="360" w:lineRule="auto"/>
        <w:jc w:val="center"/>
        <w:outlineLvl w:val="0"/>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8"/>
    </w:p>
    <w:p w14:paraId="4BF0288D">
      <w:pPr>
        <w:pStyle w:val="9"/>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rPr>
      </w:pPr>
    </w:p>
    <w:p w14:paraId="69C6911B">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087DCAA8">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1F1D4961">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25BAC29B">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4CA79B39">
      <w:pPr>
        <w:pStyle w:val="9"/>
        <w:rPr>
          <w:rFonts w:hint="eastAsia" w:ascii="宋体" w:hAnsi="宋体" w:eastAsia="宋体" w:cs="宋体"/>
          <w:b/>
          <w:bCs/>
          <w:spacing w:val="-20"/>
          <w:kern w:val="44"/>
          <w:sz w:val="24"/>
          <w:szCs w:val="24"/>
        </w:rPr>
      </w:pPr>
    </w:p>
    <w:p w14:paraId="1165244A">
      <w:pPr>
        <w:pStyle w:val="9"/>
        <w:rPr>
          <w:rFonts w:hint="eastAsia" w:ascii="宋体" w:hAnsi="宋体" w:eastAsia="宋体" w:cs="宋体"/>
          <w:b/>
          <w:bCs/>
          <w:spacing w:val="-20"/>
          <w:kern w:val="44"/>
          <w:sz w:val="24"/>
          <w:szCs w:val="24"/>
        </w:rPr>
      </w:pPr>
    </w:p>
    <w:p w14:paraId="02C560F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327046CF">
      <w:pPr>
        <w:pStyle w:val="9"/>
        <w:pageBreakBefore w:val="0"/>
        <w:kinsoku/>
        <w:wordWrap/>
        <w:overflowPunct/>
        <w:topLinePunct w:val="0"/>
        <w:bidi w:val="0"/>
        <w:spacing w:line="360" w:lineRule="auto"/>
        <w:textAlignment w:val="auto"/>
        <w:rPr>
          <w:rFonts w:hint="eastAsia"/>
        </w:rPr>
      </w:pPr>
    </w:p>
    <w:p w14:paraId="293D95D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0D9834C8">
      <w:pPr>
        <w:pageBreakBefore w:val="0"/>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lang w:eastAsia="zh-CN"/>
        </w:rPr>
        <w:t xml:space="preserve">小溪河S312与梨园路口、G345与前进村路口、西泉镇S315与许村交叉路口、黄泥铺G329与X041路口、老人桥路与凤阳二中北门路口5处智能交通项目 </w:t>
      </w:r>
    </w:p>
    <w:p w14:paraId="1F9626CD">
      <w:pPr>
        <w:pageBreakBefore w:val="0"/>
        <w:kinsoku/>
        <w:wordWrap/>
        <w:overflowPunct/>
        <w:topLinePunct w:val="0"/>
        <w:bidi w:val="0"/>
        <w:spacing w:line="360" w:lineRule="auto"/>
        <w:ind w:left="420" w:leftChars="200"/>
        <w:textAlignment w:val="auto"/>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czfycg202504-001</w:t>
      </w:r>
      <w:r>
        <w:rPr>
          <w:rFonts w:hint="eastAsia" w:ascii="宋体" w:hAnsi="宋体" w:eastAsia="宋体" w:cs="宋体"/>
          <w:sz w:val="24"/>
          <w:szCs w:val="24"/>
        </w:rPr>
        <w:t xml:space="preserve">       </w:t>
      </w:r>
    </w:p>
    <w:p w14:paraId="45A0B740">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合同编号：</w:t>
      </w:r>
      <w:r>
        <w:rPr>
          <w:rFonts w:hint="eastAsia" w:ascii="宋体" w:hAnsi="宋体" w:eastAsia="宋体" w:cs="宋体"/>
          <w:sz w:val="24"/>
          <w:szCs w:val="24"/>
          <w:u w:val="single"/>
          <w:lang w:eastAsia="zh-CN"/>
        </w:rPr>
        <w:t>czfycg202504-001</w:t>
      </w:r>
    </w:p>
    <w:p w14:paraId="26291FFF">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lang w:eastAsia="zh-CN"/>
        </w:rPr>
        <w:t>凤阳县公安局</w:t>
      </w:r>
    </w:p>
    <w:p w14:paraId="05FF42A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9B8A8A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46EE6F6F">
      <w:pPr>
        <w:pageBreakBefore w:val="0"/>
        <w:kinsoku/>
        <w:wordWrap/>
        <w:overflowPunct/>
        <w:topLinePunct w:val="0"/>
        <w:bidi w:val="0"/>
        <w:spacing w:line="360" w:lineRule="auto"/>
        <w:textAlignment w:val="auto"/>
        <w:rPr>
          <w:rFonts w:hint="eastAsia" w:ascii="宋体" w:hAnsi="宋体" w:eastAsia="宋体" w:cs="宋体"/>
          <w:sz w:val="24"/>
          <w:szCs w:val="24"/>
        </w:rPr>
      </w:pPr>
    </w:p>
    <w:p w14:paraId="2295B823">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64FBF140">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pP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使</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用</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说</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明</w:t>
      </w:r>
    </w:p>
    <w:p w14:paraId="188B982E">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p>
    <w:p w14:paraId="6DD91813">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1.本合同标准文本适用于购买现成货物的采购项目，不包括需要供应商定制开发、创新研发的货物采购项目。</w:t>
      </w:r>
    </w:p>
    <w:p w14:paraId="2CD02698">
      <w:pPr>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2.本合同标准文本为政府采购货物买卖合同编制提供参考，可以结合采购项目具体情况，对文本作必要的调整修订后使用。</w:t>
      </w:r>
    </w:p>
    <w:p w14:paraId="52244CFF">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3.本合同标准文本各条款中，如涉及填写多家供应商、制造商，多种采购标的、分包主要内容等信息的，可根据采购项目具体情况添加信息项。</w:t>
      </w:r>
    </w:p>
    <w:p w14:paraId="3C014A85">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B62AA5">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14:textFill>
            <w14:solidFill>
              <w14:schemeClr w14:val="tx1"/>
            </w14:solidFill>
          </w14:textFill>
        </w:rPr>
      </w:pPr>
      <w:bookmarkStart w:id="49" w:name="_Toc22209"/>
      <w:r>
        <w:rPr>
          <w:rFonts w:hint="eastAsia" w:cs="@仿宋_GB2312" w:asciiTheme="minorEastAsia" w:hAnsiTheme="minorEastAsia" w:eastAsiaTheme="minorEastAsia"/>
          <w:b/>
          <w:color w:val="000000" w:themeColor="text1"/>
          <w:sz w:val="24"/>
          <w:szCs w:val="20"/>
          <w14:textFill>
            <w14:solidFill>
              <w14:schemeClr w14:val="tx1"/>
            </w14:solidFill>
          </w14:textFill>
        </w:rPr>
        <w:t>第一节 政府采购合同协议书</w:t>
      </w:r>
      <w:bookmarkEnd w:id="49"/>
    </w:p>
    <w:p w14:paraId="48BDF6D3">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p>
    <w:p w14:paraId="20CA5050">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凤阳县公安局</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p w14:paraId="11972552">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4F499CCA">
      <w:pPr>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p>
    <w:p w14:paraId="453118EA">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03335A02">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38B0ABAE">
      <w:pPr>
        <w:pStyle w:val="10"/>
        <w:pageBreakBefore w:val="0"/>
        <w:numPr>
          <w:ilvl w:val="0"/>
          <w:numId w:val="7"/>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lang w:eastAsia="zh-CN"/>
        </w:rPr>
        <w:t>小溪河S312与梨园路口、G345与前进村路口、西泉镇S315与许村交叉路口、黄泥铺G329与X041路口、老人桥路与凤阳二中北门路口5处智能交通项目</w:t>
      </w:r>
    </w:p>
    <w:p w14:paraId="67B52FDB">
      <w:pPr>
        <w:pStyle w:val="1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lang w:val="en-US" w:eastAsia="zh-CN"/>
        </w:rPr>
        <w:t>czfycg202504-001</w:t>
      </w:r>
    </w:p>
    <w:p w14:paraId="1E2D8094">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36F3D0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3F3B3EC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26274FBD">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68886183">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60DB0281">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660F8586">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36DF0C6F">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E0FF707">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1C4FF7EF">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6505FC2B">
      <w:pPr>
        <w:pStyle w:val="71"/>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1C25BE4">
      <w:pPr>
        <w:pStyle w:val="71"/>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49CB6D7E">
      <w:pPr>
        <w:pStyle w:val="71"/>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64B47DBB">
      <w:pPr>
        <w:pStyle w:val="71"/>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054A96A5">
      <w:pPr>
        <w:pStyle w:val="71"/>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分散采购</w:t>
      </w:r>
    </w:p>
    <w:p w14:paraId="5D413006">
      <w:pPr>
        <w:pStyle w:val="71"/>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24933952">
      <w:pPr>
        <w:pStyle w:val="71"/>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02BE02AD">
      <w:pPr>
        <w:pStyle w:val="71"/>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0AB15523">
      <w:pPr>
        <w:pStyle w:val="71"/>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728C4CBE">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90A9F53">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3A4CA0B">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5501A28">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098E21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1350F636">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A54619B">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0ACA0EC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06F67CF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522E5262">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1BE98623">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1A1361C6">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7EF700D2">
      <w:pPr>
        <w:pStyle w:val="71"/>
        <w:pageBreakBefore w:val="0"/>
        <w:tabs>
          <w:tab w:val="left" w:pos="1340"/>
        </w:tabs>
        <w:kinsoku/>
        <w:wordWrap/>
        <w:overflowPunct/>
        <w:topLinePunct w:val="0"/>
        <w:bidi w:val="0"/>
        <w:spacing w:beforeLines="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6473B845">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0E77426E">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4A5BBA57">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34BB817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38775DB3">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4386A327">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46A0EDCB">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20CE52EF">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否</w:t>
      </w:r>
    </w:p>
    <w:p w14:paraId="41CAF9A4">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249ABDAE">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5C5BA56B">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5704013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否</w:t>
      </w:r>
    </w:p>
    <w:p w14:paraId="59DC396F">
      <w:pPr>
        <w:pStyle w:val="71"/>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01A2D4DF">
      <w:pPr>
        <w:pStyle w:val="71"/>
        <w:pageBreakBefore w:val="0"/>
        <w:kinsoku/>
        <w:wordWrap/>
        <w:overflowPunct/>
        <w:topLinePunct w:val="0"/>
        <w:bidi w:val="0"/>
        <w:spacing w:beforeLines="0" w:line="360" w:lineRule="auto"/>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17FA5AE4">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5F88B344">
      <w:pPr>
        <w:pStyle w:val="71"/>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FE"/>
      </w:r>
      <w:r>
        <w:rPr>
          <w:rFonts w:hint="eastAsia" w:ascii="宋体" w:hAnsi="宋体" w:eastAsia="宋体" w:cs="宋体"/>
          <w:iCs w:val="0"/>
          <w:kern w:val="2"/>
          <w:sz w:val="24"/>
          <w:szCs w:val="24"/>
          <w:u w:val="none"/>
        </w:rPr>
        <w:t>否</w:t>
      </w:r>
    </w:p>
    <w:p w14:paraId="00F570A0">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6F5F6833">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FE"/>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5AFA0CD3">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5031CFA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D7CA36B">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2D6BE0C">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59B05DAE">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94C6252">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79CB0AE9">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1D38D7B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FE"/>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6389C280">
      <w:pPr>
        <w:pStyle w:val="72"/>
        <w:pageBreakBefore w:val="0"/>
        <w:kinsoku/>
        <w:wordWrap/>
        <w:overflowPunct/>
        <w:topLinePunct w:val="0"/>
        <w:bidi w:val="0"/>
        <w:spacing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2FB5D802">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34A81DCA">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eastAsia" w:ascii="宋体" w:hAnsi="宋体" w:eastAsia="宋体"/>
          <w:sz w:val="24"/>
          <w:u w:val="single"/>
        </w:rPr>
        <w:t>合同签订后支付成交合同金额的40%作为预付款【付预付款前供应商须向采购人提交银行、保险公司、担保公司等金融机构出具的预付款保函（保函须使用见索即付型）或其他担保措施】，设备安装调试完成，验收合格后一次性付清剩余合同价款。</w:t>
      </w:r>
    </w:p>
    <w:p w14:paraId="4A4261F3">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其中涉及预付款的：</w:t>
      </w:r>
      <w:r>
        <w:rPr>
          <w:rFonts w:hint="eastAsia" w:ascii="宋体" w:hAnsi="宋体" w:eastAsia="宋体"/>
          <w:sz w:val="24"/>
          <w:u w:val="single"/>
        </w:rPr>
        <w:t>合同签订生效并具备实施条件后 5 个工作日内采购人可预付合同金额的 40%作为预付款【付预付款前供应商须向采购人提交银行、保险公司、担保公司等金融机构出具的预付款保函（保函须使用见索即付型）或其他担保措施】。</w:t>
      </w:r>
    </w:p>
    <w:p w14:paraId="6805FFBF">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BFE6836">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368639BE">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2A0C4DF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874F71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滁州市</w:t>
      </w:r>
      <w:r>
        <w:rPr>
          <w:rFonts w:hint="eastAsia" w:ascii="宋体" w:hAnsi="宋体" w:eastAsia="宋体" w:cs="宋体"/>
          <w:sz w:val="24"/>
          <w:szCs w:val="24"/>
          <w:u w:val="single"/>
        </w:rPr>
        <w:t xml:space="preserve">         </w:t>
      </w:r>
    </w:p>
    <w:p w14:paraId="6622C69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FE"/>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7D6C1944">
      <w:pPr>
        <w:pStyle w:val="71"/>
        <w:spacing w:line="360" w:lineRule="auto"/>
        <w:ind w:firstLine="480"/>
        <w:rPr>
          <w:rFonts w:ascii="宋体" w:hAnsi="宋体" w:eastAsia="宋体" w:cs="宋体"/>
          <w:sz w:val="24"/>
          <w:szCs w:val="24"/>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转账/电汇</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支票</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汇票</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本票</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保险</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保函</w:t>
      </w:r>
    </w:p>
    <w:p w14:paraId="336E340D">
      <w:pPr>
        <w:pStyle w:val="71"/>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合同价的 2 %</w:t>
      </w:r>
    </w:p>
    <w:p w14:paraId="2A695FB1">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①采用银行转账方式：政府采购验收合格后，一次性退还；②采用支票、汇票、本票、保函等方式：有效期为自合同签订之日起至供货期满后止。</w:t>
      </w:r>
    </w:p>
    <w:p w14:paraId="14C2D41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697F478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w:t>
      </w:r>
      <w:r>
        <w:rPr>
          <w:rFonts w:hint="eastAsia" w:ascii="宋体" w:hAnsi="宋体" w:eastAsia="宋体" w:cs="宋体"/>
          <w:sz w:val="24"/>
          <w:szCs w:val="24"/>
          <w:u w:val="single"/>
        </w:rPr>
        <w:t xml:space="preserve">                                             </w:t>
      </w:r>
    </w:p>
    <w:p w14:paraId="266D8B5A">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4DF69471">
      <w:pPr>
        <w:pageBreakBefore w:val="0"/>
        <w:numPr>
          <w:ilvl w:val="0"/>
          <w:numId w:val="8"/>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FE"/>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28E15168">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凤阳县公安局</w:t>
      </w:r>
      <w:r>
        <w:rPr>
          <w:rFonts w:hint="eastAsia" w:ascii="宋体" w:hAnsi="宋体" w:eastAsia="宋体" w:cs="宋体"/>
          <w:bCs/>
          <w:sz w:val="24"/>
          <w:szCs w:val="24"/>
          <w:u w:val="single"/>
        </w:rPr>
        <w:t xml:space="preserve">     </w:t>
      </w:r>
    </w:p>
    <w:p w14:paraId="572E2038">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7BD68EF">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1CB5A3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5DBB06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72BCA07">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828D0E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3D258B8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473CA3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49926B8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日内组织验收）</w:t>
      </w:r>
      <w:r>
        <w:rPr>
          <w:rFonts w:hint="eastAsia" w:ascii="宋体" w:hAnsi="宋体" w:eastAsia="宋体" w:cs="宋体"/>
          <w:bCs/>
          <w:sz w:val="24"/>
          <w:szCs w:val="24"/>
          <w:u w:val="single"/>
          <w:lang w:val="en-US" w:eastAsia="zh-CN"/>
        </w:rPr>
        <w:t xml:space="preserve"> </w:t>
      </w:r>
    </w:p>
    <w:p w14:paraId="53467EF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34C69741">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5867FBEE">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按采购人单位规定执行</w:t>
      </w:r>
      <w:r>
        <w:rPr>
          <w:rFonts w:hint="eastAsia" w:ascii="宋体" w:hAnsi="宋体" w:eastAsia="宋体" w:cs="宋体"/>
          <w:bCs/>
          <w:sz w:val="24"/>
          <w:szCs w:val="24"/>
          <w:u w:val="single"/>
        </w:rPr>
        <w:t xml:space="preserve">                    </w:t>
      </w:r>
    </w:p>
    <w:p w14:paraId="39AF8A5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3533A2F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符合国家标准</w:t>
      </w:r>
      <w:r>
        <w:rPr>
          <w:rFonts w:hint="eastAsia" w:ascii="宋体" w:hAnsi="宋体" w:eastAsia="宋体" w:cs="宋体"/>
          <w:bCs/>
          <w:sz w:val="24"/>
          <w:szCs w:val="24"/>
          <w:u w:val="single"/>
        </w:rPr>
        <w:t xml:space="preserve">                       </w:t>
      </w:r>
    </w:p>
    <w:p w14:paraId="65BF4362">
      <w:pPr>
        <w:pStyle w:val="71"/>
        <w:pageBreakBefore w:val="0"/>
        <w:kinsoku/>
        <w:wordWrap/>
        <w:overflowPunct/>
        <w:topLinePunct w:val="0"/>
        <w:bidi w:val="0"/>
        <w:spacing w:beforeLines="0" w:line="360" w:lineRule="auto"/>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49DC8B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lang w:val="en-US" w:eastAsia="zh-CN"/>
        </w:rPr>
        <w:t>/</w:t>
      </w:r>
      <w:r>
        <w:rPr>
          <w:rFonts w:hint="eastAsia" w:ascii="宋体" w:hAnsi="宋体" w:eastAsia="宋体" w:cs="宋体"/>
          <w:bCs/>
          <w:sz w:val="24"/>
          <w:szCs w:val="24"/>
          <w:u w:val="single"/>
        </w:rPr>
        <w:t xml:space="preserve">          </w:t>
      </w:r>
    </w:p>
    <w:p w14:paraId="47B93F97">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039C98F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7C12305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4F0D830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40325A5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1C231F4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1E7DA42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60CDDB9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29A45277">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4A426394">
      <w:pPr>
        <w:pStyle w:val="71"/>
        <w:pageBreakBefore w:val="0"/>
        <w:kinsoku/>
        <w:wordWrap/>
        <w:overflowPunct/>
        <w:topLinePunct w:val="0"/>
        <w:bidi w:val="0"/>
        <w:spacing w:beforeLines="0"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6F0D2C92">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3AB7A04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双方签字盖章后</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6C8E109C">
      <w:pPr>
        <w:pageBreakBefore w:val="0"/>
        <w:numPr>
          <w:ilvl w:val="0"/>
          <w:numId w:val="6"/>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269BCB8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贰</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贰</w:t>
      </w:r>
      <w:r>
        <w:rPr>
          <w:rFonts w:hint="eastAsia" w:ascii="宋体" w:hAnsi="宋体" w:eastAsia="宋体" w:cs="宋体"/>
          <w:sz w:val="24"/>
          <w:szCs w:val="24"/>
        </w:rPr>
        <w:t>份，均具有同等法律效力。</w:t>
      </w:r>
    </w:p>
    <w:p w14:paraId="07B3372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CF8D1F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186DED1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73F7AF5C">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0A40A93F">
      <w:pPr>
        <w:pStyle w:val="72"/>
        <w:pageBreakBefore w:val="0"/>
        <w:kinsoku/>
        <w:wordWrap/>
        <w:overflowPunct/>
        <w:topLinePunct w:val="0"/>
        <w:bidi w:val="0"/>
        <w:spacing w:line="360" w:lineRule="auto"/>
        <w:textAlignment w:val="auto"/>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EF07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F603B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363C34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乙方（供应商）</w:t>
            </w:r>
          </w:p>
        </w:tc>
      </w:tr>
      <w:tr w14:paraId="328112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15008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752C97A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6ABC8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11D7D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382F06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98E3B5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368FBC96">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AC767E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5566AE1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76E976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56CA44B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r>
      <w:tr w14:paraId="2A4C40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34851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47C90D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AA298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1C1E82E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0E804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299A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165E6D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E86B4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252558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2B30C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27085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E2169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04FD8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6D41F6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141475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5DAB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136AD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3A6D4E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3F201A8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59E9E2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499B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C10ADC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06F9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46AD55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1874A1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3AA49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EA28A6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278F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7257C6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3A0554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46CC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90EA98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A41A7A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5E5F4DC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E5241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0F85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D0BBC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5DAC8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26A1D7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739CFE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96BA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F67EF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8DA90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39F9B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3E40EE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4D3F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59F50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0CAB9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4A5C958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6B20BE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0E60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5EFBDC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EC019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4020EB4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rPr>
            </w:pPr>
          </w:p>
        </w:tc>
      </w:tr>
      <w:tr w14:paraId="724ACB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6A9CA22">
            <w:pPr>
              <w:pStyle w:val="10"/>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6A1A9E45">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50" w:name="_Toc27624"/>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第二节 政府采购合同通用条款</w:t>
      </w:r>
      <w:bookmarkEnd w:id="50"/>
    </w:p>
    <w:p w14:paraId="5FCD7F44">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070559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137926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6C8E15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4194545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1B8D3CF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67393B5">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2E86C61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700D83E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6EA552D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7521CA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4AE253D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1B3CEFA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9712AD8">
      <w:pPr>
        <w:pageBreakBefore w:val="0"/>
        <w:numPr>
          <w:ilvl w:val="0"/>
          <w:numId w:val="9"/>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3F78369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6C29CBE8">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30ACEEC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43C3E92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427DE51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7F7B0F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21FF4A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4C35264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4872A4E7">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3C10FE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786D3E9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23C3734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0529B66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1A4861F2">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3CC562CC">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1F7A9144">
      <w:pPr>
        <w:pageBreakBefore w:val="0"/>
        <w:numPr>
          <w:ilvl w:val="0"/>
          <w:numId w:val="1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1B68F7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4F9CF0B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C0662B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196F4EA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034A909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3178089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386C88A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1AAA3F8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6D39C21C">
      <w:pPr>
        <w:pStyle w:val="71"/>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F717FC8">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4D64124A">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669A87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432054B7">
      <w:pPr>
        <w:pStyle w:val="13"/>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162DDB1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A78D03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4957A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A9BDFE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3E0FA66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49CA76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FA2B8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4B78050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15B7AB7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037C36A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0A5A09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42A47E6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57E5934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719F09E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51"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1"/>
      <w:r>
        <w:rPr>
          <w:rFonts w:hint="eastAsia" w:ascii="宋体" w:hAnsi="宋体" w:eastAsia="宋体" w:cs="宋体"/>
          <w:color w:val="auto"/>
          <w:sz w:val="24"/>
          <w:szCs w:val="24"/>
          <w:highlight w:val="none"/>
        </w:rPr>
        <w:t>。</w:t>
      </w:r>
    </w:p>
    <w:p w14:paraId="468CD0D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1E330B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03AE465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CEB6CD3">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4A3EF7B">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63FDA3D">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646F3D6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697DC7D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5115B6F1">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5DBC503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426CDFC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3CC4C3C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411C3F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83D5ED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1979C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158C2FAF">
      <w:pPr>
        <w:pStyle w:val="71"/>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711BD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3FB149D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2FDC4D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0532FDE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1818AC0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92CEC4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5357709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52B956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A8E94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0717AC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21B808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6569A396">
      <w:pPr>
        <w:pageBreakBefore w:val="0"/>
        <w:numPr>
          <w:ilvl w:val="0"/>
          <w:numId w:val="11"/>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5F307A18">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DFBF0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EBE9A1F">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12AE6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27702F6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328FEBE">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74057788">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3BF3FED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348DC7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02EC11FE">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53989096">
      <w:pPr>
        <w:pStyle w:val="71"/>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139B6A00">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5EC7CE4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7F6CAB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76329CC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76D98D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5C5D1F3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485C5D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FF5F9C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70093A0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2D10B080">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7A6505DA">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677B12E9">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684DCF6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EF827D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284BD30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23F9EA74">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9A3C79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35A42DBE">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25CD598F">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2422EC21">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BC84EA4">
      <w:pPr>
        <w:pStyle w:val="71"/>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56F01487">
      <w:pPr>
        <w:pStyle w:val="71"/>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5E473E5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16444A8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3B9AA9DD">
      <w:pPr>
        <w:pageBreakBefore w:val="0"/>
        <w:numPr>
          <w:ilvl w:val="0"/>
          <w:numId w:val="12"/>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13424CA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37687B66">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2" w:name="_Toc20313"/>
    </w:p>
    <w:p w14:paraId="3124211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299D8CE1">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第三节 政府采购合同专用条款</w:t>
      </w:r>
      <w:bookmarkEnd w:id="52"/>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7DFB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4D5F5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5A4E3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4591DC2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vAlign w:val="center"/>
          </w:tcPr>
          <w:p w14:paraId="34080205">
            <w:pPr>
              <w:pageBreakBefore w:val="0"/>
              <w:kinsoku/>
              <w:wordWrap/>
              <w:overflowPunct/>
              <w:topLinePunct w:val="0"/>
              <w:bidi w:val="0"/>
              <w:adjustRightInd w:val="0"/>
              <w:snapToGrid w:val="0"/>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不接受联合体</w:t>
            </w:r>
          </w:p>
        </w:tc>
      </w:tr>
      <w:tr w14:paraId="04DCC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E696FA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D9DE2C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vAlign w:val="center"/>
          </w:tcPr>
          <w:p w14:paraId="32697C0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vAlign w:val="center"/>
          </w:tcPr>
          <w:p w14:paraId="0907801B">
            <w:pPr>
              <w:pageBreakBefore w:val="0"/>
              <w:kinsoku/>
              <w:wordWrap/>
              <w:overflowPunct/>
              <w:topLinePunct w:val="0"/>
              <w:bidi w:val="0"/>
              <w:adjustRightInd w:val="0"/>
              <w:snapToGrid w:val="0"/>
              <w:spacing w:line="360" w:lineRule="auto"/>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tc>
      </w:tr>
      <w:tr w14:paraId="11376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3395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959E1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vAlign w:val="center"/>
          </w:tcPr>
          <w:p w14:paraId="1B2B362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vAlign w:val="center"/>
          </w:tcPr>
          <w:p w14:paraId="28C3382B">
            <w:pPr>
              <w:pageBreakBefore w:val="0"/>
              <w:kinsoku/>
              <w:wordWrap/>
              <w:overflowPunct/>
              <w:topLinePunct w:val="0"/>
              <w:bidi w:val="0"/>
              <w:adjustRightInd w:val="0"/>
              <w:snapToGrid w:val="0"/>
              <w:spacing w:line="360" w:lineRule="auto"/>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5个工作日内</w:t>
            </w:r>
          </w:p>
        </w:tc>
      </w:tr>
      <w:tr w14:paraId="549B4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53F12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D5E6C5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vAlign w:val="center"/>
          </w:tcPr>
          <w:p w14:paraId="0C2A8D5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vAlign w:val="center"/>
          </w:tcPr>
          <w:p w14:paraId="56EF321F">
            <w:pPr>
              <w:pStyle w:val="20"/>
              <w:widowControl w:val="0"/>
              <w:overflowPunct w:val="0"/>
              <w:adjustRightInd w:val="0"/>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(1)在合同生效后，非因产品质量问题，买方要求退货的，应向卖方偿付合同总价款的5%，作为违约金，违约金不足以补偿损失的，卖方有权要求甲方补足。</w:t>
            </w:r>
          </w:p>
          <w:p w14:paraId="45542D9C">
            <w:pPr>
              <w:pStyle w:val="20"/>
              <w:widowControl w:val="0"/>
              <w:overflowPunct w:val="0"/>
              <w:adjustRightInd w:val="0"/>
              <w:spacing w:before="0" w:beforeAutospacing="0" w:after="0" w:afterAutospacing="0" w:line="440" w:lineRule="exact"/>
              <w:ind w:right="-334" w:rightChars="-159"/>
              <w:jc w:val="both"/>
              <w:textAlignment w:val="baseline"/>
              <w:rPr>
                <w:rFonts w:hint="eastAsia" w:ascii="宋体" w:hAnsi="宋体" w:eastAsia="宋体" w:cs="宋体"/>
                <w:sz w:val="21"/>
                <w:szCs w:val="21"/>
              </w:rPr>
            </w:pPr>
            <w:r>
              <w:rPr>
                <w:rFonts w:hint="eastAsia" w:ascii="宋体" w:hAnsi="宋体" w:eastAsia="宋体" w:cs="宋体"/>
                <w:sz w:val="21"/>
                <w:szCs w:val="21"/>
              </w:rPr>
              <w:t>(2)买方逾期付款的应按照逾期付款金额的每天万分之四支付逾期付款违约金。</w:t>
            </w:r>
          </w:p>
          <w:p w14:paraId="7B2603ED">
            <w:pPr>
              <w:pStyle w:val="20"/>
              <w:widowControl w:val="0"/>
              <w:overflowPunct w:val="0"/>
              <w:adjustRightInd w:val="0"/>
              <w:spacing w:before="0" w:beforeAutospacing="0" w:after="0" w:afterAutospacing="0" w:line="440" w:lineRule="exact"/>
              <w:jc w:val="both"/>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1"/>
                <w:szCs w:val="21"/>
              </w:rPr>
              <w:t>(3)买方违反合同规定，无正当理由拒绝接收卖方交付的符合招标文件要求的合格标的物，应当承担卖方由此造成的损失。</w:t>
            </w:r>
          </w:p>
        </w:tc>
      </w:tr>
      <w:tr w14:paraId="71595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E9D9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52B5D4A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vAlign w:val="center"/>
          </w:tcPr>
          <w:p w14:paraId="06A4DFF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vAlign w:val="center"/>
          </w:tcPr>
          <w:p w14:paraId="2C67539C">
            <w:pPr>
              <w:pStyle w:val="20"/>
              <w:widowControl w:val="0"/>
              <w:overflowPunct w:val="0"/>
              <w:adjustRightInd w:val="0"/>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(1)卖方不能交货（逾期超过五天视为不能交货），或交货不合格从而影响买方按期正常使用的，应向买方偿付合同总价款5%的违约金，违约金不足以补偿损失的，买方有权要求卖方补足。</w:t>
            </w:r>
          </w:p>
          <w:p w14:paraId="4DD69BD2">
            <w:pPr>
              <w:pStyle w:val="20"/>
              <w:widowControl w:val="0"/>
              <w:overflowPunct w:val="0"/>
              <w:adjustRightInd w:val="0"/>
              <w:spacing w:before="0" w:beforeAutospacing="0" w:after="0" w:afterAutospacing="0" w:line="44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(2)卖方逾期交货的，应在发货前与买方和政府采购管理部门协商，买方仍需求的，卖方应立即发货并应按照逾期交货部分货款的每天万分之四支付逾期交货违约金，同时承担买方因此遭致的损失费用</w:t>
            </w:r>
            <w:r>
              <w:rPr>
                <w:rFonts w:hint="eastAsia" w:ascii="宋体" w:hAnsi="宋体" w:eastAsia="宋体" w:cs="宋体"/>
                <w:sz w:val="21"/>
                <w:szCs w:val="21"/>
                <w:lang w:eastAsia="zh-CN"/>
              </w:rPr>
              <w:t>。</w:t>
            </w:r>
          </w:p>
          <w:p w14:paraId="12722B91">
            <w:pPr>
              <w:spacing w:line="440" w:lineRule="exact"/>
              <w:rPr>
                <w:rFonts w:hint="eastAsia" w:ascii="宋体" w:hAnsi="宋体" w:eastAsia="宋体" w:cs="宋体"/>
                <w:kern w:val="2"/>
                <w:sz w:val="24"/>
                <w:szCs w:val="24"/>
                <w:lang w:val="en-US" w:eastAsia="zh-CN" w:bidi="ar-SA"/>
              </w:rPr>
            </w:pPr>
            <w:r>
              <w:rPr>
                <w:rFonts w:hint="eastAsia" w:ascii="宋体" w:hAnsi="宋体" w:eastAsia="宋体" w:cs="宋体"/>
                <w:sz w:val="21"/>
                <w:szCs w:val="21"/>
              </w:rPr>
              <w:t>（3）卖方在收到买方提出的产品维保或者伴随服务要求之日</w:t>
            </w:r>
            <w:r>
              <w:rPr>
                <w:rFonts w:hint="eastAsia" w:ascii="宋体" w:hAnsi="宋体" w:eastAsia="宋体" w:cs="宋体"/>
                <w:color w:val="auto"/>
                <w:sz w:val="21"/>
                <w:szCs w:val="21"/>
              </w:rPr>
              <w:t>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tc>
      </w:tr>
      <w:tr w14:paraId="7B0F0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43A7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47DD33FF">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vAlign w:val="center"/>
          </w:tcPr>
          <w:p w14:paraId="092015F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vAlign w:val="center"/>
          </w:tcPr>
          <w:p w14:paraId="0A791C5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同时履行</w:t>
            </w:r>
          </w:p>
        </w:tc>
      </w:tr>
      <w:tr w14:paraId="06B07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20502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772E1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vAlign w:val="center"/>
          </w:tcPr>
          <w:p w14:paraId="3032E03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vAlign w:val="center"/>
          </w:tcPr>
          <w:p w14:paraId="0C50D0BA">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3139D1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65A33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c>
          <w:tcPr>
            <w:tcW w:w="1742" w:type="dxa"/>
            <w:vAlign w:val="center"/>
          </w:tcPr>
          <w:p w14:paraId="23A3FC3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vAlign w:val="center"/>
          </w:tcPr>
          <w:p w14:paraId="498EFC1D">
            <w:pPr>
              <w:pageBreakBefore w:val="0"/>
              <w:kinsoku/>
              <w:wordWrap/>
              <w:overflowPunct/>
              <w:topLinePunct w:val="0"/>
              <w:bidi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采购人要求的地点</w:t>
            </w:r>
          </w:p>
        </w:tc>
      </w:tr>
      <w:tr w14:paraId="1429A6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84D72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02E04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vAlign w:val="center"/>
          </w:tcPr>
          <w:p w14:paraId="1C1698B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vAlign w:val="center"/>
          </w:tcPr>
          <w:p w14:paraId="651814B2">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00ED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ED7FF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B8D20B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vAlign w:val="center"/>
          </w:tcPr>
          <w:p w14:paraId="23928A7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vAlign w:val="center"/>
          </w:tcPr>
          <w:p w14:paraId="72FF3DD0">
            <w:pPr>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9E3E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40C3C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34B06B5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vAlign w:val="center"/>
          </w:tcPr>
          <w:p w14:paraId="65A1ED9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20E66A73">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至少三年，具体以中标供应商承诺为准</w:t>
            </w:r>
          </w:p>
        </w:tc>
      </w:tr>
      <w:tr w14:paraId="55E48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CCC2C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55255F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vAlign w:val="center"/>
          </w:tcPr>
          <w:p w14:paraId="72ED857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589C364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031A467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12小时内</w:t>
            </w:r>
          </w:p>
        </w:tc>
      </w:tr>
      <w:tr w14:paraId="525F3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A6E470">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2C2AB0C6">
            <w:pPr>
              <w:pStyle w:val="71"/>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vAlign w:val="center"/>
          </w:tcPr>
          <w:p w14:paraId="06B8B014">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vAlign w:val="center"/>
          </w:tcPr>
          <w:p w14:paraId="1F55B79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F8145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A6D1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DB277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vAlign w:val="center"/>
          </w:tcPr>
          <w:p w14:paraId="3CA7CE5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vAlign w:val="center"/>
          </w:tcPr>
          <w:p w14:paraId="380A2D2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按第一节政府采购合同协议书相关内容执行</w:t>
            </w:r>
          </w:p>
        </w:tc>
      </w:tr>
      <w:tr w14:paraId="0E78C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C08AFD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6E870C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vAlign w:val="center"/>
          </w:tcPr>
          <w:p w14:paraId="7C72E87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vAlign w:val="center"/>
          </w:tcPr>
          <w:p w14:paraId="1DA4282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EA31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DDCE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0128A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vAlign w:val="center"/>
          </w:tcPr>
          <w:p w14:paraId="0852459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vAlign w:val="center"/>
          </w:tcPr>
          <w:p w14:paraId="4B94ED7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165D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80CEC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E80FB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vAlign w:val="center"/>
          </w:tcPr>
          <w:p w14:paraId="446698E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vAlign w:val="center"/>
          </w:tcPr>
          <w:p w14:paraId="41A5D1F6">
            <w:pPr>
              <w:spacing w:line="440" w:lineRule="atLeast"/>
              <w:rPr>
                <w:rFonts w:hint="eastAsia" w:ascii="宋体" w:hAnsi="宋体" w:eastAsia="宋体" w:cs="宋体"/>
                <w:color w:val="000000"/>
                <w:szCs w:val="21"/>
                <w:lang w:val="en-US" w:eastAsia="zh-CN"/>
              </w:rPr>
            </w:pPr>
            <w:r>
              <w:rPr>
                <w:rFonts w:hint="eastAsia" w:ascii="宋体" w:hAnsi="宋体" w:eastAsia="宋体" w:cs="宋体"/>
                <w:color w:val="000000"/>
                <w:szCs w:val="21"/>
              </w:rPr>
              <w:t>1</w:t>
            </w:r>
            <w:r>
              <w:rPr>
                <w:rFonts w:hint="eastAsia" w:ascii="宋体" w:hAnsi="宋体" w:eastAsia="宋体" w:cs="宋体"/>
                <w:szCs w:val="21"/>
              </w:rPr>
              <w:t>.中标人须提供至少</w:t>
            </w:r>
            <w:r>
              <w:rPr>
                <w:rFonts w:hint="eastAsia" w:ascii="宋体" w:hAnsi="宋体" w:eastAsia="宋体" w:cs="宋体"/>
                <w:szCs w:val="21"/>
                <w:u w:val="single"/>
                <w:lang w:val="en-US" w:eastAsia="zh-CN"/>
              </w:rPr>
              <w:t>三</w:t>
            </w:r>
            <w:r>
              <w:rPr>
                <w:rFonts w:hint="eastAsia" w:ascii="宋体" w:hAnsi="宋体" w:eastAsia="宋体" w:cs="宋体"/>
                <w:szCs w:val="21"/>
              </w:rPr>
              <w:t>年的</w:t>
            </w:r>
            <w:r>
              <w:rPr>
                <w:rFonts w:hint="eastAsia" w:ascii="宋体" w:hAnsi="宋体" w:eastAsia="宋体" w:cs="宋体"/>
                <w:szCs w:val="21"/>
                <w:lang w:val="en-US" w:eastAsia="zh-CN"/>
              </w:rPr>
              <w:t>运行监督</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具体根据中标供应商承诺的质保时间为准。</w:t>
            </w:r>
          </w:p>
          <w:p w14:paraId="48802E77">
            <w:pPr>
              <w:spacing w:line="440" w:lineRule="atLeast"/>
              <w:rPr>
                <w:rFonts w:hint="eastAsia" w:ascii="宋体" w:hAnsi="宋体" w:eastAsia="宋体" w:cs="宋体"/>
                <w:color w:val="000000"/>
                <w:szCs w:val="21"/>
              </w:rPr>
            </w:pPr>
            <w:r>
              <w:rPr>
                <w:rFonts w:hint="eastAsia" w:ascii="宋体" w:hAnsi="宋体" w:eastAsia="宋体" w:cs="宋体"/>
                <w:color w:val="000000"/>
                <w:szCs w:val="21"/>
              </w:rPr>
              <w:t>2.中标人须设有维修服务电话，负责解答用户在货物使用中遇到的问题，及时提出解决问题的建议和操作方法。</w:t>
            </w:r>
          </w:p>
          <w:p w14:paraId="5F88DAD4">
            <w:pPr>
              <w:spacing w:line="440" w:lineRule="atLeast"/>
              <w:rPr>
                <w:rFonts w:hint="eastAsia" w:ascii="宋体" w:hAnsi="宋体" w:eastAsia="宋体" w:cs="宋体"/>
                <w:sz w:val="24"/>
                <w:szCs w:val="24"/>
              </w:rPr>
            </w:pPr>
            <w:r>
              <w:rPr>
                <w:rFonts w:hint="eastAsia" w:ascii="宋体" w:hAnsi="宋体" w:eastAsia="宋体" w:cs="宋体"/>
                <w:color w:val="000000"/>
                <w:szCs w:val="21"/>
              </w:rPr>
              <w:t>3.售后服务响应时间：如</w:t>
            </w:r>
            <w:r>
              <w:rPr>
                <w:rFonts w:hint="eastAsia" w:ascii="宋体" w:hAnsi="宋体" w:eastAsia="宋体" w:cs="宋体"/>
                <w:szCs w:val="21"/>
              </w:rPr>
              <w:t>货物出现故障，电话响应无法解决，中标人必须在接报修电话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w:t>
            </w:r>
            <w:r>
              <w:rPr>
                <w:rFonts w:hint="eastAsia" w:ascii="宋体" w:hAnsi="宋体" w:eastAsia="宋体" w:cs="宋体"/>
                <w:szCs w:val="21"/>
              </w:rPr>
              <w:t>小时内到现场并解决问题。</w:t>
            </w:r>
          </w:p>
        </w:tc>
      </w:tr>
      <w:tr w14:paraId="32556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C11C8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A0613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vAlign w:val="center"/>
          </w:tcPr>
          <w:p w14:paraId="7400D20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vAlign w:val="center"/>
          </w:tcPr>
          <w:p w14:paraId="36746A4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5DB1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718CB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D2EF4D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468CDBB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05AC2B01">
            <w:pPr>
              <w:adjustRightInd w:val="0"/>
              <w:snapToGrid w:val="0"/>
              <w:jc w:val="left"/>
              <w:rPr>
                <w:rFonts w:hint="eastAsia" w:ascii="宋体" w:hAnsi="宋体" w:eastAsia="宋体" w:cs="宋体"/>
                <w:sz w:val="24"/>
                <w:szCs w:val="24"/>
              </w:rPr>
            </w:pPr>
            <w:r>
              <w:rPr>
                <w:rFonts w:hint="eastAsia" w:ascii="宋体" w:hAnsi="宋体" w:eastAsia="宋体" w:cs="宋体"/>
                <w:szCs w:val="21"/>
                <w:lang w:val="en-US" w:eastAsia="zh-CN"/>
              </w:rPr>
              <w:t>按招标文件执行</w:t>
            </w:r>
          </w:p>
        </w:tc>
      </w:tr>
      <w:tr w14:paraId="07923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A73F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3EF723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vAlign w:val="center"/>
          </w:tcPr>
          <w:p w14:paraId="679E56E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5A5828CD">
            <w:pPr>
              <w:adjustRightInd w:val="0"/>
              <w:snapToGrid w:val="0"/>
              <w:jc w:val="left"/>
              <w:rPr>
                <w:rFonts w:hint="eastAsia" w:ascii="宋体" w:hAnsi="宋体" w:eastAsia="宋体" w:cs="宋体"/>
                <w:sz w:val="24"/>
                <w:szCs w:val="24"/>
              </w:rPr>
            </w:pPr>
            <w:r>
              <w:rPr>
                <w:rFonts w:hint="eastAsia" w:ascii="宋体" w:hAnsi="宋体" w:eastAsia="宋体" w:cs="宋体"/>
                <w:szCs w:val="21"/>
                <w:lang w:val="en-US" w:eastAsia="zh-CN"/>
              </w:rPr>
              <w:t>保修期内两次修理仍不能正常使用的的必须更换新设备。</w:t>
            </w:r>
          </w:p>
        </w:tc>
      </w:tr>
      <w:tr w14:paraId="5548A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B6DC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770A9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vAlign w:val="center"/>
          </w:tcPr>
          <w:p w14:paraId="0939FEB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78C84F0B">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(1)卖方不能交货（逾期超过五天视为不能交货），或交货不合格从而影响买方按期正常使用的，应向买方偿付合同总价款5%的违约金，违约金不足以补偿损失的，买方有权要求卖方补足。</w:t>
            </w:r>
          </w:p>
          <w:p w14:paraId="691AD977">
            <w:pPr>
              <w:adjustRightInd w:val="0"/>
              <w:snapToGrid w:val="0"/>
              <w:jc w:val="left"/>
              <w:rPr>
                <w:rFonts w:hint="eastAsia" w:ascii="宋体" w:hAnsi="宋体" w:eastAsia="宋体" w:cs="宋体"/>
                <w:sz w:val="24"/>
                <w:szCs w:val="24"/>
                <w:u w:val="single"/>
              </w:rPr>
            </w:pPr>
            <w:r>
              <w:rPr>
                <w:rFonts w:hint="eastAsia" w:ascii="宋体" w:hAnsi="宋体" w:eastAsia="宋体" w:cs="宋体"/>
                <w:szCs w:val="21"/>
                <w:lang w:val="en-US" w:eastAsia="zh-CN"/>
              </w:rPr>
              <w:t>(2)卖方逾期交货的，应在发货前与买方和政府采购管理部门协商，买方仍需求的，卖方应立即发货并应按照逾期交货部分货款的每天万分之四支付逾期交货违约金，同时承担买方因此遭致的损失费用。</w:t>
            </w:r>
          </w:p>
        </w:tc>
      </w:tr>
      <w:tr w14:paraId="4F92D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B34F0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F7D649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vAlign w:val="center"/>
          </w:tcPr>
          <w:p w14:paraId="634CB8B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0D992A2A">
            <w:pPr>
              <w:adjustRightInd w:val="0"/>
              <w:snapToGrid w:val="0"/>
              <w:jc w:val="left"/>
              <w:rPr>
                <w:rFonts w:hint="eastAsia" w:ascii="宋体" w:hAnsi="宋体" w:eastAsia="宋体" w:cs="宋体"/>
                <w:sz w:val="24"/>
                <w:szCs w:val="24"/>
                <w:u w:val="single"/>
              </w:rPr>
            </w:pPr>
            <w:r>
              <w:rPr>
                <w:rFonts w:hint="eastAsia" w:ascii="宋体" w:hAnsi="宋体" w:eastAsia="宋体" w:cs="宋体"/>
                <w:szCs w:val="21"/>
                <w:lang w:val="en-US" w:eastAsia="zh-CN"/>
              </w:rPr>
              <w:t>无</w:t>
            </w:r>
          </w:p>
        </w:tc>
      </w:tr>
      <w:tr w14:paraId="5047C4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DC47F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25911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04EF852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50A07E24">
            <w:pPr>
              <w:adjustRightInd w:val="0"/>
              <w:snapToGrid w:val="0"/>
              <w:jc w:val="left"/>
              <w:rPr>
                <w:rFonts w:hint="eastAsia" w:ascii="宋体" w:hAnsi="宋体" w:eastAsia="宋体" w:cs="宋体"/>
                <w:sz w:val="24"/>
                <w:szCs w:val="24"/>
                <w:u w:val="single"/>
              </w:rPr>
            </w:pPr>
            <w:r>
              <w:rPr>
                <w:rFonts w:hint="eastAsia" w:ascii="宋体" w:hAnsi="宋体" w:eastAsia="宋体" w:cs="宋体"/>
                <w:szCs w:val="21"/>
                <w:lang w:val="en-US" w:eastAsia="zh-CN"/>
              </w:rPr>
              <w:t>合同一方不履行合同义务或者履行合同义务不符合约定的，应当承担继续履行、采取补救措施或者赔偿损失等违约责任。</w:t>
            </w:r>
          </w:p>
        </w:tc>
      </w:tr>
      <w:tr w14:paraId="78563A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261AC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70A28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35E9A94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vAlign w:val="center"/>
          </w:tcPr>
          <w:p w14:paraId="44AB1431">
            <w:pPr>
              <w:adjustRightInd w:val="0"/>
              <w:snapToGrid w:val="0"/>
              <w:jc w:val="left"/>
              <w:rPr>
                <w:rFonts w:hint="eastAsia" w:ascii="宋体" w:hAnsi="宋体" w:eastAsia="宋体" w:cs="宋体"/>
                <w:szCs w:val="21"/>
              </w:rPr>
            </w:pPr>
            <w:r>
              <w:rPr>
                <w:rFonts w:hint="eastAsia" w:ascii="宋体" w:hAnsi="宋体" w:eastAsia="宋体" w:cs="宋体"/>
                <w:szCs w:val="21"/>
              </w:rPr>
              <w:t>因本合同及合同有关事项发生的争议，按下列第</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种方式解决：</w:t>
            </w:r>
          </w:p>
          <w:p w14:paraId="61CAC169">
            <w:pPr>
              <w:adjustRightInd w:val="0"/>
              <w:snapToGrid w:val="0"/>
              <w:jc w:val="left"/>
              <w:rPr>
                <w:rFonts w:hint="eastAsia" w:ascii="宋体" w:hAnsi="宋体" w:eastAsia="宋体" w:cs="宋体"/>
                <w:szCs w:val="21"/>
              </w:rPr>
            </w:pPr>
            <w:r>
              <w:rPr>
                <w:rFonts w:hint="eastAsia" w:ascii="宋体" w:hAnsi="宋体" w:eastAsia="宋体" w:cs="宋体"/>
                <w:szCs w:val="21"/>
              </w:rPr>
              <w:t>（1）向</w:t>
            </w:r>
            <w:r>
              <w:rPr>
                <w:rFonts w:hint="eastAsia" w:ascii="宋体" w:hAnsi="宋体" w:eastAsia="宋体" w:cs="宋体"/>
                <w:szCs w:val="21"/>
                <w:lang w:val="en-US" w:eastAsia="zh-CN"/>
              </w:rPr>
              <w:t>滁州市</w:t>
            </w:r>
            <w:r>
              <w:rPr>
                <w:rFonts w:hint="eastAsia" w:ascii="宋体" w:hAnsi="宋体" w:eastAsia="宋体" w:cs="宋体"/>
                <w:szCs w:val="21"/>
              </w:rPr>
              <w:t>仲裁委员会申请仲裁，仲裁地点为</w:t>
            </w:r>
            <w:r>
              <w:rPr>
                <w:rFonts w:hint="eastAsia" w:ascii="宋体" w:hAnsi="宋体" w:eastAsia="宋体" w:cs="宋体"/>
                <w:szCs w:val="21"/>
                <w:lang w:val="en-US" w:eastAsia="zh-CN"/>
              </w:rPr>
              <w:t>滁州市</w:t>
            </w:r>
            <w:r>
              <w:rPr>
                <w:rFonts w:hint="eastAsia" w:ascii="宋体" w:hAnsi="宋体" w:eastAsia="宋体" w:cs="宋体"/>
                <w:szCs w:val="21"/>
              </w:rPr>
              <w:t>；</w:t>
            </w:r>
          </w:p>
          <w:p w14:paraId="460E6A4A">
            <w:pPr>
              <w:adjustRightInd w:val="0"/>
              <w:snapToGrid w:val="0"/>
              <w:jc w:val="left"/>
              <w:rPr>
                <w:rFonts w:hint="eastAsia" w:ascii="宋体" w:hAnsi="宋体" w:eastAsia="宋体" w:cs="宋体"/>
                <w:sz w:val="24"/>
                <w:szCs w:val="24"/>
                <w:u w:val="single"/>
              </w:rPr>
            </w:pPr>
            <w:r>
              <w:rPr>
                <w:rFonts w:hint="eastAsia" w:ascii="宋体" w:hAnsi="宋体" w:eastAsia="宋体" w:cs="宋体"/>
                <w:szCs w:val="21"/>
              </w:rPr>
              <w:t>（2）向凤阳县人民法院起诉。</w:t>
            </w:r>
          </w:p>
        </w:tc>
      </w:tr>
      <w:tr w14:paraId="13332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8E85F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B8C945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vAlign w:val="center"/>
          </w:tcPr>
          <w:p w14:paraId="229C964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36BA4BB7">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bCs/>
                <w:color w:val="auto"/>
                <w:szCs w:val="21"/>
                <w:highlight w:val="none"/>
              </w:rPr>
              <w:t>合同未尽事项</w:t>
            </w:r>
            <w:r>
              <w:rPr>
                <w:rFonts w:hint="eastAsia" w:ascii="宋体" w:hAnsi="宋体" w:eastAsia="宋体" w:cs="宋体"/>
                <w:bCs/>
                <w:color w:val="auto"/>
                <w:szCs w:val="21"/>
                <w:highlight w:val="none"/>
                <w:lang w:val="en-US" w:eastAsia="zh-CN"/>
              </w:rPr>
              <w:t>签订合同时补充</w:t>
            </w:r>
          </w:p>
        </w:tc>
      </w:tr>
    </w:tbl>
    <w:p w14:paraId="2F6E5985">
      <w:pPr>
        <w:rPr>
          <w:rFonts w:hint="eastAsia" w:ascii="宋体" w:hAnsi="宋体" w:eastAsia="宋体" w:cs="宋体"/>
          <w:sz w:val="24"/>
          <w:szCs w:val="24"/>
        </w:rPr>
      </w:pPr>
    </w:p>
    <w:p w14:paraId="767D5FE7">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2FF475E2">
      <w:pPr>
        <w:spacing w:line="360" w:lineRule="auto"/>
        <w:jc w:val="center"/>
        <w:outlineLvl w:val="0"/>
        <w:rPr>
          <w:rFonts w:asciiTheme="minorEastAsia" w:hAnsiTheme="minorEastAsia" w:eastAsiaTheme="minorEastAsia"/>
          <w:b/>
          <w:color w:val="auto"/>
          <w:sz w:val="28"/>
          <w:highlight w:val="none"/>
        </w:rPr>
      </w:pPr>
      <w:bookmarkStart w:id="53" w:name="_Toc22492"/>
      <w:bookmarkStart w:id="54" w:name="_Toc5555"/>
      <w:bookmarkStart w:id="55" w:name="_Toc28960"/>
      <w:bookmarkStart w:id="56" w:name="_Toc18131"/>
      <w:bookmarkStart w:id="57" w:name="_Toc6435"/>
      <w:r>
        <w:rPr>
          <w:rFonts w:hint="eastAsia" w:asciiTheme="minorEastAsia" w:hAnsiTheme="minorEastAsia" w:eastAsiaTheme="minorEastAsia"/>
          <w:b/>
          <w:color w:val="auto"/>
          <w:sz w:val="28"/>
          <w:highlight w:val="none"/>
        </w:rPr>
        <w:t>第六章  投标文件格式</w:t>
      </w:r>
      <w:bookmarkEnd w:id="53"/>
    </w:p>
    <w:p w14:paraId="4B58FDF1">
      <w:pPr>
        <w:spacing w:line="900" w:lineRule="exact"/>
        <w:jc w:val="center"/>
        <w:rPr>
          <w:rFonts w:asciiTheme="minorEastAsia" w:hAnsiTheme="minorEastAsia" w:eastAsiaTheme="minorEastAsia"/>
          <w:b/>
          <w:color w:val="auto"/>
          <w:sz w:val="72"/>
          <w:highlight w:val="none"/>
        </w:rPr>
      </w:pPr>
    </w:p>
    <w:p w14:paraId="3A0B3FDE">
      <w:pPr>
        <w:spacing w:line="900" w:lineRule="exact"/>
        <w:jc w:val="center"/>
        <w:outlineLvl w:val="1"/>
        <w:rPr>
          <w:rFonts w:asciiTheme="minorEastAsia" w:hAnsiTheme="minorEastAsia" w:eastAsiaTheme="minorEastAsia"/>
          <w:b/>
          <w:color w:val="auto"/>
          <w:sz w:val="72"/>
          <w:highlight w:val="none"/>
        </w:rPr>
      </w:pPr>
      <w:bookmarkStart w:id="58" w:name="_Toc651"/>
      <w:r>
        <w:rPr>
          <w:rFonts w:hint="eastAsia" w:asciiTheme="minorEastAsia" w:hAnsiTheme="minorEastAsia" w:eastAsiaTheme="minorEastAsia"/>
          <w:b/>
          <w:color w:val="auto"/>
          <w:sz w:val="72"/>
          <w:highlight w:val="none"/>
        </w:rPr>
        <w:t>投</w:t>
      </w:r>
      <w:bookmarkEnd w:id="58"/>
    </w:p>
    <w:p w14:paraId="3B78A49B">
      <w:pPr>
        <w:spacing w:line="900" w:lineRule="exact"/>
        <w:jc w:val="center"/>
        <w:rPr>
          <w:rFonts w:asciiTheme="minorEastAsia" w:hAnsiTheme="minorEastAsia" w:eastAsiaTheme="minorEastAsia"/>
          <w:b/>
          <w:color w:val="auto"/>
          <w:sz w:val="72"/>
          <w:highlight w:val="none"/>
        </w:rPr>
      </w:pPr>
    </w:p>
    <w:p w14:paraId="3511B4C6">
      <w:pPr>
        <w:spacing w:line="900" w:lineRule="exact"/>
        <w:jc w:val="center"/>
        <w:outlineLvl w:val="1"/>
        <w:rPr>
          <w:rFonts w:asciiTheme="minorEastAsia" w:hAnsiTheme="minorEastAsia" w:eastAsiaTheme="minorEastAsia"/>
          <w:b/>
          <w:color w:val="auto"/>
          <w:sz w:val="72"/>
          <w:highlight w:val="none"/>
        </w:rPr>
      </w:pPr>
      <w:bookmarkStart w:id="59" w:name="_Toc6148"/>
      <w:r>
        <w:rPr>
          <w:rFonts w:hint="eastAsia" w:asciiTheme="minorEastAsia" w:hAnsiTheme="minorEastAsia" w:eastAsiaTheme="minorEastAsia"/>
          <w:b/>
          <w:color w:val="auto"/>
          <w:sz w:val="72"/>
          <w:highlight w:val="none"/>
        </w:rPr>
        <w:t>标</w:t>
      </w:r>
      <w:bookmarkEnd w:id="59"/>
    </w:p>
    <w:p w14:paraId="6759CE80">
      <w:pPr>
        <w:spacing w:line="900" w:lineRule="exact"/>
        <w:jc w:val="center"/>
        <w:rPr>
          <w:rFonts w:asciiTheme="minorEastAsia" w:hAnsiTheme="minorEastAsia" w:eastAsiaTheme="minorEastAsia"/>
          <w:b/>
          <w:color w:val="auto"/>
          <w:sz w:val="72"/>
          <w:highlight w:val="none"/>
        </w:rPr>
      </w:pPr>
    </w:p>
    <w:p w14:paraId="2C3DDA01">
      <w:pPr>
        <w:spacing w:line="900" w:lineRule="exact"/>
        <w:jc w:val="center"/>
        <w:outlineLvl w:val="1"/>
        <w:rPr>
          <w:rFonts w:asciiTheme="minorEastAsia" w:hAnsiTheme="minorEastAsia" w:eastAsiaTheme="minorEastAsia"/>
          <w:b/>
          <w:color w:val="auto"/>
          <w:sz w:val="72"/>
          <w:highlight w:val="none"/>
        </w:rPr>
      </w:pPr>
      <w:bookmarkStart w:id="60" w:name="_Toc1338"/>
      <w:r>
        <w:rPr>
          <w:rFonts w:hint="eastAsia" w:asciiTheme="minorEastAsia" w:hAnsiTheme="minorEastAsia" w:eastAsiaTheme="minorEastAsia"/>
          <w:b/>
          <w:color w:val="auto"/>
          <w:sz w:val="72"/>
          <w:highlight w:val="none"/>
        </w:rPr>
        <w:t>文</w:t>
      </w:r>
      <w:bookmarkEnd w:id="60"/>
    </w:p>
    <w:p w14:paraId="139FB3C9">
      <w:pPr>
        <w:spacing w:line="900" w:lineRule="exact"/>
        <w:jc w:val="center"/>
        <w:rPr>
          <w:rFonts w:asciiTheme="minorEastAsia" w:hAnsiTheme="minorEastAsia" w:eastAsiaTheme="minorEastAsia"/>
          <w:b/>
          <w:color w:val="auto"/>
          <w:sz w:val="72"/>
          <w:highlight w:val="none"/>
        </w:rPr>
      </w:pPr>
    </w:p>
    <w:p w14:paraId="284EB0DF">
      <w:pPr>
        <w:jc w:val="center"/>
        <w:outlineLvl w:val="1"/>
        <w:rPr>
          <w:rFonts w:asciiTheme="minorEastAsia" w:hAnsiTheme="minorEastAsia" w:eastAsiaTheme="minorEastAsia"/>
          <w:b/>
          <w:color w:val="auto"/>
          <w:sz w:val="72"/>
          <w:highlight w:val="none"/>
        </w:rPr>
      </w:pPr>
      <w:bookmarkStart w:id="61" w:name="_Toc10796"/>
      <w:r>
        <w:rPr>
          <w:rFonts w:hint="eastAsia" w:asciiTheme="minorEastAsia" w:hAnsiTheme="minorEastAsia" w:eastAsiaTheme="minorEastAsia"/>
          <w:b/>
          <w:color w:val="auto"/>
          <w:sz w:val="72"/>
          <w:highlight w:val="none"/>
        </w:rPr>
        <w:t>件</w:t>
      </w:r>
      <w:bookmarkEnd w:id="61"/>
    </w:p>
    <w:p w14:paraId="35059A20">
      <w:pPr>
        <w:spacing w:after="156" w:afterLines="50"/>
        <w:jc w:val="center"/>
        <w:rPr>
          <w:rFonts w:asciiTheme="minorEastAsia" w:hAnsiTheme="minorEastAsia" w:eastAsiaTheme="minorEastAsia"/>
          <w:b/>
          <w:color w:val="auto"/>
          <w:sz w:val="72"/>
          <w:highlight w:val="none"/>
        </w:rPr>
      </w:pPr>
    </w:p>
    <w:p w14:paraId="1A16038A">
      <w:pPr>
        <w:spacing w:before="156" w:beforeLines="50" w:after="156" w:afterLines="50"/>
        <w:jc w:val="center"/>
        <w:outlineLvl w:val="9"/>
        <w:rPr>
          <w:rFonts w:asciiTheme="minorEastAsia" w:hAnsiTheme="minorEastAsia" w:eastAsiaTheme="minorEastAsia"/>
          <w:b/>
          <w:color w:val="auto"/>
          <w:sz w:val="32"/>
          <w:szCs w:val="32"/>
          <w:highlight w:val="none"/>
        </w:rPr>
      </w:pPr>
    </w:p>
    <w:p w14:paraId="5D868405">
      <w:pPr>
        <w:spacing w:before="156" w:beforeLines="50" w:after="156" w:afterLines="50"/>
        <w:jc w:val="center"/>
        <w:outlineLvl w:val="9"/>
        <w:rPr>
          <w:rFonts w:asciiTheme="minorEastAsia" w:hAnsiTheme="minorEastAsia" w:eastAsiaTheme="minorEastAsia"/>
          <w:b/>
          <w:color w:val="auto"/>
          <w:sz w:val="32"/>
          <w:szCs w:val="32"/>
          <w:highlight w:val="none"/>
        </w:rPr>
      </w:pPr>
    </w:p>
    <w:p w14:paraId="10CAAAB1">
      <w:pPr>
        <w:spacing w:after="156" w:afterLines="50" w:line="500" w:lineRule="exact"/>
        <w:jc w:val="center"/>
        <w:rPr>
          <w:rFonts w:asciiTheme="minorEastAsia" w:hAnsiTheme="minorEastAsia" w:eastAsiaTheme="minorEastAsia"/>
          <w:b/>
          <w:color w:val="auto"/>
          <w:sz w:val="28"/>
          <w:szCs w:val="28"/>
          <w:highlight w:val="none"/>
        </w:rPr>
      </w:pPr>
    </w:p>
    <w:p w14:paraId="0DE21599">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44F8995">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85E0C32">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BB9CBC7">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2" w:name="_Toc8037"/>
      <w:bookmarkStart w:id="63"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2"/>
      <w:bookmarkEnd w:id="63"/>
    </w:p>
    <w:p w14:paraId="454FE9F9">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bookmarkEnd w:id="54"/>
    <w:bookmarkEnd w:id="55"/>
    <w:p w14:paraId="1E1AEB1E">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一、资信证明格式文件</w:t>
      </w:r>
    </w:p>
    <w:p w14:paraId="6C4510EB">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7CA7F92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7486BC6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lang w:val="en-US" w:eastAsia="zh-CN" w:bidi="ar"/>
        </w:rPr>
      </w:pPr>
    </w:p>
    <w:p w14:paraId="0888729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lang w:val="en-US" w:eastAsia="zh-CN" w:bidi="ar"/>
        </w:rPr>
      </w:pPr>
    </w:p>
    <w:p w14:paraId="3CC8E8C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lang w:val="en-US" w:eastAsia="zh-CN" w:bidi="ar"/>
        </w:rPr>
      </w:pPr>
    </w:p>
    <w:p w14:paraId="3E0A077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资信证明文件</w:t>
      </w:r>
    </w:p>
    <w:p w14:paraId="1451AF1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lang w:val="en-US" w:eastAsia="zh-CN" w:bidi="ar"/>
        </w:rPr>
      </w:pPr>
    </w:p>
    <w:p w14:paraId="0AF62AA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（投标文件一）</w:t>
      </w:r>
    </w:p>
    <w:p w14:paraId="2CED062F">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44"/>
          <w:szCs w:val="44"/>
          <w:highlight w:val="none"/>
        </w:rPr>
      </w:pPr>
      <w:r>
        <w:rPr>
          <w:rFonts w:hint="eastAsia" w:ascii="黑体" w:hAnsi="宋体" w:eastAsia="黑体" w:cs="黑体"/>
          <w:color w:val="000000"/>
          <w:kern w:val="2"/>
          <w:sz w:val="44"/>
          <w:szCs w:val="44"/>
          <w:highlight w:val="none"/>
          <w:lang w:val="en-US" w:eastAsia="zh-CN" w:bidi="ar"/>
        </w:rPr>
        <w:t xml:space="preserve"> </w:t>
      </w:r>
    </w:p>
    <w:p w14:paraId="71A7D59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lang w:val="en-US" w:eastAsia="zh-CN" w:bidi="ar"/>
        </w:rPr>
      </w:pPr>
    </w:p>
    <w:p w14:paraId="3A4A039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7541404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lang w:val="en-US" w:eastAsia="zh-CN" w:bidi="ar"/>
        </w:rPr>
      </w:pPr>
    </w:p>
    <w:p w14:paraId="184DC62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7715004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4C716FE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694963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5D1042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51ACE9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lang w:val="en-US" w:eastAsia="zh-CN" w:bidi="ar"/>
        </w:rPr>
      </w:pPr>
    </w:p>
    <w:p w14:paraId="3188FFE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lang w:val="en-US" w:eastAsia="zh-CN" w:bidi="ar"/>
        </w:rPr>
      </w:pPr>
    </w:p>
    <w:p w14:paraId="42672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302EC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3DEFE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val="0"/>
          <w:color w:val="000000"/>
          <w:kern w:val="2"/>
          <w:sz w:val="36"/>
          <w:szCs w:val="36"/>
          <w:highlight w:val="none"/>
          <w:lang w:val="en-US" w:eastAsia="zh-CN" w:bidi="ar"/>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1B10886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36"/>
          <w:szCs w:val="36"/>
          <w:highlight w:val="none"/>
          <w:lang w:val="en-US" w:eastAsia="zh-CN" w:bidi="ar"/>
        </w:rPr>
        <w:t>目   录</w:t>
      </w:r>
    </w:p>
    <w:p w14:paraId="1D9820DE">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 xml:space="preserve"> </w:t>
      </w:r>
    </w:p>
    <w:p w14:paraId="5B427DC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（1）投标人资格声明书（格式见附件）；</w:t>
      </w:r>
    </w:p>
    <w:p w14:paraId="07DC80F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（2）授权书（格式见附件）；   </w:t>
      </w:r>
    </w:p>
    <w:p w14:paraId="1F7D9DA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（3）投标人为企业（包括合伙企业）的，应提供有效的“营业执照”；</w:t>
      </w:r>
    </w:p>
    <w:p w14:paraId="49E859C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投标人为事业单位的，应提供有效的“事业单位法人证书”；</w:t>
      </w:r>
    </w:p>
    <w:p w14:paraId="526D2FB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投标人是非企业机构的，应提供有效的“执业许可证”、“登记证书”等证明文件；</w:t>
      </w:r>
    </w:p>
    <w:p w14:paraId="108FEF2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投标人是个体工商户的，应提供有效的“个体工商户营业执照”；</w:t>
      </w:r>
    </w:p>
    <w:p w14:paraId="014B3BF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投标人是自然人的，应提供有效的自然人身份证明；</w:t>
      </w:r>
    </w:p>
    <w:p w14:paraId="64DAEA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（4）投标人有效的资质证书（如有）；</w:t>
      </w:r>
    </w:p>
    <w:p w14:paraId="6578067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（5）投标人有效的业绩证明材料（如有）；</w:t>
      </w:r>
    </w:p>
    <w:p w14:paraId="7B8245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（6）诚信投标承诺书（格式见附件）；</w:t>
      </w:r>
    </w:p>
    <w:p w14:paraId="1AC3738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（7）中小企业声明函，残疾人福利性企业（格式见附件）</w:t>
      </w:r>
      <w:r>
        <w:rPr>
          <w:rFonts w:hint="eastAsia" w:ascii="宋体" w:hAnsi="宋体" w:eastAsia="宋体" w:cs="宋体"/>
          <w:b/>
          <w:bCs w:val="0"/>
          <w:color w:val="000000"/>
          <w:kern w:val="2"/>
          <w:sz w:val="21"/>
          <w:szCs w:val="21"/>
          <w:highlight w:val="none"/>
          <w:lang w:val="en-US" w:eastAsia="zh-CN" w:bidi="ar"/>
        </w:rPr>
        <w:t>；（如是）</w:t>
      </w:r>
    </w:p>
    <w:p w14:paraId="15D9A2D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8</w:t>
      </w:r>
      <w:r>
        <w:rPr>
          <w:rFonts w:hint="eastAsia" w:ascii="宋体" w:hAnsi="宋体" w:eastAsia="宋体" w:cs="宋体"/>
          <w:color w:val="000000"/>
          <w:kern w:val="2"/>
          <w:sz w:val="21"/>
          <w:szCs w:val="21"/>
          <w:highlight w:val="none"/>
        </w:rPr>
        <w:t>）省级以上监狱管理局、戒毒管理局（含新疆生产建设兵团）出具的属于监狱企业的证明</w:t>
      </w:r>
      <w:r>
        <w:rPr>
          <w:rFonts w:hint="eastAsia" w:ascii="宋体" w:hAnsi="宋体" w:eastAsia="宋体" w:cs="宋体"/>
          <w:b/>
          <w:bCs w:val="0"/>
          <w:color w:val="000000"/>
          <w:kern w:val="2"/>
          <w:sz w:val="21"/>
          <w:szCs w:val="21"/>
          <w:highlight w:val="none"/>
        </w:rPr>
        <w:t>（如是）</w:t>
      </w:r>
      <w:r>
        <w:rPr>
          <w:rFonts w:hint="eastAsia" w:ascii="宋体" w:hAnsi="宋体" w:eastAsia="宋体" w:cs="宋体"/>
          <w:color w:val="000000"/>
          <w:kern w:val="2"/>
          <w:sz w:val="21"/>
          <w:szCs w:val="21"/>
          <w:highlight w:val="none"/>
        </w:rPr>
        <w:t>；</w:t>
      </w:r>
    </w:p>
    <w:p w14:paraId="18524D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（9）招标文件中要求的资信评审和资信评分的支持资料；</w:t>
      </w:r>
    </w:p>
    <w:p w14:paraId="0F03DBB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（10）投标人认为需要提供的其他资信证明材料；</w:t>
      </w:r>
    </w:p>
    <w:p w14:paraId="2CC63BA6">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）无缝对接承诺函（格式见附件）。</w:t>
      </w:r>
    </w:p>
    <w:p w14:paraId="1E5681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 </w:t>
      </w:r>
    </w:p>
    <w:p w14:paraId="6C6647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rPr>
      </w:pPr>
    </w:p>
    <w:p w14:paraId="6E01365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highlight w:val="none"/>
          <w:lang w:val="en-US" w:eastAsia="zh-CN"/>
        </w:rPr>
      </w:pPr>
    </w:p>
    <w:p w14:paraId="15DE04A0">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EE7BA2A">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（1）投标人资格声明书</w:t>
      </w:r>
    </w:p>
    <w:p w14:paraId="1F4C1AD2">
      <w:pPr>
        <w:pStyle w:val="2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致：</w:t>
      </w:r>
      <w:r>
        <w:rPr>
          <w:rFonts w:hint="eastAsia" w:ascii="宋体" w:hAnsi="宋体" w:eastAsia="宋体" w:cs="宋体"/>
          <w:b/>
          <w:bCs w:val="0"/>
          <w:kern w:val="2"/>
          <w:sz w:val="24"/>
          <w:szCs w:val="24"/>
          <w:highlight w:val="none"/>
          <w:u w:val="single"/>
          <w:lang w:val="en-US" w:eastAsia="zh-CN" w:bidi="ar"/>
        </w:rPr>
        <w:t>采购人</w:t>
      </w:r>
    </w:p>
    <w:p w14:paraId="10675BB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在参与本次项目投标中，我单位承诺：</w:t>
      </w:r>
    </w:p>
    <w:p w14:paraId="73758D79">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34C3D14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4340446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5274E237">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A1EBCD2">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5EB79270">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841"/>
        <w:gridCol w:w="2841"/>
      </w:tblGrid>
      <w:tr w14:paraId="5EDD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31B57CF">
            <w:pPr>
              <w:keepNext w:val="0"/>
              <w:keepLines w:val="0"/>
              <w:widowControl/>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310E9280">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48A00EC2">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相互关系</w:t>
            </w:r>
          </w:p>
        </w:tc>
      </w:tr>
      <w:tr w14:paraId="4CD9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75CFBBAD">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3E4AA853">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77A9C02D">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r>
      <w:tr w14:paraId="63F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8468A91">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25AF4F92">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vAlign w:val="top"/>
          </w:tcPr>
          <w:p w14:paraId="3D0B4F54">
            <w:pPr>
              <w:pStyle w:val="20"/>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000000"/>
                <w:kern w:val="0"/>
                <w:sz w:val="24"/>
                <w:szCs w:val="24"/>
                <w:highlight w:val="none"/>
              </w:rPr>
            </w:pPr>
          </w:p>
        </w:tc>
      </w:tr>
    </w:tbl>
    <w:p w14:paraId="08418EC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本单位对上述声明的真实性负责。如有虚假，将依法承担相应责任。</w:t>
      </w:r>
    </w:p>
    <w:p w14:paraId="05294A98">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仿宋_GB2312"/>
          <w:kern w:val="2"/>
          <w:sz w:val="24"/>
          <w:szCs w:val="24"/>
          <w:highlight w:val="none"/>
          <w:u w:val="single"/>
          <w:lang w:val="en-US" w:eastAsia="zh-CN" w:bidi="ar"/>
        </w:rPr>
        <w:t xml:space="preserve">             </w:t>
      </w:r>
    </w:p>
    <w:p w14:paraId="2EBCAC52">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日</w:t>
      </w: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仿宋_GB2312"/>
          <w:kern w:val="2"/>
          <w:sz w:val="24"/>
          <w:szCs w:val="24"/>
          <w:highlight w:val="none"/>
          <w:u w:val="single"/>
          <w:lang w:val="en-US" w:eastAsia="zh-CN" w:bidi="ar"/>
        </w:rPr>
        <w:t xml:space="preserve">             </w:t>
      </w:r>
    </w:p>
    <w:p w14:paraId="3C91EC70">
      <w:pPr>
        <w:pStyle w:val="20"/>
        <w:keepNext w:val="0"/>
        <w:keepLines w:val="0"/>
        <w:widowControl w:val="0"/>
        <w:suppressLineNumbers w:val="0"/>
        <w:spacing w:before="0" w:beforeAutospacing="1" w:after="120" w:afterAutospacing="0"/>
        <w:ind w:left="0" w:right="0"/>
        <w:jc w:val="both"/>
        <w:rPr>
          <w:rFonts w:hint="eastAsia" w:ascii="宋体" w:hAnsi="宋体" w:eastAsia="宋体" w:cs="宋体"/>
          <w:color w:val="000000"/>
          <w:kern w:val="0"/>
          <w:sz w:val="24"/>
          <w:szCs w:val="24"/>
          <w:highlight w:val="none"/>
        </w:rPr>
      </w:pPr>
    </w:p>
    <w:p w14:paraId="10524AE5">
      <w:pPr>
        <w:spacing w:line="360" w:lineRule="auto"/>
        <w:jc w:val="center"/>
        <w:outlineLvl w:val="1"/>
        <w:rPr>
          <w:rFonts w:hint="eastAsia" w:asciiTheme="minorEastAsia" w:hAnsiTheme="minorEastAsia" w:eastAsiaTheme="minorEastAsia"/>
          <w:b/>
          <w:color w:val="auto"/>
          <w:sz w:val="24"/>
          <w:highlight w:val="none"/>
        </w:rPr>
      </w:pPr>
    </w:p>
    <w:p w14:paraId="572DCCB1">
      <w:pPr>
        <w:spacing w:line="360" w:lineRule="auto"/>
        <w:jc w:val="center"/>
        <w:outlineLvl w:val="1"/>
        <w:rPr>
          <w:rFonts w:hint="eastAsia" w:asciiTheme="minorEastAsia" w:hAnsiTheme="minorEastAsia" w:eastAsiaTheme="minorEastAsia"/>
          <w:b/>
          <w:color w:val="auto"/>
          <w:sz w:val="24"/>
          <w:highlight w:val="none"/>
        </w:rPr>
      </w:pPr>
    </w:p>
    <w:p w14:paraId="599A7261">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6AEE3C3C">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lang w:eastAsia="zh-CN"/>
        </w:rPr>
        <w:t>）授权书</w:t>
      </w:r>
    </w:p>
    <w:p w14:paraId="53F4AFBA">
      <w:pPr>
        <w:pStyle w:val="20"/>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Times New Roman"/>
          <w:kern w:val="2"/>
          <w:sz w:val="24"/>
          <w:szCs w:val="24"/>
          <w:highlight w:val="none"/>
        </w:rPr>
      </w:pPr>
    </w:p>
    <w:p w14:paraId="40044F75">
      <w:pPr>
        <w:keepNext w:val="0"/>
        <w:keepLines w:val="0"/>
        <w:widowControl w:val="0"/>
        <w:suppressLineNumbers w:val="0"/>
        <w:spacing w:before="0" w:beforeAutospacing="0" w:after="0" w:afterAutospacing="0" w:line="360" w:lineRule="auto"/>
        <w:ind w:left="0" w:right="0" w:firstLine="435"/>
        <w:jc w:val="both"/>
        <w:rPr>
          <w:rFonts w:hAnsi="宋体" w:eastAsia="宋体"/>
          <w:kern w:val="2"/>
          <w:sz w:val="24"/>
          <w:szCs w:val="24"/>
          <w:highlight w:val="none"/>
        </w:rPr>
      </w:pPr>
      <w:r>
        <w:rPr>
          <w:rFonts w:hint="eastAsia" w:ascii="宋体" w:hAnsi="宋体" w:eastAsia="宋体" w:cs="宋体"/>
          <w:kern w:val="2"/>
          <w:sz w:val="24"/>
          <w:szCs w:val="24"/>
          <w:highlight w:val="none"/>
          <w:lang w:val="en-US" w:eastAsia="zh-CN" w:bidi="ar"/>
        </w:rPr>
        <w:t>本授权书声明：</w:t>
      </w:r>
      <w:r>
        <w:rPr>
          <w:rFonts w:hint="eastAsia" w:ascii="@仿宋_GB2312"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（投标人名称）授权</w:t>
      </w:r>
      <w:r>
        <w:rPr>
          <w:rFonts w:hint="eastAsia" w:ascii="@仿宋_GB2312"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（投标人授权代表姓名）代表我方参加本项目</w:t>
      </w:r>
      <w:r>
        <w:rPr>
          <w:rFonts w:hint="eastAsia" w:ascii="宋体" w:hAnsi="宋体" w:eastAsia="宋体" w:cs="宋体"/>
          <w:bCs/>
          <w:kern w:val="2"/>
          <w:sz w:val="24"/>
          <w:szCs w:val="24"/>
          <w:highlight w:val="none"/>
          <w:lang w:val="en-US" w:eastAsia="zh-CN" w:bidi="ar"/>
        </w:rPr>
        <w:t>采购活动</w:t>
      </w:r>
      <w:r>
        <w:rPr>
          <w:rFonts w:hint="eastAsia" w:ascii="宋体" w:hAnsi="宋体" w:eastAsia="宋体" w:cs="宋体"/>
          <w:kern w:val="2"/>
          <w:sz w:val="24"/>
          <w:szCs w:val="24"/>
          <w:highlight w:val="none"/>
          <w:lang w:val="en-US" w:eastAsia="zh-CN"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32406DD">
      <w:pPr>
        <w:keepNext w:val="0"/>
        <w:keepLines w:val="0"/>
        <w:widowControl w:val="0"/>
        <w:suppressLineNumbers w:val="0"/>
        <w:spacing w:before="0" w:beforeAutospacing="0" w:after="0" w:afterAutospacing="0" w:line="360" w:lineRule="auto"/>
        <w:ind w:left="0" w:right="0" w:firstLine="435"/>
        <w:jc w:val="both"/>
        <w:rPr>
          <w:rFonts w:hAnsi="宋体" w:eastAsia="宋体"/>
          <w:kern w:val="2"/>
          <w:sz w:val="24"/>
          <w:szCs w:val="24"/>
          <w:highlight w:val="none"/>
        </w:rPr>
      </w:pPr>
      <w:r>
        <w:rPr>
          <w:rFonts w:hint="eastAsia" w:ascii="宋体" w:hAnsi="宋体" w:eastAsia="宋体" w:cs="宋体"/>
          <w:kern w:val="2"/>
          <w:sz w:val="24"/>
          <w:szCs w:val="24"/>
          <w:highlight w:val="none"/>
          <w:lang w:val="en-US" w:eastAsia="zh-CN" w:bidi="ar"/>
        </w:rPr>
        <w:t>本授权书自出具之日起生效。</w:t>
      </w:r>
    </w:p>
    <w:p w14:paraId="77D03883">
      <w:pPr>
        <w:keepNext w:val="0"/>
        <w:keepLines w:val="0"/>
        <w:widowControl w:val="0"/>
        <w:suppressLineNumbers w:val="0"/>
        <w:spacing w:before="0" w:beforeAutospacing="0" w:after="0" w:afterAutospacing="0" w:line="360" w:lineRule="auto"/>
        <w:ind w:left="0" w:right="0" w:firstLine="435"/>
        <w:jc w:val="both"/>
        <w:rPr>
          <w:rFonts w:hAnsi="宋体" w:eastAsia="宋体"/>
          <w:kern w:val="2"/>
          <w:sz w:val="24"/>
          <w:szCs w:val="24"/>
          <w:highlight w:val="none"/>
        </w:rPr>
      </w:pPr>
      <w:r>
        <w:rPr>
          <w:rFonts w:hint="eastAsia" w:ascii="宋体" w:hAnsi="宋体" w:eastAsia="宋体" w:cs="宋体"/>
          <w:kern w:val="2"/>
          <w:sz w:val="24"/>
          <w:szCs w:val="24"/>
          <w:highlight w:val="none"/>
          <w:lang w:val="en-US" w:eastAsia="zh-CN" w:bidi="ar"/>
        </w:rPr>
        <w:t>授权代表身份证明扫描件：</w:t>
      </w:r>
    </w:p>
    <w:p w14:paraId="5AFDD13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0DB0134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69EA041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7AE3D52D">
      <w:pPr>
        <w:keepNext w:val="0"/>
        <w:keepLines w:val="0"/>
        <w:widowControl w:val="0"/>
        <w:suppressLineNumbers w:val="0"/>
        <w:spacing w:before="0" w:beforeAutospacing="0" w:after="0" w:afterAutospacing="0" w:line="360" w:lineRule="auto"/>
        <w:ind w:left="0" w:right="0" w:firstLine="435"/>
        <w:jc w:val="both"/>
        <w:rPr>
          <w:rFonts w:hAnsi="宋体" w:eastAsia="宋体"/>
          <w:kern w:val="2"/>
          <w:sz w:val="24"/>
          <w:szCs w:val="24"/>
          <w:highlight w:val="none"/>
          <w:u w:val="single"/>
        </w:rPr>
      </w:pPr>
      <w:r>
        <w:rPr>
          <w:rFonts w:hint="eastAsia" w:ascii="宋体" w:hAnsi="宋体" w:eastAsia="宋体" w:cs="宋体"/>
          <w:kern w:val="2"/>
          <w:sz w:val="24"/>
          <w:szCs w:val="24"/>
          <w:highlight w:val="none"/>
          <w:lang w:val="en-US" w:eastAsia="zh-CN" w:bidi="ar"/>
        </w:rPr>
        <w:t>授权代表联系方式：</w:t>
      </w:r>
      <w:r>
        <w:rPr>
          <w:rFonts w:hint="eastAsia" w:ascii="@仿宋_GB2312"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（请填写手机号码）</w:t>
      </w:r>
    </w:p>
    <w:p w14:paraId="5B3C0C39">
      <w:pPr>
        <w:keepNext w:val="0"/>
        <w:keepLines w:val="0"/>
        <w:widowControl w:val="0"/>
        <w:suppressLineNumbers w:val="0"/>
        <w:spacing w:before="0" w:beforeAutospacing="0" w:after="0" w:afterAutospacing="0" w:line="360" w:lineRule="auto"/>
        <w:ind w:left="0" w:right="0" w:firstLine="435"/>
        <w:jc w:val="both"/>
        <w:rPr>
          <w:rFonts w:hAnsi="宋体" w:eastAsia="宋体"/>
          <w:kern w:val="2"/>
          <w:sz w:val="24"/>
          <w:szCs w:val="24"/>
          <w:highlight w:val="none"/>
        </w:rPr>
      </w:pPr>
      <w:r>
        <w:rPr>
          <w:rFonts w:ascii="@仿宋_GB2312" w:hAnsi="宋体" w:eastAsia="宋体" w:cs="@仿宋_GB2312"/>
          <w:kern w:val="2"/>
          <w:sz w:val="24"/>
          <w:szCs w:val="24"/>
          <w:highlight w:val="none"/>
          <w:lang w:val="en-US" w:eastAsia="zh-CN" w:bidi="ar"/>
        </w:rPr>
        <w:t xml:space="preserve"> </w:t>
      </w:r>
    </w:p>
    <w:p w14:paraId="3EE3AE7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特此声明。</w:t>
      </w:r>
    </w:p>
    <w:p w14:paraId="04C039D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62D0D6BB">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投标人电子签章：</w:t>
      </w:r>
      <w:r>
        <w:rPr>
          <w:rFonts w:hint="eastAsia" w:ascii="宋体" w:hAnsi="宋体" w:eastAsia="宋体" w:cs="@仿宋_GB2312"/>
          <w:bCs/>
          <w:kern w:val="2"/>
          <w:sz w:val="24"/>
          <w:szCs w:val="24"/>
          <w:highlight w:val="none"/>
          <w:u w:val="single"/>
          <w:lang w:val="en-US" w:eastAsia="zh-CN" w:bidi="ar"/>
        </w:rPr>
        <w:t xml:space="preserve">                    </w:t>
      </w:r>
    </w:p>
    <w:p w14:paraId="476F5D31">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仿宋_GB2312"/>
          <w:b/>
          <w:bCs/>
          <w:kern w:val="2"/>
          <w:sz w:val="24"/>
          <w:szCs w:val="24"/>
          <w:highlight w:val="none"/>
          <w:u w:val="single"/>
          <w:lang w:val="en-US" w:eastAsia="zh-CN" w:bidi="ar"/>
        </w:rPr>
        <w:t xml:space="preserve">                    </w:t>
      </w:r>
    </w:p>
    <w:p w14:paraId="755BE38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0B68D57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6D97B04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注：</w:t>
      </w:r>
    </w:p>
    <w:p w14:paraId="4AB590F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1.本项目只允许有唯一的投标人授权代表，提供身份证明扫描件；</w:t>
      </w:r>
    </w:p>
    <w:p w14:paraId="493A886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2.法定代表人参加投标的无需提供授权书，提供身份证明扫描件。</w:t>
      </w:r>
    </w:p>
    <w:p w14:paraId="561C47E3">
      <w:pPr>
        <w:spacing w:line="360" w:lineRule="auto"/>
        <w:jc w:val="center"/>
        <w:outlineLvl w:val="1"/>
        <w:rPr>
          <w:rFonts w:hint="eastAsia" w:asciiTheme="minorEastAsia" w:hAnsiTheme="minorEastAsia" w:eastAsiaTheme="minorEastAsia"/>
          <w:b/>
          <w:color w:val="auto"/>
          <w:sz w:val="24"/>
          <w:highlight w:val="none"/>
        </w:rPr>
      </w:pPr>
    </w:p>
    <w:p w14:paraId="7EB9A4C4">
      <w:pPr>
        <w:spacing w:line="360" w:lineRule="auto"/>
        <w:jc w:val="center"/>
        <w:outlineLvl w:val="1"/>
        <w:rPr>
          <w:rFonts w:hint="eastAsia" w:asciiTheme="minorEastAsia" w:hAnsiTheme="minorEastAsia" w:eastAsiaTheme="minorEastAsia"/>
          <w:b/>
          <w:color w:val="auto"/>
          <w:sz w:val="24"/>
          <w:highlight w:val="none"/>
        </w:rPr>
      </w:pPr>
    </w:p>
    <w:p w14:paraId="0E93822C">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048AAD40">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lang w:eastAsia="zh-CN"/>
        </w:rPr>
        <w:t>）诚信投标承诺书</w:t>
      </w:r>
    </w:p>
    <w:p w14:paraId="59AEBBC2">
      <w:pPr>
        <w:keepNext w:val="0"/>
        <w:keepLines w:val="0"/>
        <w:widowControl w:val="0"/>
        <w:suppressLineNumbers w:val="0"/>
        <w:spacing w:before="0" w:beforeAutospacing="0" w:after="0" w:afterAutospacing="0" w:line="500" w:lineRule="exact"/>
        <w:ind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本人以企业法定代表人的身份郑重承诺：</w:t>
      </w:r>
    </w:p>
    <w:p w14:paraId="0342308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一、将遵循公开、公正和诚实信用的原则自愿参加</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项目的投标，所提供的一切材料都是真实、有效、合法的；</w:t>
      </w:r>
    </w:p>
    <w:p w14:paraId="7C9E246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8AA1E2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三、不出借、转让资质证书，不让他人挂靠投标，不以他人名义投标或者以其他方式弄虚作假，骗取中标；</w:t>
      </w:r>
    </w:p>
    <w:p w14:paraId="31F34E1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四、不与其他投标人相互串通投标报价，不排挤其他投标人的公平竞争、损害招标人的合法权益；</w:t>
      </w:r>
    </w:p>
    <w:p w14:paraId="6DAC29F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五、不与招标人、招标代理机构或其他投标人串通投标，损害国家利益、社会公共利益或者他人的合法权益；</w:t>
      </w:r>
    </w:p>
    <w:p w14:paraId="754928BB">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452F89B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七、我公司没有下列情形：被滁州市县两级公管部门记入不良行为记录且在披露期内。</w:t>
      </w:r>
    </w:p>
    <w:p w14:paraId="2B23FE9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八、严格遵守开标现场纪律，服从监管人员管理；</w:t>
      </w:r>
    </w:p>
    <w:p w14:paraId="7A304B4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九、保证中标后不转包，若有分包征得招标人同意；</w:t>
      </w:r>
    </w:p>
    <w:p w14:paraId="31C7A599">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十、保证中标之后，按照投标文件要求提供相关后续服务；</w:t>
      </w:r>
    </w:p>
    <w:p w14:paraId="08BC92B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十一、保证企业及所属相关人员在本次投标中无行贿等犯罪行为；</w:t>
      </w:r>
    </w:p>
    <w:p w14:paraId="1B4C3B9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C4AA93E">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以上内容我已仔细阅读，本公司若有违反承诺内容的行为，自愿接受取消投标或者中标资格、记入不良行为记录等有关处理，愿意承担法律责任，给招标人造成损失的，依法承担赔偿责任。</w:t>
      </w:r>
    </w:p>
    <w:p w14:paraId="3B26EC7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9E5E76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开户银行：                      基本账户：</w:t>
      </w:r>
    </w:p>
    <w:p w14:paraId="3E5E026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投标单位（签章）：              法定代表人（签章）：</w:t>
      </w:r>
    </w:p>
    <w:p w14:paraId="16DD38B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085506">
      <w:pPr>
        <w:keepNext w:val="0"/>
        <w:keepLines w:val="0"/>
        <w:widowControl w:val="0"/>
        <w:suppressLineNumbers w:val="0"/>
        <w:spacing w:before="0" w:beforeAutospacing="0" w:after="0" w:afterAutospacing="0" w:line="560" w:lineRule="exact"/>
        <w:ind w:left="0" w:right="0"/>
        <w:jc w:val="right"/>
        <w:rPr>
          <w:rFonts w:hint="eastAsia" w:ascii="仿宋_GB2312" w:eastAsia="仿宋_GB2312" w:cs="仿宋_GB2312"/>
          <w:kern w:val="2"/>
          <w:sz w:val="32"/>
          <w:szCs w:val="32"/>
          <w:highlight w:val="none"/>
        </w:rPr>
      </w:pPr>
      <w:r>
        <w:rPr>
          <w:rFonts w:hint="eastAsia" w:ascii="宋体" w:hAnsi="宋体" w:eastAsia="宋体" w:cs="宋体"/>
          <w:kern w:val="2"/>
          <w:sz w:val="21"/>
          <w:szCs w:val="21"/>
          <w:highlight w:val="none"/>
          <w:lang w:val="en-US" w:eastAsia="zh-CN" w:bidi="ar"/>
        </w:rPr>
        <w:t>日期：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年 </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月 </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053A4D9B">
      <w:pPr>
        <w:spacing w:line="360" w:lineRule="auto"/>
        <w:jc w:val="center"/>
        <w:outlineLvl w:val="1"/>
        <w:rPr>
          <w:rFonts w:hint="eastAsia" w:asciiTheme="minorEastAsia" w:hAnsiTheme="minorEastAsia" w:eastAsiaTheme="minorEastAsia"/>
          <w:b/>
          <w:color w:val="auto"/>
          <w:sz w:val="24"/>
          <w:highlight w:val="none"/>
        </w:rPr>
      </w:pPr>
    </w:p>
    <w:p w14:paraId="0F49A354">
      <w:pPr>
        <w:spacing w:line="360" w:lineRule="auto"/>
        <w:jc w:val="center"/>
        <w:outlineLvl w:val="1"/>
        <w:rPr>
          <w:rFonts w:hint="eastAsia" w:asciiTheme="minorEastAsia" w:hAnsiTheme="minorEastAsia" w:eastAsiaTheme="minorEastAsia"/>
          <w:b/>
          <w:color w:val="auto"/>
          <w:sz w:val="24"/>
          <w:highlight w:val="none"/>
        </w:rPr>
      </w:pPr>
    </w:p>
    <w:p w14:paraId="49E2315C">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5F3FD73B">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lang w:eastAsia="zh-CN"/>
        </w:rPr>
        <w:t>）中小企业声明函</w:t>
      </w:r>
    </w:p>
    <w:p w14:paraId="664864FC">
      <w:pPr>
        <w:pStyle w:val="20"/>
        <w:keepNext w:val="0"/>
        <w:keepLines w:val="0"/>
        <w:widowControl w:val="0"/>
        <w:suppressLineNumbers w:val="0"/>
        <w:autoSpaceDE w:val="0"/>
        <w:autoSpaceDN/>
        <w:spacing w:before="0" w:beforeAutospacing="1" w:after="120" w:afterAutospacing="0" w:line="360" w:lineRule="auto"/>
        <w:ind w:left="0" w:right="0"/>
        <w:jc w:val="center"/>
        <w:rPr>
          <w:rFonts w:hint="eastAsia" w:ascii="宋体" w:hAnsi="宋体" w:eastAsia="宋体" w:cs="@微软简标宋"/>
          <w:b w:val="0"/>
          <w:i/>
          <w:iCs w:val="0"/>
          <w:kern w:val="2"/>
          <w:sz w:val="24"/>
          <w:szCs w:val="24"/>
          <w:highlight w:val="none"/>
        </w:rPr>
      </w:pPr>
      <w:r>
        <w:rPr>
          <w:rFonts w:hint="eastAsia" w:ascii="宋体" w:hAnsi="宋体" w:eastAsia="宋体" w:cs="宋体"/>
          <w:b w:val="0"/>
          <w:i/>
          <w:iCs w:val="0"/>
          <w:kern w:val="2"/>
          <w:sz w:val="24"/>
          <w:szCs w:val="24"/>
          <w:highlight w:val="none"/>
          <w:lang w:val="en-US" w:eastAsia="zh-CN" w:bidi="ar"/>
        </w:rPr>
        <w:t>（非中小企业投标，不需此件，请删去“中小企业声明函”）</w:t>
      </w:r>
    </w:p>
    <w:p w14:paraId="14560317">
      <w:pPr>
        <w:keepNext w:val="0"/>
        <w:keepLines w:val="0"/>
        <w:widowControl w:val="0"/>
        <w:suppressLineNumbers w:val="0"/>
        <w:spacing w:before="0" w:beforeAutospacing="0" w:after="0" w:afterAutospacing="0"/>
        <w:ind w:left="0" w:right="0"/>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06A639D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kern w:val="2"/>
          <w:sz w:val="24"/>
          <w:szCs w:val="24"/>
          <w:highlight w:val="none"/>
          <w:u w:val="single"/>
          <w:lang w:val="en-US" w:eastAsia="zh-CN" w:bidi="ar"/>
        </w:rPr>
        <w:t>单位名称</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kern w:val="2"/>
          <w:sz w:val="24"/>
          <w:szCs w:val="24"/>
          <w:highlight w:val="none"/>
          <w:lang w:val="en-US" w:eastAsia="zh-CN" w:bidi="ar"/>
        </w:rPr>
        <w:t xml:space="preserve"> </w:t>
      </w:r>
    </w:p>
    <w:p w14:paraId="0FFB7A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1.</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（标的名称）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行业；制造商为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 xml:space="preserve"> </w:t>
      </w:r>
    </w:p>
    <w:p w14:paraId="05A106E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2.</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（标的名称）</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，属于</w:t>
      </w:r>
      <w:r>
        <w:rPr>
          <w:rFonts w:hint="eastAsia" w:ascii="宋体" w:hAnsi="宋体" w:eastAsia="宋体" w:cs="宋体"/>
          <w:kern w:val="2"/>
          <w:sz w:val="24"/>
          <w:szCs w:val="24"/>
          <w:highlight w:val="none"/>
          <w:u w:val="single"/>
          <w:lang w:val="en-US" w:eastAsia="zh-CN" w:bidi="ar"/>
        </w:rPr>
        <w:t>（采购文件中明确的所属行业）</w:t>
      </w:r>
      <w:r>
        <w:rPr>
          <w:rFonts w:hint="eastAsia" w:ascii="宋体" w:hAnsi="宋体" w:eastAsia="宋体" w:cs="宋体"/>
          <w:kern w:val="2"/>
          <w:sz w:val="24"/>
          <w:szCs w:val="24"/>
          <w:highlight w:val="none"/>
          <w:lang w:val="en-US" w:eastAsia="zh-CN" w:bidi="ar"/>
        </w:rPr>
        <w:t>行业；制造商为</w:t>
      </w:r>
      <w:r>
        <w:rPr>
          <w:rFonts w:hint="eastAsia" w:ascii="宋体" w:hAnsi="宋体" w:eastAsia="宋体" w:cs="宋体"/>
          <w:kern w:val="2"/>
          <w:sz w:val="24"/>
          <w:szCs w:val="24"/>
          <w:highlight w:val="none"/>
          <w:u w:val="single"/>
          <w:lang w:val="en-US" w:eastAsia="zh-CN" w:bidi="ar"/>
        </w:rPr>
        <w:t>（企业名称）</w:t>
      </w:r>
      <w:r>
        <w:rPr>
          <w:rFonts w:hint="eastAsia" w:ascii="宋体" w:hAnsi="宋体" w:eastAsia="宋体" w:cs="宋体"/>
          <w:kern w:val="2"/>
          <w:sz w:val="24"/>
          <w:szCs w:val="24"/>
          <w:highlight w:val="none"/>
          <w:lang w:val="en-US" w:eastAsia="zh-CN" w:bidi="ar"/>
        </w:rPr>
        <w:t>，从业人员</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人，营业收入为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万元，资产总额为</w:t>
      </w:r>
      <w:r>
        <w:rPr>
          <w:rFonts w:hint="eastAsia" w:ascii="宋体" w:hAnsi="宋体" w:eastAsia="宋体" w:cs="@仿宋_GB2312"/>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万元，属于</w:t>
      </w:r>
      <w:r>
        <w:rPr>
          <w:rFonts w:hint="eastAsia" w:ascii="宋体" w:hAnsi="宋体" w:eastAsia="宋体" w:cs="宋体"/>
          <w:kern w:val="2"/>
          <w:sz w:val="24"/>
          <w:szCs w:val="24"/>
          <w:highlight w:val="none"/>
          <w:u w:val="single"/>
          <w:lang w:val="en-US" w:eastAsia="zh-CN" w:bidi="ar"/>
        </w:rPr>
        <w:t>（中型企业、小型企业、微型企业）</w:t>
      </w:r>
      <w:r>
        <w:rPr>
          <w:rFonts w:hint="eastAsia" w:ascii="宋体" w:hAnsi="宋体" w:eastAsia="宋体" w:cs="宋体"/>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 xml:space="preserve"> </w:t>
      </w:r>
    </w:p>
    <w:p w14:paraId="6CABEAD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w:t>
      </w:r>
    </w:p>
    <w:p w14:paraId="0B4CA83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以上企业，不属于大企业的分支机构，不存在控股股东为大企业的情形，也不存在与大企业的负责人为同一人的情形。</w:t>
      </w:r>
    </w:p>
    <w:p w14:paraId="5603A4C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kern w:val="2"/>
          <w:sz w:val="24"/>
          <w:szCs w:val="24"/>
          <w:highlight w:val="none"/>
          <w:lang w:val="en-US" w:eastAsia="zh-CN" w:bidi="ar"/>
        </w:rPr>
        <w:t xml:space="preserve"> </w:t>
      </w:r>
    </w:p>
    <w:p w14:paraId="037EDE2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55DE07E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4F2F8CE3">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仿宋_GB2312"/>
          <w:kern w:val="2"/>
          <w:sz w:val="24"/>
          <w:szCs w:val="24"/>
          <w:highlight w:val="none"/>
          <w:u w:val="single"/>
          <w:lang w:val="en-US" w:eastAsia="zh-CN" w:bidi="ar"/>
        </w:rPr>
        <w:t xml:space="preserve">             </w:t>
      </w:r>
    </w:p>
    <w:p w14:paraId="4ACDC615">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日</w:t>
      </w: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仿宋_GB2312"/>
          <w:kern w:val="2"/>
          <w:sz w:val="24"/>
          <w:szCs w:val="24"/>
          <w:highlight w:val="none"/>
          <w:u w:val="single"/>
          <w:lang w:val="en-US" w:eastAsia="zh-CN" w:bidi="ar"/>
        </w:rPr>
        <w:t xml:space="preserve">             </w:t>
      </w:r>
    </w:p>
    <w:p w14:paraId="46578D7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7934563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705A82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lang w:val="en-US" w:eastAsia="zh-CN" w:bidi="ar"/>
        </w:rPr>
      </w:pPr>
      <w:r>
        <w:rPr>
          <w:rFonts w:hint="eastAsia" w:ascii="宋体" w:hAnsi="宋体" w:eastAsia="宋体" w:cs="@仿宋_GB2312"/>
          <w:kern w:val="2"/>
          <w:sz w:val="24"/>
          <w:szCs w:val="24"/>
          <w:highlight w:val="none"/>
          <w:lang w:val="en-US" w:eastAsia="zh-CN" w:bidi="ar"/>
        </w:rPr>
        <w:t xml:space="preserve"> </w:t>
      </w:r>
    </w:p>
    <w:p w14:paraId="4ECF2E3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lang w:val="en-US" w:eastAsia="zh-CN" w:bidi="ar"/>
        </w:rPr>
      </w:pPr>
    </w:p>
    <w:p w14:paraId="48C097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lang w:val="en-US" w:eastAsia="zh-CN" w:bidi="ar"/>
        </w:rPr>
      </w:pPr>
    </w:p>
    <w:p w14:paraId="41392BD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lang w:val="en-US" w:eastAsia="zh-CN" w:bidi="ar"/>
        </w:rPr>
      </w:pPr>
    </w:p>
    <w:p w14:paraId="44D1254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447862B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190B0C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kern w:val="2"/>
          <w:sz w:val="21"/>
          <w:szCs w:val="21"/>
          <w:highlight w:val="none"/>
        </w:rPr>
      </w:pPr>
      <w:r>
        <w:rPr>
          <w:rFonts w:hint="eastAsia" w:ascii="宋体" w:hAnsi="宋体" w:eastAsia="宋体" w:cs="宋体"/>
          <w:b/>
          <w:bCs w:val="0"/>
          <w:kern w:val="2"/>
          <w:sz w:val="21"/>
          <w:szCs w:val="21"/>
          <w:highlight w:val="none"/>
          <w:lang w:val="en-US" w:eastAsia="zh-CN" w:bidi="ar"/>
        </w:rPr>
        <w:t>注：</w:t>
      </w:r>
    </w:p>
    <w:p w14:paraId="14585AE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kern w:val="2"/>
          <w:sz w:val="21"/>
          <w:szCs w:val="21"/>
          <w:highlight w:val="none"/>
        </w:rPr>
      </w:pPr>
      <w:r>
        <w:rPr>
          <w:rFonts w:hint="eastAsia" w:ascii="宋体" w:hAnsi="宋体" w:eastAsia="宋体" w:cs="@仿宋_GB2312"/>
          <w:kern w:val="2"/>
          <w:sz w:val="21"/>
          <w:szCs w:val="21"/>
          <w:highlight w:val="none"/>
          <w:lang w:val="en-US" w:eastAsia="zh-CN" w:bidi="ar"/>
        </w:rPr>
        <w:t>1.从业人员、营业收入、资产总额填报上一年数据，无上一年数据的新成立企业可不填报。</w:t>
      </w:r>
    </w:p>
    <w:p w14:paraId="62C670A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374A7A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3.上述“</w:t>
      </w:r>
      <w:r>
        <w:rPr>
          <w:rFonts w:hint="eastAsia" w:ascii="宋体" w:hAnsi="宋体" w:eastAsia="宋体" w:cs="宋体"/>
          <w:b/>
          <w:bCs/>
          <w:kern w:val="2"/>
          <w:sz w:val="21"/>
          <w:szCs w:val="21"/>
          <w:highlight w:val="none"/>
          <w:u w:val="single"/>
          <w:lang w:val="en-US" w:eastAsia="zh-CN" w:bidi="ar"/>
        </w:rPr>
        <w:t>标的名称</w:t>
      </w:r>
      <w:r>
        <w:rPr>
          <w:rFonts w:hint="eastAsia" w:ascii="宋体" w:hAnsi="宋体" w:eastAsia="宋体" w:cs="宋体"/>
          <w:b/>
          <w:bCs/>
          <w:kern w:val="2"/>
          <w:sz w:val="21"/>
          <w:szCs w:val="21"/>
          <w:highlight w:val="none"/>
          <w:lang w:val="en-US" w:eastAsia="zh-CN" w:bidi="ar"/>
        </w:rPr>
        <w:t>”，详见第三章采购需求中明确的“货物名称”。</w:t>
      </w:r>
    </w:p>
    <w:p w14:paraId="2EFA9D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4.上述“</w:t>
      </w:r>
      <w:r>
        <w:rPr>
          <w:rFonts w:hint="eastAsia" w:ascii="宋体" w:hAnsi="宋体" w:eastAsia="宋体" w:cs="宋体"/>
          <w:b/>
          <w:bCs/>
          <w:kern w:val="2"/>
          <w:sz w:val="21"/>
          <w:szCs w:val="21"/>
          <w:highlight w:val="none"/>
          <w:u w:val="single"/>
          <w:lang w:val="en-US" w:eastAsia="zh-CN" w:bidi="ar"/>
        </w:rPr>
        <w:t>采购文件中明确的所属行业</w:t>
      </w:r>
      <w:r>
        <w:rPr>
          <w:rFonts w:hint="eastAsia" w:ascii="宋体" w:hAnsi="宋体" w:eastAsia="宋体" w:cs="宋体"/>
          <w:b/>
          <w:bCs/>
          <w:kern w:val="2"/>
          <w:sz w:val="21"/>
          <w:szCs w:val="21"/>
          <w:highlight w:val="none"/>
          <w:lang w:val="en-US" w:eastAsia="zh-CN" w:bidi="ar"/>
        </w:rPr>
        <w:t>”，详见第三章采购需求中明确的“所属行业”。</w:t>
      </w:r>
    </w:p>
    <w:p w14:paraId="3A4F195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5．填写示例：</w:t>
      </w:r>
      <w:r>
        <w:rPr>
          <w:rFonts w:hint="eastAsia" w:ascii="宋体" w:hAnsi="宋体" w:eastAsia="宋体" w:cs="宋体"/>
          <w:b/>
          <w:bCs/>
          <w:kern w:val="2"/>
          <w:sz w:val="21"/>
          <w:szCs w:val="21"/>
          <w:highlight w:val="none"/>
          <w:u w:val="single"/>
          <w:lang w:val="en-US" w:eastAsia="zh-CN" w:bidi="ar"/>
        </w:rPr>
        <w:t>某设备</w:t>
      </w:r>
      <w:r>
        <w:rPr>
          <w:rFonts w:hint="eastAsia" w:ascii="宋体" w:hAnsi="宋体" w:eastAsia="宋体" w:cs="宋体"/>
          <w:b/>
          <w:bCs/>
          <w:kern w:val="2"/>
          <w:sz w:val="21"/>
          <w:szCs w:val="21"/>
          <w:highlight w:val="none"/>
          <w:lang w:val="en-US" w:eastAsia="zh-CN" w:bidi="ar"/>
        </w:rPr>
        <w:t>，属于</w:t>
      </w:r>
      <w:r>
        <w:rPr>
          <w:rFonts w:hint="eastAsia" w:ascii="宋体" w:hAnsi="宋体" w:eastAsia="宋体" w:cs="宋体"/>
          <w:b/>
          <w:bCs/>
          <w:kern w:val="2"/>
          <w:sz w:val="21"/>
          <w:szCs w:val="21"/>
          <w:highlight w:val="none"/>
          <w:u w:val="single"/>
          <w:lang w:val="en-US" w:eastAsia="zh-CN" w:bidi="ar"/>
        </w:rPr>
        <w:t>（填写第三章采购需求中对应货物的“所属行业”，如工业）</w:t>
      </w:r>
      <w:r>
        <w:rPr>
          <w:rFonts w:hint="eastAsia" w:ascii="宋体" w:hAnsi="宋体" w:eastAsia="宋体" w:cs="宋体"/>
          <w:b/>
          <w:bCs/>
          <w:kern w:val="2"/>
          <w:sz w:val="21"/>
          <w:szCs w:val="21"/>
          <w:highlight w:val="none"/>
          <w:lang w:val="en-US" w:eastAsia="zh-CN" w:bidi="ar"/>
        </w:rPr>
        <w:t>行业；承接企业为</w:t>
      </w:r>
      <w:r>
        <w:rPr>
          <w:rFonts w:hint="eastAsia" w:ascii="宋体" w:hAnsi="宋体" w:eastAsia="宋体" w:cs="宋体"/>
          <w:b/>
          <w:bCs/>
          <w:kern w:val="2"/>
          <w:sz w:val="21"/>
          <w:szCs w:val="21"/>
          <w:highlight w:val="none"/>
          <w:u w:val="single"/>
          <w:lang w:val="en-US" w:eastAsia="zh-CN" w:bidi="ar"/>
        </w:rPr>
        <w:t>某企业</w:t>
      </w:r>
      <w:r>
        <w:rPr>
          <w:rFonts w:hint="eastAsia" w:ascii="宋体" w:hAnsi="宋体" w:eastAsia="宋体" w:cs="宋体"/>
          <w:b/>
          <w:bCs/>
          <w:kern w:val="2"/>
          <w:sz w:val="21"/>
          <w:szCs w:val="21"/>
          <w:highlight w:val="none"/>
          <w:lang w:val="en-US" w:eastAsia="zh-CN" w:bidi="ar"/>
        </w:rPr>
        <w:t>，从业人员</w:t>
      </w:r>
      <w:r>
        <w:rPr>
          <w:rFonts w:hint="eastAsia" w:ascii="宋体" w:hAnsi="宋体" w:eastAsia="宋体" w:cs="宋体"/>
          <w:b/>
          <w:bCs/>
          <w:kern w:val="2"/>
          <w:sz w:val="21"/>
          <w:szCs w:val="21"/>
          <w:highlight w:val="none"/>
          <w:u w:val="single"/>
          <w:lang w:val="en-US" w:eastAsia="zh-CN" w:bidi="ar"/>
        </w:rPr>
        <w:t>100</w:t>
      </w:r>
      <w:r>
        <w:rPr>
          <w:rFonts w:hint="eastAsia" w:ascii="宋体" w:hAnsi="宋体" w:eastAsia="宋体" w:cs="宋体"/>
          <w:b/>
          <w:bCs/>
          <w:kern w:val="2"/>
          <w:sz w:val="21"/>
          <w:szCs w:val="21"/>
          <w:highlight w:val="none"/>
          <w:lang w:val="en-US" w:eastAsia="zh-CN" w:bidi="ar"/>
        </w:rPr>
        <w:t>人，营业收入为</w:t>
      </w:r>
      <w:r>
        <w:rPr>
          <w:rFonts w:hint="eastAsia" w:ascii="宋体" w:hAnsi="宋体" w:eastAsia="宋体" w:cs="宋体"/>
          <w:b/>
          <w:bCs/>
          <w:kern w:val="2"/>
          <w:sz w:val="21"/>
          <w:szCs w:val="21"/>
          <w:highlight w:val="none"/>
          <w:u w:val="single"/>
          <w:lang w:val="en-US" w:eastAsia="zh-CN" w:bidi="ar"/>
        </w:rPr>
        <w:t>10000</w:t>
      </w:r>
      <w:r>
        <w:rPr>
          <w:rFonts w:hint="eastAsia" w:ascii="宋体" w:hAnsi="宋体" w:eastAsia="宋体" w:cs="宋体"/>
          <w:b/>
          <w:bCs/>
          <w:kern w:val="2"/>
          <w:sz w:val="21"/>
          <w:szCs w:val="21"/>
          <w:highlight w:val="none"/>
          <w:lang w:val="en-US" w:eastAsia="zh-CN" w:bidi="ar"/>
        </w:rPr>
        <w:t>万元，资产总额为</w:t>
      </w:r>
      <w:r>
        <w:rPr>
          <w:rFonts w:hint="eastAsia" w:ascii="宋体" w:hAnsi="宋体" w:eastAsia="宋体" w:cs="宋体"/>
          <w:b/>
          <w:bCs/>
          <w:kern w:val="2"/>
          <w:sz w:val="21"/>
          <w:szCs w:val="21"/>
          <w:highlight w:val="none"/>
          <w:u w:val="single"/>
          <w:lang w:val="en-US" w:eastAsia="zh-CN" w:bidi="ar"/>
        </w:rPr>
        <w:t>5000</w:t>
      </w:r>
      <w:r>
        <w:rPr>
          <w:rFonts w:hint="eastAsia" w:ascii="宋体" w:hAnsi="宋体" w:eastAsia="宋体" w:cs="宋体"/>
          <w:b/>
          <w:bCs/>
          <w:kern w:val="2"/>
          <w:sz w:val="21"/>
          <w:szCs w:val="21"/>
          <w:highlight w:val="none"/>
          <w:lang w:val="en-US" w:eastAsia="zh-CN" w:bidi="ar"/>
        </w:rPr>
        <w:t>万元，属于</w:t>
      </w:r>
      <w:r>
        <w:rPr>
          <w:rFonts w:hint="eastAsia" w:ascii="宋体" w:hAnsi="宋体" w:eastAsia="宋体" w:cs="宋体"/>
          <w:b/>
          <w:bCs/>
          <w:kern w:val="2"/>
          <w:sz w:val="21"/>
          <w:szCs w:val="21"/>
          <w:highlight w:val="none"/>
          <w:u w:val="single"/>
          <w:lang w:val="en-US" w:eastAsia="zh-CN" w:bidi="ar"/>
        </w:rPr>
        <w:t>小型</w:t>
      </w:r>
      <w:r>
        <w:rPr>
          <w:rFonts w:hint="eastAsia" w:ascii="宋体" w:hAnsi="宋体" w:eastAsia="宋体" w:cs="宋体"/>
          <w:b/>
          <w:bCs/>
          <w:kern w:val="2"/>
          <w:sz w:val="21"/>
          <w:szCs w:val="21"/>
          <w:highlight w:val="none"/>
          <w:lang w:val="en-US" w:eastAsia="zh-CN" w:bidi="ar"/>
        </w:rPr>
        <w:t>企业[投标人自行登录工业和信息化部官网进行中小企业规模类型自测（查询网址https://www.miit.gov.cn/）]。</w:t>
      </w:r>
    </w:p>
    <w:p w14:paraId="1392F677">
      <w:pPr>
        <w:spacing w:line="360" w:lineRule="auto"/>
        <w:jc w:val="center"/>
        <w:outlineLvl w:val="1"/>
        <w:rPr>
          <w:rFonts w:hint="eastAsia" w:asciiTheme="minorEastAsia" w:hAnsiTheme="minorEastAsia" w:eastAsiaTheme="minorEastAsia"/>
          <w:b/>
          <w:color w:val="auto"/>
          <w:sz w:val="24"/>
          <w:highlight w:val="none"/>
        </w:rPr>
      </w:pPr>
    </w:p>
    <w:p w14:paraId="6D80419E">
      <w:pPr>
        <w:spacing w:line="360" w:lineRule="auto"/>
        <w:jc w:val="center"/>
        <w:outlineLvl w:val="1"/>
        <w:rPr>
          <w:rFonts w:hint="eastAsia" w:asciiTheme="minorEastAsia" w:hAnsiTheme="minorEastAsia" w:eastAsiaTheme="minorEastAsia"/>
          <w:b/>
          <w:color w:val="auto"/>
          <w:sz w:val="24"/>
          <w:highlight w:val="none"/>
        </w:rPr>
      </w:pPr>
    </w:p>
    <w:p w14:paraId="033166B2">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3DF56FF0">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lang w:eastAsia="zh-CN"/>
        </w:rPr>
        <w:t>）残疾人福利性单位声明函</w:t>
      </w:r>
    </w:p>
    <w:p w14:paraId="0D5A5258">
      <w:pPr>
        <w:pStyle w:val="20"/>
        <w:keepNext w:val="0"/>
        <w:keepLines w:val="0"/>
        <w:widowControl w:val="0"/>
        <w:suppressLineNumbers w:val="0"/>
        <w:autoSpaceDE w:val="0"/>
        <w:autoSpaceDN/>
        <w:spacing w:before="0" w:beforeAutospacing="1" w:after="120" w:afterAutospacing="0" w:line="360" w:lineRule="auto"/>
        <w:ind w:left="0" w:right="0"/>
        <w:jc w:val="center"/>
        <w:rPr>
          <w:rFonts w:hint="eastAsia" w:ascii="宋体" w:hAnsi="宋体" w:eastAsia="宋体" w:cs="@微软简标宋"/>
          <w:b w:val="0"/>
          <w:i/>
          <w:iCs w:val="0"/>
          <w:kern w:val="2"/>
          <w:sz w:val="24"/>
          <w:szCs w:val="24"/>
          <w:highlight w:val="none"/>
        </w:rPr>
      </w:pPr>
      <w:r>
        <w:rPr>
          <w:rFonts w:hint="eastAsia" w:ascii="宋体" w:hAnsi="宋体" w:eastAsia="宋体" w:cs="宋体"/>
          <w:b w:val="0"/>
          <w:i/>
          <w:iCs w:val="0"/>
          <w:kern w:val="2"/>
          <w:sz w:val="24"/>
          <w:szCs w:val="24"/>
          <w:highlight w:val="none"/>
          <w:lang w:val="en-US" w:eastAsia="zh-CN" w:bidi="ar"/>
        </w:rPr>
        <w:t>（非残疾人福利性单位投标，请删去“残疾人福利性单位声明函”）</w:t>
      </w:r>
    </w:p>
    <w:p w14:paraId="138B949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spacing w:val="6"/>
          <w:kern w:val="2"/>
          <w:sz w:val="24"/>
          <w:szCs w:val="24"/>
          <w:highlight w:val="none"/>
        </w:rPr>
      </w:pPr>
      <w:r>
        <w:rPr>
          <w:rFonts w:hint="eastAsia" w:ascii="宋体" w:hAnsi="宋体" w:eastAsia="宋体" w:cs="宋体"/>
          <w:spacing w:val="6"/>
          <w:kern w:val="2"/>
          <w:sz w:val="24"/>
          <w:szCs w:val="24"/>
          <w:highlight w:val="none"/>
          <w:lang w:val="en-US" w:eastAsia="zh-CN" w:bidi="ar"/>
        </w:rPr>
        <w:t>本单位</w:t>
      </w:r>
      <w:r>
        <w:rPr>
          <w:rFonts w:hint="eastAsia" w:ascii="宋体" w:hAnsi="宋体" w:eastAsia="宋体" w:cs="宋体"/>
          <w:kern w:val="2"/>
          <w:sz w:val="24"/>
          <w:szCs w:val="24"/>
          <w:highlight w:val="none"/>
          <w:lang w:val="en-US" w:eastAsia="zh-CN" w:bidi="ar"/>
        </w:rPr>
        <w:t>郑重</w:t>
      </w:r>
      <w:r>
        <w:rPr>
          <w:rFonts w:hint="eastAsia" w:ascii="宋体" w:hAnsi="宋体" w:eastAsia="宋体" w:cs="宋体"/>
          <w:spacing w:val="6"/>
          <w:kern w:val="2"/>
          <w:sz w:val="24"/>
          <w:szCs w:val="24"/>
          <w:highlight w:val="none"/>
          <w:lang w:val="en-US" w:eastAsia="zh-CN" w:bidi="ar"/>
        </w:rPr>
        <w:t>声明，根据《财政部</w:t>
      </w:r>
      <w:r>
        <w:rPr>
          <w:rFonts w:hint="eastAsia" w:ascii="宋体" w:hAnsi="宋体" w:eastAsia="宋体" w:cs="@仿宋_GB2312"/>
          <w:spacing w:val="6"/>
          <w:kern w:val="2"/>
          <w:sz w:val="24"/>
          <w:szCs w:val="24"/>
          <w:highlight w:val="none"/>
          <w:lang w:val="en-US" w:eastAsia="zh-CN" w:bidi="ar"/>
        </w:rPr>
        <w:t xml:space="preserve"> </w:t>
      </w:r>
      <w:r>
        <w:rPr>
          <w:rFonts w:hint="eastAsia" w:ascii="宋体" w:hAnsi="宋体" w:eastAsia="宋体" w:cs="宋体"/>
          <w:spacing w:val="6"/>
          <w:kern w:val="2"/>
          <w:sz w:val="24"/>
          <w:szCs w:val="24"/>
          <w:highlight w:val="none"/>
          <w:lang w:val="en-US" w:eastAsia="zh-CN" w:bidi="ar"/>
        </w:rPr>
        <w:t>民政部</w:t>
      </w:r>
      <w:r>
        <w:rPr>
          <w:rFonts w:hint="eastAsia" w:ascii="宋体" w:hAnsi="宋体" w:eastAsia="宋体" w:cs="@仿宋_GB2312"/>
          <w:spacing w:val="6"/>
          <w:kern w:val="2"/>
          <w:sz w:val="24"/>
          <w:szCs w:val="24"/>
          <w:highlight w:val="none"/>
          <w:lang w:val="en-US" w:eastAsia="zh-CN" w:bidi="ar"/>
        </w:rPr>
        <w:t xml:space="preserve"> </w:t>
      </w:r>
      <w:r>
        <w:rPr>
          <w:rFonts w:hint="eastAsia" w:ascii="宋体" w:hAnsi="宋体" w:eastAsia="宋体" w:cs="宋体"/>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kern w:val="2"/>
          <w:sz w:val="24"/>
          <w:szCs w:val="24"/>
          <w:highlight w:val="none"/>
          <w:lang w:val="en-US" w:eastAsia="zh-CN" w:bidi="ar"/>
        </w:rPr>
        <w:t>〔2017〕141</w:t>
      </w:r>
      <w:r>
        <w:rPr>
          <w:rFonts w:hint="eastAsia" w:ascii="宋体" w:hAnsi="宋体" w:eastAsia="宋体" w:cs="宋体"/>
          <w:spacing w:val="6"/>
          <w:kern w:val="2"/>
          <w:sz w:val="24"/>
          <w:szCs w:val="24"/>
          <w:highlight w:val="none"/>
          <w:lang w:val="en-US" w:eastAsia="zh-CN" w:bidi="ar"/>
        </w:rPr>
        <w:t>号）的规定，本单位为</w:t>
      </w:r>
      <w:r>
        <w:rPr>
          <w:rFonts w:hint="eastAsia" w:ascii="宋体" w:hAnsi="宋体" w:eastAsia="宋体" w:cs="宋体"/>
          <w:bCs/>
          <w:kern w:val="2"/>
          <w:sz w:val="24"/>
          <w:szCs w:val="24"/>
          <w:highlight w:val="none"/>
          <w:lang w:val="en-US" w:eastAsia="zh-CN" w:bidi="ar"/>
        </w:rPr>
        <w:t>符合</w:t>
      </w:r>
      <w:r>
        <w:rPr>
          <w:rFonts w:hint="eastAsia" w:ascii="宋体" w:hAnsi="宋体" w:eastAsia="宋体" w:cs="宋体"/>
          <w:spacing w:val="6"/>
          <w:kern w:val="2"/>
          <w:sz w:val="24"/>
          <w:szCs w:val="24"/>
          <w:highlight w:val="none"/>
          <w:lang w:val="en-US" w:eastAsia="zh-CN" w:bidi="ar"/>
        </w:rPr>
        <w:t>条件的残疾人福利性单位，且本单位参加</w:t>
      </w:r>
      <w:r>
        <w:rPr>
          <w:rFonts w:hint="eastAsia" w:ascii="宋体" w:hAnsi="宋体" w:eastAsia="宋体" w:cs="@仿宋_GB2312"/>
          <w:spacing w:val="6"/>
          <w:kern w:val="2"/>
          <w:sz w:val="24"/>
          <w:szCs w:val="24"/>
          <w:highlight w:val="none"/>
          <w:u w:val="single"/>
          <w:lang w:val="en-US" w:eastAsia="zh-CN" w:bidi="ar"/>
        </w:rPr>
        <w:t xml:space="preserve">      </w:t>
      </w:r>
      <w:r>
        <w:rPr>
          <w:rFonts w:hint="eastAsia" w:ascii="宋体" w:hAnsi="宋体" w:eastAsia="宋体" w:cs="宋体"/>
          <w:spacing w:val="6"/>
          <w:kern w:val="2"/>
          <w:sz w:val="24"/>
          <w:szCs w:val="24"/>
          <w:highlight w:val="none"/>
          <w:lang w:val="en-US" w:eastAsia="zh-CN" w:bidi="ar"/>
        </w:rPr>
        <w:t>单位的</w:t>
      </w:r>
      <w:r>
        <w:rPr>
          <w:rFonts w:hint="eastAsia" w:ascii="宋体" w:hAnsi="宋体" w:eastAsia="宋体" w:cs="@仿宋_GB2312"/>
          <w:spacing w:val="6"/>
          <w:kern w:val="2"/>
          <w:sz w:val="24"/>
          <w:szCs w:val="24"/>
          <w:highlight w:val="none"/>
          <w:u w:val="single"/>
          <w:lang w:val="en-US" w:eastAsia="zh-CN" w:bidi="ar"/>
        </w:rPr>
        <w:t xml:space="preserve">      </w:t>
      </w:r>
      <w:r>
        <w:rPr>
          <w:rFonts w:hint="eastAsia" w:ascii="宋体" w:hAnsi="宋体" w:eastAsia="宋体" w:cs="宋体"/>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3069874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spacing w:val="6"/>
          <w:kern w:val="2"/>
          <w:sz w:val="24"/>
          <w:szCs w:val="24"/>
          <w:highlight w:val="none"/>
        </w:rPr>
      </w:pPr>
      <w:r>
        <w:rPr>
          <w:rFonts w:hint="eastAsia" w:ascii="宋体" w:hAnsi="宋体" w:eastAsia="宋体" w:cs="宋体"/>
          <w:spacing w:val="6"/>
          <w:kern w:val="2"/>
          <w:sz w:val="24"/>
          <w:szCs w:val="24"/>
          <w:highlight w:val="none"/>
          <w:lang w:val="en-US" w:eastAsia="zh-CN" w:bidi="ar"/>
        </w:rPr>
        <w:t>本单位对上述声明的真实性负责。如有虚假，将依法承担相应责任。</w:t>
      </w:r>
    </w:p>
    <w:p w14:paraId="58AA7DBC">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2687E26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 xml:space="preserve"> </w:t>
      </w:r>
    </w:p>
    <w:p w14:paraId="0D94B183">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仿宋_GB2312"/>
          <w:kern w:val="2"/>
          <w:sz w:val="24"/>
          <w:szCs w:val="24"/>
          <w:highlight w:val="none"/>
          <w:u w:val="single"/>
          <w:lang w:val="en-US" w:eastAsia="zh-CN" w:bidi="ar"/>
        </w:rPr>
        <w:t xml:space="preserve">             </w:t>
      </w:r>
    </w:p>
    <w:p w14:paraId="3B8E4E71">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日</w:t>
      </w: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仿宋_GB2312"/>
          <w:kern w:val="2"/>
          <w:sz w:val="24"/>
          <w:szCs w:val="24"/>
          <w:highlight w:val="none"/>
          <w:u w:val="single"/>
          <w:lang w:val="en-US" w:eastAsia="zh-CN" w:bidi="ar"/>
        </w:rPr>
        <w:t xml:space="preserve">             </w:t>
      </w:r>
    </w:p>
    <w:p w14:paraId="7FFA666E">
      <w:pPr>
        <w:spacing w:line="360" w:lineRule="auto"/>
        <w:jc w:val="center"/>
        <w:outlineLvl w:val="1"/>
        <w:rPr>
          <w:rFonts w:hint="eastAsia" w:asciiTheme="minorEastAsia" w:hAnsiTheme="minorEastAsia" w:eastAsiaTheme="minorEastAsia"/>
          <w:b/>
          <w:color w:val="auto"/>
          <w:sz w:val="24"/>
          <w:highlight w:val="none"/>
        </w:rPr>
      </w:pPr>
    </w:p>
    <w:p w14:paraId="61ADE7F2">
      <w:pPr>
        <w:spacing w:line="360" w:lineRule="auto"/>
        <w:jc w:val="center"/>
        <w:outlineLvl w:val="1"/>
        <w:rPr>
          <w:rFonts w:hint="eastAsia" w:asciiTheme="minorEastAsia" w:hAnsiTheme="minorEastAsia" w:eastAsiaTheme="minorEastAsia"/>
          <w:b/>
          <w:color w:val="auto"/>
          <w:sz w:val="24"/>
          <w:highlight w:val="none"/>
        </w:rPr>
      </w:pPr>
    </w:p>
    <w:p w14:paraId="6F67B1EA">
      <w:pPr>
        <w:numPr>
          <w:ilvl w:val="0"/>
          <w:numId w:val="13"/>
        </w:numPr>
        <w:jc w:val="center"/>
        <w:rPr>
          <w:rFonts w:hint="eastAsia" w:asciiTheme="minorEastAsia" w:hAnsiTheme="minorEastAsia" w:eastAsiaTheme="minorEastAsia"/>
          <w:b/>
          <w:sz w:val="24"/>
          <w:lang w:val="en-US" w:eastAsia="zh-CN"/>
        </w:rPr>
      </w:pPr>
      <w:r>
        <w:rPr>
          <w:rFonts w:hint="eastAsia" w:asciiTheme="minorEastAsia" w:hAnsiTheme="minorEastAsia" w:eastAsiaTheme="minorEastAsia"/>
          <w:b/>
          <w:color w:val="auto"/>
          <w:sz w:val="24"/>
          <w:highlight w:val="none"/>
          <w:lang w:eastAsia="zh-CN"/>
        </w:rPr>
        <w:br w:type="page"/>
      </w:r>
      <w:r>
        <w:rPr>
          <w:rFonts w:hint="eastAsia" w:asciiTheme="minorEastAsia" w:hAnsiTheme="minorEastAsia" w:eastAsiaTheme="minorEastAsia"/>
          <w:b/>
          <w:sz w:val="24"/>
          <w:lang w:val="en-US" w:eastAsia="zh-CN"/>
        </w:rPr>
        <w:t>无缝对接承诺函</w:t>
      </w:r>
    </w:p>
    <w:p w14:paraId="4E72F546">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kern w:val="2"/>
          <w:sz w:val="24"/>
          <w:szCs w:val="24"/>
          <w:highlight w:val="none"/>
          <w:lang w:val="en-US" w:eastAsia="zh-CN" w:bidi="ar"/>
        </w:rPr>
      </w:pPr>
    </w:p>
    <w:p w14:paraId="10C3BAAF">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致：凤阳县公安局交通管理大队</w:t>
      </w:r>
    </w:p>
    <w:p w14:paraId="2E1A22AC">
      <w:pPr>
        <w:keepNext w:val="0"/>
        <w:keepLines w:val="0"/>
        <w:widowControl w:val="0"/>
        <w:suppressLineNumbers w:val="0"/>
        <w:spacing w:before="0" w:beforeAutospacing="0" w:after="0" w:afterAutospacing="0" w:line="360" w:lineRule="auto"/>
        <w:ind w:left="0" w:right="0" w:firstLine="435"/>
        <w:jc w:val="both"/>
        <w:rPr>
          <w:rFonts w:hint="default"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本公司针对</w:t>
      </w:r>
      <w:r>
        <w:rPr>
          <w:rFonts w:hint="eastAsia" w:ascii="宋体" w:hAnsi="宋体" w:eastAsia="宋体" w:cs="宋体"/>
          <w:bCs/>
          <w:kern w:val="2"/>
          <w:sz w:val="24"/>
          <w:szCs w:val="24"/>
          <w:highlight w:val="none"/>
          <w:u w:val="single"/>
          <w:lang w:val="en-US" w:eastAsia="zh-CN" w:bidi="ar"/>
        </w:rPr>
        <w:t xml:space="preserve">                    </w:t>
      </w:r>
      <w:r>
        <w:rPr>
          <w:rFonts w:hint="eastAsia" w:ascii="宋体" w:hAnsi="宋体" w:eastAsia="宋体" w:cs="宋体"/>
          <w:bCs/>
          <w:kern w:val="2"/>
          <w:sz w:val="24"/>
          <w:szCs w:val="24"/>
          <w:highlight w:val="none"/>
          <w:lang w:val="en-US" w:eastAsia="zh-CN" w:bidi="ar"/>
        </w:rPr>
        <w:t>（项目名称、项目编号）招标文件中的要求，做出承诺如下：</w:t>
      </w:r>
    </w:p>
    <w:p w14:paraId="541BC943">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1.我司所提供的电警、卡口、监控、违停球机设备能够无缝对接凤阳县公安局交通管理大队智能交通管控平台，能够接受统一纳入管理及其他调度且备案成功。</w:t>
      </w:r>
    </w:p>
    <w:p w14:paraId="3397293A">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2.我司所提供的信号机设备能够无缝对接凤阳县公安局交通管理大队现有系统，能够配合对接上传及完成上级检查考核要求，能够接受统一纳入管理及其他调度且备案成功。</w:t>
      </w:r>
    </w:p>
    <w:p w14:paraId="0CAD35A9">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3.我司所提供的信号灯动态检测系统（智能交通设备监测系统）能够无缝对接凤阳县公安局交通管理大队现有系统平台，能够配合对接上传及完成上级检查考核要求，能够接受统一纳入管理及其他调度且备案成功。</w:t>
      </w:r>
    </w:p>
    <w:p w14:paraId="7B1DEA4A">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4.我司所提供的48盘位云存储服务器、云存储管理平台（软硬件）系统设备能够无缝对接凤阳县公安局交通管理大队现有云存储系统，能够接受统一纳入管理及其他调度且备案成功。</w:t>
      </w:r>
    </w:p>
    <w:p w14:paraId="4A5ECCFC">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5.我司所提供的核心交换机新增加的业务板卡可与现有的核心交换机直接适耦合配使用，支持热插拔，能够接受统一纳入管理及其他调度且备案成功。</w:t>
      </w:r>
    </w:p>
    <w:p w14:paraId="6687344B">
      <w:pPr>
        <w:keepNext w:val="0"/>
        <w:keepLines w:val="0"/>
        <w:widowControl w:val="0"/>
        <w:suppressLineNumbers w:val="0"/>
        <w:spacing w:before="0" w:beforeAutospacing="0" w:after="0" w:afterAutospacing="0" w:line="360" w:lineRule="auto"/>
        <w:ind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否则将承担由此引起的一切后果和相应的法律责任。特此承诺！</w:t>
      </w:r>
    </w:p>
    <w:p w14:paraId="755307AD">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bCs/>
          <w:kern w:val="2"/>
          <w:sz w:val="24"/>
          <w:szCs w:val="24"/>
          <w:highlight w:val="none"/>
          <w:lang w:val="en-US" w:eastAsia="zh-CN" w:bidi="ar"/>
        </w:rPr>
      </w:pPr>
    </w:p>
    <w:p w14:paraId="333C1F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kern w:val="2"/>
          <w:sz w:val="24"/>
          <w:szCs w:val="24"/>
          <w:highlight w:val="none"/>
          <w:u w:val="single"/>
          <w:lang w:val="en-US" w:eastAsia="zh-CN" w:bidi="ar"/>
        </w:rPr>
      </w:pPr>
      <w:r>
        <w:rPr>
          <w:rFonts w:hint="eastAsia" w:ascii="宋体" w:hAnsi="宋体" w:eastAsia="宋体" w:cs="宋体"/>
          <w:bCs/>
          <w:kern w:val="2"/>
          <w:sz w:val="24"/>
          <w:szCs w:val="24"/>
          <w:highlight w:val="none"/>
          <w:lang w:val="en-US" w:eastAsia="zh-CN" w:bidi="ar"/>
        </w:rPr>
        <w:t xml:space="preserve">                    投标人电子签章：</w:t>
      </w:r>
      <w:r>
        <w:rPr>
          <w:rFonts w:hint="eastAsia" w:ascii="宋体" w:hAnsi="宋体" w:eastAsia="宋体" w:cs="@仿宋_GB2312"/>
          <w:bCs/>
          <w:kern w:val="2"/>
          <w:sz w:val="24"/>
          <w:szCs w:val="24"/>
          <w:highlight w:val="none"/>
          <w:u w:val="single"/>
          <w:lang w:val="en-US" w:eastAsia="zh-CN" w:bidi="ar"/>
        </w:rPr>
        <w:t xml:space="preserve">            </w:t>
      </w:r>
    </w:p>
    <w:p w14:paraId="343D40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kern w:val="2"/>
          <w:sz w:val="24"/>
          <w:szCs w:val="24"/>
          <w:highlight w:val="none"/>
          <w:u w:val="single"/>
          <w:lang w:val="en-US" w:eastAsia="zh-CN" w:bidi="ar"/>
        </w:rPr>
      </w:pPr>
      <w:r>
        <w:rPr>
          <w:rFonts w:hint="eastAsia" w:ascii="宋体" w:hAnsi="宋体" w:eastAsia="宋体" w:cs="宋体"/>
          <w:bCs/>
          <w:kern w:val="2"/>
          <w:sz w:val="24"/>
          <w:szCs w:val="24"/>
          <w:highlight w:val="none"/>
          <w:lang w:val="en-US" w:eastAsia="zh-CN" w:bidi="ar"/>
        </w:rPr>
        <w:t xml:space="preserve">                        法定代表人（签章）：</w:t>
      </w:r>
      <w:r>
        <w:rPr>
          <w:rFonts w:hint="eastAsia" w:ascii="宋体" w:hAnsi="宋体" w:eastAsia="宋体" w:cs="宋体"/>
          <w:bCs/>
          <w:kern w:val="2"/>
          <w:sz w:val="24"/>
          <w:szCs w:val="24"/>
          <w:highlight w:val="none"/>
          <w:u w:val="single"/>
          <w:lang w:val="en-US" w:eastAsia="zh-CN" w:bidi="ar"/>
        </w:rPr>
        <w:t xml:space="preserve">        </w:t>
      </w:r>
    </w:p>
    <w:p w14:paraId="55561E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 xml:space="preserve">                          日期：    年  月   日</w:t>
      </w:r>
    </w:p>
    <w:p w14:paraId="171D5E5E">
      <w:pPr>
        <w:widowControl w:val="0"/>
        <w:numPr>
          <w:ilvl w:val="0"/>
          <w:numId w:val="0"/>
        </w:numPr>
        <w:jc w:val="center"/>
        <w:rPr>
          <w:rFonts w:hint="eastAsia" w:asciiTheme="minorEastAsia" w:hAnsiTheme="minorEastAsia" w:eastAsiaTheme="minorEastAsia"/>
          <w:b/>
          <w:sz w:val="24"/>
          <w:lang w:val="en-US" w:eastAsia="zh-CN"/>
        </w:rPr>
      </w:pPr>
    </w:p>
    <w:p w14:paraId="7F713C7C">
      <w:pPr>
        <w:widowControl w:val="0"/>
        <w:numPr>
          <w:ilvl w:val="0"/>
          <w:numId w:val="0"/>
        </w:numPr>
        <w:jc w:val="center"/>
        <w:rPr>
          <w:rFonts w:hint="eastAsia" w:asciiTheme="minorEastAsia" w:hAnsiTheme="minorEastAsia" w:eastAsiaTheme="minorEastAsia"/>
          <w:b/>
          <w:sz w:val="24"/>
          <w:lang w:val="en-US" w:eastAsia="zh-CN"/>
        </w:rPr>
      </w:pPr>
    </w:p>
    <w:p w14:paraId="758039CD">
      <w:pPr>
        <w:widowControl w:val="0"/>
        <w:numPr>
          <w:ilvl w:val="0"/>
          <w:numId w:val="0"/>
        </w:numPr>
        <w:jc w:val="center"/>
        <w:rPr>
          <w:rFonts w:hint="eastAsia" w:asciiTheme="minorEastAsia" w:hAnsiTheme="minorEastAsia" w:eastAsiaTheme="minorEastAsia"/>
          <w:b/>
          <w:sz w:val="24"/>
          <w:lang w:val="en-US" w:eastAsia="zh-CN"/>
        </w:rPr>
      </w:pPr>
    </w:p>
    <w:p w14:paraId="15807582">
      <w:pPr>
        <w:widowControl w:val="0"/>
        <w:numPr>
          <w:ilvl w:val="0"/>
          <w:numId w:val="0"/>
        </w:numPr>
        <w:jc w:val="center"/>
        <w:rPr>
          <w:rFonts w:hint="eastAsia" w:asciiTheme="minorEastAsia" w:hAnsiTheme="minorEastAsia" w:eastAsiaTheme="minorEastAsia"/>
          <w:b/>
          <w:sz w:val="24"/>
          <w:lang w:val="en-US" w:eastAsia="zh-CN"/>
        </w:rPr>
      </w:pPr>
    </w:p>
    <w:p w14:paraId="63A39141">
      <w:pPr>
        <w:widowControl w:val="0"/>
        <w:numPr>
          <w:ilvl w:val="0"/>
          <w:numId w:val="0"/>
        </w:numPr>
        <w:jc w:val="center"/>
        <w:rPr>
          <w:rFonts w:hint="eastAsia" w:asciiTheme="minorEastAsia" w:hAnsiTheme="minorEastAsia" w:eastAsiaTheme="minorEastAsia"/>
          <w:b/>
          <w:sz w:val="24"/>
          <w:lang w:val="en-US" w:eastAsia="zh-CN"/>
        </w:rPr>
      </w:pPr>
    </w:p>
    <w:p w14:paraId="7523DFE9">
      <w:pPr>
        <w:widowControl w:val="0"/>
        <w:numPr>
          <w:ilvl w:val="0"/>
          <w:numId w:val="0"/>
        </w:numPr>
        <w:jc w:val="center"/>
        <w:rPr>
          <w:rFonts w:hint="eastAsia" w:asciiTheme="minorEastAsia" w:hAnsiTheme="minorEastAsia" w:eastAsiaTheme="minorEastAsia"/>
          <w:b/>
          <w:sz w:val="24"/>
          <w:lang w:val="en-US" w:eastAsia="zh-CN"/>
        </w:rPr>
      </w:pPr>
    </w:p>
    <w:p w14:paraId="68890B28">
      <w:pPr>
        <w:widowControl w:val="0"/>
        <w:numPr>
          <w:ilvl w:val="0"/>
          <w:numId w:val="0"/>
        </w:numPr>
        <w:jc w:val="center"/>
        <w:rPr>
          <w:rFonts w:hint="eastAsia" w:asciiTheme="minorEastAsia" w:hAnsiTheme="minorEastAsia" w:eastAsiaTheme="minorEastAsia"/>
          <w:b/>
          <w:sz w:val="24"/>
          <w:lang w:val="en-US" w:eastAsia="zh-CN"/>
        </w:rPr>
      </w:pPr>
    </w:p>
    <w:p w14:paraId="332208C8">
      <w:pPr>
        <w:widowControl w:val="0"/>
        <w:numPr>
          <w:ilvl w:val="0"/>
          <w:numId w:val="0"/>
        </w:numPr>
        <w:jc w:val="center"/>
        <w:rPr>
          <w:rFonts w:hint="eastAsia" w:asciiTheme="minorEastAsia" w:hAnsiTheme="minorEastAsia" w:eastAsiaTheme="minorEastAsia"/>
          <w:b/>
          <w:sz w:val="24"/>
          <w:lang w:val="en-US" w:eastAsia="zh-CN"/>
        </w:rPr>
      </w:pPr>
    </w:p>
    <w:p w14:paraId="23A6589B">
      <w:pPr>
        <w:widowControl w:val="0"/>
        <w:numPr>
          <w:ilvl w:val="0"/>
          <w:numId w:val="0"/>
        </w:numPr>
        <w:jc w:val="center"/>
        <w:rPr>
          <w:rFonts w:hint="eastAsia" w:asciiTheme="minorEastAsia" w:hAnsiTheme="minorEastAsia" w:eastAsiaTheme="minorEastAsia"/>
          <w:b/>
          <w:sz w:val="24"/>
          <w:lang w:val="en-US" w:eastAsia="zh-CN"/>
        </w:rPr>
      </w:pPr>
    </w:p>
    <w:p w14:paraId="7FF2970E">
      <w:pPr>
        <w:widowControl w:val="0"/>
        <w:numPr>
          <w:ilvl w:val="0"/>
          <w:numId w:val="0"/>
        </w:numPr>
        <w:jc w:val="center"/>
        <w:rPr>
          <w:rFonts w:hint="eastAsia" w:asciiTheme="minorEastAsia" w:hAnsiTheme="minorEastAsia" w:eastAsiaTheme="minorEastAsia"/>
          <w:b/>
          <w:sz w:val="24"/>
          <w:lang w:val="en-US" w:eastAsia="zh-CN"/>
        </w:rPr>
      </w:pPr>
    </w:p>
    <w:p w14:paraId="37946FA6">
      <w:pPr>
        <w:rPr>
          <w:rFonts w:hint="eastAsia" w:ascii="宋体" w:hAnsi="宋体" w:eastAsia="宋体" w:cs="宋体"/>
          <w:b/>
          <w:bCs w:val="0"/>
          <w:color w:val="000000"/>
          <w:kern w:val="2"/>
          <w:sz w:val="28"/>
          <w:szCs w:val="28"/>
          <w:highlight w:val="none"/>
          <w:lang w:val="en-US" w:eastAsia="zh-CN" w:bidi="ar"/>
        </w:rPr>
      </w:pPr>
    </w:p>
    <w:p w14:paraId="7BB1545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二、技术标格式文件</w:t>
      </w:r>
    </w:p>
    <w:p w14:paraId="0CDB7EA1">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2005A3C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4A0072B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5D83D00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技术标</w:t>
      </w:r>
    </w:p>
    <w:p w14:paraId="201DE10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（投标文件二）</w:t>
      </w:r>
    </w:p>
    <w:p w14:paraId="1B09DAB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rPr>
      </w:pPr>
    </w:p>
    <w:p w14:paraId="5F98468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37C7074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75F5BB6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6224417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455E5D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5BA5F0F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03539C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39E267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AB69C0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2128BF0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526B05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B180E33">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2E576128">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0F134D59">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6EEB87F3">
      <w:pPr>
        <w:spacing w:line="360" w:lineRule="auto"/>
        <w:jc w:val="center"/>
        <w:outlineLvl w:val="1"/>
        <w:rPr>
          <w:rFonts w:hint="eastAsia" w:asciiTheme="minorEastAsia" w:hAnsiTheme="minorEastAsia" w:eastAsiaTheme="minorEastAsia"/>
          <w:b/>
          <w:color w:val="auto"/>
          <w:sz w:val="24"/>
          <w:highlight w:val="none"/>
        </w:rPr>
      </w:pPr>
    </w:p>
    <w:p w14:paraId="23C5C426">
      <w:pPr>
        <w:spacing w:line="360" w:lineRule="auto"/>
        <w:jc w:val="center"/>
        <w:outlineLvl w:val="1"/>
        <w:rPr>
          <w:rFonts w:hint="eastAsia" w:asciiTheme="minorEastAsia" w:hAnsiTheme="minorEastAsia" w:eastAsiaTheme="minorEastAsia"/>
          <w:b/>
          <w:color w:val="auto"/>
          <w:sz w:val="24"/>
          <w:highlight w:val="none"/>
        </w:rPr>
      </w:pPr>
    </w:p>
    <w:p w14:paraId="71A2E83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目   录</w:t>
      </w:r>
    </w:p>
    <w:p w14:paraId="231CB7A9">
      <w:pPr>
        <w:keepNext w:val="0"/>
        <w:keepLines w:val="0"/>
        <w:widowControl w:val="0"/>
        <w:suppressLineNumbers w:val="0"/>
        <w:spacing w:before="0" w:beforeAutospacing="0" w:after="0" w:afterAutospacing="0" w:line="400" w:lineRule="exact"/>
        <w:ind w:left="0" w:right="0" w:firstLine="3744" w:firstLineChars="1036"/>
        <w:jc w:val="both"/>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 xml:space="preserve"> </w:t>
      </w:r>
    </w:p>
    <w:p w14:paraId="4338534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rPr>
      </w:pPr>
      <w:r>
        <w:rPr>
          <w:rFonts w:hint="eastAsia" w:ascii="宋体" w:hAnsi="宋体" w:eastAsia="宋体" w:cs="宋体"/>
          <w:bCs/>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投标响应表（格式见附件）</w:t>
      </w:r>
      <w:r>
        <w:rPr>
          <w:rFonts w:hint="eastAsia" w:ascii="宋体" w:hAnsi="宋体" w:eastAsia="宋体" w:cs="宋体"/>
          <w:bCs/>
          <w:color w:val="000000"/>
          <w:kern w:val="2"/>
          <w:sz w:val="21"/>
          <w:szCs w:val="21"/>
          <w:highlight w:val="none"/>
          <w:lang w:val="en-US" w:eastAsia="zh-CN" w:bidi="ar"/>
        </w:rPr>
        <w:t>；</w:t>
      </w:r>
    </w:p>
    <w:p w14:paraId="1A9DE58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（2）技术方案：为本项目实施所采用的技术措施和实施方案等；</w:t>
      </w:r>
    </w:p>
    <w:p w14:paraId="7F29CA6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（3）诚信履约承诺函（格式见附件）</w:t>
      </w:r>
    </w:p>
    <w:p w14:paraId="10B9069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（4）招标文件技术标评审中要求提交的其他材料；</w:t>
      </w:r>
    </w:p>
    <w:p w14:paraId="4F4D472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（5）招标文件中要求的技术标评审及技术标评分的支持资料；</w:t>
      </w:r>
    </w:p>
    <w:p w14:paraId="72E0E95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（6）投标人认为需要提供的其他技术证明材料；</w:t>
      </w:r>
    </w:p>
    <w:p w14:paraId="1C2536B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r>
        <w:rPr>
          <w:rFonts w:hint="eastAsia" w:ascii="宋体" w:hAnsi="宋体" w:eastAsia="宋体" w:cs="宋体"/>
          <w:bCs/>
          <w:color w:val="000000"/>
          <w:kern w:val="2"/>
          <w:sz w:val="21"/>
          <w:szCs w:val="21"/>
          <w:highlight w:val="none"/>
          <w:lang w:val="en-US" w:eastAsia="zh-CN" w:bidi="ar"/>
        </w:rPr>
        <w:t>（7）其他（如有）。</w:t>
      </w:r>
    </w:p>
    <w:p w14:paraId="0A4576C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2"/>
          <w:sz w:val="21"/>
          <w:szCs w:val="21"/>
          <w:highlight w:val="none"/>
          <w:lang w:val="en-US" w:eastAsia="zh-CN" w:bidi="ar"/>
        </w:rPr>
      </w:pPr>
    </w:p>
    <w:p w14:paraId="169A09C1">
      <w:pPr>
        <w:spacing w:line="360" w:lineRule="auto"/>
        <w:jc w:val="center"/>
        <w:outlineLvl w:val="1"/>
        <w:rPr>
          <w:rFonts w:hint="eastAsia" w:asciiTheme="minorEastAsia" w:hAnsiTheme="minorEastAsia" w:eastAsiaTheme="minorEastAsia"/>
          <w:b/>
          <w:color w:val="auto"/>
          <w:sz w:val="24"/>
          <w:highlight w:val="none"/>
        </w:rPr>
      </w:pPr>
    </w:p>
    <w:p w14:paraId="2C8435B6">
      <w:pPr>
        <w:spacing w:line="360" w:lineRule="auto"/>
        <w:jc w:val="center"/>
        <w:outlineLvl w:val="1"/>
        <w:rPr>
          <w:rFonts w:hint="eastAsia" w:asciiTheme="minorEastAsia" w:hAnsiTheme="minorEastAsia" w:eastAsiaTheme="minorEastAsia"/>
          <w:b/>
          <w:color w:val="auto"/>
          <w:sz w:val="24"/>
          <w:highlight w:val="none"/>
        </w:rPr>
      </w:pPr>
    </w:p>
    <w:p w14:paraId="1A5F15C6">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6A5A16C8">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lang w:eastAsia="zh-CN"/>
        </w:rPr>
        <w:t>）投标响应表</w:t>
      </w:r>
    </w:p>
    <w:p w14:paraId="17B91E39">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仿宋_GB2312"/>
          <w:b/>
          <w:bCs w:val="0"/>
          <w:kern w:val="2"/>
          <w:sz w:val="24"/>
          <w:szCs w:val="24"/>
          <w:highlight w:val="none"/>
        </w:rPr>
      </w:pPr>
      <w:r>
        <w:rPr>
          <w:rFonts w:hint="eastAsia" w:ascii="宋体" w:hAnsi="宋体" w:eastAsia="宋体" w:cs="宋体"/>
          <w:b/>
          <w:bCs w:val="0"/>
          <w:kern w:val="2"/>
          <w:sz w:val="24"/>
          <w:szCs w:val="24"/>
          <w:highlight w:val="none"/>
          <w:lang w:val="en-US" w:eastAsia="zh-CN" w:bidi="ar"/>
        </w:rPr>
        <w:t>1</w:t>
      </w:r>
      <w:r>
        <w:rPr>
          <w:rFonts w:hint="eastAsia" w:ascii="宋体" w:hAnsi="宋体" w:eastAsia="宋体" w:cs="@仿宋_GB2312"/>
          <w:b/>
          <w:bCs w:val="0"/>
          <w:kern w:val="2"/>
          <w:sz w:val="24"/>
          <w:szCs w:val="24"/>
          <w:highlight w:val="none"/>
          <w:lang w:val="en-US" w:eastAsia="zh-CN" w:bidi="ar"/>
        </w:rPr>
        <w:t>.1</w:t>
      </w:r>
      <w:r>
        <w:rPr>
          <w:rFonts w:hint="eastAsia" w:ascii="宋体" w:hAnsi="宋体" w:eastAsia="宋体" w:cs="宋体"/>
          <w:b/>
          <w:bCs w:val="0"/>
          <w:kern w:val="2"/>
          <w:sz w:val="24"/>
          <w:szCs w:val="24"/>
          <w:highlight w:val="none"/>
          <w:lang w:val="en-US" w:eastAsia="zh-CN" w:bidi="ar"/>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5B3F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D97C56">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3CA2936">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2EE6962">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B2C4352">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D90FDD1">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偏离说明</w:t>
            </w:r>
          </w:p>
        </w:tc>
      </w:tr>
      <w:tr w14:paraId="2F6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5F5A4D4">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仿宋_GB2312"/>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54898D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73881B0D">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1763BC9">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10CE1A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4C46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1812F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CC57C5B">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供货及安装地点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2ECEF86">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8B9CE37">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E5E7BD">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1D22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12F72D9">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12A89FF5">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供货及安装期限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E35BCDB">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6E82497">
            <w:pPr>
              <w:pStyle w:val="20"/>
              <w:keepNext w:val="0"/>
              <w:keepLines w:val="0"/>
              <w:widowControl w:val="0"/>
              <w:suppressLineNumbers w:val="0"/>
              <w:spacing w:before="0" w:beforeAutospacing="0" w:after="0" w:afterAutospacing="0"/>
              <w:ind w:left="0" w:right="0"/>
              <w:jc w:val="center"/>
              <w:rPr>
                <w:rFonts w:hint="eastAsia" w:ascii="宋体" w:hAnsi="宋体" w:eastAsia="宋体" w:cs="Arial"/>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AEC6F2B">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116F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7FB149A">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1456EDA">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免费质保期</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03A23B9E">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7A2B94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12D4E8D">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4290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5D240F1">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787070AE">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EFEE63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6474F44">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F5A83BE">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bl>
    <w:p w14:paraId="471F6EA5">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仿宋_GB2312"/>
          <w:b/>
          <w:bCs w:val="0"/>
          <w:kern w:val="2"/>
          <w:sz w:val="24"/>
          <w:szCs w:val="24"/>
          <w:highlight w:val="none"/>
        </w:rPr>
      </w:pPr>
      <w:r>
        <w:rPr>
          <w:rFonts w:hint="eastAsia" w:ascii="宋体" w:hAnsi="宋体" w:eastAsia="宋体" w:cs="宋体"/>
          <w:b/>
          <w:bCs w:val="0"/>
          <w:kern w:val="2"/>
          <w:sz w:val="24"/>
          <w:szCs w:val="24"/>
          <w:highlight w:val="none"/>
          <w:lang w:val="en-US" w:eastAsia="zh-CN" w:bidi="ar"/>
        </w:rPr>
        <w:t>1</w:t>
      </w:r>
      <w:r>
        <w:rPr>
          <w:rFonts w:hint="eastAsia" w:ascii="宋体" w:hAnsi="宋体" w:eastAsia="宋体" w:cs="@仿宋_GB2312"/>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1560"/>
        <w:gridCol w:w="2864"/>
        <w:gridCol w:w="2483"/>
        <w:gridCol w:w="855"/>
      </w:tblGrid>
      <w:tr w14:paraId="0464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C8BA75A">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序号</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6C8A0EA5">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kern w:val="2"/>
                <w:sz w:val="24"/>
                <w:szCs w:val="24"/>
                <w:highlight w:val="none"/>
                <w:lang w:val="en-US" w:eastAsia="zh-CN" w:bidi="ar"/>
              </w:rPr>
              <w:t>货物名称</w:t>
            </w: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C204016">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招标文件规定的技术参数及要求</w:t>
            </w: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5CF97DDB">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所投产品的品牌、型号及技术参数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49C4896">
            <w:pPr>
              <w:pStyle w:val="20"/>
              <w:keepNext w:val="0"/>
              <w:keepLines w:val="0"/>
              <w:widowControl w:val="0"/>
              <w:suppressLineNumbers w:val="0"/>
              <w:spacing w:before="0" w:beforeAutospacing="0" w:after="0" w:afterAutospacing="0"/>
              <w:ind w:left="0" w:right="0"/>
              <w:jc w:val="center"/>
              <w:rPr>
                <w:rFonts w:hint="eastAsia" w:ascii="宋体" w:hAnsi="宋体" w:eastAsia="宋体" w:cs="Wingdings"/>
                <w:b/>
                <w:bCs w:val="0"/>
                <w:kern w:val="2"/>
                <w:sz w:val="24"/>
                <w:szCs w:val="24"/>
                <w:highlight w:val="none"/>
              </w:rPr>
            </w:pPr>
            <w:r>
              <w:rPr>
                <w:rFonts w:hint="eastAsia" w:ascii="宋体" w:hAnsi="宋体" w:eastAsia="宋体" w:cs="宋体"/>
                <w:b/>
                <w:bCs w:val="0"/>
                <w:kern w:val="2"/>
                <w:sz w:val="24"/>
                <w:szCs w:val="24"/>
                <w:highlight w:val="none"/>
                <w:lang w:val="en-US" w:eastAsia="zh-CN" w:bidi="ar"/>
              </w:rPr>
              <w:t>偏离说明</w:t>
            </w:r>
          </w:p>
        </w:tc>
      </w:tr>
      <w:tr w14:paraId="7787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41445DF">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1</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5BFDD0EC">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2CB10353">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EE5363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7AE12B5">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05D5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57D20BF">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2</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55BB21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66C55AEB">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56B69424">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E16AB24">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5E1B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D453C6D">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3</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6F0DCEDE">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07A9C525">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533FC121">
            <w:pPr>
              <w:pStyle w:val="20"/>
              <w:keepNext w:val="0"/>
              <w:keepLines w:val="0"/>
              <w:widowControl w:val="0"/>
              <w:suppressLineNumbers w:val="0"/>
              <w:spacing w:before="0" w:beforeAutospacing="0" w:after="0" w:afterAutospacing="0"/>
              <w:ind w:left="0" w:right="0"/>
              <w:jc w:val="center"/>
              <w:rPr>
                <w:rFonts w:hint="eastAsia" w:ascii="宋体" w:hAnsi="宋体" w:eastAsia="宋体" w:cs="Arial"/>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5AA707C5">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1B4F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990C211">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4</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6E553A3F">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77FC2E20">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5477D7BD">
            <w:pPr>
              <w:pStyle w:val="20"/>
              <w:keepNext w:val="0"/>
              <w:keepLines w:val="0"/>
              <w:widowControl w:val="0"/>
              <w:suppressLineNumbers w:val="0"/>
              <w:spacing w:before="0" w:beforeAutospacing="0" w:after="0" w:afterAutospacing="0"/>
              <w:ind w:left="0" w:right="0"/>
              <w:jc w:val="center"/>
              <w:rPr>
                <w:rFonts w:hint="eastAsia" w:ascii="宋体" w:hAnsi="宋体" w:eastAsia="宋体" w:cs="Arial"/>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CB22074">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r w14:paraId="0054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30E134D">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r>
              <w:rPr>
                <w:rFonts w:hint="eastAsia" w:ascii="宋体" w:hAnsi="宋体" w:eastAsia="宋体" w:cs="宋体"/>
                <w:kern w:val="2"/>
                <w:sz w:val="24"/>
                <w:szCs w:val="24"/>
                <w:highlight w:val="none"/>
                <w:lang w:val="en-US" w:eastAsia="zh-CN" w:bidi="ar"/>
              </w:rPr>
              <w:t>…</w:t>
            </w:r>
          </w:p>
        </w:tc>
        <w:tc>
          <w:tcPr>
            <w:tcW w:w="915" w:type="pct"/>
            <w:tcBorders>
              <w:top w:val="single" w:color="auto" w:sz="4" w:space="0"/>
              <w:left w:val="single" w:color="auto" w:sz="4" w:space="0"/>
              <w:bottom w:val="single" w:color="auto" w:sz="4" w:space="0"/>
              <w:right w:val="single" w:color="auto" w:sz="4" w:space="0"/>
            </w:tcBorders>
            <w:shd w:val="clear" w:color="auto" w:fill="auto"/>
            <w:vAlign w:val="center"/>
          </w:tcPr>
          <w:p w14:paraId="4F0F6998">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680" w:type="pct"/>
            <w:tcBorders>
              <w:top w:val="single" w:color="auto" w:sz="4" w:space="0"/>
              <w:left w:val="single" w:color="auto" w:sz="4" w:space="0"/>
              <w:bottom w:val="single" w:color="auto" w:sz="4" w:space="0"/>
              <w:right w:val="single" w:color="auto" w:sz="4" w:space="0"/>
            </w:tcBorders>
            <w:shd w:val="clear" w:color="auto" w:fill="auto"/>
            <w:vAlign w:val="center"/>
          </w:tcPr>
          <w:p w14:paraId="393CDD36">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6AED73FC">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429B779A">
            <w:pPr>
              <w:keepNext w:val="0"/>
              <w:keepLines w:val="0"/>
              <w:widowControl w:val="0"/>
              <w:suppressLineNumbers w:val="0"/>
              <w:spacing w:before="0" w:beforeAutospacing="0" w:after="0" w:afterAutospacing="0"/>
              <w:ind w:left="0" w:right="0"/>
              <w:jc w:val="center"/>
              <w:rPr>
                <w:rFonts w:hint="eastAsia" w:ascii="宋体" w:hAnsi="宋体" w:eastAsia="宋体" w:cs="@仿宋_GB2312"/>
                <w:kern w:val="2"/>
                <w:sz w:val="24"/>
                <w:szCs w:val="24"/>
                <w:highlight w:val="none"/>
              </w:rPr>
            </w:pPr>
          </w:p>
        </w:tc>
      </w:tr>
    </w:tbl>
    <w:p w14:paraId="7E13A480">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投标人电子签章：</w:t>
      </w:r>
      <w:r>
        <w:rPr>
          <w:rFonts w:hint="eastAsia" w:ascii="宋体" w:hAnsi="宋体" w:eastAsia="宋体" w:cs="@仿宋_GB2312"/>
          <w:kern w:val="2"/>
          <w:sz w:val="24"/>
          <w:szCs w:val="24"/>
          <w:highlight w:val="none"/>
          <w:u w:val="single"/>
          <w:lang w:val="en-US" w:eastAsia="zh-CN" w:bidi="ar"/>
        </w:rPr>
        <w:t xml:space="preserve">             </w:t>
      </w:r>
    </w:p>
    <w:p w14:paraId="64C921FC">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kern w:val="2"/>
          <w:sz w:val="24"/>
          <w:szCs w:val="24"/>
          <w:highlight w:val="none"/>
          <w:u w:val="single"/>
        </w:rPr>
      </w:pPr>
      <w:r>
        <w:rPr>
          <w:rFonts w:hint="eastAsia" w:ascii="宋体" w:hAnsi="宋体" w:eastAsia="宋体" w:cs="宋体"/>
          <w:kern w:val="2"/>
          <w:sz w:val="24"/>
          <w:szCs w:val="24"/>
          <w:highlight w:val="none"/>
          <w:lang w:val="en-US" w:eastAsia="zh-CN" w:bidi="ar"/>
        </w:rPr>
        <w:t>日</w:t>
      </w:r>
      <w:r>
        <w:rPr>
          <w:rFonts w:hint="eastAsia" w:ascii="宋体" w:hAnsi="宋体" w:eastAsia="宋体" w:cs="@仿宋_GB231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期：</w:t>
      </w:r>
      <w:r>
        <w:rPr>
          <w:rFonts w:hint="eastAsia" w:ascii="宋体" w:hAnsi="宋体" w:eastAsia="宋体" w:cs="@仿宋_GB2312"/>
          <w:kern w:val="2"/>
          <w:sz w:val="24"/>
          <w:szCs w:val="24"/>
          <w:highlight w:val="none"/>
          <w:u w:val="single"/>
          <w:lang w:val="en-US" w:eastAsia="zh-CN" w:bidi="ar"/>
        </w:rPr>
        <w:t xml:space="preserve">             </w:t>
      </w:r>
    </w:p>
    <w:p w14:paraId="7DFCF6E5">
      <w:pPr>
        <w:spacing w:line="360" w:lineRule="auto"/>
        <w:jc w:val="center"/>
        <w:outlineLvl w:val="1"/>
        <w:rPr>
          <w:rFonts w:hint="eastAsia" w:asciiTheme="minorEastAsia" w:hAnsiTheme="minorEastAsia" w:eastAsiaTheme="minorEastAsia"/>
          <w:b/>
          <w:color w:val="auto"/>
          <w:sz w:val="24"/>
          <w:highlight w:val="none"/>
        </w:rPr>
      </w:pPr>
    </w:p>
    <w:p w14:paraId="2539A4E0">
      <w:pPr>
        <w:spacing w:line="360" w:lineRule="auto"/>
        <w:jc w:val="center"/>
        <w:outlineLvl w:val="1"/>
        <w:rPr>
          <w:rFonts w:hint="eastAsia" w:asciiTheme="minorEastAsia" w:hAnsiTheme="minorEastAsia" w:eastAsiaTheme="minorEastAsia"/>
          <w:b/>
          <w:color w:val="auto"/>
          <w:sz w:val="24"/>
          <w:highlight w:val="none"/>
        </w:rPr>
      </w:pPr>
    </w:p>
    <w:p w14:paraId="7516568C">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0857120A">
      <w:pPr>
        <w:spacing w:line="360" w:lineRule="auto"/>
        <w:jc w:val="center"/>
        <w:outlineLvl w:val="1"/>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lang w:eastAsia="zh-CN"/>
        </w:rPr>
        <w:t>）诚信履约承诺函</w:t>
      </w:r>
    </w:p>
    <w:p w14:paraId="13AFAA3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kern w:val="2"/>
          <w:sz w:val="24"/>
          <w:szCs w:val="24"/>
          <w:highlight w:val="none"/>
        </w:rPr>
      </w:pPr>
    </w:p>
    <w:p w14:paraId="4B408C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kern w:val="2"/>
          <w:sz w:val="24"/>
          <w:szCs w:val="24"/>
          <w:highlight w:val="none"/>
          <w:u w:val="single"/>
        </w:rPr>
      </w:pPr>
      <w:r>
        <w:rPr>
          <w:rFonts w:hint="eastAsia" w:ascii="宋体" w:hAnsi="宋体" w:eastAsia="宋体" w:cs="宋体"/>
          <w:b/>
          <w:bCs/>
          <w:kern w:val="2"/>
          <w:sz w:val="24"/>
          <w:szCs w:val="24"/>
          <w:highlight w:val="none"/>
          <w:lang w:val="en-US" w:eastAsia="zh-CN" w:bidi="ar"/>
        </w:rPr>
        <w:t>致：采购人</w:t>
      </w:r>
    </w:p>
    <w:p w14:paraId="05F857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0577F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（1）中标或者成交后无正当理由拒不与采购人签订政府采购合同；</w:t>
      </w:r>
    </w:p>
    <w:p w14:paraId="67CFFF7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（2）未按照采购文件确定的事项签订政府采购合同；</w:t>
      </w:r>
    </w:p>
    <w:p w14:paraId="33526D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（3）将政府采购合同转包；</w:t>
      </w:r>
    </w:p>
    <w:p w14:paraId="2795C68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（4）提供假冒伪劣产品；</w:t>
      </w:r>
    </w:p>
    <w:p w14:paraId="64C7B85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（5）擅自变更、中止或者终止政府采购合同。</w:t>
      </w:r>
    </w:p>
    <w:p w14:paraId="3E6C93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E96B0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lang w:val="en-US" w:eastAsia="zh-CN" w:bidi="ar"/>
        </w:rPr>
        <w:t>本承诺声明：</w:t>
      </w:r>
      <w:r>
        <w:rPr>
          <w:rFonts w:hint="eastAsia" w:ascii="宋体" w:hAnsi="宋体" w:eastAsia="宋体" w:cs="@仿宋_GB2312"/>
          <w:bCs/>
          <w:kern w:val="2"/>
          <w:sz w:val="24"/>
          <w:szCs w:val="24"/>
          <w:highlight w:val="none"/>
          <w:u w:val="single"/>
          <w:lang w:val="en-US" w:eastAsia="zh-CN" w:bidi="ar"/>
        </w:rPr>
        <w:t xml:space="preserve">                   （投标人名称）</w:t>
      </w:r>
      <w:r>
        <w:rPr>
          <w:rFonts w:hint="eastAsia" w:ascii="宋体" w:hAnsi="宋体" w:eastAsia="宋体" w:cs="@仿宋_GB2312"/>
          <w:bCs/>
          <w:kern w:val="2"/>
          <w:sz w:val="24"/>
          <w:szCs w:val="24"/>
          <w:highlight w:val="none"/>
          <w:lang w:val="en-US" w:eastAsia="zh-CN" w:bidi="ar"/>
        </w:rPr>
        <w:t>对本招标文件的相关要求完全响应。若有幸中标将严格按照以上承诺进行供货和服务。</w:t>
      </w:r>
    </w:p>
    <w:p w14:paraId="2387DE2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lang w:val="en-US" w:eastAsia="zh-CN" w:bidi="ar"/>
        </w:rPr>
        <w:t xml:space="preserve"> </w:t>
      </w:r>
    </w:p>
    <w:p w14:paraId="6C2B55F1">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kern w:val="2"/>
          <w:sz w:val="24"/>
          <w:szCs w:val="24"/>
          <w:highlight w:val="none"/>
          <w:lang w:val="en-US" w:eastAsia="zh-CN" w:bidi="ar"/>
        </w:rPr>
      </w:pPr>
    </w:p>
    <w:p w14:paraId="6020BA7E">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kern w:val="2"/>
          <w:sz w:val="24"/>
          <w:szCs w:val="24"/>
          <w:highlight w:val="none"/>
          <w:u w:val="single"/>
        </w:rPr>
      </w:pPr>
      <w:r>
        <w:rPr>
          <w:rFonts w:hint="eastAsia" w:ascii="宋体" w:hAnsi="宋体" w:eastAsia="宋体" w:cs="宋体"/>
          <w:bCs/>
          <w:kern w:val="2"/>
          <w:sz w:val="24"/>
          <w:szCs w:val="24"/>
          <w:highlight w:val="none"/>
          <w:lang w:val="en-US" w:eastAsia="zh-CN" w:bidi="ar"/>
        </w:rPr>
        <w:t>投标人电子签章：</w:t>
      </w:r>
      <w:r>
        <w:rPr>
          <w:rFonts w:hint="eastAsia" w:ascii="宋体" w:hAnsi="宋体" w:eastAsia="宋体" w:cs="@仿宋_GB2312"/>
          <w:bCs/>
          <w:kern w:val="2"/>
          <w:sz w:val="24"/>
          <w:szCs w:val="24"/>
          <w:highlight w:val="none"/>
          <w:u w:val="single"/>
          <w:lang w:val="en-US" w:eastAsia="zh-CN" w:bidi="ar"/>
        </w:rPr>
        <w:t xml:space="preserve">             </w:t>
      </w:r>
    </w:p>
    <w:p w14:paraId="75A75CDA">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kern w:val="2"/>
          <w:sz w:val="24"/>
          <w:szCs w:val="24"/>
          <w:highlight w:val="none"/>
        </w:rPr>
      </w:pPr>
      <w:r>
        <w:rPr>
          <w:rFonts w:hint="eastAsia" w:ascii="宋体" w:hAnsi="宋体" w:eastAsia="宋体" w:cs="宋体"/>
          <w:bCs/>
          <w:kern w:val="2"/>
          <w:sz w:val="24"/>
          <w:szCs w:val="24"/>
          <w:highlight w:val="none"/>
          <w:lang w:val="en-US" w:eastAsia="zh-CN" w:bidi="ar"/>
        </w:rPr>
        <w:t>日</w:t>
      </w:r>
      <w:r>
        <w:rPr>
          <w:rFonts w:hint="eastAsia" w:ascii="宋体" w:hAnsi="宋体" w:eastAsia="宋体" w:cs="@仿宋_GB2312"/>
          <w:bCs/>
          <w:kern w:val="2"/>
          <w:sz w:val="24"/>
          <w:szCs w:val="24"/>
          <w:highlight w:val="none"/>
          <w:lang w:val="en-US" w:eastAsia="zh-CN" w:bidi="ar"/>
        </w:rPr>
        <w:t xml:space="preserve">          </w:t>
      </w:r>
      <w:r>
        <w:rPr>
          <w:rFonts w:hint="eastAsia" w:ascii="宋体" w:hAnsi="宋体" w:eastAsia="宋体" w:cs="宋体"/>
          <w:bCs/>
          <w:kern w:val="2"/>
          <w:sz w:val="24"/>
          <w:szCs w:val="24"/>
          <w:highlight w:val="none"/>
          <w:lang w:val="en-US" w:eastAsia="zh-CN" w:bidi="ar"/>
        </w:rPr>
        <w:t>期：</w:t>
      </w:r>
      <w:r>
        <w:rPr>
          <w:rFonts w:hint="eastAsia" w:ascii="宋体" w:hAnsi="宋体" w:eastAsia="宋体" w:cs="@仿宋_GB2312"/>
          <w:bCs/>
          <w:kern w:val="2"/>
          <w:sz w:val="24"/>
          <w:szCs w:val="24"/>
          <w:highlight w:val="none"/>
          <w:u w:val="single"/>
          <w:lang w:val="en-US" w:eastAsia="zh-CN" w:bidi="ar"/>
        </w:rPr>
        <w:t xml:space="preserve">             </w:t>
      </w:r>
    </w:p>
    <w:p w14:paraId="253DBFDF">
      <w:pPr>
        <w:spacing w:line="360" w:lineRule="auto"/>
        <w:jc w:val="center"/>
        <w:outlineLvl w:val="1"/>
        <w:rPr>
          <w:rFonts w:hint="eastAsia" w:asciiTheme="minorEastAsia" w:hAnsiTheme="minorEastAsia" w:eastAsiaTheme="minorEastAsia"/>
          <w:b/>
          <w:color w:val="auto"/>
          <w:sz w:val="24"/>
          <w:highlight w:val="none"/>
        </w:rPr>
      </w:pPr>
    </w:p>
    <w:p w14:paraId="27D0BB35">
      <w:pPr>
        <w:spacing w:line="360" w:lineRule="auto"/>
        <w:jc w:val="center"/>
        <w:outlineLvl w:val="1"/>
        <w:rPr>
          <w:rFonts w:hint="eastAsia" w:asciiTheme="minorEastAsia" w:hAnsiTheme="minorEastAsia" w:eastAsiaTheme="minorEastAsia"/>
          <w:b/>
          <w:color w:val="auto"/>
          <w:sz w:val="24"/>
          <w:highlight w:val="none"/>
        </w:rPr>
      </w:pPr>
    </w:p>
    <w:p w14:paraId="79ED0235">
      <w:pPr>
        <w:rPr>
          <w:rFonts w:hint="eastAsia" w:ascii="宋体" w:hAnsi="宋体" w:eastAsia="宋体" w:cs="宋体"/>
          <w:b/>
          <w:bCs w:val="0"/>
          <w:color w:val="000000"/>
          <w:kern w:val="2"/>
          <w:sz w:val="28"/>
          <w:szCs w:val="28"/>
          <w:highlight w:val="none"/>
          <w:lang w:val="en-US" w:eastAsia="zh-CN" w:bidi="ar"/>
        </w:rPr>
      </w:pPr>
      <w:r>
        <w:rPr>
          <w:rFonts w:hint="eastAsia" w:ascii="宋体" w:hAnsi="宋体" w:eastAsia="宋体" w:cs="宋体"/>
          <w:b/>
          <w:bCs w:val="0"/>
          <w:color w:val="000000"/>
          <w:kern w:val="2"/>
          <w:sz w:val="28"/>
          <w:szCs w:val="28"/>
          <w:highlight w:val="none"/>
          <w:lang w:val="en-US" w:eastAsia="zh-CN" w:bidi="ar"/>
        </w:rPr>
        <w:br w:type="page"/>
      </w:r>
    </w:p>
    <w:p w14:paraId="1A7A70E3">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000000"/>
          <w:kern w:val="2"/>
          <w:sz w:val="28"/>
          <w:szCs w:val="28"/>
          <w:highlight w:val="none"/>
        </w:rPr>
      </w:pPr>
      <w:r>
        <w:rPr>
          <w:rFonts w:hint="eastAsia" w:ascii="宋体" w:hAnsi="宋体" w:eastAsia="宋体" w:cs="宋体"/>
          <w:b/>
          <w:bCs w:val="0"/>
          <w:color w:val="000000"/>
          <w:kern w:val="2"/>
          <w:sz w:val="28"/>
          <w:szCs w:val="28"/>
          <w:highlight w:val="none"/>
          <w:lang w:val="en-US" w:eastAsia="zh-CN" w:bidi="ar"/>
        </w:rPr>
        <w:t>三、商务标格式文件</w:t>
      </w:r>
    </w:p>
    <w:p w14:paraId="346A6FC9">
      <w:pPr>
        <w:keepNext w:val="0"/>
        <w:keepLines w:val="0"/>
        <w:widowControl w:val="0"/>
        <w:suppressLineNumbers w:val="0"/>
        <w:spacing w:before="0" w:beforeAutospacing="0" w:after="0" w:afterAutospacing="0"/>
        <w:ind w:left="0" w:right="0"/>
        <w:jc w:val="center"/>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38A70A8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kern w:val="2"/>
          <w:sz w:val="20"/>
          <w:szCs w:val="20"/>
          <w:highlight w:val="none"/>
        </w:rPr>
      </w:pPr>
      <w:r>
        <w:rPr>
          <w:rFonts w:hint="eastAsia" w:ascii="黑体" w:hAnsi="宋体" w:eastAsia="黑体" w:cs="黑体"/>
          <w:color w:val="000000"/>
          <w:kern w:val="2"/>
          <w:sz w:val="20"/>
          <w:szCs w:val="20"/>
          <w:highlight w:val="none"/>
          <w:lang w:val="en-US" w:eastAsia="zh-CN" w:bidi="ar"/>
        </w:rPr>
        <w:t xml:space="preserve"> </w:t>
      </w:r>
    </w:p>
    <w:p w14:paraId="57A8C57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p>
    <w:p w14:paraId="6ACE130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06783FE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商务标</w:t>
      </w:r>
    </w:p>
    <w:p w14:paraId="44F42F7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（投标文件三）</w:t>
      </w:r>
    </w:p>
    <w:p w14:paraId="4E8802A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u w:val="single"/>
        </w:rPr>
      </w:pPr>
    </w:p>
    <w:p w14:paraId="7E16819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u w:val="single"/>
          <w:lang w:val="en-US" w:eastAsia="zh-CN" w:bidi="ar"/>
        </w:rPr>
        <w:t xml:space="preserve">        </w:t>
      </w:r>
      <w:r>
        <w:rPr>
          <w:rFonts w:hint="eastAsia" w:ascii="宋体" w:hAnsi="宋体" w:eastAsia="宋体" w:cs="宋体"/>
          <w:color w:val="000000"/>
          <w:kern w:val="2"/>
          <w:sz w:val="32"/>
          <w:szCs w:val="32"/>
          <w:highlight w:val="none"/>
          <w:lang w:val="en-US" w:eastAsia="zh-CN" w:bidi="ar"/>
        </w:rPr>
        <w:t>项目</w:t>
      </w:r>
    </w:p>
    <w:p w14:paraId="57240E3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34CB445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44"/>
          <w:szCs w:val="44"/>
          <w:highlight w:val="none"/>
        </w:rPr>
      </w:pPr>
      <w:r>
        <w:rPr>
          <w:rFonts w:hint="eastAsia" w:ascii="宋体" w:hAnsi="宋体" w:eastAsia="宋体" w:cs="宋体"/>
          <w:color w:val="000000"/>
          <w:kern w:val="2"/>
          <w:sz w:val="28"/>
          <w:szCs w:val="28"/>
          <w:highlight w:val="none"/>
          <w:lang w:val="en-US" w:eastAsia="zh-CN" w:bidi="ar"/>
        </w:rPr>
        <w:t>项目编号：</w:t>
      </w:r>
      <w:r>
        <w:rPr>
          <w:rFonts w:hint="eastAsia" w:ascii="宋体" w:hAnsi="宋体" w:eastAsia="宋体" w:cs="宋体"/>
          <w:color w:val="000000"/>
          <w:kern w:val="2"/>
          <w:sz w:val="28"/>
          <w:szCs w:val="28"/>
          <w:highlight w:val="none"/>
          <w:u w:val="single"/>
          <w:lang w:val="en-US" w:eastAsia="zh-CN" w:bidi="ar"/>
        </w:rPr>
        <w:t xml:space="preserve">     </w:t>
      </w:r>
    </w:p>
    <w:p w14:paraId="6A51B15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D57597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5FAD44B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9EB6B4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7EEFE6D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6BAC5B7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12A050A5">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 xml:space="preserve"> </w:t>
      </w:r>
    </w:p>
    <w:p w14:paraId="0E169441">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u w:val="single"/>
        </w:rPr>
      </w:pPr>
      <w:r>
        <w:rPr>
          <w:rFonts w:hint="eastAsia" w:ascii="宋体" w:hAnsi="宋体" w:eastAsia="宋体" w:cs="宋体"/>
          <w:color w:val="000000"/>
          <w:kern w:val="2"/>
          <w:sz w:val="28"/>
          <w:szCs w:val="28"/>
          <w:highlight w:val="none"/>
          <w:lang w:val="en-US" w:eastAsia="zh-CN" w:bidi="ar"/>
        </w:rPr>
        <w:t>投标人：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49A88B74">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法定代表人：</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（签章）</w:t>
      </w:r>
    </w:p>
    <w:p w14:paraId="1F6F62ED">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年</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月</w:t>
      </w:r>
      <w:r>
        <w:rPr>
          <w:rFonts w:hint="eastAsia" w:ascii="宋体" w:hAnsi="宋体" w:eastAsia="宋体" w:cs="宋体"/>
          <w:color w:val="000000"/>
          <w:kern w:val="2"/>
          <w:sz w:val="28"/>
          <w:szCs w:val="28"/>
          <w:highlight w:val="none"/>
          <w:u w:val="single"/>
          <w:lang w:val="en-US" w:eastAsia="zh-CN" w:bidi="ar"/>
        </w:rPr>
        <w:t xml:space="preserve">        </w:t>
      </w:r>
      <w:r>
        <w:rPr>
          <w:rFonts w:hint="eastAsia" w:ascii="宋体" w:hAnsi="宋体" w:eastAsia="宋体" w:cs="宋体"/>
          <w:color w:val="000000"/>
          <w:kern w:val="2"/>
          <w:sz w:val="28"/>
          <w:szCs w:val="28"/>
          <w:highlight w:val="none"/>
          <w:lang w:val="en-US" w:eastAsia="zh-CN" w:bidi="ar"/>
        </w:rPr>
        <w:t>日</w:t>
      </w:r>
    </w:p>
    <w:p w14:paraId="49F0B49D">
      <w:pPr>
        <w:spacing w:line="360" w:lineRule="auto"/>
        <w:jc w:val="center"/>
        <w:outlineLvl w:val="1"/>
        <w:rPr>
          <w:rFonts w:hint="eastAsia" w:asciiTheme="minorEastAsia" w:hAnsiTheme="minorEastAsia" w:eastAsiaTheme="minorEastAsia"/>
          <w:b/>
          <w:color w:val="auto"/>
          <w:sz w:val="24"/>
          <w:highlight w:val="none"/>
        </w:rPr>
      </w:pPr>
    </w:p>
    <w:p w14:paraId="4D3901B5">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25883E9A">
      <w:pPr>
        <w:keepNext w:val="0"/>
        <w:keepLines w:val="0"/>
        <w:widowControl w:val="0"/>
        <w:suppressLineNumbers w:val="0"/>
        <w:spacing w:before="0" w:beforeAutospacing="0" w:after="0" w:afterAutospacing="0" w:line="400" w:lineRule="exact"/>
        <w:ind w:left="0" w:right="0" w:firstLine="3379" w:firstLineChars="935"/>
        <w:jc w:val="left"/>
        <w:rPr>
          <w:rFonts w:hint="eastAsia" w:ascii="宋体" w:hAnsi="宋体" w:eastAsia="宋体" w:cs="宋体"/>
          <w:b/>
          <w:bCs w:val="0"/>
          <w:color w:val="000000"/>
          <w:kern w:val="2"/>
          <w:sz w:val="36"/>
          <w:szCs w:val="36"/>
          <w:highlight w:val="none"/>
        </w:rPr>
      </w:pPr>
      <w:r>
        <w:rPr>
          <w:rFonts w:hint="eastAsia" w:ascii="宋体" w:hAnsi="宋体" w:eastAsia="宋体" w:cs="宋体"/>
          <w:b/>
          <w:bCs w:val="0"/>
          <w:color w:val="000000"/>
          <w:kern w:val="2"/>
          <w:sz w:val="36"/>
          <w:szCs w:val="36"/>
          <w:highlight w:val="none"/>
          <w:lang w:val="en-US" w:eastAsia="zh-CN" w:bidi="ar"/>
        </w:rPr>
        <w:t>目   录</w:t>
      </w:r>
    </w:p>
    <w:p w14:paraId="45EBCB6A">
      <w:pPr>
        <w:keepNext w:val="0"/>
        <w:keepLines w:val="0"/>
        <w:widowControl w:val="0"/>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000000"/>
          <w:kern w:val="2"/>
          <w:sz w:val="44"/>
          <w:szCs w:val="44"/>
          <w:highlight w:val="none"/>
        </w:rPr>
      </w:pPr>
      <w:r>
        <w:rPr>
          <w:rFonts w:hint="eastAsia" w:ascii="宋体" w:hAnsi="宋体" w:eastAsia="宋体" w:cs="宋体"/>
          <w:b/>
          <w:bCs w:val="0"/>
          <w:color w:val="000000"/>
          <w:kern w:val="2"/>
          <w:sz w:val="44"/>
          <w:szCs w:val="44"/>
          <w:highlight w:val="none"/>
          <w:lang w:val="en-US" w:eastAsia="zh-CN" w:bidi="ar"/>
        </w:rPr>
        <w:t xml:space="preserve"> </w:t>
      </w:r>
    </w:p>
    <w:p w14:paraId="4D56F985">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（1）开标一览表（格式见附件）；</w:t>
      </w:r>
    </w:p>
    <w:p w14:paraId="508D83FE">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（2）投标函（格式见附件）；</w:t>
      </w:r>
    </w:p>
    <w:p w14:paraId="543EB701">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（3）分项报价清单（格式见附件）；</w:t>
      </w:r>
    </w:p>
    <w:p w14:paraId="5296DF17">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（4）招标文件商务评审中要求提供的其他相关资料；</w:t>
      </w:r>
    </w:p>
    <w:p w14:paraId="41B4457A">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（5）投标人认为需要提供的其他材料；</w:t>
      </w:r>
    </w:p>
    <w:p w14:paraId="50C9F091">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（6）其他（如有）。</w:t>
      </w:r>
    </w:p>
    <w:p w14:paraId="284E5FC7">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000000"/>
          <w:kern w:val="2"/>
          <w:sz w:val="21"/>
          <w:szCs w:val="21"/>
          <w:highlight w:val="none"/>
          <w:lang w:val="en-US" w:eastAsia="zh-CN" w:bidi="ar"/>
        </w:rPr>
      </w:pPr>
    </w:p>
    <w:p w14:paraId="156BA8D8">
      <w:pPr>
        <w:spacing w:line="360" w:lineRule="auto"/>
        <w:jc w:val="center"/>
        <w:outlineLvl w:val="1"/>
        <w:rPr>
          <w:rFonts w:hint="eastAsia" w:asciiTheme="minorEastAsia" w:hAnsiTheme="minorEastAsia" w:eastAsiaTheme="minorEastAsia"/>
          <w:b/>
          <w:color w:val="auto"/>
          <w:sz w:val="24"/>
          <w:highlight w:val="none"/>
        </w:rPr>
      </w:pPr>
    </w:p>
    <w:p w14:paraId="4C96BDFA">
      <w:pP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br w:type="page"/>
      </w:r>
    </w:p>
    <w:p w14:paraId="70ED293B">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400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0F1F1162">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42668FB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Cs/>
                <w:color w:val="auto"/>
                <w:sz w:val="24"/>
                <w:szCs w:val="20"/>
                <w:highlight w:val="none"/>
                <w:u w:val="single"/>
              </w:rPr>
            </w:pPr>
          </w:p>
        </w:tc>
      </w:tr>
      <w:tr w14:paraId="2699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2BD65B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399D731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p>
        </w:tc>
      </w:tr>
      <w:tr w14:paraId="0745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2" w:type="pct"/>
            <w:tcBorders>
              <w:top w:val="nil"/>
            </w:tcBorders>
            <w:vAlign w:val="center"/>
          </w:tcPr>
          <w:p w14:paraId="3D7187D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7E756E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1BA3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2" w:type="pct"/>
            <w:tcBorders>
              <w:top w:val="nil"/>
            </w:tcBorders>
            <w:vAlign w:val="center"/>
          </w:tcPr>
          <w:p w14:paraId="50B69AD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37995C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1BBEF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670"/>
              <w:textAlignment w:val="auto"/>
              <w:rPr>
                <w:rFonts w:hint="default" w:asciiTheme="minorEastAsia" w:hAnsiTheme="minorEastAsia" w:eastAsiaTheme="minorEastAsia"/>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27E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330A37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7DF5450D">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szCs w:val="28"/>
                <w:highlight w:val="none"/>
              </w:rPr>
            </w:pPr>
          </w:p>
        </w:tc>
      </w:tr>
    </w:tbl>
    <w:p w14:paraId="1B616405">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C27F246">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D790C29">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655A31D9">
      <w:pPr>
        <w:spacing w:line="360" w:lineRule="auto"/>
        <w:ind w:firstLine="360" w:firstLineChars="150"/>
        <w:rPr>
          <w:rFonts w:asciiTheme="minorEastAsia" w:hAnsiTheme="minorEastAsia" w:eastAsiaTheme="minorEastAsia"/>
          <w:color w:val="auto"/>
          <w:sz w:val="24"/>
          <w:highlight w:val="none"/>
        </w:rPr>
      </w:pPr>
    </w:p>
    <w:p w14:paraId="4877ED33">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68B99E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54BA14F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08F238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3BECCAAE">
      <w:pPr>
        <w:spacing w:line="360" w:lineRule="auto"/>
        <w:jc w:val="center"/>
        <w:outlineLvl w:val="1"/>
        <w:rPr>
          <w:rFonts w:asciiTheme="minorEastAsia" w:hAnsiTheme="minorEastAsia" w:eastAsiaTheme="minorEastAsia"/>
          <w:b/>
          <w:color w:val="auto"/>
          <w:sz w:val="24"/>
          <w:highlight w:val="none"/>
        </w:rPr>
      </w:pPr>
      <w:bookmarkStart w:id="64" w:name="_Toc18010"/>
      <w:bookmarkStart w:id="65" w:name="_Toc6441"/>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投标函</w:t>
      </w:r>
      <w:bookmarkEnd w:id="64"/>
      <w:bookmarkEnd w:id="65"/>
    </w:p>
    <w:p w14:paraId="020B69AD">
      <w:pPr>
        <w:pStyle w:val="1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74A8F2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4F9B3B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48145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2D7C6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7B8718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8855F5B">
      <w:pPr>
        <w:spacing w:line="360" w:lineRule="auto"/>
        <w:ind w:firstLine="4800" w:firstLineChars="2000"/>
        <w:rPr>
          <w:rFonts w:ascii="宋体" w:hAnsi="宋体" w:eastAsia="宋体"/>
          <w:color w:val="auto"/>
          <w:sz w:val="24"/>
          <w:highlight w:val="none"/>
        </w:rPr>
      </w:pPr>
    </w:p>
    <w:p w14:paraId="2021EA1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D8E126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D5ACBEA">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047FC3D1">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6" w:name="_Toc6796"/>
      <w:bookmarkStart w:id="67" w:name="_Toc31991"/>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投标分项报价表</w:t>
      </w:r>
      <w:bookmarkEnd w:id="66"/>
      <w:bookmarkEnd w:id="67"/>
    </w:p>
    <w:p w14:paraId="438A6D29">
      <w:pPr>
        <w:spacing w:line="360" w:lineRule="auto"/>
        <w:ind w:firstLine="435"/>
        <w:rPr>
          <w:rFonts w:asciiTheme="minorEastAsia" w:hAnsiTheme="minorEastAsia" w:eastAsiaTheme="minorEastAsia"/>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D29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158636D3">
            <w:pPr>
              <w:pStyle w:val="43"/>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0E40474B">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货物名称</w:t>
            </w:r>
          </w:p>
        </w:tc>
        <w:tc>
          <w:tcPr>
            <w:tcW w:w="773" w:type="pct"/>
            <w:vAlign w:val="center"/>
          </w:tcPr>
          <w:p w14:paraId="790A54C8">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品牌、型</w:t>
            </w:r>
          </w:p>
          <w:p w14:paraId="702341EE">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号</w:t>
            </w:r>
          </w:p>
        </w:tc>
        <w:tc>
          <w:tcPr>
            <w:tcW w:w="773" w:type="pct"/>
            <w:vAlign w:val="center"/>
          </w:tcPr>
          <w:p w14:paraId="438EBFE7">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原产地及</w:t>
            </w:r>
          </w:p>
          <w:p w14:paraId="2578D35F">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生产厂商</w:t>
            </w:r>
          </w:p>
        </w:tc>
        <w:tc>
          <w:tcPr>
            <w:tcW w:w="394" w:type="pct"/>
            <w:vAlign w:val="center"/>
          </w:tcPr>
          <w:p w14:paraId="1D3BA441">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单位</w:t>
            </w:r>
          </w:p>
        </w:tc>
        <w:tc>
          <w:tcPr>
            <w:tcW w:w="394" w:type="pct"/>
            <w:vAlign w:val="center"/>
          </w:tcPr>
          <w:p w14:paraId="55CF75A5">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数量</w:t>
            </w:r>
          </w:p>
        </w:tc>
        <w:tc>
          <w:tcPr>
            <w:tcW w:w="551" w:type="pct"/>
            <w:vAlign w:val="center"/>
          </w:tcPr>
          <w:p w14:paraId="5A779B9B">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w:t>
            </w:r>
          </w:p>
          <w:p w14:paraId="044FB516">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（元）</w:t>
            </w:r>
          </w:p>
        </w:tc>
        <w:tc>
          <w:tcPr>
            <w:tcW w:w="551" w:type="pct"/>
            <w:vAlign w:val="center"/>
          </w:tcPr>
          <w:p w14:paraId="7C6C90AD">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w:t>
            </w:r>
          </w:p>
          <w:p w14:paraId="5ABF79F3">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（元）</w:t>
            </w:r>
          </w:p>
        </w:tc>
        <w:tc>
          <w:tcPr>
            <w:tcW w:w="393" w:type="pct"/>
            <w:vAlign w:val="center"/>
          </w:tcPr>
          <w:p w14:paraId="21C24A97">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备注</w:t>
            </w:r>
          </w:p>
        </w:tc>
      </w:tr>
      <w:tr w14:paraId="0922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737CC7E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777" w:type="pct"/>
          </w:tcPr>
          <w:p w14:paraId="68461ED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13691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7E2202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ED8A91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DA85D9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818E19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730F66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312305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563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886830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777" w:type="pct"/>
          </w:tcPr>
          <w:p w14:paraId="708C4F6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98A46E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D142AB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6889DA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6C6196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5430F96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11C2D6D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7EBF85B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1E41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51C7A1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p>
        </w:tc>
        <w:tc>
          <w:tcPr>
            <w:tcW w:w="777" w:type="pct"/>
          </w:tcPr>
          <w:p w14:paraId="4D5FF12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BF605A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66A6D6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30BB65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1C2500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211BD0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A98986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5D8AAA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4920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CB90F7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777" w:type="pct"/>
          </w:tcPr>
          <w:p w14:paraId="7CED46B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D0B2F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5AC3DFF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D96F6A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24F752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58B444B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94FAF9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94AAFE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24D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27174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777" w:type="pct"/>
          </w:tcPr>
          <w:p w14:paraId="405C8BC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414BA7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848C55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36BD7C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1C1287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5A0C8CB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BC3702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4936AE3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1F69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82CF7D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777" w:type="pct"/>
          </w:tcPr>
          <w:p w14:paraId="6AFF50F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CF8430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2325A4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D554C0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76C5B5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1903FB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6278AD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3E3E6B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33BB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BC45D4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777" w:type="pct"/>
          </w:tcPr>
          <w:p w14:paraId="695C070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3A2211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A50AFE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01BA77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631C18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6618A9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0D1DB0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DA1322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6519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8CD2C4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8</w:t>
            </w:r>
          </w:p>
        </w:tc>
        <w:tc>
          <w:tcPr>
            <w:tcW w:w="777" w:type="pct"/>
          </w:tcPr>
          <w:p w14:paraId="38914C4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E01E0C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526B7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444390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CC91E6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B1FF19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905AA4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9DED7D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7F5F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7E9478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9</w:t>
            </w:r>
          </w:p>
        </w:tc>
        <w:tc>
          <w:tcPr>
            <w:tcW w:w="777" w:type="pct"/>
          </w:tcPr>
          <w:p w14:paraId="6945293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6F90E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DAB4C4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0E0EEB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152CBB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E17820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8129E4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BBFA46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6CBA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00EBBD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10</w:t>
            </w:r>
          </w:p>
        </w:tc>
        <w:tc>
          <w:tcPr>
            <w:tcW w:w="777" w:type="pct"/>
          </w:tcPr>
          <w:p w14:paraId="3493F8B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9DB8CD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5CCBA5C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732439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E8C556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93FDE4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16542F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6B430D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0BF1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0BE606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11</w:t>
            </w:r>
          </w:p>
        </w:tc>
        <w:tc>
          <w:tcPr>
            <w:tcW w:w="777" w:type="pct"/>
          </w:tcPr>
          <w:p w14:paraId="4D3193F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72A2EB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313FA6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83D4B8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150C23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259CEF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1F06BE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0C82A9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10E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C83AC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12</w:t>
            </w:r>
          </w:p>
        </w:tc>
        <w:tc>
          <w:tcPr>
            <w:tcW w:w="777" w:type="pct"/>
          </w:tcPr>
          <w:p w14:paraId="6E5A932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EB412E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E98FF0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4AC2F5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BF3C9F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1691E3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0EE82D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A13971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0AC8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9DEE67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13</w:t>
            </w:r>
          </w:p>
        </w:tc>
        <w:tc>
          <w:tcPr>
            <w:tcW w:w="777" w:type="pct"/>
          </w:tcPr>
          <w:p w14:paraId="19CDAFC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5419AA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41169C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85802E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ACD54C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FC0FCB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7172F4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41B0938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197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1607E5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vAlign w:val="center"/>
          </w:tcPr>
          <w:p w14:paraId="62C0E1FC">
            <w:pPr>
              <w:pStyle w:val="51"/>
              <w:keepNext w:val="0"/>
              <w:keepLines w:val="0"/>
              <w:suppressLineNumbers w:val="0"/>
              <w:spacing w:before="0" w:beforeAutospacing="0" w:after="0" w:afterAutospacing="0"/>
              <w:ind w:left="0" w:right="0"/>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其他费用</w:t>
            </w:r>
          </w:p>
        </w:tc>
        <w:tc>
          <w:tcPr>
            <w:tcW w:w="773" w:type="pct"/>
          </w:tcPr>
          <w:p w14:paraId="3A09E8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514F741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541FD5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2A8D52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8C2D28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DFE611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77747E6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3575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4615A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31744B1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773" w:type="pct"/>
          </w:tcPr>
          <w:p w14:paraId="1445B17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2CCC99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9421F1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664958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4C4BC3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B05B26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947657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33C1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A09C62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327BAC17">
            <w:pPr>
              <w:pStyle w:val="51"/>
              <w:keepNext w:val="0"/>
              <w:keepLines w:val="0"/>
              <w:suppressLineNumbers w:val="0"/>
              <w:spacing w:before="0" w:beforeAutospacing="0" w:after="0" w:afterAutospacing="0"/>
              <w:ind w:left="0" w:right="0"/>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w:t>
            </w:r>
          </w:p>
        </w:tc>
        <w:tc>
          <w:tcPr>
            <w:tcW w:w="773" w:type="pct"/>
          </w:tcPr>
          <w:p w14:paraId="4393D47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358A41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1D3240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8F8744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FBC89E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37D00D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D49A63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6C67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3B4518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07B34D1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773" w:type="pct"/>
          </w:tcPr>
          <w:p w14:paraId="48CF11A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57F0B09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DE9399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EFC76C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70BABA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7ECBCC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5280BEF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39E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562B7220">
            <w:pPr>
              <w:pStyle w:val="51"/>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合计（元）</w:t>
            </w:r>
          </w:p>
        </w:tc>
        <w:tc>
          <w:tcPr>
            <w:tcW w:w="773" w:type="pct"/>
          </w:tcPr>
          <w:p w14:paraId="397F371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AB6C7E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4B35CC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1A5302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929D8D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672203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E16FA4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bl>
    <w:p w14:paraId="3E0E36B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C447DE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5080B53">
      <w:pPr>
        <w:adjustRightInd w:val="0"/>
        <w:snapToGrid w:val="0"/>
        <w:spacing w:line="360" w:lineRule="auto"/>
        <w:rPr>
          <w:rFonts w:asciiTheme="minorEastAsia" w:hAnsiTheme="minorEastAsia" w:eastAsiaTheme="minorEastAsia"/>
          <w:b/>
          <w:bCs/>
          <w:color w:val="auto"/>
          <w:sz w:val="24"/>
          <w:szCs w:val="28"/>
          <w:highlight w:val="none"/>
        </w:rPr>
      </w:pPr>
    </w:p>
    <w:p w14:paraId="7BB630A8">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763B30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B6A2F83">
      <w:pPr>
        <w:spacing w:line="360" w:lineRule="auto"/>
        <w:ind w:firstLine="435"/>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7D256F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BAD4054">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8" w:name="_Toc2683"/>
      <w:bookmarkStart w:id="69" w:name="_Toc32633"/>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其他相关证明材料</w:t>
      </w:r>
      <w:bookmarkEnd w:id="68"/>
      <w:bookmarkEnd w:id="69"/>
    </w:p>
    <w:p w14:paraId="475BF8D3">
      <w:pPr>
        <w:spacing w:line="360" w:lineRule="auto"/>
        <w:ind w:firstLine="435"/>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如有</w:t>
      </w:r>
      <w:r>
        <w:rPr>
          <w:rFonts w:asciiTheme="minorEastAsia" w:hAnsiTheme="minorEastAsia" w:eastAsiaTheme="minorEastAsia"/>
          <w:color w:val="auto"/>
          <w:sz w:val="24"/>
          <w:highlight w:val="none"/>
        </w:rPr>
        <w:t>。</w:t>
      </w:r>
    </w:p>
    <w:p w14:paraId="079A47A8">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79BBE955">
      <w:pPr>
        <w:pStyle w:val="2"/>
        <w:spacing w:before="200" w:after="200" w:line="600" w:lineRule="exact"/>
        <w:rPr>
          <w:rFonts w:hint="eastAsia" w:ascii="宋体" w:hAnsi="宋体" w:eastAsia="宋体" w:cs="宋体"/>
          <w:sz w:val="24"/>
          <w:szCs w:val="24"/>
        </w:rPr>
      </w:pPr>
      <w:r>
        <w:rPr>
          <w:rFonts w:hint="eastAsia" w:ascii="宋体" w:hAnsi="宋体" w:eastAsia="宋体" w:cs="宋体"/>
          <w:sz w:val="24"/>
          <w:szCs w:val="24"/>
        </w:rPr>
        <w:t>附件1 关于联合惩戒失信行为加强信用查询管理的通知</w:t>
      </w:r>
    </w:p>
    <w:p w14:paraId="171355E8">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一、失信行为联合惩戒的范围和查询渠道</w:t>
      </w:r>
    </w:p>
    <w:p w14:paraId="3C15C2E7">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在我市公共资源交易活动中对存在下列失信行为的投标人、法定代表人及其项目经理（建造师）实施联合惩戒，禁止参与我市公共资源交易活动。</w:t>
      </w:r>
    </w:p>
    <w:p w14:paraId="7518208B">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（一）工程建设项目</w:t>
      </w:r>
    </w:p>
    <w:p w14:paraId="48449D64">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1、“信用中国”网站（www.creditchina.gov.cn）查询以下失信行为：</w:t>
      </w:r>
    </w:p>
    <w:p w14:paraId="1527375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①投标人被人民法院列入失信被执行人的；</w:t>
      </w:r>
    </w:p>
    <w:p w14:paraId="2CC89C12">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②投标人被税务部门列入重大税收违法案件当事人的；</w:t>
      </w:r>
    </w:p>
    <w:p w14:paraId="3CF0DD3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③投标人被人力资源社会保障主管部门列入拖欠农民工工资“黑名单”的；</w:t>
      </w:r>
    </w:p>
    <w:p w14:paraId="37096CB0">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④在“信用中国”网站上披露的仍在公示期的严重失信行为的。</w:t>
      </w:r>
    </w:p>
    <w:p w14:paraId="78336994">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sz w:val="24"/>
          <w:szCs w:val="24"/>
        </w:rPr>
        <w:t>www.gsxt.gov.cn）</w:t>
      </w:r>
      <w:r>
        <w:rPr>
          <w:rFonts w:hint="eastAsia" w:ascii="宋体" w:hAnsi="宋体" w:eastAsia="宋体" w:cs="宋体"/>
          <w:sz w:val="24"/>
          <w:szCs w:val="24"/>
        </w:rPr>
        <w:fldChar w:fldCharType="end"/>
      </w:r>
      <w:r>
        <w:rPr>
          <w:rFonts w:hint="eastAsia" w:ascii="宋体" w:hAnsi="宋体" w:eastAsia="宋体" w:cs="宋体"/>
          <w:sz w:val="24"/>
          <w:szCs w:val="24"/>
        </w:rPr>
        <w:t>查询以下失信行为：</w:t>
      </w:r>
    </w:p>
    <w:p w14:paraId="4FFE0A7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①被市场监督管理部门列入经营异常名录或者严重违法企业名单的。</w:t>
      </w:r>
    </w:p>
    <w:p w14:paraId="65930270">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3、滁州市公共资源交易中心网站（http://ggzy.chuzhou.gov.cn/）查询以下失信行为：</w:t>
      </w:r>
    </w:p>
    <w:p w14:paraId="2F17F9C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①被滁州市县两级公管部门取消在一定期限内的投标资格且在取消期限内的；</w:t>
      </w:r>
    </w:p>
    <w:p w14:paraId="2041696B">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②被滁州市县两级公管部门记入不良行为记录或者信用信息记录，且在披露期内的。</w:t>
      </w:r>
    </w:p>
    <w:p w14:paraId="44366D5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4、由竞争主体进行承诺，不进行现场网上信用查询的失信行为：</w:t>
      </w:r>
    </w:p>
    <w:p w14:paraId="485BEC1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①前三年有行贿犯罪行为的单位和个人；</w:t>
      </w:r>
    </w:p>
    <w:p w14:paraId="28B5D51F">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②被滁州市县两级各行业主管部门取消在一定期限内的投标资格且在取消期限内的；</w:t>
      </w:r>
    </w:p>
    <w:p w14:paraId="31DA6C7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③因拖欠农民工工资被县级及以上有关行政主管部门限制投标资格且在限制期限内的；</w:t>
      </w:r>
    </w:p>
    <w:p w14:paraId="4737845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BD6310A">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（二）政府采购项目</w:t>
      </w:r>
    </w:p>
    <w:p w14:paraId="67C576F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1、“信用中国”网站（www.creditchina.gov.cn）查询以下失信行为：</w:t>
      </w:r>
    </w:p>
    <w:p w14:paraId="5B00C41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①投标人被人民法院列入失信被执行人的；</w:t>
      </w:r>
    </w:p>
    <w:p w14:paraId="77CF34EC">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②投标人被税务部门列入重大税收违法案件当事人的；</w:t>
      </w:r>
    </w:p>
    <w:p w14:paraId="3676D447">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③在“信用中国”网站上披露的仍在公示期的严重失信行为的。</w:t>
      </w:r>
    </w:p>
    <w:p w14:paraId="167F619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sz w:val="24"/>
          <w:szCs w:val="24"/>
        </w:rPr>
        <w:t>www.gsxt.gov.cn）</w:t>
      </w:r>
      <w:r>
        <w:rPr>
          <w:rFonts w:hint="eastAsia" w:ascii="宋体" w:hAnsi="宋体" w:eastAsia="宋体" w:cs="宋体"/>
          <w:sz w:val="24"/>
          <w:szCs w:val="24"/>
        </w:rPr>
        <w:fldChar w:fldCharType="end"/>
      </w:r>
      <w:r>
        <w:rPr>
          <w:rFonts w:hint="eastAsia" w:ascii="宋体" w:hAnsi="宋体" w:eastAsia="宋体" w:cs="宋体"/>
          <w:sz w:val="24"/>
          <w:szCs w:val="24"/>
        </w:rPr>
        <w:t>查询以下失信行为：</w:t>
      </w:r>
    </w:p>
    <w:p w14:paraId="4F3CA02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①被市场监督管理部门列入经营异常名录或者严重违法企业名单的。</w:t>
      </w:r>
    </w:p>
    <w:p w14:paraId="09B27CF2">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3、中国政府采购网站（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Style w:val="35"/>
          <w:rFonts w:hint="eastAsia" w:ascii="宋体" w:hAnsi="宋体" w:eastAsia="宋体" w:cs="宋体"/>
          <w:color w:val="auto"/>
          <w:sz w:val="24"/>
          <w:szCs w:val="24"/>
        </w:rPr>
        <w:t>www.ccgp.gov.cn</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rPr>
        <w:t>）查询以下失信行为：</w:t>
      </w:r>
    </w:p>
    <w:p w14:paraId="2A890E1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①政府采购严重违法失信行为</w:t>
      </w:r>
    </w:p>
    <w:p w14:paraId="4A2CD4D2">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4、由竞争主体进行承诺，不进行现场网上信用查询的失信行为：</w:t>
      </w:r>
    </w:p>
    <w:p w14:paraId="27C7A5B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①前三年有行贿犯罪行为的单位和个人。</w:t>
      </w:r>
    </w:p>
    <w:p w14:paraId="1D34B7DB">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二、在开评标活动中的查询程序</w:t>
      </w:r>
    </w:p>
    <w:p w14:paraId="6FD0BE9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5C7CCD69">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392ADBF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3、项目单位及其委托的代理机构应当做好信用查询结果截图和记录留存。</w:t>
      </w:r>
    </w:p>
    <w:p w14:paraId="614588D1">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三、相关要求</w:t>
      </w:r>
    </w:p>
    <w:p w14:paraId="5D29DD57">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1、参与公共资源交易活动的竞争主体根据上述范围查询的内容进行自查并承诺，出具《诚信投标承诺书》（诚信投标承诺书包括但不限于上述自查并承诺内容）并注明承诺日期（投标截止时间前5日内）。</w:t>
      </w:r>
    </w:p>
    <w:p w14:paraId="04F94B7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B264650">
      <w:pPr>
        <w:wordWrap w:val="0"/>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注册地在安徽省内且未在安徽省外开展业务、省外无违法违规行为的企业可通过安徽政务服务网开具由安徽省公共信用信息服务中心出具的《公共信用信息报告（无违法违规证明版）》代替《诚信投标承诺书》。《公共信用信息报告（无违法违规证明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Style w:val="35"/>
          <w:rFonts w:hint="eastAsia" w:ascii="宋体" w:hAnsi="宋体" w:eastAsia="宋体" w:cs="宋体"/>
          <w:color w:val="auto"/>
          <w:sz w:val="24"/>
          <w:szCs w:val="24"/>
        </w:rPr>
        <w:t>https://credit.ah.gov.cn/xinyong-fuwu/xvbahv/index.html</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rPr>
        <w:t>)进行核验。核验不一致或提交《公共信用信息报告（无违法违规证明版）》的企业在省外有失信行为的将视作不诚信行为，资格审查委员会或评标委员会及代理机构应当及时报告公共资源监管部门，依法依规予以处理。</w:t>
      </w:r>
    </w:p>
    <w:p w14:paraId="13A62581">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2、“信用中国”查询的严重失信行为判定依据为各行业主管部门下发的联合惩戒文件中规定的行为（按附件2执行）。</w:t>
      </w:r>
    </w:p>
    <w:p w14:paraId="0A8C9A5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3、资格预审的项目以递交资格预审申请文件截止时间查询为准；资格后审的项目以递交投标文件截止时间查询为准。</w:t>
      </w:r>
    </w:p>
    <w:p w14:paraId="2386CE9C">
      <w:pPr>
        <w:adjustRightInd w:val="0"/>
        <w:snapToGrid w:val="0"/>
        <w:spacing w:line="560" w:lineRule="exact"/>
        <w:rPr>
          <w:rFonts w:hint="eastAsia" w:ascii="宋体" w:hAnsi="宋体" w:eastAsia="宋体" w:cs="宋体"/>
          <w:sz w:val="24"/>
          <w:szCs w:val="24"/>
        </w:rPr>
      </w:pPr>
    </w:p>
    <w:p w14:paraId="77C4ECC3">
      <w:pPr>
        <w:pStyle w:val="25"/>
        <w:rPr>
          <w:rFonts w:hint="eastAsia" w:ascii="宋体" w:hAnsi="宋体" w:eastAsia="宋体" w:cs="宋体"/>
          <w:sz w:val="24"/>
          <w:szCs w:val="24"/>
        </w:rPr>
      </w:pPr>
    </w:p>
    <w:p w14:paraId="29AC8E60">
      <w:pPr>
        <w:pStyle w:val="2"/>
        <w:spacing w:before="200" w:after="200" w:line="600" w:lineRule="exact"/>
        <w:rPr>
          <w:rFonts w:hint="eastAsia" w:ascii="宋体" w:hAnsi="宋体" w:eastAsia="宋体" w:cs="宋体"/>
          <w:sz w:val="24"/>
          <w:szCs w:val="24"/>
        </w:rPr>
      </w:pPr>
      <w:bookmarkStart w:id="70" w:name="_Toc95223549"/>
      <w:r>
        <w:rPr>
          <w:rFonts w:hint="eastAsia" w:ascii="宋体" w:hAnsi="宋体" w:eastAsia="宋体" w:cs="宋体"/>
          <w:sz w:val="24"/>
          <w:szCs w:val="24"/>
        </w:rPr>
        <w:t>附件2 “信用中国”查询的严重失信行为类别及判定依据</w:t>
      </w:r>
      <w:bookmarkEnd w:id="70"/>
    </w:p>
    <w:p w14:paraId="5B6DAC22">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“信用中国”查询的严重失信行为判定依据为各行业主管部门下发的联合惩戒文件中规定的行为。下面将部分类别的严重失信行为列举如下：</w:t>
      </w:r>
    </w:p>
    <w:p w14:paraId="2617349D">
      <w:pPr>
        <w:adjustRightInd w:val="0"/>
        <w:snapToGrid w:val="0"/>
        <w:spacing w:line="560" w:lineRule="exact"/>
        <w:ind w:firstLine="645"/>
        <w:jc w:val="left"/>
        <w:rPr>
          <w:rFonts w:hint="eastAsia" w:ascii="宋体" w:hAnsi="宋体" w:eastAsia="宋体" w:cs="宋体"/>
          <w:b/>
          <w:sz w:val="24"/>
          <w:szCs w:val="24"/>
        </w:rPr>
      </w:pPr>
      <w:r>
        <w:rPr>
          <w:rFonts w:hint="eastAsia" w:ascii="宋体" w:hAnsi="宋体" w:eastAsia="宋体" w:cs="宋体"/>
          <w:b/>
          <w:sz w:val="24"/>
          <w:szCs w:val="24"/>
        </w:rPr>
        <w:t>一、安全生产领域严重失信行为：</w:t>
      </w:r>
    </w:p>
    <w:p w14:paraId="0D689A00">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（一）发生较大及以上生产安全责任事故，或1年内累计发生3起及以上造成人员死亡的一般生产安全责任事故的；</w:t>
      </w:r>
    </w:p>
    <w:p w14:paraId="379C5E69">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（二）未按规定取得安全生产许可，擅自开展生产经营建设活动的；</w:t>
      </w:r>
    </w:p>
    <w:p w14:paraId="7FB8FD79">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（三）发现重大生产安全事故隐患，或职业病危害严重超标，不及时整改，仍组织从业人员冒险作业的；</w:t>
      </w:r>
    </w:p>
    <w:p w14:paraId="3EAC0D1E">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（四）采取隐蔽、欺骗或阻碍等方式逃避、对抗安全监管监察的;</w:t>
      </w:r>
    </w:p>
    <w:p w14:paraId="18DF4254">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（五）被责令停产停业整顿，仍然从事生产经营建设活动的；</w:t>
      </w:r>
    </w:p>
    <w:p w14:paraId="566C009C">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（六）瞒报、谎报、迟报生产安全事故的；</w:t>
      </w:r>
    </w:p>
    <w:p w14:paraId="1FE707EC">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（七）矿山、危险化学品、金属冶炼等高危行业建设项目安全设施未经验收合格即投入生产和使用的；</w:t>
      </w:r>
    </w:p>
    <w:p w14:paraId="1FDB8F80">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（八）矿山生产经营单位存在超层越界开采、以探代采行为的；</w:t>
      </w:r>
    </w:p>
    <w:p w14:paraId="71265738">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（九）发生事故后，故意破坏事故现场，伪造有关证据资料，妨碍、对抗事故调查，或主要负责人逃逸的；</w:t>
      </w:r>
    </w:p>
    <w:p w14:paraId="4A5B88C6">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（十）安全生产和职业健康技术服务机构出具虚假报告或证明，违规转让或出借资质的。</w:t>
      </w:r>
    </w:p>
    <w:p w14:paraId="65D4DE9C">
      <w:pPr>
        <w:adjustRightInd w:val="0"/>
        <w:snapToGrid w:val="0"/>
        <w:spacing w:line="560" w:lineRule="exact"/>
        <w:ind w:firstLine="645"/>
        <w:jc w:val="left"/>
        <w:rPr>
          <w:rFonts w:hint="eastAsia" w:ascii="宋体" w:hAnsi="宋体" w:eastAsia="宋体" w:cs="宋体"/>
          <w:b/>
          <w:sz w:val="24"/>
          <w:szCs w:val="24"/>
        </w:rPr>
      </w:pPr>
      <w:r>
        <w:rPr>
          <w:rFonts w:hint="eastAsia" w:ascii="宋体" w:hAnsi="宋体" w:eastAsia="宋体" w:cs="宋体"/>
          <w:b/>
          <w:sz w:val="24"/>
          <w:szCs w:val="24"/>
        </w:rPr>
        <w:t>依据：《对安全生产领域失信行为开展联合惩戒的实施办法》（安监总办〔2017〕49号）第二条</w:t>
      </w:r>
    </w:p>
    <w:p w14:paraId="5CAC5CAC">
      <w:pPr>
        <w:adjustRightInd w:val="0"/>
        <w:snapToGrid w:val="0"/>
        <w:spacing w:line="560" w:lineRule="exact"/>
        <w:ind w:firstLine="645"/>
        <w:jc w:val="left"/>
        <w:rPr>
          <w:rFonts w:hint="eastAsia" w:ascii="宋体" w:hAnsi="宋体" w:eastAsia="宋体" w:cs="宋体"/>
          <w:b/>
          <w:sz w:val="24"/>
          <w:szCs w:val="24"/>
        </w:rPr>
      </w:pPr>
    </w:p>
    <w:p w14:paraId="3DDA6652">
      <w:pPr>
        <w:adjustRightInd w:val="0"/>
        <w:snapToGrid w:val="0"/>
        <w:spacing w:line="560" w:lineRule="exact"/>
        <w:ind w:firstLine="645"/>
        <w:jc w:val="left"/>
        <w:rPr>
          <w:rFonts w:hint="eastAsia" w:ascii="宋体" w:hAnsi="宋体" w:eastAsia="宋体" w:cs="宋体"/>
          <w:b/>
          <w:sz w:val="24"/>
          <w:szCs w:val="24"/>
        </w:rPr>
      </w:pPr>
      <w:r>
        <w:rPr>
          <w:rFonts w:hint="eastAsia" w:ascii="宋体" w:hAnsi="宋体" w:eastAsia="宋体" w:cs="宋体"/>
          <w:b/>
          <w:sz w:val="24"/>
          <w:szCs w:val="24"/>
        </w:rPr>
        <w:t>二、环境保护领域严重失信行为：</w:t>
      </w:r>
    </w:p>
    <w:p w14:paraId="57BD1847">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（一）因为环境违法构成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"https://baike.sogou.com/m/fullLemma?lid=10403954&amp;g_ut=3"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环境犯罪</w:t>
      </w:r>
      <w:r>
        <w:rPr>
          <w:rFonts w:hint="eastAsia" w:ascii="宋体" w:hAnsi="宋体" w:eastAsia="宋体" w:cs="宋体"/>
          <w:sz w:val="24"/>
          <w:szCs w:val="24"/>
        </w:rPr>
        <w:fldChar w:fldCharType="end"/>
      </w:r>
      <w:r>
        <w:rPr>
          <w:rFonts w:hint="eastAsia" w:ascii="宋体" w:hAnsi="宋体" w:eastAsia="宋体" w:cs="宋体"/>
          <w:sz w:val="24"/>
          <w:szCs w:val="24"/>
        </w:rPr>
        <w:t>的；</w:t>
      </w:r>
    </w:p>
    <w:p w14:paraId="56D7CC6D">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"https://baike.sogou.com/m/fullLemma?lid=76033123&amp;g_ut=3"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建设项目环境影响评价</w:t>
      </w:r>
      <w:r>
        <w:rPr>
          <w:rFonts w:hint="eastAsia" w:ascii="宋体" w:hAnsi="宋体" w:eastAsia="宋体" w:cs="宋体"/>
          <w:sz w:val="24"/>
          <w:szCs w:val="24"/>
        </w:rPr>
        <w:fldChar w:fldCharType="end"/>
      </w:r>
      <w:r>
        <w:rPr>
          <w:rFonts w:hint="eastAsia" w:ascii="宋体" w:hAnsi="宋体" w:eastAsia="宋体" w:cs="宋体"/>
          <w:sz w:val="24"/>
          <w:szCs w:val="24"/>
        </w:rPr>
        <w:t>文件未按规定通过审批，擅自开工建设的；</w:t>
      </w:r>
    </w:p>
    <w:p w14:paraId="66E7A343">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（三）建设项目环保设施未建成、环保措施未落实、未通过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"https://baike.sogou.com/m/fullLemma?lid=6470550&amp;g_ut=3"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竣工环保验收</w:t>
      </w:r>
      <w:r>
        <w:rPr>
          <w:rFonts w:hint="eastAsia" w:ascii="宋体" w:hAnsi="宋体" w:eastAsia="宋体" w:cs="宋体"/>
          <w:sz w:val="24"/>
          <w:szCs w:val="24"/>
        </w:rPr>
        <w:fldChar w:fldCharType="end"/>
      </w:r>
      <w:r>
        <w:rPr>
          <w:rFonts w:hint="eastAsia" w:ascii="宋体" w:hAnsi="宋体" w:eastAsia="宋体" w:cs="宋体"/>
          <w:sz w:val="24"/>
          <w:szCs w:val="24"/>
        </w:rPr>
        <w:t>或者验收不合格，主体工程正式投入生产或者使用的；</w:t>
      </w:r>
    </w:p>
    <w:p w14:paraId="59128748">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（四）建设项目性质、规模、地点、采用的生产工艺或者防治污染、防止生态破坏的措施发生重大变动，未重新报批环境影响评价文件，擅自投入生产或者使用的；</w:t>
      </w:r>
    </w:p>
    <w:p w14:paraId="56F78D2E">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（五）主要污染物排放总量超过控制指标的；</w:t>
      </w:r>
    </w:p>
    <w:p w14:paraId="1D67685A">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（六）私设暗管或者利用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"https://baike.sogou.com/m/fullLemma?lid=41657319&amp;g_ut=3"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渗井</w:t>
      </w:r>
      <w:r>
        <w:rPr>
          <w:rFonts w:hint="eastAsia" w:ascii="宋体" w:hAnsi="宋体" w:eastAsia="宋体" w:cs="宋体"/>
          <w:sz w:val="24"/>
          <w:szCs w:val="24"/>
        </w:rPr>
        <w:fldChar w:fldCharType="end"/>
      </w:r>
      <w:r>
        <w:rPr>
          <w:rFonts w:hint="eastAsia" w:ascii="宋体" w:hAnsi="宋体" w:eastAsia="宋体" w:cs="宋体"/>
          <w:sz w:val="24"/>
          <w:szCs w:val="24"/>
        </w:rPr>
        <w:t>、渗坑、裂隙、溶洞等排放、倾倒、处置水污染物，或者通过私设旁路排放</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"https://baike.sogou.com/m/fullLemma?lid=7758328&amp;g_ut=3"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大气污染物</w:t>
      </w:r>
      <w:r>
        <w:rPr>
          <w:rFonts w:hint="eastAsia" w:ascii="宋体" w:hAnsi="宋体" w:eastAsia="宋体" w:cs="宋体"/>
          <w:sz w:val="24"/>
          <w:szCs w:val="24"/>
        </w:rPr>
        <w:fldChar w:fldCharType="end"/>
      </w:r>
      <w:r>
        <w:rPr>
          <w:rFonts w:hint="eastAsia" w:ascii="宋体" w:hAnsi="宋体" w:eastAsia="宋体" w:cs="宋体"/>
          <w:sz w:val="24"/>
          <w:szCs w:val="24"/>
        </w:rPr>
        <w:t>的；</w:t>
      </w:r>
    </w:p>
    <w:p w14:paraId="07359FF7">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（七）非法排放、倾倒、处置危险废物，或者向无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"https://baike.sogou.com/m/fullLemma?lid=5923292&amp;g_ut=3"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经营许可证</w:t>
      </w:r>
      <w:r>
        <w:rPr>
          <w:rFonts w:hint="eastAsia" w:ascii="宋体" w:hAnsi="宋体" w:eastAsia="宋体" w:cs="宋体"/>
          <w:sz w:val="24"/>
          <w:szCs w:val="24"/>
        </w:rPr>
        <w:fldChar w:fldCharType="end"/>
      </w:r>
      <w:r>
        <w:rPr>
          <w:rFonts w:hint="eastAsia" w:ascii="宋体" w:hAnsi="宋体" w:eastAsia="宋体" w:cs="宋体"/>
          <w:sz w:val="24"/>
          <w:szCs w:val="24"/>
        </w:rPr>
        <w:t>或者超出经营许可范围的单位或个人提供或者委托其收集、贮存、利用、处置危险废物的；</w:t>
      </w:r>
    </w:p>
    <w:p w14:paraId="48390247">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（八）</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"https://baike.sogou.com/m/fullLemma?lid=167759803&amp;g_ut=3"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环境违法行为</w:t>
      </w:r>
      <w:r>
        <w:rPr>
          <w:rFonts w:hint="eastAsia" w:ascii="宋体" w:hAnsi="宋体" w:eastAsia="宋体" w:cs="宋体"/>
          <w:sz w:val="24"/>
          <w:szCs w:val="24"/>
        </w:rPr>
        <w:fldChar w:fldCharType="end"/>
      </w:r>
      <w:r>
        <w:rPr>
          <w:rFonts w:hint="eastAsia" w:ascii="宋体" w:hAnsi="宋体" w:eastAsia="宋体" w:cs="宋体"/>
          <w:sz w:val="24"/>
          <w:szCs w:val="24"/>
        </w:rPr>
        <w:t>造成集中式生活饮用水水源取水中断的；</w:t>
      </w:r>
    </w:p>
    <w:p w14:paraId="72DC59FC">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（九）环境违法行为对生活饮用水水源保护区、自然保护区、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"https://baike.sogou.com/m/fullLemma?lid=155199213&amp;g_ut=3"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国家重点生态功能区</w:t>
      </w:r>
      <w:r>
        <w:rPr>
          <w:rFonts w:hint="eastAsia" w:ascii="宋体" w:hAnsi="宋体" w:eastAsia="宋体" w:cs="宋体"/>
          <w:sz w:val="24"/>
          <w:szCs w:val="24"/>
        </w:rPr>
        <w:fldChar w:fldCharType="end"/>
      </w:r>
      <w:r>
        <w:rPr>
          <w:rFonts w:hint="eastAsia" w:ascii="宋体" w:hAnsi="宋体" w:eastAsia="宋体" w:cs="宋体"/>
          <w:sz w:val="24"/>
          <w:szCs w:val="24"/>
        </w:rPr>
        <w:t>、风景名胜区、居住功能区、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"https://baike.sogou.com/m/fullLemma?lid=7757164&amp;g_ut=3" \t "https://baike.sogou.com/m/_blank"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基本农田保护区</w:t>
      </w:r>
      <w:r>
        <w:rPr>
          <w:rFonts w:hint="eastAsia" w:ascii="宋体" w:hAnsi="宋体" w:eastAsia="宋体" w:cs="宋体"/>
          <w:sz w:val="24"/>
          <w:szCs w:val="24"/>
        </w:rPr>
        <w:fldChar w:fldCharType="end"/>
      </w:r>
      <w:r>
        <w:rPr>
          <w:rFonts w:hint="eastAsia" w:ascii="宋体" w:hAnsi="宋体" w:eastAsia="宋体" w:cs="宋体"/>
          <w:sz w:val="24"/>
          <w:szCs w:val="24"/>
        </w:rPr>
        <w:t>等环境敏感区造成重大不利影响的；</w:t>
      </w:r>
    </w:p>
    <w:p w14:paraId="72E9C3A8">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（十）违法从事自然资源开发、交通基础设施建设，以及其他开发建设活动，造成严重生态破坏的；</w:t>
      </w:r>
    </w:p>
    <w:p w14:paraId="3FB7C725">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（十一）发生较大及以上突发环境事件的；</w:t>
      </w:r>
    </w:p>
    <w:p w14:paraId="0BD634F9">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（十二）被环保部门挂牌督办，整改逾期未完成的；</w:t>
      </w:r>
    </w:p>
    <w:p w14:paraId="4F3F0284">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（十三）以暴力、威胁等方式拒绝、阻挠环保部门工作人员现场检查的；</w:t>
      </w:r>
    </w:p>
    <w:p w14:paraId="0B990E23">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（十四）违反重污染天气应急预案有关规定，对重污染天气响应不力的。</w:t>
      </w:r>
    </w:p>
    <w:p w14:paraId="34A9E4F0">
      <w:pPr>
        <w:adjustRightInd w:val="0"/>
        <w:snapToGrid w:val="0"/>
        <w:spacing w:line="560" w:lineRule="exact"/>
        <w:ind w:firstLine="645"/>
        <w:jc w:val="left"/>
        <w:rPr>
          <w:rFonts w:hint="eastAsia" w:ascii="宋体" w:hAnsi="宋体" w:eastAsia="宋体" w:cs="宋体"/>
          <w:b/>
          <w:sz w:val="24"/>
          <w:szCs w:val="24"/>
        </w:rPr>
      </w:pPr>
      <w:r>
        <w:rPr>
          <w:rFonts w:hint="eastAsia" w:ascii="宋体" w:hAnsi="宋体" w:eastAsia="宋体" w:cs="宋体"/>
          <w:b/>
          <w:sz w:val="24"/>
          <w:szCs w:val="24"/>
        </w:rPr>
        <w:t>依据：《关于对环境保护领域失信生产经营单位及其有关人员开展联合惩戒的合作备忘录》、《企业环境信用评价办法（试行）》（环发〔2013〕150号）</w:t>
      </w:r>
    </w:p>
    <w:p w14:paraId="65595517">
      <w:pPr>
        <w:adjustRightInd w:val="0"/>
        <w:snapToGrid w:val="0"/>
        <w:spacing w:line="560" w:lineRule="exact"/>
        <w:ind w:firstLine="645"/>
        <w:jc w:val="left"/>
        <w:rPr>
          <w:rFonts w:hint="eastAsia" w:ascii="宋体" w:hAnsi="宋体" w:eastAsia="宋体" w:cs="宋体"/>
          <w:b/>
          <w:sz w:val="24"/>
          <w:szCs w:val="24"/>
        </w:rPr>
      </w:pPr>
    </w:p>
    <w:p w14:paraId="686DC2D8">
      <w:pPr>
        <w:adjustRightInd w:val="0"/>
        <w:snapToGrid w:val="0"/>
        <w:spacing w:line="560" w:lineRule="exact"/>
        <w:ind w:firstLine="645"/>
        <w:jc w:val="left"/>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公共资源交易领域严重失信行为</w:t>
      </w:r>
    </w:p>
    <w:p w14:paraId="5E6FC993">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（一）违反法律规定，必须进行招标的项目而不招标的，将必须进行招标的项目化整为零或者以其他任何方式规避招标的； </w:t>
      </w:r>
    </w:p>
    <w:p w14:paraId="01784648">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（二）招标代理机构违反法律规定，泄露应当保密的与招标投标活动有关的情况和资料的，或者与招标人、投标人串通损害 国家利益、社会公共利益或者他人合法权益的；</w:t>
      </w:r>
    </w:p>
    <w:p w14:paraId="1EC5982B">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（三）招标人以不合理的条件限制或者排斥潜在投标人的，对潜在投标人实行歧视待遇的，强制要求投标人组成联合体共同 投标的，或者限制投标人之间竞争的；</w:t>
      </w:r>
    </w:p>
    <w:p w14:paraId="635C28A9">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（四）依法必须进行招标的项目的招标人向他人透露已获取招标文件的潜在投标人的名称、数量或者可能影响公平竞争的有 关招标投标的其他情况的，或者泄露标底的；</w:t>
      </w:r>
    </w:p>
    <w:p w14:paraId="066EB0BB">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（五）投标人相互串通投标或者与招标人串通投标的，投标人以向招标人或者评标委员会成员行贿的手段谋取中标的； </w:t>
      </w:r>
    </w:p>
    <w:p w14:paraId="7FEA7469">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（六）投标人以他人名义投标或者以其他方式弄虚作假，骗取中标的；</w:t>
      </w:r>
    </w:p>
    <w:p w14:paraId="3EF99E47">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（七）依法必须进行招标的项目，招标人违反法律规定，与投标人就投标价格、投标方案等实质性内容进行谈判的；</w:t>
      </w:r>
    </w:p>
    <w:p w14:paraId="092C6122">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1346133">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（九）招标人在评标委员会依法推荐的中标候选人以外确定中标人的，依法必须进行招标的项目在所有投标被评标委员会否 决后自行确定中标人的； </w:t>
      </w:r>
    </w:p>
    <w:p w14:paraId="4DFC215E">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（十）中标人将中标项目转让给他人的，将中标项目肢解后分别转让给他人的，违反法律规定将中标项目的部分主体、关键 性工作分包给他人的，或者分包人再次分包的； </w:t>
      </w:r>
    </w:p>
    <w:p w14:paraId="15AA71DF">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（十一）招标人与中标人不按照招标文件和中标人的投标文件订立合同的，或者招标人、中标人订立背离合同实质性内容的 协议的； </w:t>
      </w:r>
    </w:p>
    <w:p w14:paraId="5C912E9B">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（十二）中标人不按照与招标人订立的合同履行义务，情节严重的； </w:t>
      </w:r>
    </w:p>
    <w:p w14:paraId="0FD7A650">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F5A4F11">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4B0C84F">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 （十五）采购人对应当实行集中采购的政府采购项目，不委托集中采购机构实行集中采购的； </w:t>
      </w:r>
    </w:p>
    <w:p w14:paraId="3BAF7674">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（十六）采购人、采购代理机构违反法律规定隐匿、销毁应当保存的采购文件或者伪造、变造采购文件的； </w:t>
      </w:r>
    </w:p>
    <w:p w14:paraId="77595081">
      <w:pPr>
        <w:adjustRightInd w:val="0"/>
        <w:snapToGrid w:val="0"/>
        <w:spacing w:line="560" w:lineRule="exact"/>
        <w:ind w:firstLine="645"/>
        <w:jc w:val="left"/>
        <w:rPr>
          <w:rFonts w:hint="eastAsia" w:ascii="宋体" w:hAnsi="宋体" w:eastAsia="宋体" w:cs="宋体"/>
          <w:sz w:val="24"/>
          <w:szCs w:val="24"/>
        </w:rPr>
      </w:pPr>
      <w:r>
        <w:rPr>
          <w:rFonts w:hint="eastAsia" w:ascii="宋体" w:hAnsi="宋体" w:eastAsia="宋体" w:cs="宋体"/>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F4AFF4D">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（十八）疫苗生产企业向县级疾病预防控制机构以外的单位或者个人销售第二类疫苗的； </w:t>
      </w:r>
    </w:p>
    <w:p w14:paraId="5E5C6376">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（十九）存在其他违反公共资源交易法律法规行为的。</w:t>
      </w:r>
    </w:p>
    <w:p w14:paraId="17021B8E">
      <w:pPr>
        <w:adjustRightInd w:val="0"/>
        <w:snapToGrid w:val="0"/>
        <w:spacing w:line="56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rPr>
        <w:t>依据：《关于对公共资源交易领域严重失信主体开展联合惩戒的备忘录》（发改法规〔2018〕457号）</w:t>
      </w:r>
    </w:p>
    <w:p w14:paraId="400D5015">
      <w:pPr>
        <w:adjustRightInd w:val="0"/>
        <w:snapToGrid w:val="0"/>
        <w:spacing w:line="560" w:lineRule="exact"/>
        <w:ind w:firstLine="645"/>
        <w:jc w:val="left"/>
        <w:rPr>
          <w:rFonts w:hint="eastAsia" w:ascii="宋体" w:hAnsi="宋体" w:eastAsia="宋体" w:cs="宋体"/>
          <w:sz w:val="24"/>
          <w:szCs w:val="24"/>
        </w:rPr>
      </w:pPr>
    </w:p>
    <w:p w14:paraId="60BF8D36">
      <w:pPr>
        <w:adjustRightInd w:val="0"/>
        <w:snapToGrid w:val="0"/>
        <w:spacing w:line="56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rPr>
        <w:t>四、</w:t>
      </w:r>
      <w:r>
        <w:rPr>
          <w:rFonts w:hint="eastAsia" w:ascii="宋体" w:hAnsi="宋体" w:eastAsia="宋体" w:cs="宋体"/>
          <w:b/>
          <w:bCs/>
          <w:sz w:val="24"/>
          <w:szCs w:val="24"/>
        </w:rPr>
        <w:t>社会保险领域严重失信行为</w:t>
      </w:r>
    </w:p>
    <w:p w14:paraId="437C46D7">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（一）用人单位未按相关规定参加社会保险且拒不整改的； </w:t>
      </w:r>
    </w:p>
    <w:p w14:paraId="22142E5C">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（二）用人单位未如实申报社会保险缴费基数且拒不整改的； </w:t>
      </w:r>
    </w:p>
    <w:p w14:paraId="50293DB5">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（三）应缴纳社会保险费却拒不缴纳的； </w:t>
      </w:r>
    </w:p>
    <w:p w14:paraId="43984CBE">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（四）隐匿、转移、侵占、挪用社会保险费款、基金或者违规投资运营的；</w:t>
      </w:r>
    </w:p>
    <w:p w14:paraId="713F272F">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（五）以欺诈、伪造证明材料或者其他手段参加、申报社会保险和骗取社会保险基金支出或社会保险待遇的； </w:t>
      </w:r>
    </w:p>
    <w:p w14:paraId="6E0CEEAA">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（六）非法获取、出售或变相交易社会保险个人权益数据的； </w:t>
      </w:r>
    </w:p>
    <w:p w14:paraId="569C7126">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（七）社会保险服务机构违反服务协议或相关规定的； </w:t>
      </w:r>
    </w:p>
    <w:p w14:paraId="2F194FD5">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04DEAFB3">
      <w:pPr>
        <w:adjustRightInd w:val="0"/>
        <w:snapToGrid w:val="0"/>
        <w:spacing w:line="56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rPr>
        <w:t>（九）其他违反法律法规规定的。</w:t>
      </w:r>
    </w:p>
    <w:p w14:paraId="5079744A">
      <w:pPr>
        <w:adjustRightInd w:val="0"/>
        <w:snapToGrid w:val="0"/>
        <w:spacing w:line="560" w:lineRule="exact"/>
        <w:ind w:firstLine="472" w:firstLineChars="196"/>
        <w:jc w:val="left"/>
        <w:rPr>
          <w:rFonts w:hint="eastAsia" w:ascii="宋体" w:hAnsi="宋体" w:eastAsia="宋体" w:cs="宋体"/>
          <w:sz w:val="24"/>
          <w:szCs w:val="24"/>
        </w:rPr>
      </w:pPr>
      <w:r>
        <w:rPr>
          <w:rFonts w:hint="eastAsia" w:ascii="宋体" w:hAnsi="宋体" w:eastAsia="宋体" w:cs="宋体"/>
          <w:b/>
          <w:sz w:val="24"/>
          <w:szCs w:val="24"/>
        </w:rPr>
        <w:t>依据：《关于对社会保险领域严重失信企业及其有关人员实施联合惩戒的合作备忘录》（发改财金〔2018〕1704号）</w:t>
      </w:r>
    </w:p>
    <w:p w14:paraId="06B484DF">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1C074D7D">
      <w:pPr>
        <w:adjustRightInd w:val="0"/>
        <w:snapToGrid w:val="0"/>
        <w:spacing w:line="560" w:lineRule="exact"/>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五、建筑市场领域</w:t>
      </w:r>
      <w:r>
        <w:rPr>
          <w:rFonts w:hint="eastAsia" w:ascii="宋体" w:hAnsi="宋体" w:eastAsia="宋体" w:cs="宋体"/>
          <w:b/>
          <w:bCs/>
          <w:sz w:val="24"/>
          <w:szCs w:val="24"/>
        </w:rPr>
        <w:t>严重失信行为</w:t>
      </w:r>
    </w:p>
    <w:p w14:paraId="4A5FB5CC">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（一）利用虚假材料、以欺骗手段取得企业资质的；</w:t>
      </w:r>
    </w:p>
    <w:p w14:paraId="60B069B8">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（二）发生转包、出借资质，受到行政处罚的；</w:t>
      </w:r>
    </w:p>
    <w:p w14:paraId="6DA82B93">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（三）发生重大及以上工程质量安全事故，或1年内累计发生2次及以上较大工程质量安全事故，或发生性质恶劣、危害性严重、社会影响大的较大工程质量安全事故，受到行政处罚的；</w:t>
      </w:r>
    </w:p>
    <w:p w14:paraId="1FDBC635">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（四）经法院判决或仲裁机构裁决，认定为拖欠工程款,且拒不履行生效法律文书确定的义务的。</w:t>
      </w:r>
    </w:p>
    <w:p w14:paraId="727B8541">
      <w:pPr>
        <w:adjustRightInd w:val="0"/>
        <w:snapToGrid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各级住房城乡建设主管部门应当参照建筑市场主体“黑名单”，对被人力资源社会保障行政部门列入拖欠农民工工资“黑名单”的建筑市场各方主体加强监管。</w:t>
      </w:r>
    </w:p>
    <w:p w14:paraId="599E2C19">
      <w:pPr>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依据：《建筑市场信用管理暂行办法》（建市〔2017〕241号）</w:t>
      </w:r>
    </w:p>
    <w:p w14:paraId="51BD855E">
      <w:pPr>
        <w:adjustRightInd w:val="0"/>
        <w:snapToGrid w:val="0"/>
        <w:spacing w:line="560" w:lineRule="exact"/>
        <w:rPr>
          <w:rFonts w:hint="eastAsia" w:ascii="宋体" w:hAnsi="宋体" w:eastAsia="宋体" w:cs="宋体"/>
          <w:b/>
          <w:sz w:val="24"/>
          <w:szCs w:val="24"/>
        </w:rPr>
      </w:pPr>
    </w:p>
    <w:p w14:paraId="15871D92">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六、政府采购严重失信行为</w:t>
      </w:r>
    </w:p>
    <w:p w14:paraId="1FC6868F">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供应商、采购代理机构在三年内受到财政部门作出下列情形之一的行政处罚，列入政府采购严重违法失信行为记录名单。</w:t>
      </w:r>
    </w:p>
    <w:p w14:paraId="3497CC19">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　　（一）三万元以上罚款；</w:t>
      </w:r>
    </w:p>
    <w:p w14:paraId="729518FA">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　　（二）在一至三年内禁止参加政府采购活动（处罚期限届满的除外）；</w:t>
      </w:r>
    </w:p>
    <w:p w14:paraId="000DDBCC">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　　（三）在一至三年内禁止代理政府采购业务（处罚期限届满的除外）；</w:t>
      </w:r>
    </w:p>
    <w:p w14:paraId="1F9CFC37">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　 （四）撤销政府采购代理机构资格（仅针对《政府采购法》第78条修改前作出的处罚决定）。</w:t>
      </w:r>
    </w:p>
    <w:p w14:paraId="35945973">
      <w:pPr>
        <w:adjustRightInd w:val="0"/>
        <w:snapToGrid w:val="0"/>
        <w:spacing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依据：《关于报送政府采购严重违法失信行为信息记录的通知》（财办库〔2014〕526号）</w:t>
      </w:r>
    </w:p>
    <w:p w14:paraId="62B8777C">
      <w:pPr>
        <w:adjustRightInd w:val="0"/>
        <w:snapToGrid w:val="0"/>
        <w:spacing w:line="560" w:lineRule="exact"/>
        <w:ind w:firstLine="482" w:firstLineChars="200"/>
        <w:rPr>
          <w:rFonts w:hint="eastAsia" w:ascii="宋体" w:hAnsi="宋体" w:eastAsia="宋体" w:cs="宋体"/>
          <w:b/>
          <w:sz w:val="24"/>
          <w:szCs w:val="24"/>
        </w:rPr>
      </w:pPr>
    </w:p>
    <w:p w14:paraId="02FF1DEE">
      <w:pPr>
        <w:adjustRightInd w:val="0"/>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七、水利建设领域严重失信行为</w:t>
      </w:r>
    </w:p>
    <w:p w14:paraId="598E704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（一）1年内不良行为记录累计扣分达到20分的；</w:t>
      </w:r>
    </w:p>
    <w:p w14:paraId="622CF84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（二）"重点关注名单"公开期满后仍不整改的；</w:t>
      </w:r>
    </w:p>
    <w:p w14:paraId="33F9CD08">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（三）存在以下严重危害人民群众身体健康、生命安全和工程质量，以及特别严重违规行为之一的：</w:t>
      </w:r>
    </w:p>
    <w:p w14:paraId="5C29F152">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1.发生重大、特大质量或安全事故，并负有直接责任的；</w:t>
      </w:r>
    </w:p>
    <w:p w14:paraId="4B38AB4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2.在单位公开信息、工程相关技术成果和工程建设过程中隐瞒真实情况、弄虚作假，提供虚假材料，谋取不正当利益的；</w:t>
      </w:r>
    </w:p>
    <w:p w14:paraId="4D78550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3.违反有关法律、法规、规章、政策、技术标准、设计文件、合同等有关规定开展工作造成的工程质量问题，经处理后仍影响工程正常使用或减少工程使用寿命的；</w:t>
      </w:r>
    </w:p>
    <w:p w14:paraId="449AE437">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4.违反规定施工，造成生态环境严重破坏且拒不修复的；</w:t>
      </w:r>
    </w:p>
    <w:p w14:paraId="1883D2C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5.被证实恶意制造工程质量缺陷或质量隐患的；</w:t>
      </w:r>
    </w:p>
    <w:p w14:paraId="0E54D01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6.其他违反法律法规，造成严重后果或社会危害较大的。</w:t>
      </w:r>
    </w:p>
    <w:p w14:paraId="2A0CCCCF">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（四）存在以下严重破坏市场公平竞争秩序和社会正常秩序行为之一的：</w:t>
      </w:r>
    </w:p>
    <w:p w14:paraId="32CE15C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1.不按合同约定，恶意拖欠承包人项目款的；</w:t>
      </w:r>
    </w:p>
    <w:p w14:paraId="75FD839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2.隐瞒有关情况或者提供虚假材料申请资质的，在全国水利建设市场监管服务平台公开虚假信息的，以欺骗、贿赂等不正当手段取得资质等级证书的；</w:t>
      </w:r>
    </w:p>
    <w:p w14:paraId="04FC99E3">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3.出借、借用资质证书,允许他人以本单位名义或借用他人名义等弄虚作假方式承揽业务的；</w:t>
      </w:r>
    </w:p>
    <w:p w14:paraId="4FD378A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4.未取得相应资质或超越资质证书核定范围、营业范围承揽业务的；</w:t>
      </w:r>
    </w:p>
    <w:p w14:paraId="5541265F">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5.操纵招标过程，谋取不正当利益的；</w:t>
      </w:r>
    </w:p>
    <w:p w14:paraId="0A5B7F44">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6.与招标人或投标人串通投标的；</w:t>
      </w:r>
    </w:p>
    <w:p w14:paraId="5BD8A91A">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7.以向招标人或评标委员会成员行贿的手段谋取中标的；</w:t>
      </w:r>
    </w:p>
    <w:p w14:paraId="4199F47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8.中标后，无正当理由不签订合同的；</w:t>
      </w:r>
    </w:p>
    <w:p w14:paraId="0BF64B9B">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9.转包或违法分包所承揽业务的；</w:t>
      </w:r>
    </w:p>
    <w:p w14:paraId="3BA652E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10.弄虚作假，以欺诈手段降低工程或设备质量的；</w:t>
      </w:r>
    </w:p>
    <w:p w14:paraId="05DC3928">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11.单位行贿、受贿，受到刑事处罚的；</w:t>
      </w:r>
    </w:p>
    <w:p w14:paraId="602278E1">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12.逃税骗税、恶意逃废债务的；</w:t>
      </w:r>
    </w:p>
    <w:p w14:paraId="0507A734">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13.参与非法集资，受到刑事处罚的；</w:t>
      </w:r>
    </w:p>
    <w:p w14:paraId="7CAB3327">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14.在签订、履行合同过程中，存在合同欺诈行为，受到刑事处罚的；</w:t>
      </w:r>
    </w:p>
    <w:p w14:paraId="79C52A4D">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15.虚构工程项目，套取资金的；</w:t>
      </w:r>
    </w:p>
    <w:p w14:paraId="2536CBE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16.克扣、无故拖欠农民工工资报酬，数额达到认定拒不支付劳动报酬罪数额标准的；</w:t>
      </w:r>
    </w:p>
    <w:p w14:paraId="2CFA4EEC">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17.发生社会公共事件，影响较大，并负有直接责任的。</w:t>
      </w:r>
    </w:p>
    <w:p w14:paraId="7F0B2C8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（五）存在以下拒不履行法定义务，严重影响司法机关、行政机关公信力行为之一的：</w:t>
      </w:r>
    </w:p>
    <w:p w14:paraId="79AC87EB">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1.发生事故拒绝接受调查或拒绝提供有关资料的；</w:t>
      </w:r>
    </w:p>
    <w:p w14:paraId="3A2C6E56">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2.拒不执行生效的行政处罚决定的；</w:t>
      </w:r>
    </w:p>
    <w:p w14:paraId="6824DCDE">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3.拒不执行仲裁、法院判决结果的。</w:t>
      </w:r>
    </w:p>
    <w:p w14:paraId="59975AF5">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（六）被相关联合惩戒部门列入"黑名单"，符合联合惩戒措施的。</w:t>
      </w:r>
    </w:p>
    <w:p w14:paraId="5DA9CC22">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生产建设项目水土保持市场主体"黑名单"列入标准见《水利建设市场主体信用信息管理办法》附件。</w:t>
      </w:r>
    </w:p>
    <w:p w14:paraId="379DF79F">
      <w:pPr>
        <w:adjustRightInd w:val="0"/>
        <w:snapToGrid w:val="0"/>
        <w:spacing w:line="560" w:lineRule="exact"/>
        <w:ind w:firstLine="615"/>
        <w:rPr>
          <w:rFonts w:hint="eastAsia" w:ascii="宋体" w:hAnsi="宋体" w:eastAsia="宋体" w:cs="宋体"/>
          <w:sz w:val="24"/>
          <w:szCs w:val="24"/>
        </w:rPr>
      </w:pPr>
      <w:r>
        <w:rPr>
          <w:rFonts w:hint="eastAsia" w:ascii="宋体" w:hAnsi="宋体" w:eastAsia="宋体" w:cs="宋体"/>
          <w:sz w:val="24"/>
          <w:szCs w:val="24"/>
        </w:rPr>
        <w:t>依据：《水利建设市场主体信用评价管理办法》水建设〔2019〕307号、《水利建设市场主体信用信息管理办法》水建设〔2019〕306号</w:t>
      </w:r>
    </w:p>
    <w:p w14:paraId="16F1F314">
      <w:pPr>
        <w:adjustRightInd w:val="0"/>
        <w:snapToGrid w:val="0"/>
        <w:spacing w:line="560" w:lineRule="exact"/>
        <w:ind w:firstLine="615"/>
        <w:rPr>
          <w:rFonts w:hint="eastAsia" w:ascii="宋体" w:hAnsi="宋体" w:eastAsia="宋体" w:cs="宋体"/>
          <w:b/>
          <w:sz w:val="24"/>
          <w:szCs w:val="24"/>
        </w:rPr>
      </w:pPr>
    </w:p>
    <w:p w14:paraId="5B58A82A">
      <w:pPr>
        <w:spacing w:line="500" w:lineRule="exact"/>
        <w:ind w:firstLine="615"/>
        <w:rPr>
          <w:rFonts w:hint="eastAsia" w:ascii="宋体" w:hAnsi="宋体" w:eastAsia="宋体" w:cs="宋体"/>
          <w:b/>
          <w:sz w:val="24"/>
          <w:szCs w:val="24"/>
        </w:rPr>
      </w:pPr>
      <w:r>
        <w:rPr>
          <w:rFonts w:hint="eastAsia" w:ascii="宋体" w:hAnsi="宋体" w:eastAsia="宋体" w:cs="宋体"/>
          <w:b/>
          <w:sz w:val="24"/>
          <w:szCs w:val="24"/>
        </w:rPr>
        <w:t>未列出的其他类别严重失信行为，由招标人（代理机构）根据各类别行业主管部门下发的联合惩戒文件进行判断</w:t>
      </w:r>
    </w:p>
    <w:p w14:paraId="07B3C34B">
      <w:pPr>
        <w:spacing w:line="360" w:lineRule="auto"/>
        <w:jc w:val="center"/>
        <w:outlineLvl w:val="0"/>
        <w:rPr>
          <w:rFonts w:ascii="宋体" w:hAnsi="宋体" w:eastAsia="宋体"/>
          <w:b/>
          <w:bCs/>
          <w:color w:val="auto"/>
          <w:sz w:val="28"/>
          <w:highlight w:val="none"/>
        </w:rPr>
      </w:pPr>
      <w:r>
        <w:rPr>
          <w:rFonts w:ascii="宋体"/>
          <w:b w:val="0"/>
          <w:szCs w:val="32"/>
        </w:rPr>
        <w:br w:type="page"/>
      </w:r>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56"/>
      <w:bookmarkEnd w:id="57"/>
    </w:p>
    <w:p w14:paraId="2ECA8311">
      <w:pPr>
        <w:spacing w:line="360" w:lineRule="auto"/>
        <w:jc w:val="center"/>
        <w:outlineLvl w:val="1"/>
        <w:rPr>
          <w:rFonts w:ascii="仿宋" w:hAnsi="仿宋" w:eastAsia="仿宋" w:cs="仿宋"/>
          <w:b/>
          <w:bCs/>
          <w:color w:val="auto"/>
          <w:sz w:val="32"/>
          <w:szCs w:val="44"/>
          <w:highlight w:val="none"/>
        </w:rPr>
      </w:pPr>
      <w:bookmarkStart w:id="71" w:name="_Toc27159"/>
      <w:bookmarkStart w:id="72" w:name="_Toc27489"/>
      <w:r>
        <w:rPr>
          <w:rFonts w:hint="eastAsia" w:ascii="仿宋" w:hAnsi="仿宋" w:eastAsia="仿宋" w:cs="仿宋"/>
          <w:b/>
          <w:bCs/>
          <w:color w:val="auto"/>
          <w:sz w:val="32"/>
          <w:szCs w:val="44"/>
          <w:highlight w:val="none"/>
        </w:rPr>
        <w:t>询问函范本</w:t>
      </w:r>
      <w:bookmarkEnd w:id="71"/>
      <w:bookmarkEnd w:id="72"/>
    </w:p>
    <w:p w14:paraId="27F07743">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3E60B2A1">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69AF54C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6C4F9F3">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3" w:name="_Toc13899"/>
      <w:r>
        <w:rPr>
          <w:rFonts w:hint="eastAsia" w:cs="仿宋" w:asciiTheme="minorEastAsia" w:hAnsiTheme="minorEastAsia" w:eastAsiaTheme="minorEastAsia"/>
          <w:color w:val="auto"/>
          <w:sz w:val="24"/>
          <w:szCs w:val="24"/>
          <w:highlight w:val="none"/>
        </w:rPr>
        <w:t>一、(事项一)</w:t>
      </w:r>
      <w:bookmarkEnd w:id="73"/>
    </w:p>
    <w:p w14:paraId="439DCDD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7612D8F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7F9067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BBB56D7">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74" w:name="_Toc3352"/>
      <w:r>
        <w:rPr>
          <w:rFonts w:hint="eastAsia" w:cs="仿宋" w:asciiTheme="minorEastAsia" w:hAnsiTheme="minorEastAsia" w:eastAsiaTheme="minorEastAsia"/>
          <w:color w:val="auto"/>
          <w:sz w:val="24"/>
          <w:szCs w:val="24"/>
          <w:highlight w:val="none"/>
        </w:rPr>
        <w:t>二、(事项二)</w:t>
      </w:r>
      <w:bookmarkEnd w:id="74"/>
    </w:p>
    <w:p w14:paraId="2559978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58EC3E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6643EC4">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5AD5BCD">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AFB4BA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DF0A25E">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7D13B521">
      <w:pPr>
        <w:jc w:val="center"/>
        <w:outlineLvl w:val="1"/>
        <w:rPr>
          <w:rFonts w:ascii="仿宋" w:hAnsi="仿宋" w:eastAsia="仿宋" w:cs="仿宋"/>
          <w:b/>
          <w:bCs/>
          <w:color w:val="auto"/>
          <w:sz w:val="32"/>
          <w:szCs w:val="44"/>
          <w:highlight w:val="none"/>
        </w:rPr>
      </w:pPr>
      <w:bookmarkStart w:id="75" w:name="_Toc1575"/>
      <w:bookmarkStart w:id="76" w:name="_Toc3245"/>
      <w:r>
        <w:rPr>
          <w:rFonts w:hint="eastAsia" w:ascii="仿宋" w:hAnsi="仿宋" w:eastAsia="仿宋" w:cs="仿宋"/>
          <w:b/>
          <w:bCs/>
          <w:color w:val="auto"/>
          <w:sz w:val="32"/>
          <w:szCs w:val="44"/>
          <w:highlight w:val="none"/>
        </w:rPr>
        <w:t>质疑函范本</w:t>
      </w:r>
      <w:bookmarkEnd w:id="75"/>
      <w:bookmarkEnd w:id="76"/>
    </w:p>
    <w:p w14:paraId="73A9282A">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77" w:name="_Toc21381"/>
      <w:r>
        <w:rPr>
          <w:rFonts w:hint="eastAsia" w:cs="仿宋" w:asciiTheme="minorEastAsia" w:hAnsiTheme="minorEastAsia" w:eastAsiaTheme="minorEastAsia"/>
          <w:b/>
          <w:bCs/>
          <w:color w:val="auto"/>
          <w:sz w:val="24"/>
          <w:szCs w:val="24"/>
          <w:highlight w:val="none"/>
        </w:rPr>
        <w:t>一、质疑供应商基本信息</w:t>
      </w:r>
      <w:bookmarkEnd w:id="77"/>
    </w:p>
    <w:p w14:paraId="34DAD50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703627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3350A6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72E04F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26567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3799B7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FC40C7F">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8" w:name="_Toc28415"/>
      <w:r>
        <w:rPr>
          <w:rFonts w:hint="eastAsia" w:cs="仿宋" w:asciiTheme="minorEastAsia" w:hAnsiTheme="minorEastAsia" w:eastAsiaTheme="minorEastAsia"/>
          <w:b/>
          <w:bCs/>
          <w:color w:val="auto"/>
          <w:sz w:val="24"/>
          <w:szCs w:val="24"/>
          <w:highlight w:val="none"/>
        </w:rPr>
        <w:t>二、质疑项目基本情况</w:t>
      </w:r>
      <w:bookmarkEnd w:id="78"/>
    </w:p>
    <w:p w14:paraId="691F492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FC7A81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0DA0E3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477F003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40863C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79" w:name="_Toc19014"/>
      <w:r>
        <w:rPr>
          <w:rFonts w:hint="eastAsia" w:cs="仿宋" w:asciiTheme="minorEastAsia" w:hAnsiTheme="minorEastAsia" w:eastAsiaTheme="minorEastAsia"/>
          <w:b/>
          <w:bCs/>
          <w:color w:val="auto"/>
          <w:sz w:val="24"/>
          <w:szCs w:val="24"/>
          <w:highlight w:val="none"/>
        </w:rPr>
        <w:t>三、质疑事项具体内容</w:t>
      </w:r>
      <w:bookmarkEnd w:id="79"/>
    </w:p>
    <w:p w14:paraId="30E0694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1173E36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31BEA0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6426F2D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3E269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B20A42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1B783E0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F6CE15C">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80" w:name="_Toc17919"/>
      <w:r>
        <w:rPr>
          <w:rFonts w:hint="eastAsia" w:cs="仿宋" w:asciiTheme="minorEastAsia" w:hAnsiTheme="minorEastAsia" w:eastAsiaTheme="minorEastAsia"/>
          <w:b/>
          <w:bCs/>
          <w:color w:val="auto"/>
          <w:sz w:val="24"/>
          <w:szCs w:val="24"/>
          <w:highlight w:val="none"/>
        </w:rPr>
        <w:t>四、与质疑事项相关的质疑请求</w:t>
      </w:r>
      <w:bookmarkEnd w:id="80"/>
    </w:p>
    <w:p w14:paraId="74A409D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D8344D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C83D2F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33B697C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4F917BE">
      <w:pPr>
        <w:outlineLvl w:val="0"/>
        <w:rPr>
          <w:rFonts w:asciiTheme="minorEastAsia" w:hAnsiTheme="minorEastAsia" w:eastAsiaTheme="minorEastAsia"/>
          <w:b/>
          <w:color w:val="auto"/>
          <w:sz w:val="28"/>
          <w:szCs w:val="32"/>
          <w:highlight w:val="none"/>
        </w:rPr>
      </w:pPr>
      <w:bookmarkStart w:id="81" w:name="_Toc9754"/>
      <w:bookmarkStart w:id="82" w:name="_Toc26836"/>
      <w:r>
        <w:rPr>
          <w:rFonts w:hint="eastAsia" w:asciiTheme="minorEastAsia" w:hAnsiTheme="minorEastAsia" w:eastAsiaTheme="minorEastAsia"/>
          <w:b/>
          <w:color w:val="auto"/>
          <w:sz w:val="28"/>
          <w:szCs w:val="32"/>
          <w:highlight w:val="none"/>
        </w:rPr>
        <w:t>质疑函制作说明：</w:t>
      </w:r>
      <w:bookmarkEnd w:id="81"/>
      <w:bookmarkEnd w:id="82"/>
    </w:p>
    <w:p w14:paraId="024C2B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42643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A424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655232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14272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D1CE6E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36E987">
      <w:pPr>
        <w:pStyle w:val="25"/>
        <w:rPr>
          <w:rFonts w:hint="eastAsia" w:asciiTheme="minorEastAsia" w:hAnsiTheme="minorEastAsia" w:eastAsiaTheme="minorEastAsia"/>
          <w:color w:val="auto"/>
          <w:sz w:val="24"/>
          <w:highlight w:val="none"/>
        </w:rPr>
      </w:pPr>
    </w:p>
    <w:p w14:paraId="4936B1F7">
      <w:pPr>
        <w:rPr>
          <w:rFonts w:hint="eastAsia" w:asciiTheme="minorEastAsia" w:hAnsiTheme="minorEastAsia" w:eastAsiaTheme="minorEastAsia"/>
          <w:color w:val="auto"/>
          <w:sz w:val="24"/>
          <w:highlight w:val="none"/>
        </w:rPr>
      </w:pPr>
    </w:p>
    <w:p w14:paraId="73E09BF3">
      <w:pPr>
        <w:pStyle w:val="25"/>
        <w:rPr>
          <w:rFonts w:hint="eastAsia" w:asciiTheme="minorEastAsia" w:hAnsiTheme="minorEastAsia" w:eastAsiaTheme="minorEastAsia"/>
          <w:color w:val="auto"/>
          <w:sz w:val="24"/>
          <w:highlight w:val="none"/>
        </w:rPr>
      </w:pPr>
    </w:p>
    <w:p w14:paraId="1E8BCD92">
      <w:pPr>
        <w:rPr>
          <w:rFonts w:hint="eastAsia" w:asciiTheme="minorEastAsia" w:hAnsiTheme="minorEastAsia" w:eastAsiaTheme="minorEastAsia"/>
          <w:color w:val="auto"/>
          <w:sz w:val="24"/>
          <w:highlight w:val="none"/>
        </w:rPr>
      </w:pPr>
    </w:p>
    <w:p w14:paraId="7419C202">
      <w:pPr>
        <w:pStyle w:val="25"/>
        <w:rPr>
          <w:rFonts w:hint="eastAsia" w:asciiTheme="minorEastAsia" w:hAnsiTheme="minorEastAsia" w:eastAsiaTheme="minorEastAsia"/>
          <w:color w:val="auto"/>
          <w:sz w:val="24"/>
          <w:highlight w:val="none"/>
        </w:rPr>
      </w:pPr>
    </w:p>
    <w:p w14:paraId="2C82EC76">
      <w:pPr>
        <w:rPr>
          <w:rFonts w:hint="eastAsia" w:asciiTheme="minorEastAsia" w:hAnsiTheme="minorEastAsia" w:eastAsiaTheme="minorEastAsia"/>
          <w:color w:val="auto"/>
          <w:sz w:val="24"/>
          <w:highlight w:val="none"/>
        </w:rPr>
      </w:pPr>
    </w:p>
    <w:p w14:paraId="6417EF3B">
      <w:pPr>
        <w:pStyle w:val="25"/>
        <w:rPr>
          <w:rFonts w:hint="eastAsia" w:asciiTheme="minorEastAsia" w:hAnsiTheme="minorEastAsia" w:eastAsiaTheme="minorEastAsia"/>
          <w:color w:val="auto"/>
          <w:sz w:val="24"/>
          <w:highlight w:val="none"/>
        </w:rPr>
      </w:pPr>
    </w:p>
    <w:p w14:paraId="66003772">
      <w:pPr>
        <w:rPr>
          <w:rFonts w:hint="eastAsia" w:asciiTheme="minorEastAsia" w:hAnsiTheme="minorEastAsia" w:eastAsiaTheme="minorEastAsia"/>
          <w:color w:val="auto"/>
          <w:sz w:val="24"/>
          <w:highlight w:val="none"/>
        </w:rPr>
      </w:pPr>
    </w:p>
    <w:p w14:paraId="25A628A6">
      <w:pPr>
        <w:pStyle w:val="25"/>
        <w:rPr>
          <w:rFonts w:hint="eastAsia" w:asciiTheme="minorEastAsia" w:hAnsiTheme="minorEastAsia" w:eastAsiaTheme="minorEastAsia"/>
          <w:color w:val="auto"/>
          <w:sz w:val="24"/>
          <w:highlight w:val="none"/>
        </w:rPr>
      </w:pPr>
    </w:p>
    <w:p w14:paraId="652F8B46">
      <w:pPr>
        <w:rPr>
          <w:rFonts w:hint="eastAsia" w:asciiTheme="minorEastAsia" w:hAnsiTheme="minorEastAsia" w:eastAsiaTheme="minorEastAsia"/>
          <w:color w:val="auto"/>
          <w:sz w:val="24"/>
          <w:highlight w:val="none"/>
        </w:rPr>
      </w:pPr>
    </w:p>
    <w:p w14:paraId="5CA8FA01">
      <w:pPr>
        <w:pStyle w:val="25"/>
        <w:rPr>
          <w:rFonts w:hint="eastAsia" w:asciiTheme="minorEastAsia" w:hAnsiTheme="minorEastAsia" w:eastAsiaTheme="minorEastAsia"/>
          <w:color w:val="auto"/>
          <w:sz w:val="24"/>
          <w:highlight w:val="none"/>
        </w:rPr>
      </w:pPr>
    </w:p>
    <w:p w14:paraId="21D292A8">
      <w:pPr>
        <w:rPr>
          <w:rFonts w:hint="eastAsia" w:asciiTheme="minorEastAsia" w:hAnsiTheme="minorEastAsia" w:eastAsiaTheme="minorEastAsia"/>
          <w:color w:val="auto"/>
          <w:sz w:val="24"/>
          <w:highlight w:val="none"/>
        </w:rPr>
      </w:pPr>
    </w:p>
    <w:p w14:paraId="46C77C2A">
      <w:pPr>
        <w:pStyle w:val="25"/>
        <w:rPr>
          <w:rFonts w:hint="eastAsia" w:asciiTheme="minorEastAsia" w:hAnsiTheme="minorEastAsia" w:eastAsiaTheme="minorEastAsia"/>
          <w:color w:val="auto"/>
          <w:sz w:val="24"/>
          <w:highlight w:val="none"/>
        </w:rPr>
      </w:pPr>
    </w:p>
    <w:p w14:paraId="3984E94A">
      <w:pPr>
        <w:rPr>
          <w:rFonts w:hint="eastAsia" w:asciiTheme="minorEastAsia" w:hAnsiTheme="minorEastAsia" w:eastAsiaTheme="minorEastAsia"/>
          <w:color w:val="auto"/>
          <w:sz w:val="24"/>
          <w:highlight w:val="none"/>
        </w:rPr>
      </w:pPr>
    </w:p>
    <w:p w14:paraId="2734183D">
      <w:pPr>
        <w:pStyle w:val="25"/>
        <w:rPr>
          <w:rFonts w:hint="eastAsia" w:asciiTheme="minorEastAsia" w:hAnsiTheme="minorEastAsia" w:eastAsiaTheme="minorEastAsia"/>
          <w:color w:val="auto"/>
          <w:sz w:val="24"/>
          <w:highlight w:val="none"/>
        </w:rPr>
      </w:pPr>
    </w:p>
    <w:p w14:paraId="15222935"/>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EA32">
    <w:pPr>
      <w:pStyle w:val="16"/>
      <w:tabs>
        <w:tab w:val="left" w:pos="55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68E27">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468E27">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7D3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306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EF367">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0EF367">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D7C7">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0555">
    <w:pPr>
      <w:pStyle w:val="17"/>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2007">
    <w:pPr>
      <w:pStyle w:val="17"/>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7C4EB"/>
    <w:multiLevelType w:val="singleLevel"/>
    <w:tmpl w:val="8517C4EB"/>
    <w:lvl w:ilvl="0" w:tentative="0">
      <w:start w:val="5"/>
      <w:numFmt w:val="chineseCounting"/>
      <w:suff w:val="nothing"/>
      <w:lvlText w:val="%1、"/>
      <w:lvlJc w:val="left"/>
      <w:rPr>
        <w:rFonts w:hint="eastAsia"/>
      </w:rPr>
    </w:lvl>
  </w:abstractNum>
  <w:abstractNum w:abstractNumId="1">
    <w:nsid w:val="88685207"/>
    <w:multiLevelType w:val="singleLevel"/>
    <w:tmpl w:val="88685207"/>
    <w:lvl w:ilvl="0" w:tentative="0">
      <w:start w:val="1"/>
      <w:numFmt w:val="decimal"/>
      <w:suff w:val="nothing"/>
      <w:lvlText w:val="%1、"/>
      <w:lvlJc w:val="left"/>
    </w:lvl>
  </w:abstractNum>
  <w:abstractNum w:abstractNumId="2">
    <w:nsid w:val="B5B553A7"/>
    <w:multiLevelType w:val="singleLevel"/>
    <w:tmpl w:val="B5B553A7"/>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E933143"/>
    <w:multiLevelType w:val="singleLevel"/>
    <w:tmpl w:val="EE933143"/>
    <w:lvl w:ilvl="0" w:tentative="0">
      <w:start w:val="2"/>
      <w:numFmt w:val="chineseCounting"/>
      <w:suff w:val="nothing"/>
      <w:lvlText w:val="%1、"/>
      <w:lvlJc w:val="left"/>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2323379E"/>
    <w:multiLevelType w:val="multilevel"/>
    <w:tmpl w:val="2323379E"/>
    <w:lvl w:ilvl="0" w:tentative="0">
      <w:start w:val="1"/>
      <w:numFmt w:val="chineseCountingThousand"/>
      <w:pStyle w:val="22"/>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5D8A13"/>
    <w:multiLevelType w:val="singleLevel"/>
    <w:tmpl w:val="405D8A13"/>
    <w:lvl w:ilvl="0" w:tentative="0">
      <w:start w:val="1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0"/>
  </w:num>
  <w:num w:numId="3">
    <w:abstractNumId w:val="8"/>
  </w:num>
  <w:num w:numId="4">
    <w:abstractNumId w:val="1"/>
  </w:num>
  <w:num w:numId="5">
    <w:abstractNumId w:val="2"/>
  </w:num>
  <w:num w:numId="6">
    <w:abstractNumId w:val="12"/>
  </w:num>
  <w:num w:numId="7">
    <w:abstractNumId w:val="4"/>
  </w:num>
  <w:num w:numId="8">
    <w:abstractNumId w:val="9"/>
  </w:num>
  <w:num w:numId="9">
    <w:abstractNumId w:val="6"/>
  </w:num>
  <w:num w:numId="10">
    <w:abstractNumId w:val="5"/>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jUyNjc3MWM0MTY4Y2QyOGM2ZGEwMWM3ODJkZjI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86044"/>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1BEB"/>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2639A"/>
    <w:rsid w:val="017B1BF9"/>
    <w:rsid w:val="01E93A1B"/>
    <w:rsid w:val="0214602E"/>
    <w:rsid w:val="0227415A"/>
    <w:rsid w:val="02D8009D"/>
    <w:rsid w:val="03486B27"/>
    <w:rsid w:val="03BD3D36"/>
    <w:rsid w:val="03E30F7F"/>
    <w:rsid w:val="040A094E"/>
    <w:rsid w:val="042B5143"/>
    <w:rsid w:val="042C4A18"/>
    <w:rsid w:val="05333F33"/>
    <w:rsid w:val="056F201D"/>
    <w:rsid w:val="05885D0C"/>
    <w:rsid w:val="05B664D4"/>
    <w:rsid w:val="05C82C9B"/>
    <w:rsid w:val="05EA4F77"/>
    <w:rsid w:val="064B485A"/>
    <w:rsid w:val="066B167A"/>
    <w:rsid w:val="06722D08"/>
    <w:rsid w:val="068C65C4"/>
    <w:rsid w:val="06DB44D3"/>
    <w:rsid w:val="07076C01"/>
    <w:rsid w:val="071C12AC"/>
    <w:rsid w:val="07282752"/>
    <w:rsid w:val="074B1659"/>
    <w:rsid w:val="07A934B3"/>
    <w:rsid w:val="07BB2633"/>
    <w:rsid w:val="07D33EFD"/>
    <w:rsid w:val="07EB6287"/>
    <w:rsid w:val="0806421B"/>
    <w:rsid w:val="08F63738"/>
    <w:rsid w:val="09163FBA"/>
    <w:rsid w:val="094F731E"/>
    <w:rsid w:val="0980799C"/>
    <w:rsid w:val="098A5F89"/>
    <w:rsid w:val="09944B8E"/>
    <w:rsid w:val="0A6A18DB"/>
    <w:rsid w:val="0A975B48"/>
    <w:rsid w:val="0AEF3828"/>
    <w:rsid w:val="0B406381"/>
    <w:rsid w:val="0B923CFA"/>
    <w:rsid w:val="0BB452AA"/>
    <w:rsid w:val="0BBB665B"/>
    <w:rsid w:val="0C423C85"/>
    <w:rsid w:val="0C4431C9"/>
    <w:rsid w:val="0C6215F6"/>
    <w:rsid w:val="0CE60DAA"/>
    <w:rsid w:val="0DA555C0"/>
    <w:rsid w:val="0DE14AC5"/>
    <w:rsid w:val="0E7B0A75"/>
    <w:rsid w:val="0E8565CC"/>
    <w:rsid w:val="0EEA6FC1"/>
    <w:rsid w:val="0F517CCF"/>
    <w:rsid w:val="0F790928"/>
    <w:rsid w:val="10CD72BB"/>
    <w:rsid w:val="11194918"/>
    <w:rsid w:val="115F06F4"/>
    <w:rsid w:val="12197477"/>
    <w:rsid w:val="128B4FFF"/>
    <w:rsid w:val="129C545E"/>
    <w:rsid w:val="12A9299A"/>
    <w:rsid w:val="131B5CD3"/>
    <w:rsid w:val="132F262E"/>
    <w:rsid w:val="13502347"/>
    <w:rsid w:val="1359796D"/>
    <w:rsid w:val="13776448"/>
    <w:rsid w:val="1399374C"/>
    <w:rsid w:val="1466407E"/>
    <w:rsid w:val="147D2AA4"/>
    <w:rsid w:val="14834E28"/>
    <w:rsid w:val="148E7D65"/>
    <w:rsid w:val="14DE4B6C"/>
    <w:rsid w:val="14DF603C"/>
    <w:rsid w:val="14EC0CC0"/>
    <w:rsid w:val="15231BF9"/>
    <w:rsid w:val="154736D3"/>
    <w:rsid w:val="15C4546D"/>
    <w:rsid w:val="15F15AC1"/>
    <w:rsid w:val="15FA35B9"/>
    <w:rsid w:val="165247B2"/>
    <w:rsid w:val="17A4566D"/>
    <w:rsid w:val="17E631E6"/>
    <w:rsid w:val="17F12866"/>
    <w:rsid w:val="192675BC"/>
    <w:rsid w:val="19BB56C5"/>
    <w:rsid w:val="19FA1E22"/>
    <w:rsid w:val="1A064976"/>
    <w:rsid w:val="1A3B68AA"/>
    <w:rsid w:val="1A3E1C1E"/>
    <w:rsid w:val="1B6F4F40"/>
    <w:rsid w:val="1C141836"/>
    <w:rsid w:val="1C4F2159"/>
    <w:rsid w:val="1C76537D"/>
    <w:rsid w:val="1C7E2DCB"/>
    <w:rsid w:val="1D147E13"/>
    <w:rsid w:val="1DEF0B38"/>
    <w:rsid w:val="1E0B58F6"/>
    <w:rsid w:val="1E6B6A14"/>
    <w:rsid w:val="20550D9A"/>
    <w:rsid w:val="20592BE1"/>
    <w:rsid w:val="20AD0837"/>
    <w:rsid w:val="20B147CB"/>
    <w:rsid w:val="218E2416"/>
    <w:rsid w:val="21CB6E20"/>
    <w:rsid w:val="21E567AD"/>
    <w:rsid w:val="224B0307"/>
    <w:rsid w:val="226915FE"/>
    <w:rsid w:val="227B5090"/>
    <w:rsid w:val="22BD7457"/>
    <w:rsid w:val="239161EE"/>
    <w:rsid w:val="241804A5"/>
    <w:rsid w:val="24572F93"/>
    <w:rsid w:val="249E6E14"/>
    <w:rsid w:val="24B97929"/>
    <w:rsid w:val="24C53BBC"/>
    <w:rsid w:val="24D632D7"/>
    <w:rsid w:val="261E083D"/>
    <w:rsid w:val="265E2CFF"/>
    <w:rsid w:val="26A82704"/>
    <w:rsid w:val="26BF0D4A"/>
    <w:rsid w:val="277F4129"/>
    <w:rsid w:val="27C22E19"/>
    <w:rsid w:val="27D65DBA"/>
    <w:rsid w:val="28441A80"/>
    <w:rsid w:val="285F40CA"/>
    <w:rsid w:val="289E1AF0"/>
    <w:rsid w:val="28C01ECB"/>
    <w:rsid w:val="299B6018"/>
    <w:rsid w:val="29BF71E3"/>
    <w:rsid w:val="29C25CB2"/>
    <w:rsid w:val="29D6387F"/>
    <w:rsid w:val="2A127B63"/>
    <w:rsid w:val="2A181417"/>
    <w:rsid w:val="2A1B45B4"/>
    <w:rsid w:val="2A451A6C"/>
    <w:rsid w:val="2A9405C7"/>
    <w:rsid w:val="2AAA4765"/>
    <w:rsid w:val="2AC21606"/>
    <w:rsid w:val="2AF6688D"/>
    <w:rsid w:val="2B7E7608"/>
    <w:rsid w:val="2B7F04E9"/>
    <w:rsid w:val="2B8B554A"/>
    <w:rsid w:val="2BB533C1"/>
    <w:rsid w:val="2BD6464A"/>
    <w:rsid w:val="2C13477F"/>
    <w:rsid w:val="2D496D68"/>
    <w:rsid w:val="2D524788"/>
    <w:rsid w:val="2D862BFD"/>
    <w:rsid w:val="2DA01E4F"/>
    <w:rsid w:val="2E7A48DE"/>
    <w:rsid w:val="2E7B3D22"/>
    <w:rsid w:val="2EBA5177"/>
    <w:rsid w:val="2EC27BA3"/>
    <w:rsid w:val="2EDC3ED8"/>
    <w:rsid w:val="2F104B00"/>
    <w:rsid w:val="2F6351B4"/>
    <w:rsid w:val="2FC86126"/>
    <w:rsid w:val="2FCF199E"/>
    <w:rsid w:val="30186F5F"/>
    <w:rsid w:val="30483E83"/>
    <w:rsid w:val="3052431D"/>
    <w:rsid w:val="30B520EC"/>
    <w:rsid w:val="30BF3991"/>
    <w:rsid w:val="3111619A"/>
    <w:rsid w:val="31A63C16"/>
    <w:rsid w:val="31B139DC"/>
    <w:rsid w:val="31EF07B8"/>
    <w:rsid w:val="32497AF3"/>
    <w:rsid w:val="327E64FD"/>
    <w:rsid w:val="32E66493"/>
    <w:rsid w:val="3321493B"/>
    <w:rsid w:val="33490893"/>
    <w:rsid w:val="33B0446E"/>
    <w:rsid w:val="340D7591"/>
    <w:rsid w:val="343C0775"/>
    <w:rsid w:val="35442E16"/>
    <w:rsid w:val="356C50EC"/>
    <w:rsid w:val="36137E45"/>
    <w:rsid w:val="36376E0A"/>
    <w:rsid w:val="3700166C"/>
    <w:rsid w:val="371927CF"/>
    <w:rsid w:val="371D7689"/>
    <w:rsid w:val="379A1012"/>
    <w:rsid w:val="37C067E4"/>
    <w:rsid w:val="37EE5FE4"/>
    <w:rsid w:val="38694EE9"/>
    <w:rsid w:val="38941636"/>
    <w:rsid w:val="38DD6430"/>
    <w:rsid w:val="395D03F6"/>
    <w:rsid w:val="3A090956"/>
    <w:rsid w:val="3A125E82"/>
    <w:rsid w:val="3A1C0717"/>
    <w:rsid w:val="3A6818FA"/>
    <w:rsid w:val="3B365CC9"/>
    <w:rsid w:val="3B9A7B88"/>
    <w:rsid w:val="3BCD5129"/>
    <w:rsid w:val="3BF62083"/>
    <w:rsid w:val="3CB86D70"/>
    <w:rsid w:val="3D2C7AC8"/>
    <w:rsid w:val="3D855D12"/>
    <w:rsid w:val="3D8B42FF"/>
    <w:rsid w:val="3DE86C4C"/>
    <w:rsid w:val="3DF36A6E"/>
    <w:rsid w:val="3E524A9F"/>
    <w:rsid w:val="3EAA6689"/>
    <w:rsid w:val="3EBA1EE9"/>
    <w:rsid w:val="3ED17F00"/>
    <w:rsid w:val="3F792F1E"/>
    <w:rsid w:val="402B3FD7"/>
    <w:rsid w:val="40824826"/>
    <w:rsid w:val="40E63923"/>
    <w:rsid w:val="4346094B"/>
    <w:rsid w:val="43A91E5B"/>
    <w:rsid w:val="448D767A"/>
    <w:rsid w:val="449E0D39"/>
    <w:rsid w:val="452C3BB0"/>
    <w:rsid w:val="45C073F3"/>
    <w:rsid w:val="45E32B26"/>
    <w:rsid w:val="46072613"/>
    <w:rsid w:val="463A3650"/>
    <w:rsid w:val="46461627"/>
    <w:rsid w:val="469F0116"/>
    <w:rsid w:val="46E26BDC"/>
    <w:rsid w:val="475259B7"/>
    <w:rsid w:val="47777325"/>
    <w:rsid w:val="47B24801"/>
    <w:rsid w:val="481334F1"/>
    <w:rsid w:val="488302AE"/>
    <w:rsid w:val="48831CF9"/>
    <w:rsid w:val="488F597B"/>
    <w:rsid w:val="49024C9C"/>
    <w:rsid w:val="4948541D"/>
    <w:rsid w:val="49B1408D"/>
    <w:rsid w:val="49D61A36"/>
    <w:rsid w:val="4A7D4FD2"/>
    <w:rsid w:val="4A913C9A"/>
    <w:rsid w:val="4AE8511F"/>
    <w:rsid w:val="4B1F70AC"/>
    <w:rsid w:val="4B240F94"/>
    <w:rsid w:val="4C0832E5"/>
    <w:rsid w:val="4C3C565C"/>
    <w:rsid w:val="4C5F4010"/>
    <w:rsid w:val="4CCC79C7"/>
    <w:rsid w:val="4CE23492"/>
    <w:rsid w:val="4D7555C7"/>
    <w:rsid w:val="4E345F70"/>
    <w:rsid w:val="4EAE6DA0"/>
    <w:rsid w:val="4FE617D9"/>
    <w:rsid w:val="50164458"/>
    <w:rsid w:val="5016514B"/>
    <w:rsid w:val="50BD4DF3"/>
    <w:rsid w:val="50CB491A"/>
    <w:rsid w:val="50FC1A26"/>
    <w:rsid w:val="512F6EC2"/>
    <w:rsid w:val="51723664"/>
    <w:rsid w:val="51C770FB"/>
    <w:rsid w:val="51CB1C78"/>
    <w:rsid w:val="51FD6A51"/>
    <w:rsid w:val="526B680A"/>
    <w:rsid w:val="52836F71"/>
    <w:rsid w:val="52D26B02"/>
    <w:rsid w:val="53A30AD4"/>
    <w:rsid w:val="541A5D30"/>
    <w:rsid w:val="542E3461"/>
    <w:rsid w:val="55224192"/>
    <w:rsid w:val="55254496"/>
    <w:rsid w:val="555D2250"/>
    <w:rsid w:val="55C1559C"/>
    <w:rsid w:val="55C83155"/>
    <w:rsid w:val="55F068CD"/>
    <w:rsid w:val="566C3136"/>
    <w:rsid w:val="568D04F2"/>
    <w:rsid w:val="56CD2809"/>
    <w:rsid w:val="574C13B4"/>
    <w:rsid w:val="57640012"/>
    <w:rsid w:val="577949F3"/>
    <w:rsid w:val="578A4E52"/>
    <w:rsid w:val="57CA4366"/>
    <w:rsid w:val="59BC3387"/>
    <w:rsid w:val="5A526582"/>
    <w:rsid w:val="5A5534F6"/>
    <w:rsid w:val="5A5F5C77"/>
    <w:rsid w:val="5A711A0D"/>
    <w:rsid w:val="5A9460E6"/>
    <w:rsid w:val="5ADB1362"/>
    <w:rsid w:val="5B1613E4"/>
    <w:rsid w:val="5B78003B"/>
    <w:rsid w:val="5B8B1199"/>
    <w:rsid w:val="5BC11A60"/>
    <w:rsid w:val="5C47296E"/>
    <w:rsid w:val="5C7A4D54"/>
    <w:rsid w:val="5C9574EF"/>
    <w:rsid w:val="5CD23B73"/>
    <w:rsid w:val="5D025D57"/>
    <w:rsid w:val="5D19029A"/>
    <w:rsid w:val="5D2C0B1D"/>
    <w:rsid w:val="5D336C49"/>
    <w:rsid w:val="5DCF2185"/>
    <w:rsid w:val="5DFE2BC0"/>
    <w:rsid w:val="5E071D64"/>
    <w:rsid w:val="5E571114"/>
    <w:rsid w:val="5F127819"/>
    <w:rsid w:val="5FE80968"/>
    <w:rsid w:val="60350ED3"/>
    <w:rsid w:val="60B72AEE"/>
    <w:rsid w:val="61025188"/>
    <w:rsid w:val="61057D5F"/>
    <w:rsid w:val="612A3595"/>
    <w:rsid w:val="614D4977"/>
    <w:rsid w:val="62454B2C"/>
    <w:rsid w:val="6298423D"/>
    <w:rsid w:val="632F454B"/>
    <w:rsid w:val="63BC10E2"/>
    <w:rsid w:val="63C60FC0"/>
    <w:rsid w:val="63D30253"/>
    <w:rsid w:val="64981C98"/>
    <w:rsid w:val="64BA3D7A"/>
    <w:rsid w:val="64C4668D"/>
    <w:rsid w:val="64C5571C"/>
    <w:rsid w:val="64F179BC"/>
    <w:rsid w:val="65A543A9"/>
    <w:rsid w:val="663743F7"/>
    <w:rsid w:val="665704D3"/>
    <w:rsid w:val="66794C64"/>
    <w:rsid w:val="66D94F5C"/>
    <w:rsid w:val="66F66060"/>
    <w:rsid w:val="674910A9"/>
    <w:rsid w:val="67531B64"/>
    <w:rsid w:val="67C065A4"/>
    <w:rsid w:val="67D359C9"/>
    <w:rsid w:val="68042537"/>
    <w:rsid w:val="68E63EB3"/>
    <w:rsid w:val="68FE36DD"/>
    <w:rsid w:val="694E60FC"/>
    <w:rsid w:val="69C86DF4"/>
    <w:rsid w:val="6A256904"/>
    <w:rsid w:val="6A703C30"/>
    <w:rsid w:val="6AD1325C"/>
    <w:rsid w:val="6B014E39"/>
    <w:rsid w:val="6B574BF4"/>
    <w:rsid w:val="6B656832"/>
    <w:rsid w:val="6B760404"/>
    <w:rsid w:val="6C5C2794"/>
    <w:rsid w:val="6C675CE6"/>
    <w:rsid w:val="6C8F7FE8"/>
    <w:rsid w:val="6D4F4321"/>
    <w:rsid w:val="6D711AC2"/>
    <w:rsid w:val="6DF41B82"/>
    <w:rsid w:val="6DFF7360"/>
    <w:rsid w:val="6E6C2F78"/>
    <w:rsid w:val="6E7A5F73"/>
    <w:rsid w:val="6EE90F9D"/>
    <w:rsid w:val="6F2E492E"/>
    <w:rsid w:val="6FC767EC"/>
    <w:rsid w:val="6FD74228"/>
    <w:rsid w:val="7021106F"/>
    <w:rsid w:val="703B0799"/>
    <w:rsid w:val="70DD4996"/>
    <w:rsid w:val="70F702CF"/>
    <w:rsid w:val="71633091"/>
    <w:rsid w:val="7214383E"/>
    <w:rsid w:val="721D0CE6"/>
    <w:rsid w:val="72614A63"/>
    <w:rsid w:val="728E3703"/>
    <w:rsid w:val="72F134FC"/>
    <w:rsid w:val="73081CA5"/>
    <w:rsid w:val="739269F6"/>
    <w:rsid w:val="73B2330F"/>
    <w:rsid w:val="74201F7D"/>
    <w:rsid w:val="74832EDB"/>
    <w:rsid w:val="7487762D"/>
    <w:rsid w:val="74C33AA4"/>
    <w:rsid w:val="75210D7A"/>
    <w:rsid w:val="75385498"/>
    <w:rsid w:val="75A82C1C"/>
    <w:rsid w:val="75F37776"/>
    <w:rsid w:val="766F54E7"/>
    <w:rsid w:val="767B0330"/>
    <w:rsid w:val="769F38A1"/>
    <w:rsid w:val="76BC207F"/>
    <w:rsid w:val="76EB4904"/>
    <w:rsid w:val="77645DCD"/>
    <w:rsid w:val="777378F5"/>
    <w:rsid w:val="777A2D3C"/>
    <w:rsid w:val="77B75398"/>
    <w:rsid w:val="784B788E"/>
    <w:rsid w:val="7860333A"/>
    <w:rsid w:val="78731D6F"/>
    <w:rsid w:val="78736A17"/>
    <w:rsid w:val="78A81D4F"/>
    <w:rsid w:val="79074B81"/>
    <w:rsid w:val="79200D1B"/>
    <w:rsid w:val="794F0939"/>
    <w:rsid w:val="79AF0FCA"/>
    <w:rsid w:val="79EB0410"/>
    <w:rsid w:val="7A025231"/>
    <w:rsid w:val="7AF9279C"/>
    <w:rsid w:val="7B2B16F2"/>
    <w:rsid w:val="7CC51958"/>
    <w:rsid w:val="7CD53DF9"/>
    <w:rsid w:val="7D097C86"/>
    <w:rsid w:val="7D1533C1"/>
    <w:rsid w:val="7D5030CC"/>
    <w:rsid w:val="7E2936C3"/>
    <w:rsid w:val="7E6411B9"/>
    <w:rsid w:val="7F9C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cs="Calibri"/>
      <w:kern w:val="2"/>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Title"/>
    <w:basedOn w:val="1"/>
    <w:next w:val="1"/>
    <w:qFormat/>
    <w:uiPriority w:val="0"/>
    <w:pPr>
      <w:numPr>
        <w:ilvl w:val="0"/>
        <w:numId w:val="1"/>
      </w:numPr>
      <w:spacing w:line="360" w:lineRule="auto"/>
      <w:jc w:val="left"/>
      <w:outlineLvl w:val="0"/>
    </w:pPr>
    <w:rPr>
      <w:rFonts w:ascii="Cambria" w:hAnsi="Cambria"/>
      <w:b/>
      <w:bCs/>
      <w:sz w:val="28"/>
      <w:szCs w:val="32"/>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qFormat/>
    <w:uiPriority w:val="0"/>
    <w:pPr>
      <w:ind w:left="420"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Char"/>
    <w:basedOn w:val="28"/>
    <w:link w:val="17"/>
    <w:autoRedefine/>
    <w:qFormat/>
    <w:uiPriority w:val="99"/>
    <w:rPr>
      <w:rFonts w:ascii="@仿宋_GB2312" w:hAnsi="@仿宋_GB2312" w:eastAsia="@仿宋_GB2312" w:cs="@仿宋_GB2312"/>
      <w:sz w:val="18"/>
      <w:szCs w:val="18"/>
    </w:rPr>
  </w:style>
  <w:style w:type="character" w:customStyle="1" w:styleId="46">
    <w:name w:val="页脚 Char"/>
    <w:basedOn w:val="28"/>
    <w:link w:val="16"/>
    <w:autoRedefine/>
    <w:qFormat/>
    <w:uiPriority w:val="99"/>
    <w:rPr>
      <w:rFonts w:ascii="@仿宋_GB2312" w:hAnsi="@仿宋_GB2312" w:eastAsia="@仿宋_GB2312" w:cs="@仿宋_GB2312"/>
      <w:sz w:val="18"/>
      <w:szCs w:val="18"/>
    </w:rPr>
  </w:style>
  <w:style w:type="character" w:customStyle="1" w:styleId="47">
    <w:name w:val="纯文本 Char"/>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Char"/>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Char1"/>
    <w:link w:val="8"/>
    <w:autoRedefine/>
    <w:qFormat/>
    <w:uiPriority w:val="0"/>
    <w:rPr>
      <w:rFonts w:ascii="Arial" w:hAnsi="Arial" w:eastAsia="黑体" w:cs="Arial"/>
      <w:szCs w:val="20"/>
    </w:rPr>
  </w:style>
  <w:style w:type="character" w:customStyle="1" w:styleId="58">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Char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批注主题 Char"/>
    <w:basedOn w:val="57"/>
    <w:link w:val="23"/>
    <w:autoRedefine/>
    <w:semiHidden/>
    <w:qFormat/>
    <w:uiPriority w:val="99"/>
    <w:rPr>
      <w:rFonts w:ascii="@仿宋_GB2312" w:hAnsi="@仿宋_GB2312" w:eastAsia="@仿宋_GB2312" w:cs="@仿宋_GB2312"/>
      <w:b/>
      <w:bCs/>
      <w:szCs w:val="20"/>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 w:val="21"/>
      <w:szCs w:val="21"/>
      <w:lang w:val="en-US" w:eastAsia="en-US" w:bidi="ar-SA"/>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layui-this"/>
    <w:basedOn w:val="28"/>
    <w:qFormat/>
    <w:uiPriority w:val="0"/>
    <w:rPr>
      <w:bdr w:val="single" w:color="EEEEEE" w:sz="6" w:space="0"/>
      <w:shd w:val="clear" w:fill="FFFFFF"/>
    </w:rPr>
  </w:style>
  <w:style w:type="character" w:customStyle="1" w:styleId="74">
    <w:name w:val="first-child"/>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115</Pages>
  <Words>62357</Words>
  <Characters>67529</Characters>
  <Lines>244</Lines>
  <Paragraphs>68</Paragraphs>
  <TotalTime>44</TotalTime>
  <ScaleCrop>false</ScaleCrop>
  <LinksUpToDate>false</LinksUpToDate>
  <CharactersWithSpaces>71719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zt-</cp:lastModifiedBy>
  <cp:lastPrinted>2024-09-09T01:26:00Z</cp:lastPrinted>
  <dcterms:modified xsi:type="dcterms:W3CDTF">2025-04-01T02:19:45Z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589EB7062F314AE5BA0BE8BA6AC78512_13</vt:lpwstr>
  </property>
  <property fmtid="{D5CDD505-2E9C-101B-9397-08002B2CF9AE}" pid="4" name="KSOTemplateDocerSaveRecord">
    <vt:lpwstr>eyJoZGlkIjoiMjYyZmZlM2RiNzNkODYzMmRmMzE4MjFlOTcxMTVjYTIiLCJ1c2VySWQiOiI0NTU5MDgxMjIifQ==</vt:lpwstr>
  </property>
</Properties>
</file>