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版本号：N510108202500004420250318001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成都市成华区养老机构安全检查购买服务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N5101082025000044</w:t>
      </w:r>
    </w:p>
    <w:p>
      <w:pPr>
        <w:pStyle w:val="null3"/>
        <w:jc w:val="center"/>
        <w:outlineLvl w:val="2"/>
      </w:pPr>
      <w:r>
        <w:rPr>
          <w:rFonts w:ascii="仿宋_GB2312" w:hAnsi="仿宋_GB2312" w:cs="仿宋_GB2312" w:eastAsia="仿宋_GB2312"/>
          <w:sz w:val="28"/>
          <w:b/>
        </w:rPr>
        <w:t>成都市成华区民政局</w:t>
      </w:r>
    </w:p>
    <w:p>
      <w:pPr>
        <w:pStyle w:val="null3"/>
        <w:jc w:val="center"/>
        <w:outlineLvl w:val="2"/>
      </w:pPr>
      <w:r>
        <w:rPr>
          <w:rFonts w:ascii="仿宋_GB2312" w:hAnsi="仿宋_GB2312" w:cs="仿宋_GB2312" w:eastAsia="仿宋_GB2312"/>
          <w:sz w:val="28"/>
          <w:b/>
        </w:rPr>
        <w:t>四川中源至鸿建设项目管理有限责任公司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四川中源至鸿建设项目管理有限责任公司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成都市成华区民政局</w:t>
      </w:r>
      <w:r>
        <w:rPr>
          <w:rFonts w:ascii="仿宋_GB2312" w:hAnsi="仿宋_GB2312" w:cs="仿宋_GB2312" w:eastAsia="仿宋_GB2312"/>
        </w:rPr>
        <w:t xml:space="preserve"> 委托，拟对 </w:t>
      </w:r>
      <w:r>
        <w:rPr>
          <w:rFonts w:ascii="仿宋_GB2312" w:hAnsi="仿宋_GB2312" w:cs="仿宋_GB2312" w:eastAsia="仿宋_GB2312"/>
        </w:rPr>
        <w:t>成都市成华区养老机构安全检查购买服务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成都市成华区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N5101082025000044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成都市成华区养老机构安全检查购买服务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拟采购供应商对成都市成华区养老机构安全检查进行指导养老机构等养老服务设施加强安全体系建设，做好安全生产清单制管理与风险分级管控隐患排查治理以及开展安全生产培训，安全生产宣传等工作。每月开展消防、食品、燃气等方面全覆盖检查，督促隐患问题整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成都市成华区民政局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四川省成都市成华区东秀一路209号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610051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028-84327098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四川中源至鸿建设项目管理有限责任公司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四川省成都市金牛区金沙路金沙楼4楼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028-62467087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代理服务费收费标准：本项目代理服务费按成交金额*1.5%收取。由成交人在领取成交通知书时一次性支付招标代理机构。 收款单位：四川中源至鸿建设项目管理有限责任公司 开户行：交通银行成都西安路支行 银行账号：511511093013000448705</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成都市成华区民政局</w:t>
      </w:r>
      <w:r>
        <w:rPr>
          <w:rFonts w:ascii="仿宋_GB2312" w:hAnsi="仿宋_GB2312" w:cs="仿宋_GB2312" w:eastAsia="仿宋_GB2312"/>
        </w:rPr>
        <w:t xml:space="preserve"> 和 </w:t>
      </w:r>
      <w:r>
        <w:rPr>
          <w:rFonts w:ascii="仿宋_GB2312" w:hAnsi="仿宋_GB2312" w:cs="仿宋_GB2312" w:eastAsia="仿宋_GB2312"/>
        </w:rPr>
        <w:t>四川中源至鸿建设项目管理有限责任公司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成都市成华区民政局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四川中源至鸿建设项目管理有限责任公司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供应商的响应文件及承诺与本合同约定标准进行验收；采购方与供应商双方如对质量要求和技术指标的约定标准有相互抵触或异议的事项，由采购方在采购文件及供应商响应文件中按要求及技术指标比较优胜的原则确定该项的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文件的质量要求和技术指标、供应商的响应文件及承诺与本合同约定标准进行验收；采购方与供应商双方如对质量要求和技术指标的约定标准有相互抵触或异议的事项，由采购方在采购文件及供应商响应文件中按要求及技术指标比较优胜的原则确定该项的约定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 xml:space="preserve"> 严格按照《财政部关于进一步加强政府采购需求和履约验收管理的指导意见》（财库〔2016〕205号）、采购文件及响应文件等相关规定进行验收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成都市成华区民政局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四川中源至鸿建设项目管理有限责任公司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四川中源至鸿建设项目管理有限责任公司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联系人：周老师</w:t>
      </w:r>
    </w:p>
    <w:p>
      <w:pPr>
        <w:pStyle w:val="null3"/>
        <w:jc w:val="left"/>
      </w:pPr>
      <w:r>
        <w:rPr>
          <w:rFonts w:ascii="仿宋_GB2312" w:hAnsi="仿宋_GB2312" w:cs="仿宋_GB2312" w:eastAsia="仿宋_GB2312"/>
        </w:rPr>
        <w:t>联系电话：028-84327098</w:t>
      </w:r>
    </w:p>
    <w:p>
      <w:pPr>
        <w:pStyle w:val="null3"/>
        <w:jc w:val="left"/>
      </w:pPr>
      <w:r>
        <w:rPr>
          <w:rFonts w:ascii="仿宋_GB2312" w:hAnsi="仿宋_GB2312" w:cs="仿宋_GB2312" w:eastAsia="仿宋_GB2312"/>
        </w:rPr>
        <w:t>地址：四川省成都市成华区东秀一路209号</w:t>
      </w:r>
    </w:p>
    <w:p>
      <w:pPr>
        <w:pStyle w:val="null3"/>
        <w:jc w:val="left"/>
      </w:pPr>
      <w:r>
        <w:rPr>
          <w:rFonts w:ascii="仿宋_GB2312" w:hAnsi="仿宋_GB2312" w:cs="仿宋_GB2312" w:eastAsia="仿宋_GB2312"/>
        </w:rPr>
        <w:t>邮编：610051</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联系人：易女士</w:t>
      </w:r>
    </w:p>
    <w:p>
      <w:pPr>
        <w:pStyle w:val="null3"/>
        <w:jc w:val="left"/>
      </w:pPr>
      <w:r>
        <w:rPr>
          <w:rFonts w:ascii="仿宋_GB2312" w:hAnsi="仿宋_GB2312" w:cs="仿宋_GB2312" w:eastAsia="仿宋_GB2312"/>
        </w:rPr>
        <w:t>联系电话：028-62467087</w:t>
      </w:r>
    </w:p>
    <w:p>
      <w:pPr>
        <w:pStyle w:val="null3"/>
        <w:jc w:val="left"/>
      </w:pPr>
      <w:r>
        <w:rPr>
          <w:rFonts w:ascii="仿宋_GB2312" w:hAnsi="仿宋_GB2312" w:cs="仿宋_GB2312" w:eastAsia="仿宋_GB2312"/>
        </w:rPr>
        <w:t>地址：四川省成都市金牛区金沙路金沙楼4楼</w:t>
      </w:r>
    </w:p>
    <w:p>
      <w:pPr>
        <w:pStyle w:val="null3"/>
        <w:jc w:val="left"/>
      </w:pPr>
      <w:r>
        <w:rPr>
          <w:rFonts w:ascii="仿宋_GB2312" w:hAnsi="仿宋_GB2312" w:cs="仿宋_GB2312" w:eastAsia="仿宋_GB2312"/>
        </w:rPr>
        <w:t>邮编：610036</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C05049900 其他安全保护服务</w:t>
            </w:r>
          </w:p>
        </w:tc>
        <w:tc>
          <w:tcPr>
            <w:tcW w:type="dxa" w:w="821"/>
          </w:tcPr>
          <w:p>
            <w:pPr>
              <w:pStyle w:val="null3"/>
              <w:jc w:val="left"/>
            </w:pPr>
            <w:r>
              <w:rPr>
                <w:rFonts w:ascii="仿宋_GB2312" w:hAnsi="仿宋_GB2312" w:cs="仿宋_GB2312" w:eastAsia="仿宋_GB2312"/>
              </w:rPr>
              <w:t>成都市成华区养老机构安全检查购买服务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成都市成华区养老机构安全检查购买服务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本项目一采三年，合同一年一签，30万元为一年预算。</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标的名称：成都市成华区养老机构安全检查购买服务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ind w:firstLine="472"/>
              <w:jc w:val="both"/>
            </w:pPr>
            <w:r>
              <w:rPr>
                <w:rFonts w:ascii="仿宋_GB2312" w:hAnsi="仿宋_GB2312" w:cs="仿宋_GB2312" w:eastAsia="仿宋_GB2312"/>
                <w:sz w:val="24"/>
                <w:b/>
              </w:rPr>
              <w:t>（一）</w:t>
            </w:r>
            <w:r>
              <w:rPr>
                <w:rFonts w:ascii="仿宋_GB2312" w:hAnsi="仿宋_GB2312" w:cs="仿宋_GB2312" w:eastAsia="仿宋_GB2312"/>
                <w:sz w:val="24"/>
                <w:b/>
              </w:rPr>
              <w:t>指导养老机构加强安全体系建设，做好安全生产清单制管理与风险分级管控隐患排查治理以及开展安全生产培训，安全生产宣传等工作。</w:t>
            </w:r>
          </w:p>
          <w:p>
            <w:pPr>
              <w:pStyle w:val="null3"/>
              <w:ind w:firstLine="472"/>
              <w:jc w:val="both"/>
            </w:pPr>
            <w:r>
              <w:rPr>
                <w:rFonts w:ascii="仿宋_GB2312" w:hAnsi="仿宋_GB2312" w:cs="仿宋_GB2312" w:eastAsia="仿宋_GB2312"/>
                <w:sz w:val="24"/>
              </w:rPr>
              <w:t>1</w:t>
            </w:r>
            <w:r>
              <w:rPr>
                <w:rFonts w:ascii="仿宋_GB2312" w:hAnsi="仿宋_GB2312" w:cs="仿宋_GB2312" w:eastAsia="仿宋_GB2312"/>
                <w:sz w:val="24"/>
              </w:rPr>
              <w:t>、完成</w:t>
            </w:r>
            <w:r>
              <w:rPr>
                <w:rFonts w:ascii="仿宋_GB2312" w:hAnsi="仿宋_GB2312" w:cs="仿宋_GB2312" w:eastAsia="仿宋_GB2312"/>
                <w:sz w:val="24"/>
              </w:rPr>
              <w:t>本年度</w:t>
            </w:r>
            <w:r>
              <w:rPr>
                <w:rFonts w:ascii="仿宋_GB2312" w:hAnsi="仿宋_GB2312" w:cs="仿宋_GB2312" w:eastAsia="仿宋_GB2312"/>
                <w:sz w:val="24"/>
              </w:rPr>
              <w:t>养老行业领域生产经营单位安全风险辨识评估、安全风险源和综合安全风险诊断分级审核、制定重大安全风险源管控措施、形成本行业安全风险源清单、编制本行业领域安全风险评估报告。</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、对全区养老机构安全生产清单制管理与风险分级管控隐患排查治理双重预防控制体系进行指导。</w:t>
            </w:r>
          </w:p>
          <w:p>
            <w:pPr>
              <w:pStyle w:val="null3"/>
              <w:ind w:firstLine="472"/>
              <w:jc w:val="both"/>
            </w:pPr>
            <w:r>
              <w:rPr>
                <w:rFonts w:ascii="仿宋_GB2312" w:hAnsi="仿宋_GB2312" w:cs="仿宋_GB2312" w:eastAsia="仿宋_GB2312"/>
                <w:sz w:val="24"/>
              </w:rPr>
              <w:t>3</w:t>
            </w:r>
            <w:r>
              <w:rPr>
                <w:rFonts w:ascii="仿宋_GB2312" w:hAnsi="仿宋_GB2312" w:cs="仿宋_GB2312" w:eastAsia="仿宋_GB2312"/>
                <w:sz w:val="24"/>
              </w:rPr>
              <w:t>、每月对养老机构负责人、安全员人员等开展一次安全生产教育培训（采用线上或线下方式），其中线下培训全年不少于</w:t>
            </w:r>
            <w:r>
              <w:rPr>
                <w:rFonts w:ascii="仿宋_GB2312" w:hAnsi="仿宋_GB2312" w:cs="仿宋_GB2312" w:eastAsia="仿宋_GB2312"/>
                <w:sz w:val="24"/>
              </w:rPr>
              <w:t>4</w:t>
            </w:r>
            <w:r>
              <w:rPr>
                <w:rFonts w:ascii="仿宋_GB2312" w:hAnsi="仿宋_GB2312" w:cs="仿宋_GB2312" w:eastAsia="仿宋_GB2312"/>
                <w:sz w:val="24"/>
              </w:rPr>
              <w:t>次。教育培训内容包含但不限于：《中华人民共和国安全生产法》《中华人民共和国消防法（新修订）》《养老机构安全管理》（</w:t>
            </w:r>
            <w:r>
              <w:rPr>
                <w:rFonts w:ascii="仿宋_GB2312" w:hAnsi="仿宋_GB2312" w:cs="仿宋_GB2312" w:eastAsia="仿宋_GB2312"/>
                <w:sz w:val="24"/>
              </w:rPr>
              <w:t>MZ/T032-2012</w:t>
            </w:r>
            <w:r>
              <w:rPr>
                <w:rFonts w:ascii="仿宋_GB2312" w:hAnsi="仿宋_GB2312" w:cs="仿宋_GB2312" w:eastAsia="仿宋_GB2312"/>
                <w:sz w:val="24"/>
              </w:rPr>
              <w:t>）等法律法规；成华区养老机构安全风险形式分析，存在的安全隐患情况；各级印发各类安全专项整治行动、警示教育、宣传资料等。</w:t>
            </w:r>
          </w:p>
          <w:p>
            <w:pPr>
              <w:pStyle w:val="null3"/>
              <w:ind w:firstLine="472"/>
              <w:jc w:val="both"/>
            </w:pPr>
            <w:r>
              <w:rPr>
                <w:rFonts w:ascii="仿宋_GB2312" w:hAnsi="仿宋_GB2312" w:cs="仿宋_GB2312" w:eastAsia="仿宋_GB2312"/>
                <w:sz w:val="24"/>
              </w:rPr>
              <w:t>4</w:t>
            </w:r>
            <w:r>
              <w:rPr>
                <w:rFonts w:ascii="仿宋_GB2312" w:hAnsi="仿宋_GB2312" w:cs="仿宋_GB2312" w:eastAsia="仿宋_GB2312"/>
                <w:sz w:val="24"/>
              </w:rPr>
              <w:t>、指导养老机构做好工作人员及服务对象的安全生产教育培训，提高工作人员及服务对象安全生产意识。</w:t>
            </w:r>
          </w:p>
          <w:p>
            <w:pPr>
              <w:pStyle w:val="null3"/>
              <w:ind w:firstLine="472"/>
              <w:jc w:val="both"/>
            </w:pPr>
            <w:r>
              <w:rPr>
                <w:rFonts w:ascii="仿宋_GB2312" w:hAnsi="仿宋_GB2312" w:cs="仿宋_GB2312" w:eastAsia="仿宋_GB2312"/>
                <w:sz w:val="24"/>
                <w:b/>
              </w:rPr>
              <w:t>（二）</w:t>
            </w:r>
            <w:r>
              <w:rPr>
                <w:rFonts w:ascii="仿宋_GB2312" w:hAnsi="仿宋_GB2312" w:cs="仿宋_GB2312" w:eastAsia="仿宋_GB2312"/>
                <w:sz w:val="24"/>
                <w:b/>
              </w:rPr>
              <w:t>现场消防安全检查</w:t>
            </w:r>
          </w:p>
          <w:p>
            <w:pPr>
              <w:pStyle w:val="null3"/>
              <w:ind w:firstLine="472"/>
              <w:jc w:val="both"/>
            </w:pPr>
            <w:r>
              <w:rPr>
                <w:rFonts w:ascii="仿宋_GB2312" w:hAnsi="仿宋_GB2312" w:cs="仿宋_GB2312" w:eastAsia="仿宋_GB2312"/>
                <w:sz w:val="24"/>
              </w:rPr>
              <w:t>1</w:t>
            </w:r>
            <w:r>
              <w:rPr>
                <w:rFonts w:ascii="仿宋_GB2312" w:hAnsi="仿宋_GB2312" w:cs="仿宋_GB2312" w:eastAsia="仿宋_GB2312"/>
                <w:sz w:val="24"/>
              </w:rPr>
              <w:t>、每月对养老机构进行现场消防安全检查。检查养老机构设置的消防设施完好情况；设有自动消防设施的，应委托具有相应资质的消防技术服务机构进行维护保养和检测；设有消防控制室的，应实行每日</w:t>
            </w:r>
            <w:r>
              <w:rPr>
                <w:rFonts w:ascii="仿宋_GB2312" w:hAnsi="仿宋_GB2312" w:cs="仿宋_GB2312" w:eastAsia="仿宋_GB2312"/>
                <w:sz w:val="24"/>
              </w:rPr>
              <w:t>24</w:t>
            </w:r>
            <w:r>
              <w:rPr>
                <w:rFonts w:ascii="仿宋_GB2312" w:hAnsi="仿宋_GB2312" w:cs="仿宋_GB2312" w:eastAsia="仿宋_GB2312"/>
                <w:sz w:val="24"/>
              </w:rPr>
              <w:t>小</w:t>
            </w:r>
            <w:r>
              <w:rPr>
                <w:rFonts w:ascii="仿宋_GB2312" w:hAnsi="仿宋_GB2312" w:cs="仿宋_GB2312" w:eastAsia="仿宋_GB2312"/>
                <w:sz w:val="24"/>
              </w:rPr>
              <w:t>时专人值班制度，值班人员应持有消防行业特有工种职业资格证书，掌握应急处置程序，能够熟练操作消防设施设备。安全出口、疏散通道和消防车通道保持畅通，在门窗处不设置影响逃生和灭火救援的障碍物等。</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每季度对助餐点、为老服务站等进行现场消防安全检查。检查设置的消防设施完好情况；组织每日防火巡查并做好巡查记录，组织每月防火检查并做好检查记录；消火栓完好情况及检查情况，灭火器完好情况及检查情况；安全出口、疏散通道和消防车通道保持畅通，在门窗处不设置影响逃生和灭火救援的障碍物等。</w:t>
            </w:r>
          </w:p>
          <w:p>
            <w:pPr>
              <w:pStyle w:val="null3"/>
              <w:ind w:firstLine="472"/>
              <w:jc w:val="both"/>
            </w:pPr>
            <w:r>
              <w:rPr>
                <w:rFonts w:ascii="仿宋_GB2312" w:hAnsi="仿宋_GB2312" w:cs="仿宋_GB2312" w:eastAsia="仿宋_GB2312"/>
                <w:sz w:val="24"/>
                <w:b/>
              </w:rPr>
              <w:t>（三）</w:t>
            </w:r>
            <w:r>
              <w:rPr>
                <w:rFonts w:ascii="仿宋_GB2312" w:hAnsi="仿宋_GB2312" w:cs="仿宋_GB2312" w:eastAsia="仿宋_GB2312"/>
                <w:sz w:val="24"/>
                <w:b/>
              </w:rPr>
              <w:t>现场食品安全检查</w:t>
            </w:r>
          </w:p>
          <w:p>
            <w:pPr>
              <w:pStyle w:val="null3"/>
              <w:ind w:firstLine="472"/>
              <w:jc w:val="both"/>
            </w:pPr>
            <w:r>
              <w:rPr>
                <w:rFonts w:ascii="仿宋_GB2312" w:hAnsi="仿宋_GB2312" w:cs="仿宋_GB2312" w:eastAsia="仿宋_GB2312"/>
                <w:sz w:val="24"/>
              </w:rPr>
              <w:t>1</w:t>
            </w:r>
            <w:r>
              <w:rPr>
                <w:rFonts w:ascii="仿宋_GB2312" w:hAnsi="仿宋_GB2312" w:cs="仿宋_GB2312" w:eastAsia="仿宋_GB2312"/>
                <w:sz w:val="24"/>
              </w:rPr>
              <w:t>、每月对养老机构进行食品安全检查。采购符合食品安全标准的食材，并能如实说明其进货来源，禁止使用超过保质期的食材；履行食品进货查验、索证索票制度；规范进行食品留样；做好餐饮具清洗、消毒工作并记录；每日处理餐厨垃圾并按要求记录等。</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每季度对助餐点位进行食品安全检查。采购符合食品安全标准的食材，并能如实说明其进货来源，禁止使用超过保质期的食材；履行食品进货查验、索证索票制度；规范进行食品留样；做好餐饮具清洗消毒工作并记录；每日处理餐厨垃圾并按要求记录等。</w:t>
            </w:r>
          </w:p>
          <w:p>
            <w:pPr>
              <w:pStyle w:val="null3"/>
              <w:ind w:firstLine="472"/>
              <w:jc w:val="both"/>
            </w:pPr>
            <w:r>
              <w:rPr>
                <w:rFonts w:ascii="仿宋_GB2312" w:hAnsi="仿宋_GB2312" w:cs="仿宋_GB2312" w:eastAsia="仿宋_GB2312"/>
                <w:sz w:val="24"/>
                <w:b/>
              </w:rPr>
              <w:t>（四）</w:t>
            </w:r>
            <w:r>
              <w:rPr>
                <w:rFonts w:ascii="仿宋_GB2312" w:hAnsi="仿宋_GB2312" w:cs="仿宋_GB2312" w:eastAsia="仿宋_GB2312"/>
                <w:sz w:val="24"/>
                <w:b/>
              </w:rPr>
              <w:t>综合安全检查</w:t>
            </w:r>
          </w:p>
          <w:p>
            <w:pPr>
              <w:pStyle w:val="null3"/>
              <w:ind w:firstLine="472"/>
              <w:jc w:val="both"/>
            </w:pPr>
            <w:r>
              <w:rPr>
                <w:rFonts w:ascii="仿宋_GB2312" w:hAnsi="仿宋_GB2312" w:cs="仿宋_GB2312" w:eastAsia="仿宋_GB2312"/>
                <w:sz w:val="24"/>
              </w:rPr>
              <w:t>1</w:t>
            </w:r>
            <w:r>
              <w:rPr>
                <w:rFonts w:ascii="仿宋_GB2312" w:hAnsi="仿宋_GB2312" w:cs="仿宋_GB2312" w:eastAsia="仿宋_GB2312"/>
                <w:sz w:val="24"/>
              </w:rPr>
              <w:t>、每月对养老机构其他安全工作进行检查。检查内容包括：安全管理体系、食堂设施设备安全、防汛安全、用电安全管理、燃气安全管理、特种设备、健身器材安全、安全标志、应急管理、教育培训、其他安全管理、床位补贴检查等有关养老机构安全的制度体系和设施设备等各个方面。</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、每季度对助餐点、为老服务站其他安全工作进行检查。包括：用电安全管理、健身器材安全、安全标志、应急管理、其他安全管理等，对其负责人和安全管理人员安全进行现场宣传教育，提升安全意识。</w:t>
            </w:r>
          </w:p>
          <w:p>
            <w:pPr>
              <w:pStyle w:val="null3"/>
              <w:ind w:firstLine="472"/>
              <w:jc w:val="both"/>
            </w:pPr>
            <w:r>
              <w:rPr>
                <w:rFonts w:ascii="仿宋_GB2312" w:hAnsi="仿宋_GB2312" w:cs="仿宋_GB2312" w:eastAsia="仿宋_GB2312"/>
                <w:sz w:val="24"/>
              </w:rPr>
              <w:t>3</w:t>
            </w:r>
            <w:r>
              <w:rPr>
                <w:rFonts w:ascii="仿宋_GB2312" w:hAnsi="仿宋_GB2312" w:cs="仿宋_GB2312" w:eastAsia="仿宋_GB2312"/>
                <w:sz w:val="24"/>
              </w:rPr>
              <w:t>、全年安排人员在节假日期间对养老机构进行安全检查，每个节假日前制定节前检查任务分配表，按照任务分配表，派遣专业人员形成检查团队进行养老机构安全检查，并形成检查报告，报区民政局。</w:t>
            </w:r>
          </w:p>
          <w:p>
            <w:pPr>
              <w:pStyle w:val="null3"/>
              <w:ind w:firstLine="472"/>
              <w:jc w:val="both"/>
            </w:pPr>
            <w:r>
              <w:rPr>
                <w:rFonts w:ascii="仿宋_GB2312" w:hAnsi="仿宋_GB2312" w:cs="仿宋_GB2312" w:eastAsia="仿宋_GB2312"/>
                <w:sz w:val="24"/>
                <w:b/>
              </w:rPr>
              <w:t>（五）</w:t>
            </w:r>
            <w:r>
              <w:rPr>
                <w:rFonts w:ascii="仿宋_GB2312" w:hAnsi="仿宋_GB2312" w:cs="仿宋_GB2312" w:eastAsia="仿宋_GB2312"/>
                <w:sz w:val="24"/>
                <w:b/>
              </w:rPr>
              <w:t>建立问题整改机制，闭环管理养老机构安全隐患整改情况。</w:t>
            </w:r>
          </w:p>
          <w:p>
            <w:pPr>
              <w:pStyle w:val="null3"/>
              <w:ind w:firstLine="472"/>
              <w:jc w:val="both"/>
            </w:pPr>
            <w:r>
              <w:rPr>
                <w:rFonts w:ascii="仿宋_GB2312" w:hAnsi="仿宋_GB2312" w:cs="仿宋_GB2312" w:eastAsia="仿宋_GB2312"/>
                <w:sz w:val="24"/>
              </w:rPr>
              <w:t>1</w:t>
            </w:r>
            <w:r>
              <w:rPr>
                <w:rFonts w:ascii="仿宋_GB2312" w:hAnsi="仿宋_GB2312" w:cs="仿宋_GB2312" w:eastAsia="仿宋_GB2312"/>
                <w:sz w:val="24"/>
              </w:rPr>
              <w:t>、每月安全检查要提出存在的隐患情况及相应的整改建议并整理汇总；次月开展安全检查时，对上月发现的隐患整改情况进行复查，将复查情况汇总到季度综合检查报告并上报成华区民政局，会同成华区民政局督促养老机构进行整改。</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、次年</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15</w:t>
            </w:r>
            <w:r>
              <w:rPr>
                <w:rFonts w:ascii="仿宋_GB2312" w:hAnsi="仿宋_GB2312" w:cs="仿宋_GB2312" w:eastAsia="仿宋_GB2312"/>
                <w:sz w:val="24"/>
              </w:rPr>
              <w:t>日前对成华区养老机构已开展检查和复查情况进行全面总结及进行综合分析，形成隐患检查综合分析报告，上报成华区民政局。</w:t>
            </w:r>
          </w:p>
          <w:p>
            <w:pPr>
              <w:pStyle w:val="null3"/>
              <w:ind w:firstLine="472"/>
              <w:jc w:val="both"/>
            </w:pPr>
            <w:r>
              <w:rPr>
                <w:rFonts w:ascii="仿宋_GB2312" w:hAnsi="仿宋_GB2312" w:cs="仿宋_GB2312" w:eastAsia="仿宋_GB2312"/>
                <w:sz w:val="24"/>
              </w:rPr>
              <w:t>3</w:t>
            </w:r>
            <w:r>
              <w:rPr>
                <w:rFonts w:ascii="仿宋_GB2312" w:hAnsi="仿宋_GB2312" w:cs="仿宋_GB2312" w:eastAsia="仿宋_GB2312"/>
                <w:sz w:val="24"/>
              </w:rPr>
              <w:t>、安全检查后需留下工作痕迹（包括：影像资料，现场勘查记录等基础资料）。每月检查结束后</w:t>
            </w:r>
            <w:r>
              <w:rPr>
                <w:rFonts w:ascii="仿宋_GB2312" w:hAnsi="仿宋_GB2312" w:cs="仿宋_GB2312" w:eastAsia="仿宋_GB2312"/>
                <w:sz w:val="24"/>
              </w:rPr>
              <w:t>5</w:t>
            </w:r>
            <w:r>
              <w:rPr>
                <w:rFonts w:ascii="仿宋_GB2312" w:hAnsi="仿宋_GB2312" w:cs="仿宋_GB2312" w:eastAsia="仿宋_GB2312"/>
                <w:sz w:val="24"/>
              </w:rPr>
              <w:t>个工作日内形成每月养老机构安全检查报告，每季度在次季度</w:t>
            </w:r>
            <w:r>
              <w:rPr>
                <w:rFonts w:ascii="仿宋_GB2312" w:hAnsi="仿宋_GB2312" w:cs="仿宋_GB2312" w:eastAsia="仿宋_GB2312"/>
                <w:sz w:val="24"/>
              </w:rPr>
              <w:t>10</w:t>
            </w:r>
            <w:r>
              <w:rPr>
                <w:rFonts w:ascii="仿宋_GB2312" w:hAnsi="仿宋_GB2312" w:cs="仿宋_GB2312" w:eastAsia="仿宋_GB2312"/>
                <w:sz w:val="24"/>
              </w:rPr>
              <w:t>日前形成每季度成华区养老机构安全巡查工作总结报告，并上报成华区民政局。</w:t>
            </w:r>
          </w:p>
          <w:p>
            <w:pPr>
              <w:pStyle w:val="null3"/>
              <w:ind w:firstLine="472"/>
              <w:jc w:val="both"/>
            </w:pPr>
            <w:r>
              <w:rPr>
                <w:rFonts w:ascii="仿宋_GB2312" w:hAnsi="仿宋_GB2312" w:cs="仿宋_GB2312" w:eastAsia="仿宋_GB2312"/>
                <w:sz w:val="24"/>
                <w:b/>
              </w:rPr>
              <w:t>（六）协助开展区民政局的安全生产信息系统建设</w:t>
            </w:r>
          </w:p>
          <w:p>
            <w:pPr>
              <w:pStyle w:val="null3"/>
              <w:ind w:firstLine="472"/>
              <w:jc w:val="both"/>
            </w:pPr>
            <w:r>
              <w:rPr>
                <w:rFonts w:ascii="仿宋_GB2312" w:hAnsi="仿宋_GB2312" w:cs="仿宋_GB2312" w:eastAsia="仿宋_GB2312"/>
                <w:sz w:val="24"/>
              </w:rPr>
              <w:t>1</w:t>
            </w:r>
            <w:r>
              <w:rPr>
                <w:rFonts w:ascii="仿宋_GB2312" w:hAnsi="仿宋_GB2312" w:cs="仿宋_GB2312" w:eastAsia="仿宋_GB2312"/>
                <w:sz w:val="24"/>
              </w:rPr>
              <w:t>、配合区民政局在各级部门建立的安全生产信息平台录入养老机构日常安全检查等信息。</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、配合区民政局做好智慧养老安全生产信息录入模块的建设以及信息更新等工作。</w:t>
            </w:r>
          </w:p>
          <w:p>
            <w:pPr>
              <w:pStyle w:val="null3"/>
              <w:ind w:firstLine="472"/>
              <w:jc w:val="both"/>
            </w:pPr>
            <w:r>
              <w:rPr>
                <w:rFonts w:ascii="仿宋_GB2312" w:hAnsi="仿宋_GB2312" w:cs="仿宋_GB2312" w:eastAsia="仿宋_GB2312"/>
                <w:sz w:val="24"/>
                <w:b/>
              </w:rPr>
              <w:t>（七）结合最新政策规范，制作印制消防安全、食品安全、燃气安全等方面安全宣传资料，印发各养老机构等。</w:t>
            </w:r>
          </w:p>
          <w:p>
            <w:pPr>
              <w:pStyle w:val="null3"/>
              <w:ind w:firstLine="472"/>
              <w:jc w:val="both"/>
            </w:pPr>
            <w:r>
              <w:rPr>
                <w:rFonts w:ascii="仿宋_GB2312" w:hAnsi="仿宋_GB2312" w:cs="仿宋_GB2312" w:eastAsia="仿宋_GB2312"/>
                <w:sz w:val="24"/>
                <w:b/>
              </w:rPr>
              <w:t>（八）人员要求</w:t>
            </w:r>
          </w:p>
          <w:p>
            <w:pPr>
              <w:pStyle w:val="null3"/>
              <w:ind w:firstLine="472"/>
              <w:jc w:val="both"/>
            </w:pPr>
            <w:r>
              <w:rPr>
                <w:rFonts w:ascii="仿宋_GB2312" w:hAnsi="仿宋_GB2312" w:cs="仿宋_GB2312" w:eastAsia="仿宋_GB2312"/>
                <w:sz w:val="24"/>
              </w:rPr>
              <w:t>1</w:t>
            </w:r>
            <w:r>
              <w:rPr>
                <w:rFonts w:ascii="仿宋_GB2312" w:hAnsi="仿宋_GB2312" w:cs="仿宋_GB2312" w:eastAsia="仿宋_GB2312"/>
                <w:sz w:val="24"/>
              </w:rPr>
              <w:t>、指定</w:t>
            </w:r>
            <w:r>
              <w:rPr>
                <w:rFonts w:ascii="仿宋_GB2312" w:hAnsi="仿宋_GB2312" w:cs="仿宋_GB2312" w:eastAsia="仿宋_GB2312"/>
                <w:sz w:val="24"/>
              </w:rPr>
              <w:t>2</w:t>
            </w:r>
            <w:r>
              <w:rPr>
                <w:rFonts w:ascii="仿宋_GB2312" w:hAnsi="仿宋_GB2312" w:cs="仿宋_GB2312" w:eastAsia="仿宋_GB2312"/>
                <w:sz w:val="24"/>
              </w:rPr>
              <w:t>名业务人员（须提供人员姓名和身份证件）在区民政局养老服务与产业发展科驻点办公，负责协调养老机构安全生产检查相关工作安排、检查资料整理归档等工作，开展安全宣传工作，配合养老服务科做好养老机构传染病防治的有关工作。</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原则上，在合同期内，人员应保持稳定，但可根据实际工作需求，按照采购方的要求进行人员调整。服务人员应具备对养老事业的热爱，熟悉常用办公软件，并优先考虑具有社会工作、文秘宣传专业背景或养老工作经验的人员。</w:t>
            </w:r>
          </w:p>
          <w:p>
            <w:pPr>
              <w:pStyle w:val="null3"/>
              <w:ind w:firstLine="472"/>
              <w:jc w:val="both"/>
            </w:pPr>
            <w:r>
              <w:rPr>
                <w:rFonts w:ascii="仿宋_GB2312" w:hAnsi="仿宋_GB2312" w:cs="仿宋_GB2312" w:eastAsia="仿宋_GB2312"/>
                <w:sz w:val="24"/>
              </w:rPr>
              <w:t>3</w:t>
            </w:r>
            <w:r>
              <w:rPr>
                <w:rFonts w:ascii="仿宋_GB2312" w:hAnsi="仿宋_GB2312" w:cs="仿宋_GB2312" w:eastAsia="仿宋_GB2312"/>
                <w:sz w:val="24"/>
              </w:rPr>
              <w:t>、供应商负责为本项目所派驻场工作人员的管理，具体管理工作内容如下：①负责对工作人员进行政策、法律教育，职业道德培训，提供必要的建议和指导。②负责每年对工作人员进行例行健康体检，体检合格者方可向采购人提供服务。③负责工作人员的录用、辞退、退保费手续，负责处理劳务纠纷。供应商对人员进行解聘、辞退，书面告知采购人。 ④负责工作人员劳动档案管理，负责处理工作人员因工作期满或因违反各项管理规章制度被终止劳务工作的事宜。 ⑤负责处理工作人员在工作期间发生的工伤、职业病、死亡等事故，发生的相应费用以及办理处理手续由供应商负责处理。</w:t>
            </w:r>
          </w:p>
          <w:p>
            <w:pPr>
              <w:pStyle w:val="null3"/>
              <w:ind w:firstLine="472"/>
              <w:jc w:val="both"/>
            </w:pPr>
            <w:r>
              <w:rPr>
                <w:rFonts w:ascii="仿宋_GB2312" w:hAnsi="仿宋_GB2312" w:cs="仿宋_GB2312" w:eastAsia="仿宋_GB2312"/>
                <w:sz w:val="24"/>
                <w:b/>
              </w:rPr>
              <w:t>（九）完成成华区民政局安排的其他相关事项。</w:t>
            </w:r>
          </w:p>
          <w:p>
            <w:pPr>
              <w:pStyle w:val="null3"/>
              <w:ind w:firstLine="472"/>
              <w:jc w:val="both"/>
            </w:pPr>
            <w:r>
              <w:rPr>
                <w:rFonts w:ascii="仿宋_GB2312" w:hAnsi="仿宋_GB2312" w:cs="仿宋_GB2312" w:eastAsia="仿宋_GB2312"/>
                <w:sz w:val="24"/>
                <w:b/>
              </w:rPr>
              <w:t>（十）项目考核要求。</w:t>
            </w:r>
          </w:p>
          <w:tbl>
            <w:tblPr>
              <w:tblBorders>
                <w:top w:val="none" w:color="000000" w:sz="4"/>
                <w:left w:val="none" w:color="000000" w:sz="4"/>
                <w:bottom w:val="none" w:color="000000" w:sz="4"/>
                <w:right w:val="none" w:color="000000" w:sz="4"/>
                <w:insideH w:val="none"/>
                <w:insideV w:val="none"/>
              </w:tblBorders>
            </w:tblPr>
            <w:tblGrid>
              <w:gridCol w:w="343"/>
              <w:gridCol w:w="1631"/>
              <w:gridCol w:w="2493"/>
              <w:gridCol w:w="788"/>
              <w:gridCol w:w="343"/>
            </w:tblGrid>
            <w:tr>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6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考核内容</w:t>
                  </w:r>
                </w:p>
              </w:tc>
              <w:tc>
                <w:tcPr>
                  <w:tcW w:type="dxa" w:w="2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扣分细则</w:t>
                  </w:r>
                </w:p>
              </w:tc>
              <w:tc>
                <w:tcPr>
                  <w:tcW w:type="dxa" w:w="7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考核记录</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服务人员出勤率（</w:t>
                  </w:r>
                  <w:r>
                    <w:rPr>
                      <w:rFonts w:ascii="仿宋_GB2312" w:hAnsi="仿宋_GB2312" w:cs="仿宋_GB2312" w:eastAsia="仿宋_GB2312"/>
                      <w:sz w:val="24"/>
                    </w:rPr>
                    <w:t>10分）</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服务人员出勤率低于</w:t>
                  </w:r>
                  <w:r>
                    <w:rPr>
                      <w:rFonts w:ascii="仿宋_GB2312" w:hAnsi="仿宋_GB2312" w:cs="仿宋_GB2312" w:eastAsia="仿宋_GB2312"/>
                      <w:sz w:val="24"/>
                    </w:rPr>
                    <w:t>90%，每少10% 扣 0.5 分；多个服务人员累计扣分；</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服务态度（</w:t>
                  </w:r>
                  <w:r>
                    <w:rPr>
                      <w:rFonts w:ascii="仿宋_GB2312" w:hAnsi="仿宋_GB2312" w:cs="仿宋_GB2312" w:eastAsia="仿宋_GB2312"/>
                      <w:sz w:val="24"/>
                    </w:rPr>
                    <w:t>10分）</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1、服务人员态度不好，被投诉，发现一次扣 1 分；2、不接受采购人的工作安排或监督，发现一次扣1 分；</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对机构安全检查是否专业、细致（</w:t>
                  </w:r>
                  <w:r>
                    <w:rPr>
                      <w:rFonts w:ascii="仿宋_GB2312" w:hAnsi="仿宋_GB2312" w:cs="仿宋_GB2312" w:eastAsia="仿宋_GB2312"/>
                      <w:sz w:val="24"/>
                    </w:rPr>
                    <w:t>20分）</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优秀（</w:t>
                  </w:r>
                  <w:r>
                    <w:rPr>
                      <w:rFonts w:ascii="仿宋_GB2312" w:hAnsi="仿宋_GB2312" w:cs="仿宋_GB2312" w:eastAsia="仿宋_GB2312"/>
                      <w:sz w:val="24"/>
                    </w:rPr>
                    <w:t>16-20分）；良好（12-15分）；不合格（0-11分)</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对机构安全生产指导是否有所帮助（</w:t>
                  </w:r>
                  <w:r>
                    <w:rPr>
                      <w:rFonts w:ascii="仿宋_GB2312" w:hAnsi="仿宋_GB2312" w:cs="仿宋_GB2312" w:eastAsia="仿宋_GB2312"/>
                      <w:sz w:val="24"/>
                    </w:rPr>
                    <w:t>10分）</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帮助很大（</w:t>
                  </w:r>
                  <w:r>
                    <w:rPr>
                      <w:rFonts w:ascii="仿宋_GB2312" w:hAnsi="仿宋_GB2312" w:cs="仿宋_GB2312" w:eastAsia="仿宋_GB2312"/>
                      <w:sz w:val="24"/>
                    </w:rPr>
                    <w:t>8-10分）；有帮助（6-7分）；没有帮助或帮助不大（0-5分）</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对机构安全宣传教育是否经常、到位（</w:t>
                  </w:r>
                  <w:r>
                    <w:rPr>
                      <w:rFonts w:ascii="仿宋_GB2312" w:hAnsi="仿宋_GB2312" w:cs="仿宋_GB2312" w:eastAsia="仿宋_GB2312"/>
                      <w:sz w:val="24"/>
                    </w:rPr>
                    <w:t>10分）</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经常且到位（</w:t>
                  </w:r>
                  <w:r>
                    <w:rPr>
                      <w:rFonts w:ascii="仿宋_GB2312" w:hAnsi="仿宋_GB2312" w:cs="仿宋_GB2312" w:eastAsia="仿宋_GB2312"/>
                      <w:sz w:val="24"/>
                    </w:rPr>
                    <w:t>8-10分）；一般（6-7分）；内容无意义或走过场（0-5分）</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对机构安全检查工作整体是否满意（</w:t>
                  </w:r>
                  <w:r>
                    <w:rPr>
                      <w:rFonts w:ascii="仿宋_GB2312" w:hAnsi="仿宋_GB2312" w:cs="仿宋_GB2312" w:eastAsia="仿宋_GB2312"/>
                      <w:sz w:val="24"/>
                    </w:rPr>
                    <w:t>30分）</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优秀（</w:t>
                  </w:r>
                  <w:r>
                    <w:rPr>
                      <w:rFonts w:ascii="仿宋_GB2312" w:hAnsi="仿宋_GB2312" w:cs="仿宋_GB2312" w:eastAsia="仿宋_GB2312"/>
                      <w:sz w:val="24"/>
                    </w:rPr>
                    <w:t>24-30分）；良好（18-23分）；不合格（0-17分)</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对采购人安排的其他工作事项是否及时响应（</w:t>
                  </w:r>
                  <w:r>
                    <w:rPr>
                      <w:rFonts w:ascii="仿宋_GB2312" w:hAnsi="仿宋_GB2312" w:cs="仿宋_GB2312" w:eastAsia="仿宋_GB2312"/>
                      <w:sz w:val="24"/>
                    </w:rPr>
                    <w:t>10分）</w:t>
                  </w:r>
                </w:p>
              </w:tc>
              <w:tc>
                <w:tcPr>
                  <w:tcW w:type="dxa" w:w="2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优秀（</w:t>
                  </w:r>
                  <w:r>
                    <w:rPr>
                      <w:rFonts w:ascii="仿宋_GB2312" w:hAnsi="仿宋_GB2312" w:cs="仿宋_GB2312" w:eastAsia="仿宋_GB2312"/>
                      <w:sz w:val="24"/>
                    </w:rPr>
                    <w:t>8-10分）；良好（6-7分）；不合格（0-5分)</w:t>
                  </w:r>
                </w:p>
              </w:tc>
              <w:tc>
                <w:tcPr>
                  <w:tcW w:type="dxa" w:w="7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注：本考核细则由采购人负责解释。</w:t>
                  </w:r>
                </w:p>
              </w:tc>
            </w:tr>
          </w:tbl>
          <w:p>
            <w:pPr>
              <w:pStyle w:val="null3"/>
              <w:ind w:firstLine="472"/>
              <w:jc w:val="both"/>
            </w:pPr>
            <w:r>
              <w:rPr>
                <w:rFonts w:ascii="仿宋_GB2312" w:hAnsi="仿宋_GB2312" w:cs="仿宋_GB2312" w:eastAsia="仿宋_GB2312"/>
                <w:sz w:val="24"/>
              </w:rPr>
              <w:t>(1)</w:t>
            </w:r>
            <w:r>
              <w:rPr>
                <w:rFonts w:ascii="仿宋_GB2312" w:hAnsi="仿宋_GB2312" w:cs="仿宋_GB2312" w:eastAsia="仿宋_GB2312"/>
                <w:sz w:val="24"/>
              </w:rPr>
              <w:t>考核频率</w:t>
            </w:r>
            <w:r>
              <w:rPr>
                <w:rFonts w:ascii="仿宋_GB2312" w:hAnsi="仿宋_GB2312" w:cs="仿宋_GB2312" w:eastAsia="仿宋_GB2312"/>
                <w:sz w:val="24"/>
              </w:rPr>
              <w:t>:</w:t>
            </w:r>
            <w:r>
              <w:rPr>
                <w:rFonts w:ascii="仿宋_GB2312" w:hAnsi="仿宋_GB2312" w:cs="仿宋_GB2312" w:eastAsia="仿宋_GB2312"/>
                <w:sz w:val="24"/>
              </w:rPr>
              <w:t>采购人每季度对供应商的工作进行考核验收。</w:t>
            </w:r>
          </w:p>
          <w:p>
            <w:pPr>
              <w:pStyle w:val="null3"/>
              <w:ind w:firstLine="472"/>
              <w:jc w:val="both"/>
            </w:pPr>
            <w:r>
              <w:rPr>
                <w:rFonts w:ascii="仿宋_GB2312" w:hAnsi="仿宋_GB2312" w:cs="仿宋_GB2312" w:eastAsia="仿宋_GB2312"/>
                <w:sz w:val="24"/>
              </w:rPr>
              <w:t>(2)</w:t>
            </w:r>
            <w:r>
              <w:rPr>
                <w:rFonts w:ascii="仿宋_GB2312" w:hAnsi="仿宋_GB2312" w:cs="仿宋_GB2312" w:eastAsia="仿宋_GB2312"/>
                <w:sz w:val="24"/>
              </w:rPr>
              <w:t>考核主体</w:t>
            </w:r>
            <w:r>
              <w:rPr>
                <w:rFonts w:ascii="仿宋_GB2312" w:hAnsi="仿宋_GB2312" w:cs="仿宋_GB2312" w:eastAsia="仿宋_GB2312"/>
                <w:sz w:val="24"/>
              </w:rPr>
              <w:t>:</w:t>
            </w:r>
            <w:r>
              <w:rPr>
                <w:rFonts w:ascii="仿宋_GB2312" w:hAnsi="仿宋_GB2312" w:cs="仿宋_GB2312" w:eastAsia="仿宋_GB2312"/>
                <w:sz w:val="24"/>
              </w:rPr>
              <w:t>考核工作由采购人牵头组织实施。</w:t>
            </w:r>
          </w:p>
          <w:p>
            <w:pPr>
              <w:pStyle w:val="null3"/>
              <w:ind w:firstLine="472"/>
              <w:jc w:val="both"/>
            </w:pPr>
            <w:r>
              <w:rPr>
                <w:rFonts w:ascii="仿宋_GB2312" w:hAnsi="仿宋_GB2312" w:cs="仿宋_GB2312" w:eastAsia="仿宋_GB2312"/>
                <w:sz w:val="24"/>
              </w:rPr>
              <w:t>(3)</w:t>
            </w:r>
            <w:r>
              <w:rPr>
                <w:rFonts w:ascii="仿宋_GB2312" w:hAnsi="仿宋_GB2312" w:cs="仿宋_GB2312" w:eastAsia="仿宋_GB2312"/>
                <w:sz w:val="24"/>
              </w:rPr>
              <w:t>考核得分</w:t>
            </w:r>
            <w:r>
              <w:rPr>
                <w:rFonts w:ascii="仿宋_GB2312" w:hAnsi="仿宋_GB2312" w:cs="仿宋_GB2312" w:eastAsia="仿宋_GB2312"/>
                <w:sz w:val="24"/>
              </w:rPr>
              <w:t>:</w:t>
            </w:r>
            <w:r>
              <w:rPr>
                <w:rFonts w:ascii="仿宋_GB2312" w:hAnsi="仿宋_GB2312" w:cs="仿宋_GB2312" w:eastAsia="仿宋_GB2312"/>
                <w:sz w:val="24"/>
              </w:rPr>
              <w:t>考核分数≥</w:t>
            </w:r>
            <w:r>
              <w:rPr>
                <w:rFonts w:ascii="仿宋_GB2312" w:hAnsi="仿宋_GB2312" w:cs="仿宋_GB2312" w:eastAsia="仿宋_GB2312"/>
                <w:sz w:val="24"/>
              </w:rPr>
              <w:t>85</w:t>
            </w:r>
            <w:r>
              <w:rPr>
                <w:rFonts w:ascii="仿宋_GB2312" w:hAnsi="仿宋_GB2312" w:cs="仿宋_GB2312" w:eastAsia="仿宋_GB2312"/>
                <w:sz w:val="24"/>
              </w:rPr>
              <w:t>分，视为考核优秀</w:t>
            </w:r>
            <w:r>
              <w:rPr>
                <w:rFonts w:ascii="仿宋_GB2312" w:hAnsi="仿宋_GB2312" w:cs="仿宋_GB2312" w:eastAsia="仿宋_GB2312"/>
                <w:sz w:val="24"/>
              </w:rPr>
              <w:t>;60</w:t>
            </w:r>
            <w:r>
              <w:rPr>
                <w:rFonts w:ascii="仿宋_GB2312" w:hAnsi="仿宋_GB2312" w:cs="仿宋_GB2312" w:eastAsia="仿宋_GB2312"/>
                <w:sz w:val="24"/>
              </w:rPr>
              <w:t>≤考核分数</w:t>
            </w:r>
            <w:r>
              <w:rPr>
                <w:rFonts w:ascii="仿宋_GB2312" w:hAnsi="仿宋_GB2312" w:cs="仿宋_GB2312" w:eastAsia="仿宋_GB2312"/>
                <w:sz w:val="24"/>
              </w:rPr>
              <w:t>&lt;85</w:t>
            </w:r>
            <w:r>
              <w:rPr>
                <w:rFonts w:ascii="仿宋_GB2312" w:hAnsi="仿宋_GB2312" w:cs="仿宋_GB2312" w:eastAsia="仿宋_GB2312"/>
                <w:sz w:val="24"/>
              </w:rPr>
              <w:t>分，视为考核合格；考核分数</w:t>
            </w:r>
            <w:r>
              <w:rPr>
                <w:rFonts w:ascii="仿宋_GB2312" w:hAnsi="仿宋_GB2312" w:cs="仿宋_GB2312" w:eastAsia="仿宋_GB2312"/>
                <w:sz w:val="24"/>
              </w:rPr>
              <w:t>&lt;60</w:t>
            </w:r>
            <w:r>
              <w:rPr>
                <w:rFonts w:ascii="仿宋_GB2312" w:hAnsi="仿宋_GB2312" w:cs="仿宋_GB2312" w:eastAsia="仿宋_GB2312"/>
                <w:sz w:val="24"/>
              </w:rPr>
              <w:t>分，视为考核不合格。</w:t>
            </w:r>
          </w:p>
          <w:p>
            <w:pPr>
              <w:pStyle w:val="null3"/>
              <w:ind w:firstLine="472"/>
              <w:jc w:val="both"/>
            </w:pPr>
            <w:r>
              <w:rPr>
                <w:rFonts w:ascii="仿宋_GB2312" w:hAnsi="仿宋_GB2312" w:cs="仿宋_GB2312" w:eastAsia="仿宋_GB2312"/>
                <w:sz w:val="24"/>
              </w:rPr>
              <w:t>(4)</w:t>
            </w:r>
            <w:r>
              <w:rPr>
                <w:rFonts w:ascii="仿宋_GB2312" w:hAnsi="仿宋_GB2312" w:cs="仿宋_GB2312" w:eastAsia="仿宋_GB2312"/>
                <w:sz w:val="24"/>
              </w:rPr>
              <w:t>考核结果运用</w:t>
            </w:r>
            <w:r>
              <w:rPr>
                <w:rFonts w:ascii="仿宋_GB2312" w:hAnsi="仿宋_GB2312" w:cs="仿宋_GB2312" w:eastAsia="仿宋_GB2312"/>
                <w:sz w:val="24"/>
              </w:rPr>
              <w:t>:</w:t>
            </w:r>
            <w:r>
              <w:rPr>
                <w:rFonts w:ascii="仿宋_GB2312" w:hAnsi="仿宋_GB2312" w:cs="仿宋_GB2312" w:eastAsia="仿宋_GB2312"/>
                <w:sz w:val="24"/>
              </w:rPr>
              <w:t>考核得分大于或等于</w:t>
            </w:r>
            <w:r>
              <w:rPr>
                <w:rFonts w:ascii="仿宋_GB2312" w:hAnsi="仿宋_GB2312" w:cs="仿宋_GB2312" w:eastAsia="仿宋_GB2312"/>
                <w:sz w:val="24"/>
              </w:rPr>
              <w:t>85</w:t>
            </w:r>
            <w:r>
              <w:rPr>
                <w:rFonts w:ascii="仿宋_GB2312" w:hAnsi="仿宋_GB2312" w:cs="仿宋_GB2312" w:eastAsia="仿宋_GB2312"/>
                <w:sz w:val="24"/>
              </w:rPr>
              <w:t>分的，不扣款</w:t>
            </w:r>
            <w:r>
              <w:rPr>
                <w:rFonts w:ascii="仿宋_GB2312" w:hAnsi="仿宋_GB2312" w:cs="仿宋_GB2312" w:eastAsia="仿宋_GB2312"/>
                <w:sz w:val="24"/>
              </w:rPr>
              <w:t>;</w:t>
            </w:r>
            <w:r>
              <w:rPr>
                <w:rFonts w:ascii="仿宋_GB2312" w:hAnsi="仿宋_GB2312" w:cs="仿宋_GB2312" w:eastAsia="仿宋_GB2312"/>
                <w:sz w:val="24"/>
              </w:rPr>
              <w:t xml:space="preserve">若考核得分在 </w:t>
            </w:r>
            <w:r>
              <w:rPr>
                <w:rFonts w:ascii="仿宋_GB2312" w:hAnsi="仿宋_GB2312" w:cs="仿宋_GB2312" w:eastAsia="仿宋_GB2312"/>
                <w:sz w:val="24"/>
              </w:rPr>
              <w:t xml:space="preserve">60 </w:t>
            </w:r>
            <w:r>
              <w:rPr>
                <w:rFonts w:ascii="仿宋_GB2312" w:hAnsi="仿宋_GB2312" w:cs="仿宋_GB2312" w:eastAsia="仿宋_GB2312"/>
                <w:sz w:val="24"/>
              </w:rPr>
              <w:t>分</w:t>
            </w:r>
            <w:r>
              <w:rPr>
                <w:rFonts w:ascii="仿宋_GB2312" w:hAnsi="仿宋_GB2312" w:cs="仿宋_GB2312" w:eastAsia="仿宋_GB2312"/>
                <w:sz w:val="24"/>
              </w:rPr>
              <w:t xml:space="preserve">-85 </w:t>
            </w:r>
            <w:r>
              <w:rPr>
                <w:rFonts w:ascii="仿宋_GB2312" w:hAnsi="仿宋_GB2312" w:cs="仿宋_GB2312" w:eastAsia="仿宋_GB2312"/>
                <w:sz w:val="24"/>
              </w:rPr>
              <w:t>分之间的</w:t>
            </w:r>
            <w:r>
              <w:rPr>
                <w:rFonts w:ascii="仿宋_GB2312" w:hAnsi="仿宋_GB2312" w:cs="仿宋_GB2312" w:eastAsia="仿宋_GB2312"/>
                <w:sz w:val="24"/>
              </w:rPr>
              <w:t>(</w:t>
            </w:r>
            <w:r>
              <w:rPr>
                <w:rFonts w:ascii="仿宋_GB2312" w:hAnsi="仿宋_GB2312" w:cs="仿宋_GB2312" w:eastAsia="仿宋_GB2312"/>
                <w:sz w:val="24"/>
              </w:rPr>
              <w:t>含</w:t>
            </w:r>
            <w:r>
              <w:rPr>
                <w:rFonts w:ascii="仿宋_GB2312" w:hAnsi="仿宋_GB2312" w:cs="仿宋_GB2312" w:eastAsia="仿宋_GB2312"/>
                <w:sz w:val="24"/>
              </w:rPr>
              <w:t>60</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 xml:space="preserve">，按照 </w:t>
            </w:r>
            <w:r>
              <w:rPr>
                <w:rFonts w:ascii="仿宋_GB2312" w:hAnsi="仿宋_GB2312" w:cs="仿宋_GB2312" w:eastAsia="仿宋_GB2312"/>
                <w:sz w:val="24"/>
              </w:rPr>
              <w:t xml:space="preserve">85 </w:t>
            </w:r>
            <w:r>
              <w:rPr>
                <w:rFonts w:ascii="仿宋_GB2312" w:hAnsi="仿宋_GB2312" w:cs="仿宋_GB2312" w:eastAsia="仿宋_GB2312"/>
                <w:sz w:val="24"/>
              </w:rPr>
              <w:t>分为标准，每少</w:t>
            </w:r>
            <w:r>
              <w:rPr>
                <w:rFonts w:ascii="仿宋_GB2312" w:hAnsi="仿宋_GB2312" w:cs="仿宋_GB2312" w:eastAsia="仿宋_GB2312"/>
                <w:sz w:val="24"/>
              </w:rPr>
              <w:t>1</w:t>
            </w:r>
            <w:r>
              <w:rPr>
                <w:rFonts w:ascii="仿宋_GB2312" w:hAnsi="仿宋_GB2312" w:cs="仿宋_GB2312" w:eastAsia="仿宋_GB2312"/>
                <w:sz w:val="24"/>
              </w:rPr>
              <w:t>分对应扣除合同金额的</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考核分数小于 </w:t>
            </w:r>
            <w:r>
              <w:rPr>
                <w:rFonts w:ascii="仿宋_GB2312" w:hAnsi="仿宋_GB2312" w:cs="仿宋_GB2312" w:eastAsia="仿宋_GB2312"/>
                <w:sz w:val="24"/>
              </w:rPr>
              <w:t xml:space="preserve">60 </w:t>
            </w:r>
            <w:r>
              <w:rPr>
                <w:rFonts w:ascii="仿宋_GB2312" w:hAnsi="仿宋_GB2312" w:cs="仿宋_GB2312" w:eastAsia="仿宋_GB2312"/>
                <w:sz w:val="24"/>
              </w:rPr>
              <w:t>分，在按照</w:t>
            </w:r>
            <w:r>
              <w:rPr>
                <w:rFonts w:ascii="仿宋_GB2312" w:hAnsi="仿宋_GB2312" w:cs="仿宋_GB2312" w:eastAsia="仿宋_GB2312"/>
                <w:sz w:val="24"/>
              </w:rPr>
              <w:t xml:space="preserve">60 </w:t>
            </w:r>
            <w:r>
              <w:rPr>
                <w:rFonts w:ascii="仿宋_GB2312" w:hAnsi="仿宋_GB2312" w:cs="仿宋_GB2312" w:eastAsia="仿宋_GB2312"/>
                <w:sz w:val="24"/>
              </w:rPr>
              <w:t>分</w:t>
            </w:r>
            <w:r>
              <w:rPr>
                <w:rFonts w:ascii="仿宋_GB2312" w:hAnsi="仿宋_GB2312" w:cs="仿宋_GB2312" w:eastAsia="仿宋_GB2312"/>
                <w:sz w:val="24"/>
              </w:rPr>
              <w:t>-85</w:t>
            </w:r>
            <w:r>
              <w:rPr>
                <w:rFonts w:ascii="仿宋_GB2312" w:hAnsi="仿宋_GB2312" w:cs="仿宋_GB2312" w:eastAsia="仿宋_GB2312"/>
                <w:sz w:val="24"/>
              </w:rPr>
              <w:t xml:space="preserve">分扣款的基础上，以 </w:t>
            </w:r>
            <w:r>
              <w:rPr>
                <w:rFonts w:ascii="仿宋_GB2312" w:hAnsi="仿宋_GB2312" w:cs="仿宋_GB2312" w:eastAsia="仿宋_GB2312"/>
                <w:sz w:val="24"/>
              </w:rPr>
              <w:t xml:space="preserve">60 </w:t>
            </w:r>
            <w:r>
              <w:rPr>
                <w:rFonts w:ascii="仿宋_GB2312" w:hAnsi="仿宋_GB2312" w:cs="仿宋_GB2312" w:eastAsia="仿宋_GB2312"/>
                <w:sz w:val="24"/>
              </w:rPr>
              <w:t>分为标准，每少</w:t>
            </w:r>
            <w:r>
              <w:rPr>
                <w:rFonts w:ascii="仿宋_GB2312" w:hAnsi="仿宋_GB2312" w:cs="仿宋_GB2312" w:eastAsia="仿宋_GB2312"/>
                <w:sz w:val="24"/>
              </w:rPr>
              <w:t>1</w:t>
            </w:r>
            <w:r>
              <w:rPr>
                <w:rFonts w:ascii="仿宋_GB2312" w:hAnsi="仿宋_GB2312" w:cs="仿宋_GB2312" w:eastAsia="仿宋_GB2312"/>
                <w:sz w:val="24"/>
              </w:rPr>
              <w:t>分对应扣除合同金额的</w:t>
            </w:r>
            <w:r>
              <w:rPr>
                <w:rFonts w:ascii="仿宋_GB2312" w:hAnsi="仿宋_GB2312" w:cs="仿宋_GB2312" w:eastAsia="仿宋_GB2312"/>
                <w:sz w:val="24"/>
              </w:rPr>
              <w:t>5</w:t>
            </w:r>
            <w:r>
              <w:rPr>
                <w:rFonts w:ascii="仿宋_GB2312" w:hAnsi="仿宋_GB2312" w:cs="仿宋_GB2312" w:eastAsia="仿宋_GB2312"/>
                <w:sz w:val="24"/>
              </w:rPr>
              <w:t>‰。每次考核后采购人将要求供应商对存在的问题进行整改，供应商拒不整改的，采购人有权终止合同。一年内累计两个季度考核不合格，采购人有权提前终止合同。</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自合同签订之日起三年，合同一年一签，合同续签视考核情况而定。</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方法及标准：按国家有关规定以及采购文件的质量要求和技术指标、供应商的响应文件及承诺与本合同约定标准及其它承诺逐项（条）验收；如发现任何一项与采购文件承诺不符，采购人有权拒绝接受，给采购人带来损失的成交供应商将按相关规定向采购人进行赔偿和承担虚假响应责任；采购方与供应商双方如对质量要求和技术指标的约定标准有相互抵触或异议的事项，由采购方在采购文件及供应商响应文件中按要求及技术指标比较优胜的原则确定该项的约定标准进行验收。 （2）其他未尽事宜按照《财政部关于进一步加强政府采购需求和履约验收管理的指导意见》(财库〔2016〕205 号)的要求进行验收。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1、合同签订生效后，待采购人请款流程走完后，达到付款条件起15日内，支付合同总金额的40.00%</w:t>
            </w:r>
          </w:p>
          <w:p>
            <w:pPr>
              <w:pStyle w:val="null3"/>
              <w:jc w:val="left"/>
            </w:pPr>
            <w:r>
              <w:rPr>
                <w:rFonts w:ascii="仿宋_GB2312" w:hAnsi="仿宋_GB2312" w:cs="仿宋_GB2312" w:eastAsia="仿宋_GB2312"/>
              </w:rPr>
              <w:t>2、项目服务期满半年后，供应商提供中期总结，经采购人确认并根据考核结果，考核合格且采购人请款流程走完后，达到付款条件起15日内，支付合同总金额的30.00%</w:t>
            </w:r>
          </w:p>
          <w:p>
            <w:pPr>
              <w:pStyle w:val="null3"/>
              <w:jc w:val="left"/>
            </w:pPr>
            <w:r>
              <w:rPr>
                <w:rFonts w:ascii="仿宋_GB2312" w:hAnsi="仿宋_GB2312" w:cs="仿宋_GB2312" w:eastAsia="仿宋_GB2312"/>
              </w:rPr>
              <w:t>3、项目服务期限满后，供应商提供终期总结，经采购人确认并根据考核结果，考核合格且采购人请款流程走完后，达到付款条件起15日内，支付合同总金额的30.00%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1.1采购方违约责任 （1）采购方不履行本合同义务或者履行义务不符合本合同约定的，应承担违约责任。 （2）采购方违反本合同约定造成供应商损失的，采购方应予以赔偿。 （3）其他未尽事宜按照合同内容进行违约处理。 1.2供应商违约责任 （1）供应商不履行本合同义务或者履行义务不符合本合同约定的，应承担违约责任。 （2）因供应商违反本合同约定给采购方造成损失的，供应商应当赔偿采购方损失。 （3）其他未尽事宜按照合同内容进行违约处理。 2.解决争议的方法 2.1在执行本合同中发生的或与本合同有关的争端，双方应通过友好协商解决，协商达成协议的，经签字并盖章后作为合同补充文件，双方均应遵照执行。经协商15日不能达成一致时，应选择向项目所在地有管辖权的法院提起诉讼，诉讼产生的一切费用应由败诉方负担。 2.2在法院审理期间，除有争议部分外，本合同其他可以履行的部分仍应按合同条款继续履行。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风险管控措施：（1）当本项目出现国家政策变化、实施环境变化、重大技术变化、预算项目调整时，本项目原则上应重新开展采购活动。（2）、因质疑投诉影响采购进度、采购失败、不按规定签订或者履行合同、出现损害国家利益和社会公共利益情形时，按照《中华人民共和国政府采购法》、《中华人民共和国政府采购法实施条例》等相关法律法规和规范性文件以及已签订的采购合同依法处理。 2、（实质性要求）供应商提供的各环节服务应符合国家相关法规及标准要求，并做好保密工作，制定严格的保密方案和措施。如发生任何信息泄露则采购方将追究供应商法律责任，由此产生的损失由供应商承担其费用。（提供承诺函，格式自拟） 3、（实质性要求）成交供应商应当与委派劳动人员签订《劳动合同》，支付所派出全部工作人员工资、残疾人基金、工会基金、购买社会保险、各项补助、节日福利等，并对其疾病和人身安全等完全负责，成交供应商委派的工作人员人员工资应在《关于调整全省最低工资标准的通知》（川府规〔2024〕4号）规定的最低工资标准第一档 2330 元/月/人以上。若成都市新出台的最低工资标准低于前述标准的，按前述标准执行；若成都市新出台的最低工资标准高于前述标准的，按成都市新出台的最低工资标准执行，采购人对此不承担任何的法律责任和义务。（提供承诺函，格式自拟） 4、供应商在服务期内因自身原因终止合同或考核不合格而造成的经济损失由供应商自行承担，给采购人造成经济损失的将依法追究其法律责任。 5.（实质性要求）采购文件“3.2技术要求、3.3服务要求”有关加★应答说明：投标时依据其提供的应答材料判定是否响应采购文件，但成交供应商在履约期间需提供客观能力证明材料，若未能提供，视为虚假响应，采购方有权追究其责任。 6、付款约定： （1）供应商应在合同约定的每次应付款日期前，向采购方提交支付申请书。采购方收到供应商提交的符 合其要求的付款申请资料并完成内部审批流程且供应商提交增值税发票后，采购方依据支付条件通过银行转账、承兑汇票、供应链金融等方式向供应商支付。供应商提交资料不合要求的，采购方有权延迟支付或拒绝支付合同约定之款项且就此不承担任何违约责任。若因供应商原因或其所开具发票本身问题造成采购方日后发生税务风险而产生的全部经济损失，应由供应商承担。 （2）具体支付时间以资金实际到账情况为准。 7、评分依据 （1）供应商需要依据本项目技术内容及要求，为本项目提供技术、服务方案；（2）供应商需要为本项目提供相关专业人员进行服务，采购方优先选择具有类似经验的供应商。 8、合同说明：本合同版本为政府采购服务合同版本，在不违背采购文件、响应文件及相关法律法规规定的原则下可以根据项目实际情况调整合同内容。 9.其他未尽事宜：以国家现行法律、法规，规范、标准以及双方签订的合同为准。（如本项目采用相关法律、法规及规范、标准发生矛盾时，以最新法律法规及规范、标准执行。）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第三章“技术、服务及其他要求”中“3.2.技术要求”，“3.3.服务要求”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第七章“拟签订采购合同文本”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提供：①若为企业法人：提交有效的“统一社会信用代码的营业执照”，未换证的提交有效的“营业执照、组织机构代码证、税务登记证”。②银行、保险、石油石化、电力、电信等特殊行业法人依法设立的分支机构：提交有效的“营业执照”分支机构参与投标的，还应提供具有独立法人资格的上级机构出具的授权文件。③若为事业法人：提交有效的“统一社会信用代码的事业单位法人证书”，未换证的提交有效的“事业单位法人证书和组织机构代码证”。④若为其他组织：提交“对应主管部门颁发的准许执业证明文件或营业执照”。⑤若为个体工商户：提交有效的“统一社会信用代码的营业执照”或“营业执照、税务登记证”。⑥若为自然人：提交有效的身份证明材料。 注：以上①②③④⑤⑥提供任意一项即可，并进行电子签章。</w:t>
              <w:br/>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供应商也可提供具有健全的财务会计制度的承诺函，供应商需在使用投标(响应)客户端编制响应文件时，按要求填写《投标（响应）函》完成承诺并进行电子签章。（此项供应商按要求提供“关联响应文件格式文本”之一即可）。</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“3.2技术要求、3.3服务要求”中需要供应商提供资料进行应答的实质性要求</w:t>
            </w:r>
          </w:p>
        </w:tc>
        <w:tc>
          <w:tcPr>
            <w:tcW w:type="dxa" w:w="3322"/>
          </w:tcPr>
          <w:p>
            <w:pPr>
              <w:pStyle w:val="null3"/>
              <w:jc w:val="left"/>
            </w:pPr>
            <w:r>
              <w:rPr>
                <w:rFonts w:ascii="仿宋_GB2312" w:hAnsi="仿宋_GB2312" w:cs="仿宋_GB2312" w:eastAsia="仿宋_GB2312"/>
              </w:rPr>
              <w:t>需要供应商提供佐证材料的则按照采购文件提供满足此要求的证明材料；无需供应商提供佐证材料的只需在服务应答表应答即可</w:t>
            </w:r>
          </w:p>
        </w:tc>
        <w:tc>
          <w:tcPr>
            <w:tcW w:type="dxa" w:w="1910"/>
          </w:tcPr>
          <w:p>
            <w:pPr>
              <w:pStyle w:val="null3"/>
              <w:jc w:val="left"/>
            </w:pPr>
            <w:r>
              <w:rPr>
                <w:rFonts w:ascii="仿宋_GB2312" w:hAnsi="仿宋_GB2312" w:cs="仿宋_GB2312" w:eastAsia="仿宋_GB2312"/>
              </w:rPr>
              <w:t>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2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服务工作方案、服务过程管理方案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服务工作方案</w:t>
            </w:r>
          </w:p>
        </w:tc>
        <w:tc>
          <w:tcPr>
            <w:tcW w:type="dxa" w:w="2575"/>
          </w:tcPr>
          <w:p>
            <w:pPr>
              <w:pStyle w:val="null3"/>
              <w:jc w:val="left"/>
            </w:pPr>
            <w:r>
              <w:rPr>
                <w:rFonts w:ascii="仿宋_GB2312" w:hAnsi="仿宋_GB2312" w:cs="仿宋_GB2312" w:eastAsia="仿宋_GB2312"/>
              </w:rPr>
              <w:t>根据供应商提供的针对本项目的服务工作方案（包括①现状及项目重难点分析；②服务工作流程；③服务目标及范围；④服务思路；⑤进度计划；⑥质量保障措施；⑦管理制度；⑧资源配置；⑨安全保障措施以及突发情况应急预案；根据以上内容的科学性、针对性、可行性及对用户的有利程度四个维度进行综合评分，内容完全满足采购需求，有具体详细的阐述且符合项目实际的得45分，每缺少一项内容的扣5，每项内容有一处错误扣3分。每项内容最多扣5分。注：内容错误是指不符合项目实际情况、凭空编造、地点区域错误、非专门针对本项目或不适用于本项目特点的情形、套用其他项目模板、方案标题与实际内容不相符合等。</w:t>
            </w:r>
          </w:p>
        </w:tc>
        <w:tc>
          <w:tcPr>
            <w:tcW w:type="dxa" w:w="831"/>
          </w:tcPr>
          <w:p>
            <w:pPr>
              <w:pStyle w:val="null3"/>
              <w:jc w:val="center"/>
            </w:pPr>
            <w:r>
              <w:rPr>
                <w:rFonts w:ascii="仿宋_GB2312" w:hAnsi="仿宋_GB2312" w:cs="仿宋_GB2312" w:eastAsia="仿宋_GB2312"/>
              </w:rPr>
              <w:t>45.0000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服务过程管理方案</w:t>
            </w:r>
          </w:p>
        </w:tc>
        <w:tc>
          <w:tcPr>
            <w:tcW w:type="dxa" w:w="2575"/>
          </w:tcPr>
          <w:p>
            <w:pPr>
              <w:pStyle w:val="null3"/>
              <w:jc w:val="left"/>
            </w:pPr>
            <w:r>
              <w:rPr>
                <w:rFonts w:ascii="仿宋_GB2312" w:hAnsi="仿宋_GB2312" w:cs="仿宋_GB2312" w:eastAsia="仿宋_GB2312"/>
              </w:rPr>
              <w:t>供应商针对本项目的实际情况制定的详细的服务过程管理方案：包含①服务过程中可能存在问题分析；②相关问题的解决方案；③服务过程组织企业参与配合工作方案；根据以上内容的科学性、针对性、可行性及对用户的有利程度四个维度进行综合评分，内容完全满足采购需求，有具体详细的阐述且符合项目实际的得15分，每缺少一项内容的扣5分，每项内容有一处错误扣3分。每项内容最多扣5分。注：内容错误是指不符合项目实际情况、凭空编造、地点区域错误、非专门针对本项目或不适用于本项目特点的情形、套用其他项目模板、方案标题与实际内容不相符合等。</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供应商2022年1月1日（含1日）以来每提供一个类似履约业绩得5分，最多得10分。 注：提供项目业绩合同或协议复印件加盖单位公章，提供合同（协议）的以合同（协议）签订时间为准。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类似项目业绩一览表.docx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1、供应商在满足两名业务人员驻点要求的基础上，每增加一名具有中级及以上注册安全工程师资格证书的人员，得5分；此项最多得5分。 2、供应商在满足两名业务人员驻点要求的基础上，每增加一名具有一级注册消防工程师资格证书的人员，得5分；此项最多得5分。 注：须提供资格证书复印件等证明材料。</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拟派本项目服务人员情况表.docx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详见附件：类似项目业绩一览表.docx</w:t>
      </w:r>
    </w:p>
    <w:p>
      <w:pPr>
        <w:pStyle w:val="null3"/>
        <w:ind w:firstLine="960"/>
        <w:jc w:val="left"/>
      </w:pPr>
      <w:r>
        <w:rPr>
          <w:rFonts w:ascii="仿宋_GB2312" w:hAnsi="仿宋_GB2312" w:cs="仿宋_GB2312" w:eastAsia="仿宋_GB2312"/>
        </w:rPr>
        <w:t>详见附件：拟派本项目服务人员情况表.docx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