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版本号：N510001202500013220250303001</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天府院区一期建设项目（国家中医药传承创新中心）、天府院区二期建设项目施工阶段全过程造价控制服务采购项目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N5100012025000132</w:t>
      </w:r>
    </w:p>
    <w:p>
      <w:pPr>
        <w:pStyle w:val="null3"/>
        <w:jc w:val="left"/>
        <w:outlineLvl w:val="2"/>
      </w:pPr>
      <w:r>
        <w:rPr>
          <w:rFonts w:ascii="仿宋_GB2312" w:hAnsi="仿宋_GB2312" w:cs="仿宋_GB2312" w:eastAsia="仿宋_GB2312"/>
          <w:sz w:val="28"/>
          <w:b/>
        </w:rPr>
        <w:t>成都中医药大学附属医院</w:t>
      </w:r>
    </w:p>
    <w:p>
      <w:pPr>
        <w:pStyle w:val="null3"/>
        <w:jc w:val="center"/>
        <w:outlineLvl w:val="2"/>
      </w:pPr>
      <w:r>
        <w:rPr>
          <w:rFonts w:ascii="仿宋_GB2312" w:hAnsi="仿宋_GB2312" w:cs="仿宋_GB2312" w:eastAsia="仿宋_GB2312"/>
          <w:sz w:val="28"/>
          <w:b/>
        </w:rPr>
        <w:t>联投项目管理（集团）有限公司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联投项目管理（集团）有限公司</w:t>
      </w:r>
      <w:r>
        <w:rPr>
          <w:rFonts w:ascii="仿宋_GB2312" w:hAnsi="仿宋_GB2312" w:cs="仿宋_GB2312" w:eastAsia="仿宋_GB2312"/>
        </w:rPr>
        <w:t xml:space="preserve"> （以下简称“代理机构”）受 </w:t>
      </w:r>
      <w:r>
        <w:rPr>
          <w:rFonts w:ascii="仿宋_GB2312" w:hAnsi="仿宋_GB2312" w:cs="仿宋_GB2312" w:eastAsia="仿宋_GB2312"/>
        </w:rPr>
        <w:t>成都中医药大学附属医院</w:t>
      </w:r>
      <w:r>
        <w:rPr>
          <w:rFonts w:ascii="仿宋_GB2312" w:hAnsi="仿宋_GB2312" w:cs="仿宋_GB2312" w:eastAsia="仿宋_GB2312"/>
        </w:rPr>
        <w:t xml:space="preserve"> 委托，拟对 </w:t>
      </w:r>
      <w:r>
        <w:rPr>
          <w:rFonts w:ascii="仿宋_GB2312" w:hAnsi="仿宋_GB2312" w:cs="仿宋_GB2312" w:eastAsia="仿宋_GB2312"/>
        </w:rPr>
        <w:t>天府院区一期建设项目（国家中医药传承创新中心）、天府院区二期建设项目施工阶段全过程造价控制服务采购项目</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省本级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N5100012025000132</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天府院区一期建设项目（国家中医药传承创新中心）、天府院区二期建设项目施工阶段全过程造价控制服务采购项目</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成都中医药大学附属医院天府院区一期建设项目（国家中医药传承创新中心）和天府院区二期建设项目位于天府新区，一期总建筑面积28901.49㎡，包含第一门诊医技住院综合楼、地下车库及设备用房等，概算总投资21936.00万元，其中工程费18872万元。二期总建筑面积29808.24㎡，包含第二门诊医技住院楼建筑面积、发热门诊、地下车库及设备用房等，概算总投资22997.00万元，其中工程费用20327万元。项目建设周期为30个月，两个项目同时开工建设，本次拟采购施工阶段全过程造价控制服务。</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成都中医药大学附属医院</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成都市十二桥路39号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610075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何老师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02887767201</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联投项目管理（集团）有限公司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成都市高新区天府大道北段1700号环球中心N5区20楼2015号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028-67873777转1，17761049664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采购包1：1,990,000.00元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采购包1：收取</w:t>
            </w:r>
          </w:p>
          <w:p>
            <w:pPr>
              <w:pStyle w:val="null3"/>
              <w:jc w:val="left"/>
            </w:pPr>
            <w:r>
              <w:rPr>
                <w:rFonts w:ascii="仿宋_GB2312" w:hAnsi="仿宋_GB2312" w:cs="仿宋_GB2312" w:eastAsia="仿宋_GB2312"/>
              </w:rPr>
              <w:t>本采购包履约保证金为合同金额的10.0%</w:t>
            </w:r>
          </w:p>
          <w:p>
            <w:pPr>
              <w:pStyle w:val="null3"/>
              <w:jc w:val="left"/>
            </w:pPr>
            <w:r>
              <w:rPr>
                <w:rFonts w:ascii="仿宋_GB2312" w:hAnsi="仿宋_GB2312" w:cs="仿宋_GB2312" w:eastAsia="仿宋_GB2312"/>
              </w:rPr>
              <w:t>交款方式：银行转账，支票/汇票/本票，保函/保险</w:t>
            </w:r>
          </w:p>
          <w:p>
            <w:pPr>
              <w:pStyle w:val="null3"/>
              <w:jc w:val="left"/>
            </w:pPr>
            <w:r>
              <w:rPr>
                <w:rFonts w:ascii="仿宋_GB2312" w:hAnsi="仿宋_GB2312" w:cs="仿宋_GB2312" w:eastAsia="仿宋_GB2312"/>
              </w:rPr>
              <w:t>1.中标供应商以保函方式向采购人提供履约担保的，保函形式及内容需报经采购人确认方为有效，且需在合同签订前提供。</w:t>
              <w:br/>
              <w:t>2.履约担保的期限：自本合同签订之日起至工程结算审核完成之日。如果中标供应商提供的履约保函已至截止日期而本项目尚未办理完工程竣结算，中标供应商须按采购人要求延长履约保函期限至工程竣工结算审核完成之日；中标供应商逾期不办理履约保函延期，则中标供应商应按采购人要求提供现金担保，逾期提供的，采购人在合同支付款项中扣除。</w:t>
              <w:br/>
              <w:t>3.以保函方式提供履约担保的，工程结算审核完成之日起30日内退还保函；以现金方式提供履约担保的，工程结算审核完成之日起30日内无息退还余额。</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代理服务费收费标准：（一）收费标准： 1、项目中标金额为100万元以下的：服务类采购项目的收费标准为中标金额的1.5%， 2、项目中标金额为100万元至500万元的：服务类采购项目的收费标准为中标金额的0.8%， （二）支付主体：招标代理服务费用包括代理机构接受采购人委托承担本协议项目工作的全部费用，按上述费率计算的收费为招标代理服务全过程的收费基准价格。招标代理服务收费按差额定率累进法计算。代理机构在上述标准下浮 35%收取，由中标人支付。中标通知书发出后二个工作日内，由中标人向代理机构一次性付清。 （三）收款单位：联投项目管理（集团）有限公司； 开 户 行：中国建设银行股份有限公司成都益州支行； 银行账号：51050141618500000138</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成都中医药大学附属医院</w:t>
      </w:r>
      <w:r>
        <w:rPr>
          <w:rFonts w:ascii="仿宋_GB2312" w:hAnsi="仿宋_GB2312" w:cs="仿宋_GB2312" w:eastAsia="仿宋_GB2312"/>
        </w:rPr>
        <w:t xml:space="preserve"> 和 </w:t>
      </w:r>
      <w:r>
        <w:rPr>
          <w:rFonts w:ascii="仿宋_GB2312" w:hAnsi="仿宋_GB2312" w:cs="仿宋_GB2312" w:eastAsia="仿宋_GB2312"/>
        </w:rPr>
        <w:t>联投项目管理（集团）有限公司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成都中医药大学附属医院</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联投项目管理（集团）有限公司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pPr>
      <w:r>
        <w:rPr>
          <w:rFonts w:ascii="仿宋_GB2312" w:hAnsi="仿宋_GB2312" w:cs="仿宋_GB2312" w:eastAsia="仿宋_GB2312"/>
          <w:b/>
        </w:rPr>
        <w:t>2.5.1.2.开标程序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pPr>
      <w:r>
        <w:rPr>
          <w:rFonts w:ascii="仿宋_GB2312" w:hAnsi="仿宋_GB2312" w:cs="仿宋_GB2312" w:eastAsia="仿宋_GB2312"/>
          <w:b/>
        </w:rPr>
        <w:t>2.5.1.3.解密投标文件★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pPr>
      <w:r>
        <w:rPr>
          <w:rFonts w:ascii="仿宋_GB2312" w:hAnsi="仿宋_GB2312" w:cs="仿宋_GB2312" w:eastAsia="仿宋_GB2312"/>
          <w:b/>
        </w:rPr>
        <w:t>2.5.1.4.有关要求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本项目工程竣工结算审核完成后</w:t>
      </w:r>
      <w:r>
        <w:rPr>
          <w:rFonts w:ascii="仿宋_GB2312" w:hAnsi="仿宋_GB2312" w:cs="仿宋_GB2312" w:eastAsia="仿宋_GB2312"/>
        </w:rPr>
        <w:t xml:space="preserve"> ，达到验收条件起 </w:t>
      </w:r>
      <w:r>
        <w:rPr>
          <w:rFonts w:ascii="仿宋_GB2312" w:hAnsi="仿宋_GB2312" w:cs="仿宋_GB2312" w:eastAsia="仿宋_GB2312"/>
        </w:rPr>
        <w:t>14</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按照本项目采购文件中约定执行。</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按照本项目采购文件中约定执行。</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按照《财政部关于进一步加强政府采购需求和履约验收管理的指导意见》(财库(2016) 205号)执行。</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成都中医药大学附属医院</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联投项目管理（集团）有限公司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联投项目管理（集团）有限公司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联系人：何老师</w:t>
      </w:r>
    </w:p>
    <w:p>
      <w:pPr>
        <w:pStyle w:val="null3"/>
        <w:jc w:val="left"/>
      </w:pPr>
      <w:r>
        <w:rPr>
          <w:rFonts w:ascii="仿宋_GB2312" w:hAnsi="仿宋_GB2312" w:cs="仿宋_GB2312" w:eastAsia="仿宋_GB2312"/>
        </w:rPr>
        <w:t>联系电话：02887767201</w:t>
      </w:r>
    </w:p>
    <w:p>
      <w:pPr>
        <w:pStyle w:val="null3"/>
        <w:jc w:val="left"/>
      </w:pPr>
      <w:r>
        <w:rPr>
          <w:rFonts w:ascii="仿宋_GB2312" w:hAnsi="仿宋_GB2312" w:cs="仿宋_GB2312" w:eastAsia="仿宋_GB2312"/>
        </w:rPr>
        <w:t>地址：成都市十二桥路39号</w:t>
      </w:r>
    </w:p>
    <w:p>
      <w:pPr>
        <w:pStyle w:val="null3"/>
        <w:jc w:val="left"/>
      </w:pPr>
      <w:r>
        <w:rPr>
          <w:rFonts w:ascii="仿宋_GB2312" w:hAnsi="仿宋_GB2312" w:cs="仿宋_GB2312" w:eastAsia="仿宋_GB2312"/>
        </w:rPr>
        <w:t>邮编：610075</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联系人：陈女士</w:t>
      </w:r>
    </w:p>
    <w:p>
      <w:pPr>
        <w:pStyle w:val="null3"/>
        <w:jc w:val="left"/>
      </w:pPr>
      <w:r>
        <w:rPr>
          <w:rFonts w:ascii="仿宋_GB2312" w:hAnsi="仿宋_GB2312" w:cs="仿宋_GB2312" w:eastAsia="仿宋_GB2312"/>
        </w:rPr>
        <w:t>联系电话：028-67873777转1</w:t>
      </w:r>
    </w:p>
    <w:p>
      <w:pPr>
        <w:pStyle w:val="null3"/>
        <w:jc w:val="left"/>
      </w:pPr>
      <w:r>
        <w:rPr>
          <w:rFonts w:ascii="仿宋_GB2312" w:hAnsi="仿宋_GB2312" w:cs="仿宋_GB2312" w:eastAsia="仿宋_GB2312"/>
        </w:rPr>
        <w:t>地址： 成都市高新区天府大道北段1700号环球中心N5区20楼2015号</w:t>
      </w:r>
    </w:p>
    <w:p>
      <w:pPr>
        <w:pStyle w:val="null3"/>
        <w:jc w:val="left"/>
      </w:pPr>
      <w:r>
        <w:rPr>
          <w:rFonts w:ascii="仿宋_GB2312" w:hAnsi="仿宋_GB2312" w:cs="仿宋_GB2312" w:eastAsia="仿宋_GB2312"/>
        </w:rPr>
        <w:t>邮编：610000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（三）对中标结果提出质疑的，为中标结果公告期限届满之日。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1,990,000.00</w:t>
      </w:r>
    </w:p>
    <w:p>
      <w:pPr>
        <w:pStyle w:val="null3"/>
        <w:jc w:val="left"/>
      </w:pPr>
      <w:r>
        <w:rPr>
          <w:rFonts w:ascii="仿宋_GB2312" w:hAnsi="仿宋_GB2312" w:cs="仿宋_GB2312" w:eastAsia="仿宋_GB2312"/>
        </w:rPr>
        <w:t>采购包最高限价（元）: 1,990,000.00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C20020500 工程造价鉴定服务</w:t>
            </w:r>
          </w:p>
        </w:tc>
        <w:tc>
          <w:tcPr>
            <w:tcW w:type="dxa" w:w="821"/>
          </w:tcPr>
          <w:p>
            <w:pPr>
              <w:pStyle w:val="null3"/>
              <w:jc w:val="left"/>
            </w:pPr>
            <w:r>
              <w:rPr>
                <w:rFonts w:ascii="仿宋_GB2312" w:hAnsi="仿宋_GB2312" w:cs="仿宋_GB2312" w:eastAsia="仿宋_GB2312"/>
              </w:rPr>
              <w:t>天府院区一期建设项目（国家中医药传承创新中心）、天府院区二期建设项目施工阶段全过程造价控制服务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1,990,000.00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天府院区一期建设项目（国家中医药传承创新中心）、天府院区二期建设项目施工阶段全过程造价控制服务</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1,990,000.00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合同总价已包括完成本合同咨询服务工作所需全部费用，包括但不限于：人工费、材料费、资料费、交通费、税金、利润等费用。因采购人图纸版本未最终确定导致中标供应商工作暂停或产生附加工作的，均不额外支付酬金，且工期顺延。</w:t>
            </w:r>
          </w:p>
        </w:tc>
      </w:tr>
    </w:tbl>
    <w:p>
      <w:pPr>
        <w:pStyle w:val="null3"/>
        <w:ind w:firstLine="480"/>
        <w:jc w:val="left"/>
      </w:pPr>
      <w:r>
        <w:rPr>
          <w:rFonts w:ascii="仿宋_GB2312" w:hAnsi="仿宋_GB2312" w:cs="仿宋_GB2312" w:eastAsia="仿宋_GB2312"/>
        </w:rPr>
        <w:t>★注：采购包涉及采购货物的，投标人响应产品应当明确品牌和规格型号并指向唯一产品，不能指向唯一产品的，应通过报价表唯一产品说明栏补充说明。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标的名称：天府院区一期建设项目（国家中医药传承创新中心）、天府院区二期建设项目施工阶段全过程造价控制服务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服务范围及工作内容</w:t>
            </w:r>
          </w:p>
        </w:tc>
        <w:tc>
          <w:tcPr>
            <w:tcW w:type="dxa" w:w="5814"/>
          </w:tcPr>
          <w:p>
            <w:pPr>
              <w:pStyle w:val="null3"/>
              <w:jc w:val="both"/>
            </w:pPr>
            <w:r>
              <w:rPr>
                <w:rFonts w:ascii="仿宋_GB2312" w:hAnsi="仿宋_GB2312" w:cs="仿宋_GB2312" w:eastAsia="仿宋_GB2312"/>
                <w:sz w:val="24"/>
                <w:color w:val="333333"/>
                <w:shd w:fill="FFFFFF" w:val="clear"/>
              </w:rPr>
              <w:t>服务范围及工作内容包括但不限于以下内容：</w:t>
            </w:r>
          </w:p>
          <w:p>
            <w:pPr>
              <w:pStyle w:val="null3"/>
              <w:jc w:val="both"/>
            </w:pPr>
            <w:r>
              <w:rPr>
                <w:rFonts w:ascii="仿宋_GB2312" w:hAnsi="仿宋_GB2312" w:cs="仿宋_GB2312" w:eastAsia="仿宋_GB2312"/>
                <w:sz w:val="24"/>
                <w:color w:val="333333"/>
                <w:shd w:fill="FFFFFF" w:val="clear"/>
              </w:rPr>
              <w:t>1.根据项目管理需求，提交施工阶段动态成本造价咨询服务方案。</w:t>
            </w:r>
          </w:p>
          <w:p>
            <w:pPr>
              <w:pStyle w:val="null3"/>
              <w:jc w:val="both"/>
            </w:pPr>
            <w:r>
              <w:rPr>
                <w:rFonts w:ascii="仿宋_GB2312" w:hAnsi="仿宋_GB2312" w:cs="仿宋_GB2312" w:eastAsia="仿宋_GB2312"/>
                <w:sz w:val="24"/>
                <w:color w:val="333333"/>
                <w:shd w:fill="FFFFFF" w:val="clear"/>
              </w:rPr>
              <w:t>2.对提供的经济技术资料中的遗漏、矛盾问题提出专业意见。</w:t>
            </w:r>
          </w:p>
          <w:p>
            <w:pPr>
              <w:pStyle w:val="null3"/>
              <w:jc w:val="both"/>
            </w:pPr>
            <w:r>
              <w:rPr>
                <w:rFonts w:ascii="仿宋_GB2312" w:hAnsi="仿宋_GB2312" w:cs="仿宋_GB2312" w:eastAsia="仿宋_GB2312"/>
                <w:sz w:val="24"/>
                <w:color w:val="333333"/>
                <w:shd w:fill="FFFFFF" w:val="clear"/>
              </w:rPr>
              <w:t>3.按采购人要求与施工承包单位完成清标工作，形成书面清标报告。</w:t>
            </w:r>
          </w:p>
          <w:p>
            <w:pPr>
              <w:pStyle w:val="null3"/>
              <w:jc w:val="both"/>
            </w:pPr>
            <w:r>
              <w:rPr>
                <w:rFonts w:ascii="仿宋_GB2312" w:hAnsi="仿宋_GB2312" w:cs="仿宋_GB2312" w:eastAsia="仿宋_GB2312"/>
                <w:sz w:val="24"/>
                <w:color w:val="333333"/>
                <w:shd w:fill="FFFFFF" w:val="clear"/>
              </w:rPr>
              <w:t>4.工程实施过程中新增材料、设备的询价、核价，并提供询价报告。</w:t>
            </w:r>
          </w:p>
          <w:p>
            <w:pPr>
              <w:pStyle w:val="null3"/>
              <w:jc w:val="both"/>
            </w:pPr>
            <w:r>
              <w:rPr>
                <w:rFonts w:ascii="仿宋_GB2312" w:hAnsi="仿宋_GB2312" w:cs="仿宋_GB2312" w:eastAsia="仿宋_GB2312"/>
                <w:sz w:val="24"/>
                <w:color w:val="333333"/>
                <w:shd w:fill="FFFFFF" w:val="clear"/>
              </w:rPr>
              <w:t>5.各类款项审核：严格按照合同要求审核施工过程中进度款（包括计量和计价），为支付各类款项提供书面审核报告。</w:t>
            </w:r>
          </w:p>
          <w:p>
            <w:pPr>
              <w:pStyle w:val="null3"/>
              <w:jc w:val="both"/>
            </w:pPr>
            <w:r>
              <w:rPr>
                <w:rFonts w:ascii="仿宋_GB2312" w:hAnsi="仿宋_GB2312" w:cs="仿宋_GB2312" w:eastAsia="仿宋_GB2312"/>
                <w:sz w:val="24"/>
                <w:color w:val="333333"/>
                <w:shd w:fill="FFFFFF" w:val="clear"/>
              </w:rPr>
              <w:t>6.工程洽商、变更：造价预算、审核、分析、建议。</w:t>
            </w:r>
          </w:p>
          <w:p>
            <w:pPr>
              <w:pStyle w:val="null3"/>
              <w:jc w:val="both"/>
            </w:pPr>
            <w:r>
              <w:rPr>
                <w:rFonts w:ascii="仿宋_GB2312" w:hAnsi="仿宋_GB2312" w:cs="仿宋_GB2312" w:eastAsia="仿宋_GB2312"/>
                <w:sz w:val="24"/>
                <w:color w:val="333333"/>
                <w:shd w:fill="FFFFFF" w:val="clear"/>
              </w:rPr>
              <w:t>7.新增工程量清单项的工程量、价的核定。</w:t>
            </w:r>
          </w:p>
          <w:p>
            <w:pPr>
              <w:pStyle w:val="null3"/>
              <w:jc w:val="both"/>
            </w:pPr>
            <w:r>
              <w:rPr>
                <w:rFonts w:ascii="仿宋_GB2312" w:hAnsi="仿宋_GB2312" w:cs="仿宋_GB2312" w:eastAsia="仿宋_GB2312"/>
                <w:sz w:val="24"/>
                <w:color w:val="333333"/>
                <w:shd w:fill="FFFFFF" w:val="clear"/>
              </w:rPr>
              <w:t>8.参与隐蔽工程验收及现场签证计量确认；主持本项目工程造价有关的各种会议及相关问题的处理。</w:t>
            </w:r>
          </w:p>
          <w:p>
            <w:pPr>
              <w:pStyle w:val="null3"/>
              <w:jc w:val="both"/>
            </w:pPr>
            <w:r>
              <w:rPr>
                <w:rFonts w:ascii="仿宋_GB2312" w:hAnsi="仿宋_GB2312" w:cs="仿宋_GB2312" w:eastAsia="仿宋_GB2312"/>
                <w:sz w:val="24"/>
                <w:color w:val="333333"/>
                <w:shd w:fill="FFFFFF" w:val="clear"/>
              </w:rPr>
              <w:t>9.工程索赔的审核、建议处理方案。</w:t>
            </w:r>
          </w:p>
          <w:p>
            <w:pPr>
              <w:pStyle w:val="null3"/>
              <w:jc w:val="both"/>
            </w:pPr>
            <w:r>
              <w:rPr>
                <w:rFonts w:ascii="仿宋_GB2312" w:hAnsi="仿宋_GB2312" w:cs="仿宋_GB2312" w:eastAsia="仿宋_GB2312"/>
                <w:sz w:val="24"/>
                <w:color w:val="333333"/>
                <w:shd w:fill="FFFFFF" w:val="clear"/>
              </w:rPr>
              <w:t>10.过程中及时完成关于涉及项目成本变化的设计变更、技术核定单、现场签证、因政策因素或合同约定调整的人工、材料、机械等价格变化的审核工作，并按月将成本变化更新至动态成本中。</w:t>
            </w:r>
          </w:p>
          <w:p>
            <w:pPr>
              <w:pStyle w:val="null3"/>
              <w:jc w:val="both"/>
            </w:pPr>
            <w:r>
              <w:rPr>
                <w:rFonts w:ascii="仿宋_GB2312" w:hAnsi="仿宋_GB2312" w:cs="仿宋_GB2312" w:eastAsia="仿宋_GB2312"/>
                <w:sz w:val="24"/>
                <w:color w:val="333333"/>
                <w:shd w:fill="FFFFFF" w:val="clear"/>
              </w:rPr>
              <w:t>11.在合同执行过程中，审查及取证承包合同履行的现场情况、不定期对合同中主要材料设备的规格、参数是否符合合同约定进行抽查。</w:t>
            </w:r>
          </w:p>
          <w:p>
            <w:pPr>
              <w:pStyle w:val="null3"/>
              <w:jc w:val="both"/>
            </w:pPr>
            <w:r>
              <w:rPr>
                <w:rFonts w:ascii="仿宋_GB2312" w:hAnsi="仿宋_GB2312" w:cs="仿宋_GB2312" w:eastAsia="仿宋_GB2312"/>
                <w:sz w:val="24"/>
                <w:color w:val="333333"/>
                <w:shd w:fill="FFFFFF" w:val="clear"/>
              </w:rPr>
              <w:t>12.在合同执行过程中，预估和监督工程的资金支付情况，协助解决或解释承包合同双方对其合同之商务条款表述理解产生的异议。</w:t>
            </w:r>
          </w:p>
          <w:p>
            <w:pPr>
              <w:pStyle w:val="null3"/>
              <w:jc w:val="both"/>
            </w:pPr>
            <w:r>
              <w:rPr>
                <w:rFonts w:ascii="仿宋_GB2312" w:hAnsi="仿宋_GB2312" w:cs="仿宋_GB2312" w:eastAsia="仿宋_GB2312"/>
                <w:sz w:val="24"/>
                <w:color w:val="333333"/>
                <w:shd w:fill="FFFFFF" w:val="clear"/>
              </w:rPr>
              <w:t>13.在合同执行过程中，根据工程项目进度安排计划编制项目月度、季度及年度资金计划；协助管理工程的资金支付。</w:t>
            </w:r>
          </w:p>
          <w:p>
            <w:pPr>
              <w:pStyle w:val="null3"/>
              <w:jc w:val="both"/>
            </w:pPr>
            <w:r>
              <w:rPr>
                <w:rFonts w:ascii="仿宋_GB2312" w:hAnsi="仿宋_GB2312" w:cs="仿宋_GB2312" w:eastAsia="仿宋_GB2312"/>
                <w:sz w:val="24"/>
                <w:color w:val="333333"/>
                <w:shd w:fill="FFFFFF" w:val="clear"/>
              </w:rPr>
              <w:t>14.协助解决双方对承包合同之商务条款表述理解产生的异议。</w:t>
            </w:r>
          </w:p>
          <w:p>
            <w:pPr>
              <w:pStyle w:val="null3"/>
              <w:jc w:val="both"/>
            </w:pPr>
            <w:r>
              <w:rPr>
                <w:rFonts w:ascii="仿宋_GB2312" w:hAnsi="仿宋_GB2312" w:cs="仿宋_GB2312" w:eastAsia="仿宋_GB2312"/>
                <w:sz w:val="24"/>
                <w:color w:val="333333"/>
                <w:shd w:fill="FFFFFF" w:val="clear"/>
              </w:rPr>
              <w:t>15.配合设计优化、多方案经济测算工作。</w:t>
            </w:r>
          </w:p>
          <w:p>
            <w:pPr>
              <w:pStyle w:val="null3"/>
              <w:jc w:val="both"/>
            </w:pPr>
            <w:r>
              <w:rPr>
                <w:rFonts w:ascii="仿宋_GB2312" w:hAnsi="仿宋_GB2312" w:cs="仿宋_GB2312" w:eastAsia="仿宋_GB2312"/>
                <w:sz w:val="24"/>
                <w:color w:val="333333"/>
                <w:shd w:fill="FFFFFF" w:val="clear"/>
              </w:rPr>
              <w:t>16.完成本项目建造工程项目成本管理台账，提供给采购人审核。</w:t>
            </w:r>
          </w:p>
          <w:p>
            <w:pPr>
              <w:pStyle w:val="null3"/>
              <w:jc w:val="both"/>
            </w:pPr>
            <w:r>
              <w:rPr>
                <w:rFonts w:ascii="仿宋_GB2312" w:hAnsi="仿宋_GB2312" w:cs="仿宋_GB2312" w:eastAsia="仿宋_GB2312"/>
                <w:sz w:val="24"/>
                <w:color w:val="333333"/>
                <w:shd w:fill="FFFFFF" w:val="clear"/>
              </w:rPr>
              <w:t>17.项目造价指标分析，项目成本管理报告等。</w:t>
            </w:r>
          </w:p>
          <w:p>
            <w:pPr>
              <w:pStyle w:val="null3"/>
              <w:jc w:val="both"/>
            </w:pPr>
            <w:r>
              <w:rPr>
                <w:rFonts w:ascii="仿宋_GB2312" w:hAnsi="仿宋_GB2312" w:cs="仿宋_GB2312" w:eastAsia="仿宋_GB2312"/>
                <w:sz w:val="24"/>
                <w:color w:val="333333"/>
                <w:shd w:fill="FFFFFF" w:val="clear"/>
              </w:rPr>
              <w:t>18.项目竣工验收前，零星工程的结算审核。</w:t>
            </w:r>
          </w:p>
          <w:p>
            <w:pPr>
              <w:pStyle w:val="null3"/>
              <w:jc w:val="both"/>
            </w:pPr>
            <w:r>
              <w:rPr>
                <w:rFonts w:ascii="仿宋_GB2312" w:hAnsi="仿宋_GB2312" w:cs="仿宋_GB2312" w:eastAsia="仿宋_GB2312"/>
                <w:sz w:val="24"/>
                <w:color w:val="333333"/>
                <w:shd w:fill="FFFFFF" w:val="clear"/>
              </w:rPr>
              <w:t>19.项目成本评估报告编制。</w:t>
            </w:r>
          </w:p>
          <w:p>
            <w:pPr>
              <w:pStyle w:val="null3"/>
              <w:jc w:val="both"/>
            </w:pPr>
            <w:r>
              <w:rPr>
                <w:rFonts w:ascii="仿宋_GB2312" w:hAnsi="仿宋_GB2312" w:cs="仿宋_GB2312" w:eastAsia="仿宋_GB2312"/>
                <w:sz w:val="24"/>
                <w:color w:val="333333"/>
                <w:shd w:fill="FFFFFF" w:val="clear"/>
              </w:rPr>
              <w:t>20.按采购人要求整理并移交项目成本相关资料。</w:t>
            </w:r>
          </w:p>
          <w:p>
            <w:pPr>
              <w:pStyle w:val="null3"/>
              <w:jc w:val="both"/>
            </w:pPr>
            <w:r>
              <w:rPr>
                <w:rFonts w:ascii="仿宋_GB2312" w:hAnsi="仿宋_GB2312" w:cs="仿宋_GB2312" w:eastAsia="仿宋_GB2312"/>
                <w:sz w:val="24"/>
                <w:color w:val="333333"/>
                <w:shd w:fill="FFFFFF" w:val="clear"/>
              </w:rPr>
              <w:t>21.工程竣工结算过程中答疑及配合工作。</w:t>
            </w:r>
          </w:p>
          <w:p>
            <w:pPr>
              <w:pStyle w:val="null3"/>
              <w:jc w:val="both"/>
            </w:pPr>
            <w:r>
              <w:rPr>
                <w:rFonts w:ascii="仿宋_GB2312" w:hAnsi="仿宋_GB2312" w:cs="仿宋_GB2312" w:eastAsia="仿宋_GB2312"/>
                <w:sz w:val="24"/>
                <w:color w:val="333333"/>
                <w:shd w:fill="FFFFFF" w:val="clear"/>
              </w:rPr>
              <w:t>22、配合本项目的全过程跟踪审计工作。</w:t>
            </w:r>
          </w:p>
          <w:p>
            <w:pPr>
              <w:pStyle w:val="null3"/>
              <w:jc w:val="both"/>
            </w:pPr>
            <w:r>
              <w:rPr>
                <w:rFonts w:ascii="仿宋_GB2312" w:hAnsi="仿宋_GB2312" w:cs="仿宋_GB2312" w:eastAsia="仿宋_GB2312"/>
                <w:sz w:val="24"/>
                <w:color w:val="333333"/>
                <w:shd w:fill="FFFFFF" w:val="clear"/>
              </w:rPr>
              <w:t>23.采购人要求的与本项目工程造价有关的其他咨询事宜。</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成果要求</w:t>
            </w:r>
          </w:p>
        </w:tc>
        <w:tc>
          <w:tcPr>
            <w:tcW w:type="dxa" w:w="5814"/>
          </w:tcPr>
          <w:p>
            <w:pPr>
              <w:pStyle w:val="null3"/>
              <w:jc w:val="left"/>
            </w:pPr>
            <w:r>
              <w:rPr>
                <w:rFonts w:ascii="仿宋_GB2312" w:hAnsi="仿宋_GB2312" w:cs="仿宋_GB2312" w:eastAsia="仿宋_GB2312"/>
                <w:sz w:val="24"/>
                <w:color w:val="333333"/>
                <w:shd w:fill="FFFFFF" w:val="clear"/>
              </w:rPr>
              <w:t>1、应按采购人的要求及项目节点需要提供软件版计量、计价的电子及书面成果文件，纸质文档各四份、电子文本各一份，需附条理清晰、字迹工整、有可复查性的工程量计算底稿等。</w:t>
            </w:r>
          </w:p>
          <w:p>
            <w:pPr>
              <w:pStyle w:val="null3"/>
              <w:jc w:val="left"/>
            </w:pPr>
            <w:r>
              <w:rPr>
                <w:rFonts w:ascii="仿宋_GB2312" w:hAnsi="仿宋_GB2312" w:cs="仿宋_GB2312" w:eastAsia="仿宋_GB2312"/>
                <w:sz w:val="24"/>
                <w:color w:val="333333"/>
                <w:shd w:fill="FFFFFF" w:val="clear"/>
              </w:rPr>
              <w:t>2、提交的咨询成果资料应包括且不限于以下内容：</w:t>
            </w:r>
          </w:p>
          <w:p>
            <w:pPr>
              <w:pStyle w:val="null3"/>
              <w:jc w:val="left"/>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1）清标报告。</w:t>
            </w:r>
          </w:p>
          <w:p>
            <w:pPr>
              <w:pStyle w:val="null3"/>
              <w:jc w:val="left"/>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2）工程量计算底稿。</w:t>
            </w:r>
          </w:p>
          <w:p>
            <w:pPr>
              <w:pStyle w:val="null3"/>
              <w:jc w:val="left"/>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3）无信息价及市场价明显高于信息价的全部主要材料的市场询价记录及询价报告。</w:t>
            </w:r>
          </w:p>
          <w:p>
            <w:pPr>
              <w:pStyle w:val="null3"/>
              <w:jc w:val="left"/>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4）造价指标分析及动态成本报表。</w:t>
            </w:r>
          </w:p>
          <w:p>
            <w:pPr>
              <w:pStyle w:val="null3"/>
              <w:jc w:val="left"/>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5）工程进度款审核报告。</w:t>
            </w:r>
          </w:p>
          <w:p>
            <w:pPr>
              <w:pStyle w:val="null3"/>
              <w:jc w:val="left"/>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6）变更测算或签证、索赔审核报告。</w:t>
            </w:r>
          </w:p>
          <w:p>
            <w:pPr>
              <w:pStyle w:val="null3"/>
              <w:jc w:val="left"/>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7）零星工程的结算审核报告。</w:t>
            </w:r>
          </w:p>
          <w:p>
            <w:pPr>
              <w:pStyle w:val="null3"/>
              <w:jc w:val="left"/>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8）项目成本评估报告。</w:t>
            </w:r>
          </w:p>
          <w:p>
            <w:pPr>
              <w:pStyle w:val="null3"/>
              <w:jc w:val="both"/>
            </w:pP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333333"/>
                <w:shd w:fill="FFFFFF" w:val="clear"/>
              </w:rPr>
              <w:t>9）根据采购人和代建人要求定期完成月报、阶段性报告及各阶段成本测算分析报告等。</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中标供应商人员要求</w:t>
            </w:r>
          </w:p>
        </w:tc>
        <w:tc>
          <w:tcPr>
            <w:tcW w:type="dxa" w:w="5814"/>
          </w:tcPr>
          <w:p>
            <w:pPr>
              <w:pStyle w:val="null3"/>
              <w:jc w:val="both"/>
            </w:pPr>
            <w:r>
              <w:rPr>
                <w:rFonts w:ascii="仿宋_GB2312" w:hAnsi="仿宋_GB2312" w:cs="仿宋_GB2312" w:eastAsia="仿宋_GB2312"/>
                <w:sz w:val="24"/>
                <w:color w:val="333333"/>
                <w:shd w:fill="FFFFFF" w:val="clear"/>
              </w:rPr>
              <w:t>1.供应商应为本项目提供项目咨询团队人员，其中项目负责人1人，技术负责人1人，安装负责人1人，</w:t>
            </w:r>
            <w:r>
              <w:rPr>
                <w:rFonts w:ascii="仿宋_GB2312" w:hAnsi="仿宋_GB2312" w:cs="仿宋_GB2312" w:eastAsia="仿宋_GB2312"/>
                <w:sz w:val="24"/>
              </w:rPr>
              <w:t>土建专业造价工程师</w:t>
            </w:r>
            <w:r>
              <w:rPr>
                <w:rFonts w:ascii="仿宋_GB2312" w:hAnsi="仿宋_GB2312" w:cs="仿宋_GB2312" w:eastAsia="仿宋_GB2312"/>
                <w:sz w:val="24"/>
              </w:rPr>
              <w:t>≥2人</w:t>
            </w:r>
            <w:r>
              <w:rPr>
                <w:rFonts w:ascii="仿宋_GB2312" w:hAnsi="仿宋_GB2312" w:cs="仿宋_GB2312" w:eastAsia="仿宋_GB2312"/>
                <w:sz w:val="24"/>
              </w:rPr>
              <w:t>、安装专业造价工程师</w:t>
            </w:r>
            <w:r>
              <w:rPr>
                <w:rFonts w:ascii="仿宋_GB2312" w:hAnsi="仿宋_GB2312" w:cs="仿宋_GB2312" w:eastAsia="仿宋_GB2312"/>
                <w:sz w:val="24"/>
              </w:rPr>
              <w:t>≥2人（以上人员不得重复）。</w:t>
            </w:r>
          </w:p>
          <w:p>
            <w:pPr>
              <w:pStyle w:val="null3"/>
              <w:jc w:val="both"/>
            </w:pPr>
            <w:r>
              <w:rPr>
                <w:rFonts w:ascii="仿宋_GB2312" w:hAnsi="仿宋_GB2312" w:cs="仿宋_GB2312" w:eastAsia="仿宋_GB2312"/>
                <w:sz w:val="24"/>
                <w:color w:val="333333"/>
                <w:shd w:fill="FFFFFF" w:val="clear"/>
              </w:rPr>
              <w:t>2.中标供应商人员驻场要求：中标供应商应保证项目负责人每月到场时间不少于4天，且应至少保证1名土建专业造价工程师和1名安装专业造价工程师常驻现场，每月不少于22天。</w:t>
            </w:r>
          </w:p>
          <w:p>
            <w:pPr>
              <w:pStyle w:val="null3"/>
              <w:jc w:val="both"/>
            </w:pPr>
            <w:r>
              <w:rPr>
                <w:rFonts w:ascii="仿宋_GB2312" w:hAnsi="仿宋_GB2312" w:cs="仿宋_GB2312" w:eastAsia="仿宋_GB2312"/>
                <w:sz w:val="24"/>
                <w:color w:val="333333"/>
                <w:shd w:fill="FFFFFF" w:val="clear"/>
              </w:rPr>
              <w:t>3</w:t>
            </w:r>
            <w:r>
              <w:rPr>
                <w:rFonts w:ascii="仿宋_GB2312" w:hAnsi="仿宋_GB2312" w:cs="仿宋_GB2312" w:eastAsia="仿宋_GB2312"/>
                <w:sz w:val="24"/>
                <w:color w:val="333333"/>
                <w:shd w:fill="FFFFFF" w:val="clear"/>
              </w:rPr>
              <w:t>.供应商原则上不得更换项目咨询团队人员，若因特殊原因确需更换应提前7日向采购人、</w:t>
            </w:r>
            <w:r>
              <w:rPr>
                <w:rFonts w:ascii="仿宋_GB2312" w:hAnsi="仿宋_GB2312" w:cs="仿宋_GB2312" w:eastAsia="仿宋_GB2312"/>
                <w:sz w:val="24"/>
                <w:color w:val="333333"/>
                <w:shd w:fill="FFFFFF" w:val="clear"/>
              </w:rPr>
              <w:t>代建人</w:t>
            </w:r>
            <w:r>
              <w:rPr>
                <w:rFonts w:ascii="仿宋_GB2312" w:hAnsi="仿宋_GB2312" w:cs="仿宋_GB2312" w:eastAsia="仿宋_GB2312"/>
                <w:sz w:val="24"/>
                <w:color w:val="333333"/>
                <w:shd w:fill="FFFFFF" w:val="clear"/>
              </w:rPr>
              <w:t>书面报告，经采购人、</w:t>
            </w:r>
            <w:r>
              <w:rPr>
                <w:rFonts w:ascii="仿宋_GB2312" w:hAnsi="仿宋_GB2312" w:cs="仿宋_GB2312" w:eastAsia="仿宋_GB2312"/>
                <w:sz w:val="24"/>
                <w:color w:val="333333"/>
                <w:shd w:fill="FFFFFF" w:val="clear"/>
              </w:rPr>
              <w:t>代建人</w:t>
            </w:r>
            <w:r>
              <w:rPr>
                <w:rFonts w:ascii="仿宋_GB2312" w:hAnsi="仿宋_GB2312" w:cs="仿宋_GB2312" w:eastAsia="仿宋_GB2312"/>
                <w:sz w:val="24"/>
                <w:color w:val="333333"/>
                <w:shd w:fill="FFFFFF" w:val="clear"/>
              </w:rPr>
              <w:t>同意后方可更换；更换后人员的工作经验及执业资格不低于原团队人员资格，并满足本合同咨询服务工作的要求。</w:t>
            </w:r>
          </w:p>
          <w:p>
            <w:pPr>
              <w:pStyle w:val="null3"/>
              <w:jc w:val="both"/>
            </w:pP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代建管理模式</w:t>
            </w:r>
          </w:p>
        </w:tc>
        <w:tc>
          <w:tcPr>
            <w:tcW w:type="dxa" w:w="5814"/>
          </w:tcPr>
          <w:p>
            <w:pPr>
              <w:pStyle w:val="null3"/>
              <w:jc w:val="both"/>
            </w:pPr>
            <w:r>
              <w:rPr>
                <w:rFonts w:ascii="仿宋_GB2312" w:hAnsi="仿宋_GB2312" w:cs="仿宋_GB2312" w:eastAsia="仿宋_GB2312"/>
                <w:sz w:val="24"/>
                <w:color w:val="333333"/>
                <w:shd w:fill="FFFFFF" w:val="clear"/>
              </w:rPr>
              <w:t>本工程采用代建管理模式，中标供应商需与采购人和代建人签订三方合同，中标供应商除满足采购人的管理要求外，还需满足代建人管理要求。</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报价要求</w:t>
            </w:r>
          </w:p>
        </w:tc>
        <w:tc>
          <w:tcPr>
            <w:tcW w:type="dxa" w:w="5814"/>
          </w:tcPr>
          <w:p>
            <w:pPr>
              <w:pStyle w:val="null3"/>
              <w:jc w:val="both"/>
            </w:pPr>
            <w:r>
              <w:rPr>
                <w:rFonts w:ascii="仿宋_GB2312" w:hAnsi="仿宋_GB2312" w:cs="仿宋_GB2312" w:eastAsia="仿宋_GB2312"/>
                <w:sz w:val="24"/>
                <w:color w:val="333333"/>
                <w:shd w:fill="FFFFFF" w:val="clear"/>
              </w:rPr>
              <w:t>天府院区一期建设项目（国家中医药传承创新中心）、天府院区二期建设项目施工阶段全过程造价控制服务采购项目的招标控制价为</w:t>
            </w:r>
            <w:r>
              <w:rPr>
                <w:rFonts w:ascii="仿宋_GB2312" w:hAnsi="仿宋_GB2312" w:cs="仿宋_GB2312" w:eastAsia="仿宋_GB2312"/>
                <w:sz w:val="24"/>
                <w:color w:val="333333"/>
                <w:shd w:fill="FFFFFF" w:val="clear"/>
              </w:rPr>
              <w:t>199万元，其中一期招标控制价96万元，二期招标控制价103万元。各供应商的报价除总价外还需将一期、二期报价分开报价，并要求一期、二期分别不能超过其招标控制价。</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both"/>
            </w:pPr>
            <w:r>
              <w:rPr>
                <w:rFonts w:ascii="仿宋_GB2312" w:hAnsi="仿宋_GB2312" w:cs="仿宋_GB2312" w:eastAsia="仿宋_GB2312"/>
                <w:sz w:val="30"/>
              </w:rPr>
              <w:t>注：因系统固化原因，</w:t>
            </w:r>
            <w:r>
              <w:rPr>
                <w:rFonts w:ascii="仿宋_GB2312" w:hAnsi="仿宋_GB2312" w:cs="仿宋_GB2312" w:eastAsia="仿宋_GB2312"/>
                <w:sz w:val="30"/>
              </w:rPr>
              <w:t>3.3.2商务要求中第5项付款进度安排不适用于本项目，不作为评审依据，供应商无需响应。付款进度安排以本条为准，供应商对本条进行响应即可。</w:t>
            </w:r>
          </w:p>
          <w:p>
            <w:pPr>
              <w:pStyle w:val="null3"/>
              <w:jc w:val="left"/>
            </w:pPr>
            <w:r>
              <w:rPr>
                <w:rFonts w:ascii="仿宋_GB2312" w:hAnsi="仿宋_GB2312" w:cs="仿宋_GB2312" w:eastAsia="仿宋_GB2312"/>
                <w:sz w:val="21"/>
              </w:rPr>
              <w:t>1、预付款： 本合同签订后，中标供应商应向采购人提交请款申请和增值税发票，经代建人和采购人审核，未提交前述资料或者提交资料不符合约定的，采购人有权暂停付款，因此导致迟延支付及造成的损失由中标供应商自行承担，且中标供应商不得因此拒绝履行其合同义务，否则应承担违约责任，达到付款条件起10个工作日内，支付合同总金额的10.00%。</w:t>
            </w:r>
          </w:p>
          <w:p>
            <w:pPr>
              <w:pStyle w:val="null3"/>
              <w:jc w:val="left"/>
            </w:pPr>
            <w:r>
              <w:rPr>
                <w:rFonts w:ascii="仿宋_GB2312" w:hAnsi="仿宋_GB2312" w:cs="仿宋_GB2312" w:eastAsia="仿宋_GB2312"/>
                <w:sz w:val="21"/>
              </w:rPr>
              <w:t>2、进度款： 一期、二期全部基础验收合格后，中标供应商应向采购人提交请款申请和增值税发票，经代建人和采购人审核，未提交前述资料或者提交资料不符合约定的，采购人有权暂停付款，因此导致迟延支付及造成的损失由中标供应商自行承担，且中标供应商不得因此拒绝履行其合同义务，否则应承担违约责任，达到付款条件起10个工作日内，支付合同总金额的20.00%。</w:t>
            </w:r>
          </w:p>
          <w:p>
            <w:pPr>
              <w:pStyle w:val="null3"/>
              <w:jc w:val="left"/>
            </w:pPr>
            <w:r>
              <w:rPr>
                <w:rFonts w:ascii="仿宋_GB2312" w:hAnsi="仿宋_GB2312" w:cs="仿宋_GB2312" w:eastAsia="仿宋_GB2312"/>
                <w:sz w:val="21"/>
              </w:rPr>
              <w:t>3、进度款： 一期、二期全部主体验收合格后，中标供应商应向采购人提交请款申请和增值税发票，经代建人和采购人审核，未提交前述资料或者提交资料不符合约定的，采购人有权暂停付款，因此导致迟延支付及造成的损失由中标供应商自行承担，且中标供应商不得因此拒绝履行其合同义务，否则应承担违约责任，达到付款条件起10个工作日内，支付合同总金额的20.00%。</w:t>
            </w:r>
          </w:p>
          <w:p>
            <w:pPr>
              <w:pStyle w:val="null3"/>
              <w:jc w:val="left"/>
            </w:pPr>
            <w:r>
              <w:rPr>
                <w:rFonts w:ascii="仿宋_GB2312" w:hAnsi="仿宋_GB2312" w:cs="仿宋_GB2312" w:eastAsia="仿宋_GB2312"/>
                <w:sz w:val="21"/>
              </w:rPr>
              <w:t>4、进度款： 一期、二期全部工程项目竣工验收合格后，中标供应商应向采购人提交请款申请和增值税发票，经代建人和采购人审核，未提交前述资料或者提交资料不符合约定的，采购人有权暂停付款，因此导致迟延支付及造成的损失由中标供应商自行承担，且中标供应商不得因此拒绝履行其合同义务，否则应承担违约责任，达到付款条件起10个工作日内，支付合同总金额的40.00%。</w:t>
            </w:r>
          </w:p>
          <w:p>
            <w:pPr>
              <w:pStyle w:val="null3"/>
              <w:jc w:val="left"/>
            </w:pPr>
            <w:r>
              <w:rPr>
                <w:rFonts w:ascii="仿宋_GB2312" w:hAnsi="仿宋_GB2312" w:cs="仿宋_GB2312" w:eastAsia="仿宋_GB2312"/>
                <w:sz w:val="21"/>
              </w:rPr>
              <w:t>5、结算款： 本项目工程竣工结算审核完成后，采购人提交满足采购人要求的成果文件并经采购人认可后，中标供应商应向采购人提交请款申请和增值税发票，经代建人和采购人审核，未提交前述资料或者提交资料不符合约定的，采购人有权暂停付款，因此导致迟延支付及造成的损失由中标供应商自行承担，且中标供应商不得因此拒绝履行其合同义务，否则应承担违约责任，达到付款条件起10个工作日内，支付合同总金额的10.00%。</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知识产权归属和处理方式</w:t>
            </w:r>
          </w:p>
        </w:tc>
        <w:tc>
          <w:tcPr>
            <w:tcW w:type="dxa" w:w="5814"/>
          </w:tcPr>
          <w:p>
            <w:pPr>
              <w:pStyle w:val="null3"/>
              <w:jc w:val="both"/>
            </w:pPr>
            <w:r>
              <w:rPr>
                <w:rFonts w:ascii="仿宋_GB2312" w:hAnsi="仿宋_GB2312" w:cs="仿宋_GB2312" w:eastAsia="仿宋_GB2312"/>
                <w:sz w:val="24"/>
              </w:rPr>
              <w:t>1.采购人提供给中标供应商的图纸、采购人为实施工程自行编制或委托编制的技术规范以及反映采购人要求的或其他类似性质文件的著作权属于采购人。</w:t>
            </w:r>
          </w:p>
          <w:p>
            <w:pPr>
              <w:pStyle w:val="null3"/>
              <w:jc w:val="both"/>
            </w:pPr>
            <w:r>
              <w:rPr>
                <w:rFonts w:ascii="仿宋_GB2312" w:hAnsi="仿宋_GB2312" w:cs="仿宋_GB2312" w:eastAsia="仿宋_GB2312"/>
                <w:sz w:val="24"/>
              </w:rPr>
              <w:t>2.中标供应商为履行本合同约定而编制的成果文件，其著作权属于采购人。</w:t>
            </w:r>
          </w:p>
          <w:p>
            <w:pPr>
              <w:pStyle w:val="null3"/>
              <w:jc w:val="both"/>
            </w:pPr>
            <w:r>
              <w:rPr>
                <w:rFonts w:ascii="仿宋_GB2312" w:hAnsi="仿宋_GB2312" w:cs="仿宋_GB2312" w:eastAsia="仿宋_GB2312"/>
                <w:sz w:val="24"/>
              </w:rPr>
              <w:t>3.中标供应商将履行本合同形成的有关成果文件用于企业宣传、申报奖项以及接受上级主管部门的检查须遵守需经采购人同意。</w:t>
            </w:r>
          </w:p>
          <w:p>
            <w:pPr>
              <w:pStyle w:val="null3"/>
              <w:jc w:val="both"/>
            </w:pPr>
            <w:r>
              <w:rPr>
                <w:rFonts w:ascii="仿宋_GB2312" w:hAnsi="仿宋_GB2312" w:cs="仿宋_GB2312" w:eastAsia="仿宋_GB2312"/>
                <w:sz w:val="24"/>
              </w:rPr>
              <w:t>4.中标供应商应保证采购人对中标供应商所提供的成果资料享有完整的知识产权，其所提供的成果资料中的任何一部分均不会侵犯任何第三方的专利权、商标权或著作权以及其他合法权利。如因此导致第三方向采购人主张权利的，中标供应商应承担全部责任，并赔偿采购人全部损失，包括但不限于向第三方支付的赔偿、诉讼成本等</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评审因素</w:t>
            </w:r>
          </w:p>
        </w:tc>
        <w:tc>
          <w:tcPr>
            <w:tcW w:type="dxa" w:w="5814"/>
          </w:tcPr>
          <w:p>
            <w:pPr>
              <w:pStyle w:val="null3"/>
              <w:jc w:val="left"/>
            </w:pPr>
            <w:r>
              <w:rPr>
                <w:rFonts w:ascii="仿宋_GB2312" w:hAnsi="仿宋_GB2312" w:cs="仿宋_GB2312" w:eastAsia="仿宋_GB2312"/>
                <w:sz w:val="24"/>
                <w:color w:val="333333"/>
              </w:rPr>
              <w:t>1.根据投标人提供的服务方案进行评审；</w:t>
            </w:r>
          </w:p>
          <w:p>
            <w:pPr>
              <w:pStyle w:val="null3"/>
              <w:jc w:val="left"/>
            </w:pPr>
            <w:r>
              <w:rPr>
                <w:rFonts w:ascii="仿宋_GB2312" w:hAnsi="仿宋_GB2312" w:cs="仿宋_GB2312" w:eastAsia="仿宋_GB2312"/>
              </w:rPr>
              <w:t>2.</w:t>
            </w:r>
            <w:r>
              <w:rPr>
                <w:rFonts w:ascii="仿宋_GB2312" w:hAnsi="仿宋_GB2312" w:cs="仿宋_GB2312" w:eastAsia="仿宋_GB2312"/>
                <w:sz w:val="24"/>
                <w:color w:val="333333"/>
              </w:rPr>
              <w:t>根据投标人提供的</w:t>
            </w:r>
            <w:r>
              <w:rPr>
                <w:rFonts w:ascii="仿宋_GB2312" w:hAnsi="仿宋_GB2312" w:cs="仿宋_GB2312" w:eastAsia="仿宋_GB2312"/>
                <w:sz w:val="24"/>
                <w:color w:val="333333"/>
              </w:rPr>
              <w:t>类似项目业绩</w:t>
            </w:r>
            <w:r>
              <w:rPr>
                <w:rFonts w:ascii="仿宋_GB2312" w:hAnsi="仿宋_GB2312" w:cs="仿宋_GB2312" w:eastAsia="仿宋_GB2312"/>
                <w:sz w:val="24"/>
                <w:color w:val="333333"/>
              </w:rPr>
              <w:t>进行评审；</w:t>
            </w:r>
          </w:p>
          <w:p>
            <w:pPr>
              <w:pStyle w:val="null3"/>
              <w:jc w:val="left"/>
            </w:pPr>
            <w:r>
              <w:rPr>
                <w:rFonts w:ascii="仿宋_GB2312" w:hAnsi="仿宋_GB2312" w:cs="仿宋_GB2312" w:eastAsia="仿宋_GB2312"/>
              </w:rPr>
              <w:t>3.</w:t>
            </w:r>
            <w:r>
              <w:rPr>
                <w:rFonts w:ascii="仿宋_GB2312" w:hAnsi="仿宋_GB2312" w:cs="仿宋_GB2312" w:eastAsia="仿宋_GB2312"/>
                <w:sz w:val="24"/>
                <w:color w:val="333333"/>
              </w:rPr>
              <w:t>根据投标人提供的</w:t>
            </w:r>
            <w:r>
              <w:rPr>
                <w:rFonts w:ascii="仿宋_GB2312" w:hAnsi="仿宋_GB2312" w:cs="仿宋_GB2312" w:eastAsia="仿宋_GB2312"/>
                <w:sz w:val="24"/>
                <w:color w:val="333333"/>
              </w:rPr>
              <w:t>人员配置</w:t>
            </w:r>
            <w:r>
              <w:rPr>
                <w:rFonts w:ascii="仿宋_GB2312" w:hAnsi="仿宋_GB2312" w:cs="仿宋_GB2312" w:eastAsia="仿宋_GB2312"/>
                <w:sz w:val="24"/>
                <w:color w:val="333333"/>
              </w:rPr>
              <w:t>进行评审；</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本合同签订之日起至本项目工程竣工结算审核完成且完成本合同约定的全部服务事项之日止</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四川天府新区</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项目按照《财政部关于进一步加强政府采购需求和履约验收管理的指导意见》(财库(2016) 205号)进行验收。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1、预付款： 本合同签订后，中标供应商应向采购人提交请款申请和增值税发票，经代建人和采购人审核，未提交前述资料或者提交资料不符合约定的，采购人有权暂停付款，因此导致迟延支付及造成的损失由中标供应商自行承担，且中标供应商不得因此拒绝履行其合同义务，否则应承担违约责任，达到付款条件起14日内，支付合同总金额的10.00%</w:t>
            </w:r>
          </w:p>
          <w:p>
            <w:pPr>
              <w:pStyle w:val="null3"/>
              <w:jc w:val="left"/>
            </w:pPr>
            <w:r>
              <w:rPr>
                <w:rFonts w:ascii="仿宋_GB2312" w:hAnsi="仿宋_GB2312" w:cs="仿宋_GB2312" w:eastAsia="仿宋_GB2312"/>
              </w:rPr>
              <w:t>2、进度款： 一期、二期全部基础验收合格后，中标供应商应向采购人提交请款申请和增值税发票，经代建人和采购人审核，未提交前述资料或者提交资料不符合约定的，采购人有权暂停付款，因此导致迟延支付及造成的损失由中标供应商自行承担，且中标供应商不得因此拒绝履行其合同义务，否则应承担违约责任，达到付款条件起14日内，支付合同总金额的20.00%</w:t>
            </w:r>
          </w:p>
          <w:p>
            <w:pPr>
              <w:pStyle w:val="null3"/>
              <w:jc w:val="left"/>
            </w:pPr>
            <w:r>
              <w:rPr>
                <w:rFonts w:ascii="仿宋_GB2312" w:hAnsi="仿宋_GB2312" w:cs="仿宋_GB2312" w:eastAsia="仿宋_GB2312"/>
              </w:rPr>
              <w:t>3、进度款，进度款： 一期、二期全部主体验收合格后，中标供应商应向采购人提交请款申请和增值税发票，经代建人和采购人审核，未提交前述资料或者提交资料不符合约定的，采购人有权暂停付款，因此导致迟延支付及造成的损失由中标供应商自行承担，且中标供应商不得因此拒绝履行其合同义务，否则应承担违约责任，达到付款条件起14日内，支付合同总金额的20.00%</w:t>
            </w:r>
          </w:p>
          <w:p>
            <w:pPr>
              <w:pStyle w:val="null3"/>
              <w:jc w:val="left"/>
            </w:pPr>
            <w:r>
              <w:rPr>
                <w:rFonts w:ascii="仿宋_GB2312" w:hAnsi="仿宋_GB2312" w:cs="仿宋_GB2312" w:eastAsia="仿宋_GB2312"/>
              </w:rPr>
              <w:t>4、进度款： 一期、二期全部工程项目竣工验收合格后，中标供应商应向采购人提交请款申请和增值税发票，经代建人和采购人审核，未提交前述资料或者提交资料不符合约定的，采购人有权暂停付款，因此导致迟延支付及造成的损失由中标供应商自行承担，且中标供应商不得因此拒绝履行其合同义务，否则应承担违约责任，达到付款条件起14日内，支付合同总金额的40.00%</w:t>
            </w:r>
          </w:p>
          <w:p>
            <w:pPr>
              <w:pStyle w:val="null3"/>
              <w:jc w:val="left"/>
            </w:pPr>
            <w:r>
              <w:rPr>
                <w:rFonts w:ascii="仿宋_GB2312" w:hAnsi="仿宋_GB2312" w:cs="仿宋_GB2312" w:eastAsia="仿宋_GB2312"/>
              </w:rPr>
              <w:t>5、结算款： 本项目工程竣工结算审核完成后，采购人提交满足采购人要求的成果文件并经采购人认可后，中标供应商应向采购人提交请款申请和增值税发票，经代建人和采购人审核，未提交前述资料或者提交资料不符合约定的，采购人有权暂停付款，因此导致迟延支付及造成的损失由中标供应商自行承担，且中标供应商不得因此拒绝履行其合同义务，否则应承担违约责任，达到付款条件起14日内，支付合同总金额的10.00%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一、违约责任 1.采购人未按合同约定支付合同价款，每逾期一日，采购人按应付未付金额的万分之一/日，向中标供应商支付违约金。 2.中标供应商未按本合同约定以及采购人、代建人要求的期限提交工作成果以及完成其他委托工作，每逾期一天，采购人有权视情节严重程度要求中标供应商按200-2000元/天向采购人支付违约金，逾期超过10天，采购人有权单方面解除合同。 3.中标供应商未按合同约定指派项目负责人以及未经采购人同意擅自更换项目负责人的，中标供应商向采购人支付违约金2000元，并按采购人要求限期改正；逾期未改正的，采购人有权单方解除合同。 4.中标供应商未按合同约定指派其他中标供应商人员（非项目负责人）以及未经采购人同意擅自更换其他中标供应商人员的，中标供应商应向采购人支付1000元/人/次违约金，并按采购人要求限期改正；逾期未改正的，采购人有权单方解除合同。 5.中标供应商未按本合同约定时间更换中标供应商人员，每逾期一天，采购人有权视情节严重程度要求中标供应商按300－1000元/人天向采购人支付违约金；逾期超过10日，采购人有权单方面解除合同。 6.咨询专业人员不按咨询合同履行其职责、或中标供应商与第三方串通给采购人造成的损失或侵害的(包括但不限于给受损方造成的经济损失、受损方为避免或减少损失支出的合理费用，受损方因此向任何第三方支付的违约金或赔偿的损失，以及受损方为维护合法权益支出的诉讼费、保全费、鉴定费、公证费、差旅费、律师费等合理费用），采购人有权向中标供应商全部追偿，采购人有权视情况单方面解除合同，中标供应商应按合同总价款的20%向采购人支付违约金。 7.因中标供应商的错误造成造价与实际偏差超过5%（不含本数）的，采购人有权按本合同咨询服务费合同价的20%向中标供应商收取违约金。如因此给采购人造成实际经济损失的，中标供应商须赔付实际经济损失。 8.中标供应商无正当理由未按采购人、代建人要求派员（包括应派员未派员，以及派员人数未达到采购人、代建人要求两种情况）按时参加现场踏勘、各类会议、现场收方等现场配合事宜，中标供应商按以下约定向采购人支付违约金： （1）中标供应商未按采购人、代建人要求派员参加现场配合的，未参加现场配合的人员按100-500元/人次支付违约金； （2）中标供应商未按采购人、代建人要求派员参加现场配合的，累计超过5人次，超过5人次（不含本数）后，则未参加现场配合的人员按1000元/人次支付违约金，且采购人有权单方解除合同。 9.中标供应商派驻现场人员未按本合同约定到岗且未向采购人、代建人请假的，按未到场处理，中标供应商按以下约定向采购人支付违约金： （1）中标供应商派驻现场的人员未到场，按200元/人次计取违约金； （2）中标供应商派驻现场的所有人员未经采购人或代建人同意未到场次数合计超过5人次的，超过5次（不含本数）后，中标供应商派驻现场的人员未到场，则按500元/人次计取违约金； （3）中标供应商派驻现场的所有人员未到场人次数合计超过10人次的，超过10（不含本数）人次后，中标供应商派驻现场的人员未到场，则按1000元/人次计取违约金，且采购人有权单方解除合同。 10.在承包合同争端的解决、索赔/反索赔等事宜处理中，中标供应商未提供处理意见或判断完全错误的，按200元-50000元/次支付违约金。 11.根据本合同约定，因中标供应商原因导致采购人行使单方解除权解除本合同的，中标供应商还应按本合同总价的20%向采购人支付违约金。 12.当中标供应商存在需向采购人支付违约金以及赔偿金情形时，采购人有权在最近一次付款中直接扣除，如应付款不足以支付，中标供应商需向采购人另行支付。 13.中标供应商未按合同约定履行保密义务，中标供应商应按合同总价的20%向采购人支付违约金。 14.中标供应商违反本合同其他约定的，每发生一次应向采购人支付1000-10000元的违约金。 15.因中标供应商违约导致采购人向其主张权利或者因中标供应商原因导致第三方向采购人主张权利，采购人因此产生的律师费、保全费、保全保险费、公告费、公证费、差旅费、赔偿金或违约金等费用和支出由中标供应商负担。 二、争议解决方式 各合同当事人因履行本合同发生争议的，应协商解决，协商未果的，均应向采购人所在地的人民法院提起诉讼解决。</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（一）供应商投标文件编制的说明：【说明1：根据《政府采购促进中小企业发展管理办法》的通知（财库〔2020〕46号）文件及相关规定。供应商应根据自身情况，确定是否属于该办法规定的范围。】； 【说明2：评分标准中所涉及的响应内容，供应商编制于对应的“关联格式”中。若编制投标文件过程中，涉及提供证明材料或提供承诺函等，供应商将前述材料编制于第六章响应文件格式-《其他资料》中】 （二）招标文件的说明 【说明1：因系统固化原因，招标文件第二章2.4.6中第一项不适用于本项目，不作为评审依据】；【说明2：因系统固化原因，招标文件第二章“提交投标文件的截止之日起不少于 90 天。投标文件未明确投标有效期或者少于前述规定天数的，其投标文件按无效处理。”不适用于本项目，不作为评审依据。评审依据以此为准：“提交投标文件的截止之日起不少于90天”】【说明3：因系统固化原因，招标文件第三章3.1.报价要求中“注：投标人响应产品应当明确品牌和规格型号并指向唯一产品，不能指向唯一产品的，应通过报价表唯一产品说明栏补充说明。”，不适用于本项目，不作为评审依据】 【说明4：本项目中涉及国家标准、行业标准等描述与国家最新要求不一致时以国家最新要求为准。】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投标人根据自身情况选择提供其中任意一项: (1)可提供 2022或2023或2024年度经审计的财务报告扫描件(包含审计报告和审计报告中所涉及的财务报表和报表附注)；(2)也可提供投标人内部的2022或2023或2024年度财务报表扫描件（至少包含资产负债表）；(3)也可提供截至提交投标文件截止日一年内银行出具的资信证明(扫描件)；(4)投标人注册时间截至提交投标文件截止日不足一年的，也可提供工商管理部门备案的公司章程（扫描件）；(5)投标人为个体工商户或自然人时，可提供承诺函。投标人需在使用投标(响应)客户端编制投标文件时，按要求上传相应证明材料并进行电子签章。</w:t>
            </w:r>
          </w:p>
        </w:tc>
        <w:tc>
          <w:tcPr>
            <w:tcW w:type="dxa" w:w="1910"/>
          </w:tcPr>
          <w:p>
            <w:pPr>
              <w:pStyle w:val="null3"/>
              <w:jc w:val="left"/>
            </w:pPr>
            <w:r>
              <w:rPr>
                <w:rFonts w:ascii="仿宋_GB2312" w:hAnsi="仿宋_GB2312" w:cs="仿宋_GB2312" w:eastAsia="仿宋_GB2312"/>
              </w:rPr>
              <w:t>其他资料.docx,投标（响应）函.docx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投标（响应）函.docx</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投标（响应）函.docx</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投标（响应）函.docx</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因系统固化原因，本条审查内容为（以此为准）：不存在与单位负责人为同一人或者存在直接控股、管理关系的其他供应商参与同一合同项下的政府采购活动的行为。</w:t>
              <w:b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投标（响应）函.docx</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投标（响应）函.docx</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本项目为专门面向中小企业采购项目，服务应全部由符合政策要求的中小企业承接（注：监狱企业、残疾人福利性单位均视同小微企业，符合中小企业划分标准的个体工商户视同中小企业）；</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投标人的响应文件中不存在采购文件规定的无效情形</w:t>
            </w:r>
          </w:p>
        </w:tc>
        <w:tc>
          <w:tcPr>
            <w:tcW w:type="dxa" w:w="3322"/>
          </w:tcPr>
          <w:p>
            <w:pPr>
              <w:pStyle w:val="null3"/>
              <w:jc w:val="left"/>
            </w:pPr>
            <w:r>
              <w:rPr>
                <w:rFonts w:ascii="仿宋_GB2312" w:hAnsi="仿宋_GB2312" w:cs="仿宋_GB2312" w:eastAsia="仿宋_GB2312"/>
              </w:rPr>
              <w:t>投标人的响应文件中不存在采购文件规定的无效情形</w:t>
            </w:r>
          </w:p>
        </w:tc>
        <w:tc>
          <w:tcPr>
            <w:tcW w:type="dxa" w:w="1910"/>
          </w:tcPr>
          <w:p>
            <w:pPr>
              <w:pStyle w:val="null3"/>
              <w:jc w:val="left"/>
            </w:pPr>
            <w:r>
              <w:rPr>
                <w:rFonts w:ascii="仿宋_GB2312" w:hAnsi="仿宋_GB2312" w:cs="仿宋_GB2312" w:eastAsia="仿宋_GB2312"/>
              </w:rPr>
              <w:t>服务内容要求、商务要求应答表.docx,报价一览表,报价明细表,其他资料.docx,技术要求应答表.docx,投标（响应）函.docx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投标人应满足采购文件所有实质性要求</w:t>
            </w:r>
          </w:p>
        </w:tc>
        <w:tc>
          <w:tcPr>
            <w:tcW w:type="dxa" w:w="3322"/>
          </w:tcPr>
          <w:p>
            <w:pPr>
              <w:pStyle w:val="null3"/>
              <w:jc w:val="left"/>
            </w:pPr>
            <w:r>
              <w:rPr>
                <w:rFonts w:ascii="仿宋_GB2312" w:hAnsi="仿宋_GB2312" w:cs="仿宋_GB2312" w:eastAsia="仿宋_GB2312"/>
              </w:rPr>
              <w:t>投标人应满足采购文件所有实质性要求</w:t>
            </w:r>
          </w:p>
        </w:tc>
        <w:tc>
          <w:tcPr>
            <w:tcW w:type="dxa" w:w="1910"/>
          </w:tcPr>
          <w:p>
            <w:pPr>
              <w:pStyle w:val="null3"/>
              <w:jc w:val="left"/>
            </w:pPr>
            <w:r>
              <w:rPr>
                <w:rFonts w:ascii="仿宋_GB2312" w:hAnsi="仿宋_GB2312" w:cs="仿宋_GB2312" w:eastAsia="仿宋_GB2312"/>
              </w:rPr>
              <w:t>服务内容要求、商务要求应答表.docx,报价一览表,报价明细表,其他资料.docx,投标（响应）函.docx,技术要求应答表.docx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投标人应按照采购文件要求提供（因系统固化原因，5.3.3.符合性审查内容第一条的“具体标注和要求”以此为准）</w:t>
            </w:r>
          </w:p>
        </w:tc>
        <w:tc>
          <w:tcPr>
            <w:tcW w:type="dxa" w:w="1910"/>
          </w:tcPr>
          <w:p>
            <w:pPr>
              <w:pStyle w:val="null3"/>
              <w:jc w:val="left"/>
            </w:pPr>
            <w:r>
              <w:rPr>
                <w:rFonts w:ascii="仿宋_GB2312" w:hAnsi="仿宋_GB2312" w:cs="仿宋_GB2312" w:eastAsia="仿宋_GB2312"/>
              </w:rPr>
              <w:t>服务内容要求、商务要求应答表.docx,报价一览表,报价明细表,其他资料.docx,技术要求应答表.docx,投标（响应）函.docx</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5.3.4.解释、澄清、说明的有关问题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5.4.1.评标方法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（一）项目整体方案 根据投标人提供的项目整体方案进行评审，包括： ①本项目咨询目的（工作理解）；②工作内容、重点难点分析及应对措施；③专业知识准备及工作方法；④人员管理制度；⑤人员分工及岗位职责；⑥内部质量审核制度；⑦安全保障方案；⑧软硬件保障方案；⑨各阶段与项目各责任主体的工作机制。 上述9项内容齐全且无缺陷（缺陷是指：内容涉及的规范或标准错误、内容表述错误、内容与本项目无关、内容不利于项目实施的任意一种情形）得27分，每缺少一项内容扣3分，扣完为止；单项内容每存在一处缺陷扣1.5分，单项内容分扣完为止 （二）项目实施方案 根据投标人提供的项目实施方案进行评审，包括： ①清标及施工合同条款风险分析方案；②设计变更的审核工作；③合同价款的变更和管理；④施工全过程各个阶段价款的审核及支付；⑤材料设备的询价和咨询；⑥竣工结算资料审核；⑦施工过程的巡查方案；⑧进度保障措施；⑨成果文件编制及移交方案；上述9项内容齐全且无缺陷（缺陷是指：内容涉及的规范或标准错误、内容表述错误、内容与本项目无关、内容不利于项目实施的任意一种情形）得27分，每缺少一项内容扣3分，扣完为止；单项内容每存在一处缺陷扣1.5分，单项内容分扣完为止</w:t>
            </w:r>
          </w:p>
        </w:tc>
        <w:tc>
          <w:tcPr>
            <w:tcW w:type="dxa" w:w="831"/>
          </w:tcPr>
          <w:p>
            <w:pPr>
              <w:pStyle w:val="null3"/>
              <w:jc w:val="center"/>
            </w:pPr>
            <w:r>
              <w:rPr>
                <w:rFonts w:ascii="仿宋_GB2312" w:hAnsi="仿宋_GB2312" w:cs="仿宋_GB2312" w:eastAsia="仿宋_GB2312"/>
              </w:rPr>
              <w:t>54.0000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其他资料.docx</w:t>
            </w:r>
          </w:p>
        </w:tc>
      </w:tr>
      <w:tr>
        <w:tc>
          <w:tcPr>
            <w:tcW w:type="dxa" w:w="831"/>
            <w:vMerge/>
          </w:tcPr>
          <w:p/>
        </w:tc>
        <w:tc>
          <w:tcPr>
            <w:tcW w:type="dxa" w:w="1661"/>
          </w:tcPr>
          <w:p>
            <w:pPr>
              <w:pStyle w:val="null3"/>
              <w:jc w:val="left"/>
            </w:pPr>
            <w:r>
              <w:rPr>
                <w:rFonts w:ascii="仿宋_GB2312" w:hAnsi="仿宋_GB2312" w:cs="仿宋_GB2312" w:eastAsia="仿宋_GB2312"/>
              </w:rPr>
              <w:t>类似项目业绩</w:t>
            </w:r>
          </w:p>
        </w:tc>
        <w:tc>
          <w:tcPr>
            <w:tcW w:type="dxa" w:w="2575"/>
          </w:tcPr>
          <w:p>
            <w:pPr>
              <w:pStyle w:val="null3"/>
              <w:jc w:val="left"/>
            </w:pPr>
            <w:r>
              <w:rPr>
                <w:rFonts w:ascii="仿宋_GB2312" w:hAnsi="仿宋_GB2312" w:cs="仿宋_GB2312" w:eastAsia="仿宋_GB2312"/>
              </w:rPr>
              <w:t>供应商自2022年1月1日（含1日）至投标时间止，提供1个类似项目业绩的得4分，每增加一个类似项目业绩加4分，本项最多得12分。 注：提供中标（中选、成交）通知书或委托合同（或委托书或协议书）扫描件，业绩时间以所提供的证明材料中时间最早的为准。若中标（中选、成交）通知书或委托合同或委托书或协议书中没有全面记载项目特性的，须提供项目业主证明或项目立项文件或成果文件扫描件。</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其他资料.docx</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1、项目负责人（1人）（8分） （1）具有全国注册造价工程师（土建）或一级造价工程师（土木建筑）注册证书的得4分；在具有全国注册造价工程师（土建）或一级造价工程师（土木建筑）注册证书的基础上，具有工程类相关专业中级职称加2分，具有工程类相关专业副高级（或以上）职称加4分。本项最多得8分。 2、技术负责人与安装负责人（8分） （1）技术负责人（1人）：具有全国注册造价工程师（土建）或一级造价工程师（土木建筑）注册证书的得2分；在具有全国注册造价工程师（土建）或一级造价工程师（土木建筑）注册证书的基础上，具有工程类相关专业中级职称加1分，具有工程类相关专业副高级（或以上）职称加2分。本项满分4分。 （2）安装负责人（1人）：具有全国注册造价工程师（安装）或一级造价工程师（安装工程）注册证书得2分；在具有全国注册造价工程师（安装）或一级造价工程师（安装工程）注册证书的基础上，具有工程类相关专业中级职称加1分，具有工程类相关专业副高级（或以上）职称加2分。本项满分4分。 3.其他人员（项目负责人、技术负责人、安装负责人除外）（8分）： ①土建专业造价工程师：每配备1名具有全国注册造价工程师（土建）或一级造价工程师（土木建筑）注册证书得2分；此项满分4分。 ②安装专业造价工程师：每配备1名具有全国注册造价工程师（安装）或一级造价工程师（安装工程）注册证书得2分，本项满分4分。 备注：1、提供有效的身份证扫描件及相关证书扫描件和全国建筑市场监管公共服务平台查询的网页截图并加盖投标人公章，未提供或提供不完整，该人员不得分。2、同一人有多个相同类型的证书，只计算得分最高项。</w:t>
            </w:r>
          </w:p>
        </w:tc>
        <w:tc>
          <w:tcPr>
            <w:tcW w:type="dxa" w:w="831"/>
          </w:tcPr>
          <w:p>
            <w:pPr>
              <w:pStyle w:val="null3"/>
              <w:jc w:val="center"/>
            </w:pPr>
            <w:r>
              <w:rPr>
                <w:rFonts w:ascii="仿宋_GB2312" w:hAnsi="仿宋_GB2312" w:cs="仿宋_GB2312" w:eastAsia="仿宋_GB2312"/>
              </w:rPr>
              <w:t>24.0000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其他资料.docx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575"/>
          </w:tcPr>
          <w:p>
            <w:pPr>
              <w:pStyle w:val="null3"/>
              <w:jc w:val="left"/>
            </w:pPr>
            <w:r>
              <w:rPr>
                <w:rFonts w:ascii="仿宋_GB2312" w:hAnsi="仿宋_GB2312" w:cs="仿宋_GB2312" w:eastAsia="仿宋_GB2312"/>
              </w:rPr>
              <w:t>1.经评审小组评审，通过资格和符合性审查，且响应报价最低的供应商的响应报价作为评审基准价。2.报价得分=(评审基准价／响应报价)×10。</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投标（响应）函.docx</w:t>
            </w:r>
          </w:p>
          <w:p>
            <w:pPr>
              <w:pStyle w:val="null3"/>
              <w:jc w:val="left"/>
            </w:pPr>
            <w:r>
              <w:rPr>
                <w:rFonts w:ascii="仿宋_GB2312" w:hAnsi="仿宋_GB2312" w:cs="仿宋_GB2312" w:eastAsia="仿宋_GB2312"/>
              </w:rPr>
              <w:t>报价明细表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详见附件：服务内容要求、商务要求应答表.docx</w:t>
      </w:r>
    </w:p>
    <w:p>
      <w:pPr>
        <w:pStyle w:val="null3"/>
        <w:ind w:firstLine="960"/>
        <w:jc w:val="left"/>
      </w:pPr>
      <w:r>
        <w:rPr>
          <w:rFonts w:ascii="仿宋_GB2312" w:hAnsi="仿宋_GB2312" w:cs="仿宋_GB2312" w:eastAsia="仿宋_GB2312"/>
        </w:rPr>
        <w:t>详见附件：技术要求应答表.docx</w:t>
      </w:r>
    </w:p>
    <w:p>
      <w:pPr>
        <w:pStyle w:val="null3"/>
        <w:ind w:firstLine="960"/>
        <w:jc w:val="left"/>
      </w:pPr>
      <w:r>
        <w:rPr>
          <w:rFonts w:ascii="仿宋_GB2312" w:hAnsi="仿宋_GB2312" w:cs="仿宋_GB2312" w:eastAsia="仿宋_GB2312"/>
        </w:rPr>
        <w:t>详见附件：其他资料.docx</w:t>
      </w:r>
    </w:p>
    <w:p>
      <w:pPr>
        <w:pStyle w:val="null3"/>
        <w:ind w:firstLine="960"/>
        <w:jc w:val="left"/>
      </w:pPr>
      <w:r>
        <w:rPr>
          <w:rFonts w:ascii="仿宋_GB2312" w:hAnsi="仿宋_GB2312" w:cs="仿宋_GB2312" w:eastAsia="仿宋_GB2312"/>
        </w:rPr>
        <w:t>详见附件：投标（响应）函.docx</w:t>
      </w:r>
    </w:p>
    <w:p>
      <w:pPr>
        <w:pStyle w:val="null3"/>
        <w:ind w:firstLine="960"/>
        <w:jc w:val="left"/>
      </w:pPr>
      <w:r>
        <w:rPr>
          <w:rFonts w:ascii="仿宋_GB2312" w:hAnsi="仿宋_GB2312" w:cs="仿宋_GB2312" w:eastAsia="仿宋_GB2312"/>
        </w:rPr>
        <w:t>详见附件：报价明细表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pPr>
      <w:r>
        <w:rPr>
          <w:rFonts w:ascii="仿宋_GB2312" w:hAnsi="仿宋_GB2312" w:cs="仿宋_GB2312" w:eastAsia="仿宋_GB2312"/>
        </w:rPr>
        <w:t>详见附件：一期、二期全过程控制造价咨询合同.docx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