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441303-2025-00723</w:t>
      </w:r>
    </w:p>
    <w:p>
      <w:pPr>
        <w:pStyle w:val="null3"/>
        <w:jc w:val="center"/>
        <w:outlineLvl w:val="3"/>
      </w:pPr>
      <w:r>
        <w:rPr>
          <w:sz w:val="24"/>
          <w:b/>
        </w:rPr>
        <w:t>采购项目编号：</w:t>
      </w:r>
      <w:r>
        <w:rPr>
          <w:sz w:val="24"/>
          <w:b/>
        </w:rPr>
        <w:t>惠公易省云采惠阳〔2025〕003号</w:t>
      </w:r>
    </w:p>
    <w:p>
      <w:pPr>
        <w:pStyle w:val="null3"/>
        <w:jc w:val="center"/>
        <w:outlineLvl w:val="3"/>
      </w:pPr>
      <w:r>
        <w:rPr>
          <w:sz w:val="24"/>
          <w:b/>
        </w:rPr>
        <w:t>项目名称：</w:t>
      </w:r>
      <w:r>
        <w:rPr>
          <w:sz w:val="24"/>
          <w:b/>
        </w:rPr>
        <w:t>钻芯法检测、标准贯入试验和动力触探试验劳务服务</w:t>
      </w:r>
    </w:p>
    <w:p>
      <w:pPr>
        <w:pStyle w:val="null3"/>
        <w:jc w:val="center"/>
        <w:outlineLvl w:val="3"/>
      </w:pPr>
      <w:r>
        <w:rPr>
          <w:sz w:val="24"/>
          <w:b/>
        </w:rPr>
        <w:t>采购人：</w:t>
      </w:r>
      <w:r>
        <w:rPr>
          <w:sz w:val="24"/>
          <w:b/>
        </w:rPr>
        <w:t>惠州市惠阳区住房和城乡建设局</w:t>
      </w:r>
    </w:p>
    <w:p>
      <w:pPr>
        <w:pStyle w:val="null3"/>
        <w:jc w:val="center"/>
        <w:outlineLvl w:val="3"/>
      </w:pPr>
      <w:r>
        <w:rPr>
          <w:sz w:val="24"/>
          <w:b/>
        </w:rPr>
        <w:t>采购代理机构：</w:t>
      </w:r>
      <w:r>
        <w:rPr>
          <w:sz w:val="24"/>
          <w:b/>
        </w:rPr>
        <w:t>惠州市公共资源交易中心惠阳分中心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惠州市公共资源交易中心惠阳分中心</w:t>
      </w:r>
      <w:r>
        <w:rPr/>
        <w:t>受</w:t>
      </w:r>
      <w:r>
        <w:rPr/>
        <w:t>惠州市惠阳区住房和城乡建设局</w:t>
      </w:r>
      <w:r>
        <w:rPr/>
        <w:t>的委托，采用</w:t>
      </w:r>
      <w:r>
        <w:rPr/>
        <w:t>公开招标</w:t>
      </w:r>
      <w:r>
        <w:rPr/>
        <w:t>方式组织采购</w:t>
      </w:r>
      <w:r>
        <w:rPr/>
        <w:t>钻芯法检测、标准贯入试验和动力触探试验劳务服务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钻芯法检测、标准贯入试验和动力触探试验劳务服务</w:t>
      </w:r>
    </w:p>
    <w:p>
      <w:pPr>
        <w:pStyle w:val="null3"/>
        <w:ind w:firstLine="480"/>
      </w:pPr>
      <w:r>
        <w:rPr/>
        <w:t>采购计划编号：</w:t>
      </w:r>
      <w:r>
        <w:rPr/>
        <w:t>441303-2025-00723</w:t>
      </w:r>
    </w:p>
    <w:p>
      <w:pPr>
        <w:pStyle w:val="null3"/>
        <w:ind w:firstLine="480"/>
      </w:pPr>
      <w:r>
        <w:rPr/>
        <w:t>采购项目编号：</w:t>
      </w:r>
      <w:r>
        <w:rPr/>
        <w:t>惠公易省云采惠阳〔2025〕003号</w:t>
      </w:r>
    </w:p>
    <w:p>
      <w:pPr>
        <w:pStyle w:val="null3"/>
        <w:ind w:firstLine="480"/>
      </w:pPr>
      <w:r>
        <w:rPr/>
        <w:t>采购方式：</w:t>
      </w:r>
      <w:r>
        <w:rPr/>
        <w:t>公开招标</w:t>
      </w:r>
    </w:p>
    <w:p>
      <w:pPr>
        <w:pStyle w:val="null3"/>
        <w:ind w:firstLine="480"/>
      </w:pPr>
      <w:r>
        <w:rPr/>
        <w:t>预算金额：</w:t>
      </w:r>
      <w:r>
        <w:rPr/>
        <w:t>9,000,000.00</w:t>
      </w:r>
      <w:r>
        <w:rPr/>
        <w:t>元</w:t>
      </w:r>
    </w:p>
    <w:p>
      <w:pPr>
        <w:pStyle w:val="null3"/>
        <w:outlineLvl w:val="3"/>
      </w:pPr>
      <w:r>
        <w:rPr>
          <w:sz w:val="24"/>
          <w:b/>
        </w:rPr>
        <w:t>2.项目内容及需求情况（采购项目技术规格、参数及要求）</w:t>
      </w:r>
    </w:p>
    <w:p>
      <w:pPr>
        <w:pStyle w:val="null3"/>
      </w:pPr>
      <w:r>
        <w:rPr/>
        <w:t>采购包1(采购钻芯法检测、标准贯入试验和动力触探试验劳务服务单位（一）):</w:t>
      </w:r>
    </w:p>
    <w:p>
      <w:pPr>
        <w:pStyle w:val="null3"/>
      </w:pPr>
      <w:r>
        <w:rPr/>
        <w:t>采购包预算金额：4,500,000.00元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采购钻芯法检测、标准贯入试验和动 力触探试验劳务服务单位（一）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合同履行期限：自合同签订之后第二天开始进场服务，服务期为2年。</w:t>
      </w:r>
    </w:p>
    <w:p>
      <w:pPr>
        <w:pStyle w:val="null3"/>
      </w:pPr>
      <w:r>
        <w:rPr/>
        <w:t>采购包2(采购钻芯法检测、标准贯入试验和动力触探试验劳务服务单位（二）):</w:t>
      </w:r>
    </w:p>
    <w:p>
      <w:pPr>
        <w:pStyle w:val="null3"/>
      </w:pPr>
      <w:r>
        <w:rPr/>
        <w:t>采购包预算金额：4,500,000.00元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采购钻芯法检测、标准贯入试验和动 力触探试验劳务服务单位（二）</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合同履行期限：自合同签订之后第二天开始进场服务，服务期为2年。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3）具有良好的商业信誉和健全的财务会计制度：供应商必须具有良好的商业信誉和健全的财务会计制度（提供2023年或2024年度财务状况报告或基本开户行出具的资信证明）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采购包1（采购钻芯法检测、标准贯入试验和动力触探试验劳务服务单位（一））：</w:t>
      </w:r>
      <w:r>
        <w:rPr/>
        <w:t>参与的供应商（联合体）服务全部由符合政策要求的中小企业承接</w:t>
      </w:r>
    </w:p>
    <w:p>
      <w:pPr>
        <w:pStyle w:val="null3"/>
        <w:jc w:val="left"/>
      </w:pPr>
      <w:r>
        <w:rPr/>
        <w:t>采购包2（采购钻芯法检测、标准贯入试验和动力触探试验劳务服务单位（二））：</w:t>
      </w:r>
      <w:r>
        <w:rPr/>
        <w:t>参与的供应商（联合体）服务全部由符合政策要求的中小企业承接</w:t>
      </w:r>
    </w:p>
    <w:p>
      <w:pPr>
        <w:pStyle w:val="null3"/>
        <w:outlineLvl w:val="3"/>
      </w:pPr>
      <w:r>
        <w:rPr>
          <w:sz w:val="24"/>
          <w:b/>
        </w:rPr>
        <w:t>3.本项目特定的资格要求：</w:t>
      </w:r>
    </w:p>
    <w:p>
      <w:pPr>
        <w:pStyle w:val="null3"/>
      </w:pPr>
      <w:r>
        <w:rPr/>
        <w:t>采购包1（采购钻芯法检测、标准贯入试验和动力触探试验劳务服务单位（一））：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采购包2（采购钻芯法检测、标准贯入试验和动力触探试验劳务服务单位（二））：</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惠州市惠阳区住房和城乡建设局</w:t>
      </w:r>
    </w:p>
    <w:p>
      <w:pPr>
        <w:pStyle w:val="null3"/>
        <w:ind w:firstLine="480"/>
      </w:pPr>
      <w:r>
        <w:rPr/>
        <w:t xml:space="preserve"> 地址：</w:t>
      </w:r>
      <w:r>
        <w:rPr/>
        <w:t>广东省惠州市惠阳区淡水镇桥背伯公坳建设大厦</w:t>
      </w:r>
    </w:p>
    <w:p>
      <w:pPr>
        <w:pStyle w:val="null3"/>
        <w:ind w:firstLine="480"/>
      </w:pPr>
      <w:r>
        <w:rPr/>
        <w:t xml:space="preserve"> 联系方式：</w:t>
      </w:r>
      <w:r>
        <w:rPr/>
        <w:t>0752-3819342</w:t>
      </w:r>
    </w:p>
    <w:p>
      <w:pPr>
        <w:pStyle w:val="null3"/>
        <w:outlineLvl w:val="3"/>
      </w:pPr>
      <w:r>
        <w:rPr>
          <w:sz w:val="24"/>
          <w:b/>
        </w:rPr>
        <w:t xml:space="preserve"> 2.采购代理机构信息</w:t>
      </w:r>
    </w:p>
    <w:p>
      <w:pPr>
        <w:pStyle w:val="null3"/>
        <w:ind w:firstLine="480"/>
      </w:pPr>
      <w:r>
        <w:rPr/>
        <w:t xml:space="preserve"> 名称：</w:t>
      </w:r>
      <w:r>
        <w:rPr/>
        <w:t>惠州市公共资源交易中心惠阳分中心</w:t>
      </w:r>
    </w:p>
    <w:p>
      <w:pPr>
        <w:pStyle w:val="null3"/>
        <w:ind w:firstLine="480"/>
      </w:pPr>
      <w:r>
        <w:rPr/>
        <w:t xml:space="preserve"> 地址：</w:t>
      </w:r>
      <w:r>
        <w:rPr/>
        <w:t>广东省惠州市惠阳区惠南大道好益康一路区行政服务中心B栋10楼</w:t>
      </w:r>
    </w:p>
    <w:p>
      <w:pPr>
        <w:pStyle w:val="null3"/>
        <w:ind w:firstLine="480"/>
      </w:pPr>
      <w:r>
        <w:rPr/>
        <w:t xml:space="preserve"> 联系方式：</w:t>
      </w:r>
      <w:r>
        <w:rPr/>
        <w:t>0752-3911987</w:t>
      </w:r>
    </w:p>
    <w:p>
      <w:pPr>
        <w:pStyle w:val="null3"/>
        <w:outlineLvl w:val="3"/>
      </w:pPr>
      <w:r>
        <w:rPr>
          <w:sz w:val="24"/>
          <w:b/>
        </w:rPr>
        <w:t xml:space="preserve"> 3.项目联系方式</w:t>
      </w:r>
    </w:p>
    <w:p>
      <w:pPr>
        <w:pStyle w:val="null3"/>
        <w:ind w:firstLine="480"/>
      </w:pPr>
      <w:r>
        <w:rPr/>
        <w:t xml:space="preserve"> 项目联系人：</w:t>
      </w:r>
      <w:r>
        <w:rPr/>
        <w:t>严女士</w:t>
      </w:r>
    </w:p>
    <w:p>
      <w:pPr>
        <w:pStyle w:val="null3"/>
        <w:ind w:firstLine="480"/>
      </w:pPr>
      <w:r>
        <w:rPr/>
        <w:t xml:space="preserve"> 电话：</w:t>
      </w:r>
      <w:r>
        <w:rPr/>
        <w:t>0752-3911987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惠州市公共资源交易中心惠阳分中心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222222"/>
        </w:rPr>
        <w:t>一、采购项目的基本信息</w:t>
      </w:r>
    </w:p>
    <w:p>
      <w:pPr>
        <w:pStyle w:val="null3"/>
      </w:pPr>
      <w:r>
        <w:rPr>
          <w:sz w:val="21"/>
          <w:color w:val="222222"/>
        </w:rPr>
        <w:t>（一）采购项目名称：钻芯法检测、标准贯入试验和动力触探试验劳务服务</w:t>
      </w:r>
    </w:p>
    <w:p>
      <w:pPr>
        <w:pStyle w:val="null3"/>
      </w:pPr>
      <w:r>
        <w:rPr>
          <w:sz w:val="21"/>
          <w:color w:val="222222"/>
        </w:rPr>
        <w:t>（二）推荐候选人名单和满足开标条件的数量</w:t>
      </w:r>
    </w:p>
    <w:p>
      <w:pPr>
        <w:pStyle w:val="null3"/>
      </w:pPr>
      <w:r>
        <w:rPr>
          <w:sz w:val="21"/>
          <w:color w:val="222222"/>
        </w:rPr>
        <w:t>该项目各包组中标（成交）供应商的数量设置为1名，推荐中标候选人的数量设置为2名。本项目兼投不兼中，两个采购包供应商可兼投但不可兼中，每个供应商最多只能被确定为1个采购包的第一中标候选人。本项目按采购包的顺序进行评审，依次按照评标总得分由高到低的顺序，每个包组推荐两名中标候选人。已获得采购包一的第一中标候选人资格的，在采购包二中不作为有效家数计算；采购包二从具有中标候选人资格的供应商中，排名最高的投标供应商为第一中标候选人，排名次高的投标供应商为第二中标候选人，以此类推。采购人未确认的中标候选人为替补候选人，如果中标人放弃中标的，采购人可以按顺序重新确认替补候选人为中标人（若替补候选人已为其他采购包的中标人，由该投标人从中选择服务包组，放弃的包组由替补候选人依次替补，依此类推。）并签订政府采购合同，也可以重新招标。</w:t>
      </w:r>
    </w:p>
    <w:p>
      <w:pPr>
        <w:pStyle w:val="null3"/>
      </w:pPr>
      <w:r>
        <w:rPr>
          <w:sz w:val="21"/>
          <w:color w:val="222222"/>
        </w:rPr>
        <w:t>本项目每个子包满足开标条件的投标文件数量设置为不少于 3 家。开标前参加投标的投标人提交的投标文件数量或经评标委员会进行资格性、符合性审查后投标文件数量不能满足开标条件的，将予以废标。</w:t>
      </w:r>
    </w:p>
    <w:p>
      <w:pPr>
        <w:pStyle w:val="null3"/>
      </w:pPr>
      <w:r>
        <w:rPr>
          <w:sz w:val="21"/>
          <w:color w:val="222222"/>
        </w:rPr>
        <w:t>（三）定标方法</w:t>
      </w:r>
    </w:p>
    <w:p>
      <w:pPr>
        <w:pStyle w:val="null3"/>
      </w:pPr>
      <w:r>
        <w:rPr>
          <w:sz w:val="21"/>
          <w:color w:val="222222"/>
        </w:rPr>
        <w:t>根据《政府采购货物和服务招标投标管理办法》（财政部令第87号）的有关规定，采购人按照该项目评审小组依法推荐的中标候选人顺序依法依规确定该项目的中标人。</w:t>
      </w:r>
    </w:p>
    <w:p>
      <w:pPr>
        <w:pStyle w:val="null3"/>
      </w:pPr>
      <w:r>
        <w:rPr>
          <w:sz w:val="21"/>
          <w:color w:val="222222"/>
        </w:rPr>
        <w:t>（四）有效报价要求</w:t>
      </w:r>
    </w:p>
    <w:p>
      <w:pPr>
        <w:pStyle w:val="null3"/>
      </w:pPr>
      <w:r>
        <w:rPr>
          <w:sz w:val="21"/>
          <w:color w:val="222222"/>
        </w:rPr>
        <w:t>1、 价格构成。本项目为交钥匙工程， 投标报价应当包括人工费、材料费、机械费、管理费、利润、项目措施费、规费、税金、配合费、预留金以及施工合同包含的所有风险、责任等各项应有的费用。2、无效的投标报价将作无效投标处理。根据《政府采购货物和服务招标投标管理办法》（财政部令第87号）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sz w:val="21"/>
          <w:color w:val="222222"/>
        </w:rPr>
        <w:t>（五）关于联合体投标</w:t>
      </w:r>
    </w:p>
    <w:p>
      <w:pPr>
        <w:pStyle w:val="null3"/>
      </w:pPr>
      <w:r>
        <w:rPr>
          <w:sz w:val="21"/>
          <w:color w:val="222222"/>
        </w:rPr>
        <w:t>本项目不接受联合体投标，不允许投标人对本招标项目进行违法分包和转包。</w:t>
      </w:r>
    </w:p>
    <w:p>
      <w:pPr>
        <w:pStyle w:val="null3"/>
      </w:pPr>
      <w:r>
        <w:rPr>
          <w:sz w:val="21"/>
          <w:color w:val="222222"/>
        </w:rPr>
        <w:t>（六）本项目无需提交投标保证金。</w:t>
      </w:r>
    </w:p>
    <w:p>
      <w:pPr>
        <w:pStyle w:val="null3"/>
      </w:pPr>
      <w:r>
        <w:rPr>
          <w:sz w:val="21"/>
          <w:color w:val="222222"/>
        </w:rPr>
        <w:t>（七）关于询问和质疑。供应商的询问或者质疑应向采购人提出,采购人负责受理和答复供应商的询问或者质疑。供应商提出的询问或者质疑涉及采购代理机构组织的开评标程序的，采购人应当及时将此内容转告采购代理机构，采购代理机构应协助采购人答复有关开评标程序的询问或者质疑。</w:t>
      </w:r>
    </w:p>
    <w:p>
      <w:pPr>
        <w:pStyle w:val="null3"/>
      </w:pPr>
      <w:r>
        <w:rPr>
          <w:sz w:val="21"/>
          <w:color w:val="222222"/>
        </w:rPr>
        <w:t>（八）需要落实的政府采购政策：《政府采购促进中小企业发展管理办法》（财库〔2020〕46号）、《关于政府采购支持监狱企业发展有关问题的通知》(财库〔2014〕68号)、《关于促进残疾人就业政府采购政策的通知》（财库〔2017〕141号)、等。</w:t>
      </w:r>
      <w:r>
        <w:rPr>
          <w:sz w:val="21"/>
          <w:color w:val="222222"/>
        </w:rPr>
        <w:t>本采购项目按《政府采购促进中小企业发展管理办法》（财库〔</w:t>
      </w:r>
      <w:r>
        <w:rPr>
          <w:sz w:val="21"/>
          <w:color w:val="222222"/>
        </w:rPr>
        <w:t>2020〕46号）的相关规定，所有采购合同包组整体专门面向中小企业。</w:t>
      </w:r>
    </w:p>
    <w:p>
      <w:pPr>
        <w:pStyle w:val="null3"/>
        <w:ind w:left="360"/>
      </w:pPr>
      <w:r>
        <w:rPr>
          <w:sz w:val="21"/>
          <w:color w:val="222222"/>
        </w:rPr>
        <w:t>二、最高限价和报价方式</w:t>
      </w:r>
    </w:p>
    <w:p>
      <w:pPr>
        <w:pStyle w:val="null3"/>
        <w:ind w:right="45" w:firstLine="356"/>
        <w:jc w:val="both"/>
      </w:pPr>
      <w:r>
        <w:rPr>
          <w:sz w:val="21"/>
          <w:color w:val="222222"/>
        </w:rPr>
        <w:t>（一）本项目各包组最高限价分别为：</w:t>
      </w:r>
      <w:r>
        <w:rPr>
          <w:sz w:val="21"/>
        </w:rPr>
        <w:t>4500000.00元</w:t>
      </w:r>
      <w:r>
        <w:rPr>
          <w:sz w:val="21"/>
          <w:color w:val="222222"/>
        </w:rPr>
        <w:t>。供应商的投标报价不得超过最高限价，否则作无效标处理。（投标人以采购人审核的单价为基准价的收费填报下浮率，且只填报一个下浮率，下浮率</w:t>
      </w:r>
      <w:r>
        <w:rPr>
          <w:sz w:val="21"/>
          <w:color w:val="222222"/>
        </w:rPr>
        <w:t>0%-100%</w:t>
      </w:r>
      <w:r>
        <w:rPr>
          <w:sz w:val="21"/>
          <w:color w:val="222222"/>
        </w:rPr>
        <w:t>，本次招标项目投标报价采用单价包干，投标报价包人工、包设备、包工期、包安全等所需要的一切费用，还包税费、包成果工本等所有费用）。</w:t>
      </w:r>
    </w:p>
    <w:p>
      <w:pPr>
        <w:pStyle w:val="null3"/>
        <w:ind w:left="360"/>
      </w:pPr>
      <w:r>
        <w:rPr>
          <w:sz w:val="21"/>
          <w:color w:val="222222"/>
        </w:rPr>
        <w:t>（二）报价方式：按下浮率的报价方式。（投标人以采购人审核的单价为基准价的收费填报下浮率，且只填报一个下浮率，下浮率</w:t>
      </w:r>
      <w:r>
        <w:rPr>
          <w:sz w:val="21"/>
          <w:color w:val="222222"/>
        </w:rPr>
        <w:t>0%-</w:t>
      </w:r>
      <w:r>
        <w:rPr>
          <w:sz w:val="21"/>
          <w:color w:val="222222"/>
        </w:rPr>
        <w:t>100%</w:t>
      </w:r>
      <w:r>
        <w:rPr>
          <w:sz w:val="21"/>
          <w:color w:val="222222"/>
        </w:rPr>
        <w:t>，本次招标项目投标报价采用单价包干，投标报价包人工、包设备、包工期、包安全等所需要的一切费用，还包税费、包成果工本等所有费用）。</w:t>
      </w:r>
    </w:p>
    <w:p>
      <w:pPr>
        <w:pStyle w:val="null3"/>
        <w:ind w:left="360"/>
      </w:pPr>
      <w:r>
        <w:rPr>
          <w:sz w:val="21"/>
          <w:color w:val="222222"/>
        </w:rPr>
        <w:t>注：劳务项目基准价：</w:t>
      </w:r>
    </w:p>
    <w:p>
      <w:pPr>
        <w:pStyle w:val="null3"/>
      </w:pPr>
      <w:r>
        <w:rPr>
          <w:sz w:val="21"/>
          <w:color w:val="FF0000"/>
        </w:rPr>
        <w:t xml:space="preserve">   </w:t>
      </w:r>
      <w:r>
        <w:rPr>
          <w:sz w:val="21"/>
        </w:rPr>
        <w:t xml:space="preserve">   1、钻芯法检测：</w:t>
      </w:r>
    </w:p>
    <w:p>
      <w:pPr>
        <w:pStyle w:val="null3"/>
      </w:pPr>
      <w:r>
        <w:rPr>
          <w:sz w:val="21"/>
        </w:rPr>
        <w:t xml:space="preserve">           1）基桩混凝土钻芯检测和岩基钻芯检测（</w:t>
      </w:r>
      <w:r>
        <w:rPr>
          <w:sz w:val="21"/>
        </w:rPr>
        <w:t>人民币：266.00元/米）；</w:t>
      </w:r>
    </w:p>
    <w:p>
      <w:pPr>
        <w:pStyle w:val="null3"/>
      </w:pPr>
      <w:r>
        <w:rPr>
          <w:sz w:val="21"/>
        </w:rPr>
        <w:t xml:space="preserve">           2）复合地基钻芯检测（</w:t>
      </w:r>
      <w:r>
        <w:rPr>
          <w:sz w:val="21"/>
        </w:rPr>
        <w:t>人民币：196.00元/米）。</w:t>
      </w:r>
    </w:p>
    <w:p>
      <w:pPr>
        <w:pStyle w:val="null3"/>
      </w:pPr>
      <w:r>
        <w:rPr>
          <w:sz w:val="21"/>
        </w:rPr>
        <w:t xml:space="preserve">      2、标准贯入试验（</w:t>
      </w:r>
      <w:r>
        <w:rPr>
          <w:sz w:val="21"/>
        </w:rPr>
        <w:t>人民币：175元/米）。</w:t>
      </w:r>
    </w:p>
    <w:p>
      <w:pPr>
        <w:pStyle w:val="null3"/>
      </w:pPr>
      <w:r>
        <w:rPr>
          <w:sz w:val="21"/>
        </w:rPr>
        <w:t xml:space="preserve">      3、动力触探试验：</w:t>
      </w:r>
    </w:p>
    <w:p>
      <w:pPr>
        <w:pStyle w:val="null3"/>
      </w:pPr>
      <w:r>
        <w:rPr>
          <w:sz w:val="21"/>
        </w:rPr>
        <w:t xml:space="preserve">           1）轻型动力触探试验（人民币：140.00元/点）；</w:t>
      </w:r>
    </w:p>
    <w:p>
      <w:pPr>
        <w:pStyle w:val="null3"/>
      </w:pPr>
      <w:r>
        <w:rPr>
          <w:sz w:val="21"/>
        </w:rPr>
        <w:t xml:space="preserve">           2）重型动力触探试验（人民币：840.00元/点）。</w:t>
      </w:r>
    </w:p>
    <w:p>
      <w:pPr>
        <w:pStyle w:val="null3"/>
        <w:ind w:firstLine="560"/>
        <w:jc w:val="both"/>
      </w:pPr>
      <w:r>
        <w:rPr>
          <w:sz w:val="21"/>
        </w:rPr>
        <w:t>（三）报价要求：</w:t>
      </w:r>
    </w:p>
    <w:p>
      <w:pPr>
        <w:pStyle w:val="null3"/>
      </w:pPr>
      <w:r>
        <w:rPr>
          <w:sz w:val="21"/>
        </w:rPr>
        <w:t xml:space="preserve">       1、供应商的报价需要符合本项目“一、采购项目的基本信息”关于有效报价的要求。</w:t>
      </w:r>
    </w:p>
    <w:p>
      <w:pPr>
        <w:pStyle w:val="null3"/>
      </w:pPr>
      <w:r>
        <w:rPr>
          <w:sz w:val="21"/>
        </w:rPr>
        <w:t xml:space="preserve">       2、供应商未按报价方式、报价要求进行投标报价的，视为无效报价，其投标无效，由评标委员会在符合性审查中不予通过。</w:t>
      </w:r>
    </w:p>
    <w:p>
      <w:pPr>
        <w:pStyle w:val="null3"/>
      </w:pPr>
      <w:r>
        <w:rPr/>
        <w:t>采购包1（采购钻芯法检测、标准贯入试验和动力触探试验劳务服务单位（一））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自合同签订之后第二天开始进场服务，服务期为2年</w:t>
            </w:r>
          </w:p>
        </w:tc>
      </w:tr>
      <w:tr>
        <w:tc>
          <w:tcPr>
            <w:tcW w:type="dxa" w:w="4153"/>
          </w:tcPr>
          <w:p>
            <w:pPr>
              <w:pStyle w:val="null3"/>
            </w:pPr>
            <w:r>
              <w:rPr/>
              <w:t>标的提供的地点</w:t>
            </w:r>
          </w:p>
        </w:tc>
        <w:tc>
          <w:tcPr>
            <w:tcW w:type="dxa" w:w="4153"/>
          </w:tcPr>
          <w:p>
            <w:pPr>
              <w:pStyle w:val="null3"/>
            </w:pPr>
            <w:r>
              <w:rPr/>
              <w:t>惠州市惠阳区住房和城乡建设局</w:t>
            </w:r>
          </w:p>
        </w:tc>
      </w:tr>
      <w:tr/>
      <w:tr/>
      <w:tr>
        <w:tc>
          <w:tcPr>
            <w:tcW w:type="dxa" w:w="4153"/>
          </w:tcPr>
          <w:p>
            <w:pPr>
              <w:pStyle w:val="null3"/>
            </w:pPr>
            <w:r>
              <w:rPr/>
              <w:t>付款方式</w:t>
            </w:r>
          </w:p>
        </w:tc>
        <w:tc>
          <w:tcPr>
            <w:tcW w:type="dxa" w:w="4153"/>
          </w:tcPr>
          <w:p>
            <w:pPr>
              <w:pStyle w:val="null3"/>
            </w:pPr>
            <w:r>
              <w:rPr/>
              <w:t>第1期为(进度款)：支付比例100%，注：1、结算方式：服务费=中标单价×实际完成工作量。 2、实际完成工作量的确定：以检测业务委托方取得检测报告并缴费后的工作量为当月实际完成工作量 由双方签名确认后进行结算。 3、技术协作服务费的付款办法：当月技术协作服务费于下一个月10日前结清，供应商负责提供发票 及承担相关税费。 4、采购方委托下属事业单位惠州市惠阳区建设工程质量检测中心与供应商进行结算并支付相关款项。 5、实际支付进度以财政资金拨付进度为准，如因财政资金不能及时到位导致采购方延迟支付，采购方不构成违约，不承担给供应商造成的任何损失，且不作为供应商延迟履行或不履行合同的依据和理由。。</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1期：验收按照广东省标准《建筑地基基础检测规范》DBJ/T 15-60-2019执行。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应急处理要求</w:t>
            </w:r>
          </w:p>
        </w:tc>
        <w:tc>
          <w:tcPr>
            <w:tcW w:type="dxa" w:w="2076"/>
          </w:tcPr>
          <w:p>
            <w:pPr>
              <w:pStyle w:val="null3"/>
              <w:jc w:val="left"/>
            </w:pPr>
            <w:r>
              <w:rPr/>
              <w:t>针对突然增加的任务数量或突发事件而建立完善的应急处理机制。</w:t>
            </w:r>
          </w:p>
        </w:tc>
      </w:tr>
      <w:tr>
        <w:tc>
          <w:tcPr>
            <w:tcW w:type="dxa" w:w="2076"/>
          </w:tcPr>
          <w:p/>
        </w:tc>
        <w:tc>
          <w:tcPr>
            <w:tcW w:type="dxa" w:w="2076"/>
          </w:tcPr>
          <w:p>
            <w:pPr>
              <w:pStyle w:val="null3"/>
              <w:jc w:val="center"/>
            </w:pPr>
            <w:r>
              <w:rPr/>
              <w:t>2</w:t>
            </w:r>
          </w:p>
        </w:tc>
        <w:tc>
          <w:tcPr>
            <w:tcW w:type="dxa" w:w="2076"/>
          </w:tcPr>
          <w:p>
            <w:pPr>
              <w:pStyle w:val="null3"/>
              <w:jc w:val="left"/>
            </w:pPr>
            <w:r>
              <w:rPr/>
              <w:t>服务时间响应</w:t>
            </w:r>
          </w:p>
        </w:tc>
        <w:tc>
          <w:tcPr>
            <w:tcW w:type="dxa" w:w="2076"/>
          </w:tcPr>
          <w:p>
            <w:pPr>
              <w:pStyle w:val="null3"/>
              <w:jc w:val="left"/>
            </w:pPr>
            <w:r>
              <w:rPr/>
              <w:t>工作任务下达之后，投标人须半个小时内响应，3个小时内进场开展检测工作。</w:t>
            </w:r>
          </w:p>
        </w:tc>
      </w:tr>
      <w:tr>
        <w:tc>
          <w:tcPr>
            <w:tcW w:type="dxa" w:w="2076"/>
          </w:tcPr>
          <w:p/>
        </w:tc>
        <w:tc>
          <w:tcPr>
            <w:tcW w:type="dxa" w:w="2076"/>
          </w:tcPr>
          <w:p>
            <w:pPr>
              <w:pStyle w:val="null3"/>
              <w:jc w:val="center"/>
            </w:pPr>
            <w:r>
              <w:rPr/>
              <w:t>3</w:t>
            </w:r>
          </w:p>
        </w:tc>
        <w:tc>
          <w:tcPr>
            <w:tcW w:type="dxa" w:w="2076"/>
          </w:tcPr>
          <w:p>
            <w:pPr>
              <w:pStyle w:val="null3"/>
              <w:jc w:val="left"/>
            </w:pPr>
            <w:r>
              <w:rPr/>
              <w:t>项目负责人</w:t>
            </w:r>
          </w:p>
        </w:tc>
        <w:tc>
          <w:tcPr>
            <w:tcW w:type="dxa" w:w="2076"/>
          </w:tcPr>
          <w:p>
            <w:pPr>
              <w:pStyle w:val="null3"/>
              <w:jc w:val="left"/>
            </w:pPr>
            <w:r>
              <w:rPr/>
              <w:t>需具备以下条件：★1、持有行业主管部门授权的具有相应资格的行业协会（省级）颁发的钻孔取芯（机长）、钻孔取芯(编审)及岩土工程原位测试培训合格证。 2、具有建筑工程检测或建筑工程管理或岩土初级及以上职称。 备注：提供为其缴纳的社保证明(开标当月之前6个月内任意1个月社保证明)，项目负责人的合格证、职称、执业资格等证明材料。</w:t>
            </w:r>
          </w:p>
        </w:tc>
      </w:tr>
      <w:tr>
        <w:tc>
          <w:tcPr>
            <w:tcW w:type="dxa" w:w="2076"/>
          </w:tcPr>
          <w:p/>
        </w:tc>
        <w:tc>
          <w:tcPr>
            <w:tcW w:type="dxa" w:w="2076"/>
          </w:tcPr>
          <w:p>
            <w:pPr>
              <w:pStyle w:val="null3"/>
              <w:jc w:val="center"/>
            </w:pPr>
            <w:r>
              <w:rPr/>
              <w:t>4</w:t>
            </w:r>
          </w:p>
        </w:tc>
        <w:tc>
          <w:tcPr>
            <w:tcW w:type="dxa" w:w="2076"/>
          </w:tcPr>
          <w:p>
            <w:pPr>
              <w:pStyle w:val="null3"/>
              <w:jc w:val="left"/>
            </w:pPr>
            <w:r>
              <w:rPr/>
              <w:t>拟派人员服务能力</w:t>
            </w:r>
          </w:p>
        </w:tc>
        <w:tc>
          <w:tcPr>
            <w:tcW w:type="dxa" w:w="2076"/>
          </w:tcPr>
          <w:p>
            <w:pPr>
              <w:pStyle w:val="null3"/>
              <w:jc w:val="left"/>
            </w:pPr>
            <w:r>
              <w:rPr/>
              <w:t>需具备以下条件：★1、持有行业主管部门授权的具有相应资格的行业协会（省级）颁发的钻孔取芯（机长）、钻孔取芯(编审)及岩土工程原位测试培训合格证的上岗人员各至少2名；2、建筑工程检测工程师或岩土工程师或建筑工程管理工程师至少2名。 备注：提供为其缴纳的社保证明(开标当月之前6个月内任意1个月社保证明)，拟派人员的合格证、职称、执业资格等证明材料。</w:t>
            </w:r>
          </w:p>
        </w:tc>
      </w:tr>
      <w:tr>
        <w:tc>
          <w:tcPr>
            <w:tcW w:type="dxa" w:w="2076"/>
          </w:tcPr>
          <w:p/>
        </w:tc>
        <w:tc>
          <w:tcPr>
            <w:tcW w:type="dxa" w:w="2076"/>
          </w:tcPr>
          <w:p>
            <w:pPr>
              <w:pStyle w:val="null3"/>
              <w:jc w:val="center"/>
            </w:pPr>
            <w:r>
              <w:rPr/>
              <w:t>5</w:t>
            </w:r>
          </w:p>
        </w:tc>
        <w:tc>
          <w:tcPr>
            <w:tcW w:type="dxa" w:w="2076"/>
          </w:tcPr>
          <w:p>
            <w:pPr>
              <w:pStyle w:val="null3"/>
              <w:jc w:val="left"/>
            </w:pPr>
            <w:r>
              <w:rPr/>
              <w:t>同类业绩情况</w:t>
            </w:r>
          </w:p>
        </w:tc>
        <w:tc>
          <w:tcPr>
            <w:tcW w:type="dxa" w:w="2076"/>
          </w:tcPr>
          <w:p>
            <w:pPr>
              <w:pStyle w:val="null3"/>
              <w:jc w:val="left"/>
            </w:pPr>
            <w:r>
              <w:rPr/>
              <w:t>投标人须提供钻芯法验桩、标准贯入试验、轻型动力触探试验、重型动力触探试验的同类业绩，证明材料包括供同类合同及发票复印件（合同可以复印合同的关键页面）或同类检测服务技术劳务合作项目结算单及发票复印件。</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采购钻芯法检测、标准贯入试验和动 力触探试验劳务服务单位（一）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4,500,000.00</w:t>
            </w:r>
          </w:p>
        </w:tc>
        <w:tc>
          <w:tcPr>
            <w:tcW w:type="dxa" w:w="831"/>
          </w:tcPr>
          <w:p>
            <w:pPr>
              <w:pStyle w:val="null3"/>
              <w:jc w:val="right"/>
            </w:pPr>
            <w:r>
              <w:rPr/>
              <w:t>4,500,000.00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采购钻芯法检测、标准贯入试验和动 力触探试验劳务服务单位（一）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rPr>
              <w:t>服务内容：负责新圩镇、秋长街道、淡水街道、沙田镇片区的钻芯法检测、标准贯入试验和动力触探试验工作。</w:t>
            </w:r>
          </w:p>
        </w:tc>
      </w:tr>
      <w:tr>
        <w:tc>
          <w:tcPr>
            <w:tcW w:type="dxa" w:w="2076"/>
          </w:tcPr>
          <w:p/>
        </w:tc>
        <w:tc>
          <w:tcPr>
            <w:tcW w:type="dxa" w:w="415"/>
          </w:tcPr>
          <w:p>
            <w:pPr>
              <w:pStyle w:val="null3"/>
            </w:pPr>
            <w:r>
              <w:rPr/>
              <w:t>2</w:t>
            </w:r>
          </w:p>
        </w:tc>
        <w:tc>
          <w:tcPr>
            <w:tcW w:type="dxa" w:w="5814"/>
          </w:tcPr>
          <w:p>
            <w:pPr>
              <w:pStyle w:val="null3"/>
            </w:pPr>
            <w:r>
              <w:rPr>
                <w:sz w:val="22"/>
              </w:rPr>
              <w:t>设备配备：高速钻机</w:t>
            </w:r>
            <w:r>
              <w:rPr>
                <w:sz w:val="22"/>
              </w:rPr>
              <w:t>6</w:t>
            </w:r>
            <w:r>
              <w:rPr>
                <w:sz w:val="22"/>
              </w:rPr>
              <w:t>套，提供单动双管、金刚石钻头等钻进工具及配套材料，负责设备进退场、安装、现场钻芯操作、转场吊运、芯样加工</w:t>
            </w:r>
            <w:r>
              <w:rPr>
                <w:sz w:val="22"/>
              </w:rPr>
              <w:t>运输</w:t>
            </w:r>
            <w:r>
              <w:rPr>
                <w:sz w:val="22"/>
              </w:rPr>
              <w:t>；</w:t>
            </w:r>
            <w:r>
              <w:rPr>
                <w:sz w:val="22"/>
              </w:rPr>
              <w:t>配备标准贯入设备</w:t>
            </w:r>
            <w:r>
              <w:rPr>
                <w:sz w:val="22"/>
              </w:rPr>
              <w:t>2</w:t>
            </w:r>
            <w:r>
              <w:rPr>
                <w:sz w:val="22"/>
              </w:rPr>
              <w:t>套，提供贯入穿心锤、贯入器、钻杆、穿心锤导向杆等，落锤装置采用自动脱钩装置。负责设备进退场、安装、现场贯入操作、转场吊运；</w:t>
            </w:r>
            <w:r>
              <w:rPr>
                <w:sz w:val="22"/>
              </w:rPr>
              <w:t>配备轻型动力触探设备</w:t>
            </w:r>
            <w:r>
              <w:rPr>
                <w:sz w:val="22"/>
              </w:rPr>
              <w:t>2</w:t>
            </w:r>
            <w:r>
              <w:rPr>
                <w:sz w:val="22"/>
              </w:rPr>
              <w:t>套，提供轻型动力触探穿心锤、触探杆、圆锥头等，负责设备进退场、安装</w:t>
            </w:r>
            <w:r>
              <w:rPr>
                <w:sz w:val="22"/>
              </w:rPr>
              <w:t>,</w:t>
            </w:r>
            <w:r>
              <w:rPr>
                <w:sz w:val="22"/>
              </w:rPr>
              <w:t>现场触探操作、转场吊运</w:t>
            </w:r>
            <w:r>
              <w:rPr>
                <w:sz w:val="22"/>
              </w:rPr>
              <w:t>；</w:t>
            </w:r>
            <w:r>
              <w:rPr>
                <w:sz w:val="22"/>
              </w:rPr>
              <w:t>配备重型动力触探设备</w:t>
            </w:r>
            <w:r>
              <w:rPr>
                <w:sz w:val="22"/>
              </w:rPr>
              <w:t>2</w:t>
            </w:r>
            <w:r>
              <w:rPr>
                <w:sz w:val="22"/>
              </w:rPr>
              <w:t>套，提供重型动力触探穿心锤、触探杆、圆锥头等，落锤装置采用自动脱钩装置。负责设备进退场、安装，现场触探操作、转场吊运</w:t>
            </w:r>
            <w:r>
              <w:rPr>
                <w:sz w:val="22"/>
              </w:rPr>
              <w:t>。</w:t>
            </w:r>
          </w:p>
        </w:tc>
      </w:tr>
      <w:tr>
        <w:tc>
          <w:tcPr>
            <w:tcW w:type="dxa" w:w="2076"/>
          </w:tcPr>
          <w:p/>
        </w:tc>
        <w:tc>
          <w:tcPr>
            <w:tcW w:type="dxa" w:w="415"/>
          </w:tcPr>
          <w:p>
            <w:pPr>
              <w:pStyle w:val="null3"/>
            </w:pPr>
            <w:r>
              <w:rPr/>
              <w:t>3</w:t>
            </w:r>
          </w:p>
        </w:tc>
        <w:tc>
          <w:tcPr>
            <w:tcW w:type="dxa" w:w="5814"/>
          </w:tcPr>
          <w:p>
            <w:pPr>
              <w:pStyle w:val="null3"/>
            </w:pPr>
            <w:r>
              <w:rPr/>
              <w:t>技术设计要求：(1)服务资源配置符合本项目的要求，需制定相应的管理制度、安全生产方案，保证试验工作的质量和进度。(2)能够提供高效且保证检测质量的工作计划及编制大纲方案。（3）中标人需要配合采购人进行芯样加工，试件端面需平整，与轴线的垂直度不超过2°，符合《建筑地基基础检测规范》DBJ/T 15-60-2019的有关要求。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采购包2（采购钻芯法检测、标准贯入试验和动力触探试验劳务服务单位（二））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自合同签订之后第二天开始进场服务，服务期为2年</w:t>
            </w:r>
          </w:p>
        </w:tc>
      </w:tr>
      <w:tr>
        <w:tc>
          <w:tcPr>
            <w:tcW w:type="dxa" w:w="4153"/>
          </w:tcPr>
          <w:p>
            <w:pPr>
              <w:pStyle w:val="null3"/>
            </w:pPr>
            <w:r>
              <w:rPr/>
              <w:t>标的提供的地点</w:t>
            </w:r>
          </w:p>
        </w:tc>
        <w:tc>
          <w:tcPr>
            <w:tcW w:type="dxa" w:w="4153"/>
          </w:tcPr>
          <w:p>
            <w:pPr>
              <w:pStyle w:val="null3"/>
            </w:pPr>
            <w:r>
              <w:rPr/>
              <w:t>惠州市惠阳区住房和城乡建设局</w:t>
            </w:r>
          </w:p>
        </w:tc>
      </w:tr>
      <w:tr/>
      <w:tr/>
      <w:tr>
        <w:tc>
          <w:tcPr>
            <w:tcW w:type="dxa" w:w="4153"/>
          </w:tcPr>
          <w:p>
            <w:pPr>
              <w:pStyle w:val="null3"/>
            </w:pPr>
            <w:r>
              <w:rPr/>
              <w:t>付款方式</w:t>
            </w:r>
          </w:p>
        </w:tc>
        <w:tc>
          <w:tcPr>
            <w:tcW w:type="dxa" w:w="4153"/>
          </w:tcPr>
          <w:p>
            <w:pPr>
              <w:pStyle w:val="null3"/>
            </w:pPr>
            <w:r>
              <w:rPr/>
              <w:t>第1期为(进度款)：支付比例100%，注：1、结算方式：服务费=中标单价×实际完成工作量。 2、实际完成工作量的确定：以检测业务委托方取得检测报告并缴费后的工作量为当月实际完成工作量 由双方签名确认后进行结算。 3、技术协作服务费的付款办法：当月技术协作服务费于下一个月10日前结清，供应商负责提供发票 及承担相关税费。 4、采购方委托下属事业单位惠州市惠阳区建设工程质量检测中心与供应商进行结算并支付相关款项。 5、实际支付进度以财政资金拨付进度为准，如因财政资金不能及时到位导致采购方延迟支付，采购方不构成违约，不承担给供应商造成的任何损失，且不作为供应商延迟履行或不履行合同的依据和理由。。</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1期：验收按照广东省标准《建筑地基基础检测规范》DBJ/T 15-60-2019执行。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应急处理要求</w:t>
            </w:r>
          </w:p>
        </w:tc>
        <w:tc>
          <w:tcPr>
            <w:tcW w:type="dxa" w:w="2076"/>
          </w:tcPr>
          <w:p>
            <w:pPr>
              <w:pStyle w:val="null3"/>
              <w:jc w:val="left"/>
            </w:pPr>
            <w:r>
              <w:rPr/>
              <w:t>针对突然增加的任务数量或突发事件而建立完善的应急处理机制。</w:t>
            </w:r>
          </w:p>
        </w:tc>
      </w:tr>
      <w:tr>
        <w:tc>
          <w:tcPr>
            <w:tcW w:type="dxa" w:w="2076"/>
          </w:tcPr>
          <w:p/>
        </w:tc>
        <w:tc>
          <w:tcPr>
            <w:tcW w:type="dxa" w:w="2076"/>
          </w:tcPr>
          <w:p>
            <w:pPr>
              <w:pStyle w:val="null3"/>
              <w:jc w:val="center"/>
            </w:pPr>
            <w:r>
              <w:rPr/>
              <w:t>2</w:t>
            </w:r>
          </w:p>
        </w:tc>
        <w:tc>
          <w:tcPr>
            <w:tcW w:type="dxa" w:w="2076"/>
          </w:tcPr>
          <w:p>
            <w:pPr>
              <w:pStyle w:val="null3"/>
              <w:jc w:val="left"/>
            </w:pPr>
            <w:r>
              <w:rPr/>
              <w:t>服务时间响应</w:t>
            </w:r>
          </w:p>
        </w:tc>
        <w:tc>
          <w:tcPr>
            <w:tcW w:type="dxa" w:w="2076"/>
          </w:tcPr>
          <w:p>
            <w:pPr>
              <w:pStyle w:val="null3"/>
              <w:jc w:val="left"/>
            </w:pPr>
            <w:r>
              <w:rPr/>
              <w:t>工作任务下达之后，投标人须半个小时内响应，3个小时内进场开展检测工作。</w:t>
            </w:r>
          </w:p>
        </w:tc>
      </w:tr>
      <w:tr>
        <w:tc>
          <w:tcPr>
            <w:tcW w:type="dxa" w:w="2076"/>
          </w:tcPr>
          <w:p/>
        </w:tc>
        <w:tc>
          <w:tcPr>
            <w:tcW w:type="dxa" w:w="2076"/>
          </w:tcPr>
          <w:p>
            <w:pPr>
              <w:pStyle w:val="null3"/>
              <w:jc w:val="center"/>
            </w:pPr>
            <w:r>
              <w:rPr/>
              <w:t>3</w:t>
            </w:r>
          </w:p>
        </w:tc>
        <w:tc>
          <w:tcPr>
            <w:tcW w:type="dxa" w:w="2076"/>
          </w:tcPr>
          <w:p>
            <w:pPr>
              <w:pStyle w:val="null3"/>
              <w:jc w:val="left"/>
            </w:pPr>
            <w:r>
              <w:rPr/>
              <w:t>项目负责人</w:t>
            </w:r>
          </w:p>
        </w:tc>
        <w:tc>
          <w:tcPr>
            <w:tcW w:type="dxa" w:w="2076"/>
          </w:tcPr>
          <w:p>
            <w:pPr>
              <w:pStyle w:val="null3"/>
              <w:jc w:val="left"/>
            </w:pPr>
            <w:r>
              <w:rPr/>
              <w:t>需具备以下条件：★1、持有行业主管部门授权的具有相应资格的行业协会（省级）颁发的钻孔取芯（机长）、钻孔取芯(编审)及岩土工程原位测试培训合格证。 2、具有建筑工程检测或建筑工程管理或岩土初级及以上职称。 备注：提供为其缴纳的社保证明(开标当月之前6个月内任意1个月社保证明)，项目负责人的合格证、职称、执业资格等证明材料。</w:t>
            </w:r>
          </w:p>
        </w:tc>
      </w:tr>
      <w:tr>
        <w:tc>
          <w:tcPr>
            <w:tcW w:type="dxa" w:w="2076"/>
          </w:tcPr>
          <w:p/>
        </w:tc>
        <w:tc>
          <w:tcPr>
            <w:tcW w:type="dxa" w:w="2076"/>
          </w:tcPr>
          <w:p>
            <w:pPr>
              <w:pStyle w:val="null3"/>
              <w:jc w:val="center"/>
            </w:pPr>
            <w:r>
              <w:rPr/>
              <w:t>4</w:t>
            </w:r>
          </w:p>
        </w:tc>
        <w:tc>
          <w:tcPr>
            <w:tcW w:type="dxa" w:w="2076"/>
          </w:tcPr>
          <w:p>
            <w:pPr>
              <w:pStyle w:val="null3"/>
              <w:jc w:val="left"/>
            </w:pPr>
            <w:r>
              <w:rPr/>
              <w:t>拟派人员服务能力</w:t>
            </w:r>
          </w:p>
        </w:tc>
        <w:tc>
          <w:tcPr>
            <w:tcW w:type="dxa" w:w="2076"/>
          </w:tcPr>
          <w:p>
            <w:pPr>
              <w:pStyle w:val="null3"/>
              <w:jc w:val="left"/>
            </w:pPr>
            <w:r>
              <w:rPr/>
              <w:t>需具备以下条件：★1、持有行业主管部门授权的具有相应资格的行业协会（省级）颁发的钻孔取芯（机长）、钻孔取芯(编审)及岩土工程原位测试培训合格证的上岗人员各至少2名；2、建筑工程检测工程师或岩土工程师或建筑工程管理工程师至少2名。 备注：提供为其缴纳的社保证明(开标当月之前6个月内任意1个月社保证明)，拟派人员的合格证、职称、执业资格等证明材料。</w:t>
            </w:r>
          </w:p>
        </w:tc>
      </w:tr>
      <w:tr>
        <w:tc>
          <w:tcPr>
            <w:tcW w:type="dxa" w:w="2076"/>
          </w:tcPr>
          <w:p/>
        </w:tc>
        <w:tc>
          <w:tcPr>
            <w:tcW w:type="dxa" w:w="2076"/>
          </w:tcPr>
          <w:p>
            <w:pPr>
              <w:pStyle w:val="null3"/>
              <w:jc w:val="center"/>
            </w:pPr>
            <w:r>
              <w:rPr/>
              <w:t>5</w:t>
            </w:r>
          </w:p>
        </w:tc>
        <w:tc>
          <w:tcPr>
            <w:tcW w:type="dxa" w:w="2076"/>
          </w:tcPr>
          <w:p>
            <w:pPr>
              <w:pStyle w:val="null3"/>
              <w:jc w:val="left"/>
            </w:pPr>
            <w:r>
              <w:rPr/>
              <w:t>同类业绩情况</w:t>
            </w:r>
          </w:p>
        </w:tc>
        <w:tc>
          <w:tcPr>
            <w:tcW w:type="dxa" w:w="2076"/>
          </w:tcPr>
          <w:p>
            <w:pPr>
              <w:pStyle w:val="null3"/>
              <w:jc w:val="left"/>
            </w:pPr>
            <w:r>
              <w:rPr/>
              <w:t>投标人须提供钻芯法验桩、标准贯入试验、轻型动力触探试验、重型动力触探试验的同类业绩，证明材料包括供同类合同及发票复印件（合同可以复印合同的关键页面）或同类检测服务技术劳务合作项目结算单及发票复印件。</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采购钻芯法检测、标准贯入试验和动 力触探试验劳务服务单位（二）</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4,500,000.00</w:t>
            </w:r>
          </w:p>
        </w:tc>
        <w:tc>
          <w:tcPr>
            <w:tcW w:type="dxa" w:w="831"/>
          </w:tcPr>
          <w:p>
            <w:pPr>
              <w:pStyle w:val="null3"/>
              <w:jc w:val="right"/>
            </w:pPr>
            <w:r>
              <w:rPr/>
              <w:t>4,500,000.00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采购钻芯法检测、标准贯入试验和动 力触探试验劳务服务单位（二）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rPr>
              <w:t>服务内容：负责镇隆镇、永湖镇、三和街道、良井镇、平潭镇片区的钻芯法检测、标准贯入试验和动力触探试验工作。</w:t>
            </w:r>
          </w:p>
        </w:tc>
      </w:tr>
      <w:tr>
        <w:tc>
          <w:tcPr>
            <w:tcW w:type="dxa" w:w="2076"/>
          </w:tcPr>
          <w:p/>
        </w:tc>
        <w:tc>
          <w:tcPr>
            <w:tcW w:type="dxa" w:w="415"/>
          </w:tcPr>
          <w:p>
            <w:pPr>
              <w:pStyle w:val="null3"/>
            </w:pPr>
            <w:r>
              <w:rPr/>
              <w:t>2</w:t>
            </w:r>
          </w:p>
        </w:tc>
        <w:tc>
          <w:tcPr>
            <w:tcW w:type="dxa" w:w="5814"/>
          </w:tcPr>
          <w:p>
            <w:pPr>
              <w:pStyle w:val="null3"/>
            </w:pPr>
            <w:r>
              <w:rPr>
                <w:sz w:val="22"/>
              </w:rPr>
              <w:t>设备配备：高速钻机</w:t>
            </w:r>
            <w:r>
              <w:rPr>
                <w:sz w:val="22"/>
              </w:rPr>
              <w:t>6</w:t>
            </w:r>
            <w:r>
              <w:rPr>
                <w:sz w:val="22"/>
              </w:rPr>
              <w:t>套，提供单动双管、金刚石钻头等钻进工具及配套材料，负责设备进退场、安装、现场钻芯操作、转场吊运、芯样加工</w:t>
            </w:r>
            <w:r>
              <w:rPr>
                <w:sz w:val="22"/>
              </w:rPr>
              <w:t>运输</w:t>
            </w:r>
            <w:r>
              <w:rPr>
                <w:sz w:val="22"/>
              </w:rPr>
              <w:t>；</w:t>
            </w:r>
            <w:r>
              <w:rPr>
                <w:sz w:val="22"/>
              </w:rPr>
              <w:t>配备标准贯入设备</w:t>
            </w:r>
            <w:r>
              <w:rPr>
                <w:sz w:val="22"/>
              </w:rPr>
              <w:t>2</w:t>
            </w:r>
            <w:r>
              <w:rPr>
                <w:sz w:val="22"/>
              </w:rPr>
              <w:t>套，提供贯入穿心锤、贯入器、钻杆、穿心锤导向杆等，落锤装置采用自动脱钩装置。负责设备进退场、安装、现场贯入操作、转场吊运；</w:t>
            </w:r>
            <w:r>
              <w:rPr>
                <w:sz w:val="22"/>
              </w:rPr>
              <w:t>配备轻型动力触探设备</w:t>
            </w:r>
            <w:r>
              <w:rPr>
                <w:sz w:val="22"/>
              </w:rPr>
              <w:t>2</w:t>
            </w:r>
            <w:r>
              <w:rPr>
                <w:sz w:val="22"/>
              </w:rPr>
              <w:t>套，提供轻型动力触探穿心锤、触探杆、圆锥头等，负责设备进退场、安装</w:t>
            </w:r>
            <w:r>
              <w:rPr>
                <w:sz w:val="22"/>
              </w:rPr>
              <w:t>,</w:t>
            </w:r>
            <w:r>
              <w:rPr>
                <w:sz w:val="22"/>
              </w:rPr>
              <w:t>现场触探操作、转场吊运</w:t>
            </w:r>
            <w:r>
              <w:rPr>
                <w:sz w:val="22"/>
              </w:rPr>
              <w:t>；</w:t>
            </w:r>
            <w:r>
              <w:rPr>
                <w:sz w:val="22"/>
              </w:rPr>
              <w:t>配备重型动力触探设备</w:t>
            </w:r>
            <w:r>
              <w:rPr>
                <w:sz w:val="22"/>
              </w:rPr>
              <w:t>2</w:t>
            </w:r>
            <w:r>
              <w:rPr>
                <w:sz w:val="22"/>
              </w:rPr>
              <w:t>套，提供重型动力触探穿心锤、触探杆、圆锥头等，落锤装置采用自动脱钩装置。负责设备进退场、安装，现场触探操作、转场吊运</w:t>
            </w:r>
            <w:r>
              <w:rPr>
                <w:sz w:val="22"/>
              </w:rPr>
              <w:t>。</w:t>
            </w:r>
          </w:p>
        </w:tc>
      </w:tr>
      <w:tr>
        <w:tc>
          <w:tcPr>
            <w:tcW w:type="dxa" w:w="2076"/>
          </w:tcPr>
          <w:p/>
        </w:tc>
        <w:tc>
          <w:tcPr>
            <w:tcW w:type="dxa" w:w="415"/>
          </w:tcPr>
          <w:p>
            <w:pPr>
              <w:pStyle w:val="null3"/>
            </w:pPr>
            <w:r>
              <w:rPr/>
              <w:t>3</w:t>
            </w:r>
          </w:p>
        </w:tc>
        <w:tc>
          <w:tcPr>
            <w:tcW w:type="dxa" w:w="5814"/>
          </w:tcPr>
          <w:p>
            <w:pPr>
              <w:pStyle w:val="null3"/>
            </w:pPr>
            <w:r>
              <w:rPr>
                <w:sz w:val="22"/>
              </w:rPr>
              <w:t>技术设计要求：(1)服务资源配置符合本项目的要求，需制定相应的管理制度、安全生产方案，保证试验工作的质量和进度。(2)能够提供高效且保证检测质量的工作计划及编制大纲方案。（3）中标人需要配合采购人进行芯样加工，试件端面需平整，与轴线的垂直度不超过2°，符合《建筑地基基础检测规范》DBJ/T 15-60-2019的有关要求。</w:t>
            </w:r>
          </w:p>
          <w:p>
            <w:pPr>
              <w:pStyle w:val="null3"/>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1.采购代理机构：本项目是指惠州市公共资源交易中心惠阳分中心，负责整个采购活动的组织，依法负责编制和发布招标文件，对招标文件拥有最终的解释权，不以任何身份出任评标委员会成员。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惠州市惠阳区住房和城乡建设局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p>
            <w:pPr>
              <w:pStyle w:val="null3"/>
            </w:pPr>
            <w:r>
              <w:rPr/>
              <w:t>采购包2：下浮率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两个采购包供应商可兼投但不可兼中，每个供应商最多只能被确定为1个采购包的第一中标候选人。本项目按采购包的顺序进行评审，依次按照评标总得分由高到低的顺序，每个包组推荐两名中标候选人。已获得采购包一的第一中标候选人资格的，在采购包二中不作为有效家数计算；采购包二从具有中标候选人资格的供应商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惠州市公共资源交易中心惠阳分中心</w:t>
      </w:r>
      <w:r>
        <w:rPr/>
        <w:t>代收。具体操作要求详见</w:t>
      </w:r>
      <w:r>
        <w:rPr/>
        <w:t>惠州市公共资源交易中心惠阳分中心</w:t>
      </w:r>
      <w:r>
        <w:rPr/>
        <w:t>有关指引，递交事宜请自行咨询</w:t>
      </w:r>
      <w:r>
        <w:rPr/>
        <w:t>惠州市公共资源交易中心惠阳分中心</w:t>
      </w:r>
      <w:r>
        <w:rPr/>
        <w:t>；请各投标人在投标文件递交截止时间前按须知前附表规定的金额递交至</w:t>
      </w:r>
      <w:r>
        <w:rPr/>
        <w:t>惠州市公共资源交易中心惠阳分中心</w:t>
      </w:r>
      <w:r>
        <w:rPr/>
        <w:t>，到账情况以开标时</w:t>
      </w:r>
      <w:r>
        <w:rPr/>
        <w:t>惠州市公共资源交易中心惠阳分中心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苏剑浩</w:t>
      </w:r>
    </w:p>
    <w:p>
      <w:pPr>
        <w:pStyle w:val="null3"/>
        <w:ind w:firstLine="480"/>
      </w:pPr>
      <w:r>
        <w:rPr/>
        <w:t>电话：</w:t>
      </w:r>
      <w:r>
        <w:rPr/>
        <w:t>0752-3819342</w:t>
      </w:r>
    </w:p>
    <w:p>
      <w:pPr>
        <w:pStyle w:val="null3"/>
        <w:ind w:firstLine="480"/>
      </w:pPr>
      <w:r>
        <w:rPr/>
        <w:t>传真：</w:t>
      </w:r>
      <w:r>
        <w:rPr/>
        <w:t>略</w:t>
      </w:r>
    </w:p>
    <w:p>
      <w:pPr>
        <w:pStyle w:val="null3"/>
        <w:ind w:firstLine="480"/>
      </w:pPr>
      <w:r>
        <w:rPr/>
        <w:t>邮箱：</w:t>
      </w:r>
      <w:r>
        <w:rPr/>
        <w:t>略</w:t>
      </w:r>
    </w:p>
    <w:p>
      <w:pPr>
        <w:pStyle w:val="null3"/>
        <w:ind w:firstLine="480"/>
      </w:pPr>
      <w:r>
        <w:rPr/>
        <w:t>地址：</w:t>
      </w:r>
      <w:r>
        <w:rPr/>
        <w:t>广东省惠州市惠阳区淡水镇桥背伯公坳建设大厦</w:t>
      </w:r>
    </w:p>
    <w:p>
      <w:pPr>
        <w:pStyle w:val="null3"/>
        <w:ind w:firstLine="480"/>
      </w:pPr>
      <w:r>
        <w:rPr/>
        <w:t>邮编：</w:t>
      </w:r>
      <w:r>
        <w:rPr/>
        <w:t>略</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政府采购监督管理机构名称：惠阳区财政局政府采购管理办公室</w:t>
      </w:r>
    </w:p>
    <w:p>
      <w:pPr>
        <w:pStyle w:val="null3"/>
      </w:pPr>
      <w:r>
        <w:rPr/>
        <w:t>地 址：惠州市惠阳区金惠大道5号区政府大院财政大楼3楼采购管理办公室</w:t>
      </w:r>
    </w:p>
    <w:p>
      <w:pPr>
        <w:pStyle w:val="null3"/>
      </w:pPr>
      <w:r>
        <w:rPr/>
        <w:t>电 话：0752-3371989</w:t>
      </w:r>
    </w:p>
    <w:p>
      <w:pPr>
        <w:pStyle w:val="null3"/>
      </w:pPr>
      <w:r>
        <w:rPr/>
        <w:t>邮 编：516200</w:t>
      </w:r>
    </w:p>
    <w:p>
      <w:pPr>
        <w:pStyle w:val="null3"/>
      </w:pPr>
      <w:r>
        <w:rPr/>
        <w:t>传 真：0752-3371989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采购钻芯法检测、标准贯入试验和动力触探试验劳务服务单位（一）)：综合评分法,是指投标文件满足招标文件全部实质性要求，且按照评审因素的量化指标评审得分最高的投标人为中标候选人的评标方法。（最低报价不是中标的唯一依据。）</w:t>
      </w:r>
    </w:p>
    <w:p>
      <w:pPr>
        <w:pStyle w:val="null3"/>
      </w:pPr>
      <w:r>
        <w:rPr/>
        <w:t>采购包2(采购钻芯法检测、标准贯入试验和动力触探试验劳务服务单位（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惠州市公共资源交易中心惠阳分中心</w:t>
      </w:r>
      <w:r>
        <w:rPr/>
        <w:t>统一对外发布。</w:t>
      </w:r>
    </w:p>
    <w:p>
      <w:pPr>
        <w:pStyle w:val="null3"/>
        <w:ind w:firstLine="480"/>
      </w:pPr>
      <w:r>
        <w:rPr/>
        <w:t>（2）对</w:t>
      </w:r>
      <w:r>
        <w:rPr/>
        <w:t>惠州市公共资源交易中心惠阳分中心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采购包1（采购钻芯法检测、标准贯入试验和动力触探试验劳务服务单位（一））：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采购包2（采购钻芯法检测、标准贯入试验和动力触探试验劳务服务单位（二））：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采购包1（采购钻芯法检测、标准贯入试验和动力触探试验劳务服务单位（一））：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pPr>
      <w:r>
        <w:rPr/>
        <w:t>采购包2（采购钻芯法检测、标准贯入试验和动力触探试验劳务服务单位（二））：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采购包1（采购钻芯法检测、标准贯入试验和动力触探试验劳务服务单位（一））：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投标人没有违反采购文件关于联合体投标的相关约定（相关约定请查看采购文件“第二章 采购需求”“一、采购项目的基本信息”中的“关于联合体投标”）</w:t>
            </w:r>
          </w:p>
        </w:tc>
        <w:tc>
          <w:tcPr>
            <w:tcW w:type="dxa" w:w="4238"/>
          </w:tcPr>
          <w:p>
            <w:pPr>
              <w:pStyle w:val="null3"/>
            </w:pPr>
            <w:r>
              <w:rPr/>
              <w:t>投标人没有违反采购文件关于联合体投标的相关约定（相关约定请查看采购文件“第二章 采购需求”“一、采购项目的基本信息”中的“关于联合体投标”）</w:t>
            </w:r>
          </w:p>
        </w:tc>
      </w:tr>
      <w:tr>
        <w:tc>
          <w:tcPr>
            <w:tcW w:type="dxa" w:w="890"/>
          </w:tcPr>
          <w:p>
            <w:pPr>
              <w:pStyle w:val="null3"/>
            </w:pPr>
            <w:r>
              <w:rPr/>
              <w:t>2</w:t>
            </w:r>
          </w:p>
        </w:tc>
        <w:tc>
          <w:tcPr>
            <w:tcW w:type="dxa" w:w="3178"/>
          </w:tcPr>
          <w:p>
            <w:pPr>
              <w:pStyle w:val="null3"/>
            </w:pPr>
            <w:r>
              <w:rPr/>
              <w:t>投标人按照采购文件要求提供了投标函</w:t>
            </w:r>
          </w:p>
        </w:tc>
        <w:tc>
          <w:tcPr>
            <w:tcW w:type="dxa" w:w="4238"/>
          </w:tcPr>
          <w:p>
            <w:pPr>
              <w:pStyle w:val="null3"/>
            </w:pPr>
            <w:r>
              <w:rPr/>
              <w:t>投标人按照采购文件要求提供了投标函</w:t>
            </w:r>
          </w:p>
        </w:tc>
      </w:tr>
      <w:tr>
        <w:tc>
          <w:tcPr>
            <w:tcW w:type="dxa" w:w="890"/>
          </w:tcPr>
          <w:p>
            <w:pPr>
              <w:pStyle w:val="null3"/>
            </w:pPr>
            <w:r>
              <w:rPr/>
              <w:t>3</w:t>
            </w:r>
          </w:p>
        </w:tc>
        <w:tc>
          <w:tcPr>
            <w:tcW w:type="dxa" w:w="3178"/>
          </w:tcPr>
          <w:p>
            <w:pPr>
              <w:pStyle w:val="null3"/>
            </w:pPr>
            <w:r>
              <w:rPr/>
              <w:t>投标文件没有无效签署的</w:t>
            </w:r>
          </w:p>
        </w:tc>
        <w:tc>
          <w:tcPr>
            <w:tcW w:type="dxa" w:w="4238"/>
          </w:tcPr>
          <w:p>
            <w:pPr>
              <w:pStyle w:val="null3"/>
            </w:pPr>
            <w:r>
              <w:rPr/>
              <w:t>投标文件没有无效签署的</w:t>
            </w:r>
          </w:p>
        </w:tc>
      </w:tr>
      <w:tr>
        <w:tc>
          <w:tcPr>
            <w:tcW w:type="dxa" w:w="890"/>
          </w:tcPr>
          <w:p>
            <w:pPr>
              <w:pStyle w:val="null3"/>
            </w:pPr>
            <w:r>
              <w:rPr/>
              <w:t>4</w:t>
            </w:r>
          </w:p>
        </w:tc>
        <w:tc>
          <w:tcPr>
            <w:tcW w:type="dxa" w:w="3178"/>
          </w:tcPr>
          <w:p>
            <w:pPr>
              <w:pStyle w:val="null3"/>
            </w:pPr>
            <w:r>
              <w:rPr/>
              <w:t>按照采购文件的报价方式、 报价要求进行了报价且报价方案是唯一确定</w:t>
            </w:r>
          </w:p>
        </w:tc>
        <w:tc>
          <w:tcPr>
            <w:tcW w:type="dxa" w:w="4238"/>
          </w:tcPr>
          <w:p>
            <w:pPr>
              <w:pStyle w:val="null3"/>
            </w:pPr>
            <w:r>
              <w:rPr/>
              <w:t>按照采购文件的报价方式、 报价要求进行了报价且报价方案是唯一确定</w:t>
            </w:r>
          </w:p>
        </w:tc>
      </w:tr>
      <w:tr>
        <w:tc>
          <w:tcPr>
            <w:tcW w:type="dxa" w:w="890"/>
          </w:tcPr>
          <w:p>
            <w:pPr>
              <w:pStyle w:val="null3"/>
            </w:pPr>
            <w:r>
              <w:rPr/>
              <w:t>5</w:t>
            </w:r>
          </w:p>
        </w:tc>
        <w:tc>
          <w:tcPr>
            <w:tcW w:type="dxa" w:w="3178"/>
          </w:tcPr>
          <w:p>
            <w:pPr>
              <w:pStyle w:val="null3"/>
            </w:pPr>
            <w:r>
              <w:rPr/>
              <w:t>投标报价未超出采购预算的，如设定最高限价的，且未超出最高限价</w:t>
            </w:r>
          </w:p>
        </w:tc>
        <w:tc>
          <w:tcPr>
            <w:tcW w:type="dxa" w:w="4238"/>
          </w:tcPr>
          <w:p>
            <w:pPr>
              <w:pStyle w:val="null3"/>
            </w:pPr>
            <w:r>
              <w:rPr/>
              <w:t>投标报价未超出采购预算的，如设定最高限价的，且未超出最高限价</w:t>
            </w:r>
          </w:p>
        </w:tc>
      </w:tr>
      <w:tr>
        <w:tc>
          <w:tcPr>
            <w:tcW w:type="dxa" w:w="890"/>
          </w:tcPr>
          <w:p>
            <w:pPr>
              <w:pStyle w:val="null3"/>
            </w:pPr>
            <w:r>
              <w:rPr/>
              <w:t>6</w:t>
            </w:r>
          </w:p>
        </w:tc>
        <w:tc>
          <w:tcPr>
            <w:tcW w:type="dxa" w:w="3178"/>
          </w:tcPr>
          <w:p>
            <w:pPr>
              <w:pStyle w:val="null3"/>
            </w:pPr>
            <w:r>
              <w:rPr/>
              <w:t>投标有效期符合采购文件要求的</w:t>
            </w:r>
          </w:p>
        </w:tc>
        <w:tc>
          <w:tcPr>
            <w:tcW w:type="dxa" w:w="4238"/>
          </w:tcPr>
          <w:p>
            <w:pPr>
              <w:pStyle w:val="null3"/>
            </w:pPr>
            <w:r>
              <w:rPr/>
              <w:t>投标有效期符合采购文件要求的</w:t>
            </w:r>
          </w:p>
        </w:tc>
      </w:tr>
      <w:tr>
        <w:tc>
          <w:tcPr>
            <w:tcW w:type="dxa" w:w="890"/>
          </w:tcPr>
          <w:p>
            <w:pPr>
              <w:pStyle w:val="null3"/>
            </w:pPr>
            <w:r>
              <w:rPr/>
              <w:t>7</w:t>
            </w:r>
          </w:p>
        </w:tc>
        <w:tc>
          <w:tcPr>
            <w:tcW w:type="dxa" w:w="3178"/>
          </w:tcPr>
          <w:p>
            <w:pPr>
              <w:pStyle w:val="null3"/>
            </w:pPr>
            <w:r>
              <w:rPr/>
              <w:t>投标文件未附带有采购人依法不能接受的条件</w:t>
            </w:r>
          </w:p>
        </w:tc>
        <w:tc>
          <w:tcPr>
            <w:tcW w:type="dxa" w:w="4238"/>
          </w:tcPr>
          <w:p>
            <w:pPr>
              <w:pStyle w:val="null3"/>
            </w:pPr>
            <w:r>
              <w:rPr/>
              <w:t>投标文件未附带有采购人依法不能接受的条件</w:t>
            </w:r>
          </w:p>
        </w:tc>
      </w:tr>
      <w:tr>
        <w:tc>
          <w:tcPr>
            <w:tcW w:type="dxa" w:w="890"/>
          </w:tcPr>
          <w:p>
            <w:pPr>
              <w:pStyle w:val="null3"/>
            </w:pPr>
            <w:r>
              <w:rPr/>
              <w:t>8</w:t>
            </w:r>
          </w:p>
        </w:tc>
        <w:tc>
          <w:tcPr>
            <w:tcW w:type="dxa" w:w="3178"/>
          </w:tcPr>
          <w:p>
            <w:pPr>
              <w:pStyle w:val="null3"/>
            </w:pPr>
            <w:r>
              <w:rPr/>
              <w:t>若采购文件中有★号条款和指标的，投标文件须完全响应；若采购文件中没有★号条款和指标的，则无需响应</w:t>
            </w:r>
          </w:p>
        </w:tc>
        <w:tc>
          <w:tcPr>
            <w:tcW w:type="dxa" w:w="4238"/>
          </w:tcPr>
          <w:p>
            <w:pPr>
              <w:pStyle w:val="null3"/>
            </w:pPr>
            <w:r>
              <w:rPr/>
              <w:t>若采购文件中有★号条款和指标的，投标文件须完全响应；若采购文件中没有★号条款和指标的，则无需响应</w:t>
            </w:r>
          </w:p>
        </w:tc>
      </w:tr>
      <w:tr>
        <w:tc>
          <w:tcPr>
            <w:tcW w:type="dxa" w:w="890"/>
          </w:tcPr>
          <w:p>
            <w:pPr>
              <w:pStyle w:val="null3"/>
            </w:pPr>
            <w:r>
              <w:rPr/>
              <w:t>9</w:t>
            </w:r>
          </w:p>
        </w:tc>
        <w:tc>
          <w:tcPr>
            <w:tcW w:type="dxa" w:w="3178"/>
          </w:tcPr>
          <w:p>
            <w:pPr>
              <w:pStyle w:val="null3"/>
            </w:pPr>
            <w:r>
              <w:rPr/>
              <w:t>评标委员会认为投标人没有串通投标情形</w:t>
            </w:r>
          </w:p>
        </w:tc>
        <w:tc>
          <w:tcPr>
            <w:tcW w:type="dxa" w:w="4238"/>
          </w:tcPr>
          <w:p>
            <w:pPr>
              <w:pStyle w:val="null3"/>
            </w:pPr>
            <w:r>
              <w:rPr/>
              <w:t>评标委员会认为投标人没有串通投标情形</w:t>
            </w:r>
          </w:p>
        </w:tc>
      </w:tr>
      <w:tr>
        <w:tc>
          <w:tcPr>
            <w:tcW w:type="dxa" w:w="890"/>
          </w:tcPr>
          <w:p>
            <w:pPr>
              <w:pStyle w:val="null3"/>
            </w:pPr>
            <w:r>
              <w:rPr/>
              <w:t>10</w:t>
            </w:r>
          </w:p>
        </w:tc>
        <w:tc>
          <w:tcPr>
            <w:tcW w:type="dxa" w:w="3178"/>
          </w:tcPr>
          <w:p>
            <w:pPr>
              <w:pStyle w:val="null3"/>
            </w:pPr>
            <w:r>
              <w:rPr/>
              <w:t>无法律、法规、规章规定无效投标、未实质性响应的其他情形</w:t>
            </w:r>
          </w:p>
        </w:tc>
        <w:tc>
          <w:tcPr>
            <w:tcW w:type="dxa" w:w="4238"/>
          </w:tcPr>
          <w:p>
            <w:pPr>
              <w:pStyle w:val="null3"/>
            </w:pPr>
            <w:r>
              <w:rPr/>
              <w:t>无法律、法规、规章规定无效投标、未实质性响应的其他情形</w:t>
            </w:r>
          </w:p>
        </w:tc>
      </w:tr>
    </w:tbl>
    <w:p>
      <w:pPr>
        <w:pStyle w:val="null3"/>
      </w:pPr>
      <w:r>
        <w:rPr/>
        <w:t>采购包2（采购钻芯法检测、标准贯入试验和动力触探试验劳务服务单位（二））：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投标人没有违反采购文件关于联合体投标的相关约定（相关约定请查看采购文件“第二章 采购需求”“一、采购项目的基本信息”中的“关于联合体投标”）</w:t>
            </w:r>
          </w:p>
        </w:tc>
        <w:tc>
          <w:tcPr>
            <w:tcW w:type="dxa" w:w="4238"/>
          </w:tcPr>
          <w:p>
            <w:pPr>
              <w:pStyle w:val="null3"/>
            </w:pPr>
            <w:r>
              <w:rPr/>
              <w:t>投标人没有违反采购文件关于联合体投标的相关约定（相关约定请查看采购文件“第二章 采购需求”“一、采购项目的基本信息”中的“关于联合体投标”）</w:t>
            </w:r>
          </w:p>
        </w:tc>
      </w:tr>
      <w:tr>
        <w:tc>
          <w:tcPr>
            <w:tcW w:type="dxa" w:w="890"/>
          </w:tcPr>
          <w:p>
            <w:pPr>
              <w:pStyle w:val="null3"/>
            </w:pPr>
            <w:r>
              <w:rPr/>
              <w:t>2</w:t>
            </w:r>
          </w:p>
        </w:tc>
        <w:tc>
          <w:tcPr>
            <w:tcW w:type="dxa" w:w="3178"/>
          </w:tcPr>
          <w:p>
            <w:pPr>
              <w:pStyle w:val="null3"/>
            </w:pPr>
            <w:r>
              <w:rPr/>
              <w:t>投标人按照采购文件要求提供了投标函</w:t>
            </w:r>
          </w:p>
        </w:tc>
        <w:tc>
          <w:tcPr>
            <w:tcW w:type="dxa" w:w="4238"/>
          </w:tcPr>
          <w:p>
            <w:pPr>
              <w:pStyle w:val="null3"/>
            </w:pPr>
            <w:r>
              <w:rPr/>
              <w:t>投标人按照采购文件要求提供了投标函</w:t>
            </w:r>
          </w:p>
        </w:tc>
      </w:tr>
      <w:tr>
        <w:tc>
          <w:tcPr>
            <w:tcW w:type="dxa" w:w="890"/>
          </w:tcPr>
          <w:p>
            <w:pPr>
              <w:pStyle w:val="null3"/>
            </w:pPr>
            <w:r>
              <w:rPr/>
              <w:t>3</w:t>
            </w:r>
          </w:p>
        </w:tc>
        <w:tc>
          <w:tcPr>
            <w:tcW w:type="dxa" w:w="3178"/>
          </w:tcPr>
          <w:p>
            <w:pPr>
              <w:pStyle w:val="null3"/>
            </w:pPr>
            <w:r>
              <w:rPr/>
              <w:t>投标文件没有无效签署的</w:t>
            </w:r>
          </w:p>
        </w:tc>
        <w:tc>
          <w:tcPr>
            <w:tcW w:type="dxa" w:w="4238"/>
          </w:tcPr>
          <w:p>
            <w:pPr>
              <w:pStyle w:val="null3"/>
            </w:pPr>
            <w:r>
              <w:rPr/>
              <w:t>投标文件没有无效签署的</w:t>
            </w:r>
          </w:p>
        </w:tc>
      </w:tr>
      <w:tr>
        <w:tc>
          <w:tcPr>
            <w:tcW w:type="dxa" w:w="890"/>
          </w:tcPr>
          <w:p>
            <w:pPr>
              <w:pStyle w:val="null3"/>
            </w:pPr>
            <w:r>
              <w:rPr/>
              <w:t>4</w:t>
            </w:r>
          </w:p>
        </w:tc>
        <w:tc>
          <w:tcPr>
            <w:tcW w:type="dxa" w:w="3178"/>
          </w:tcPr>
          <w:p>
            <w:pPr>
              <w:pStyle w:val="null3"/>
            </w:pPr>
            <w:r>
              <w:rPr/>
              <w:t>按照采购文件的报价方式、 报价要求进行了报价且报价方案是唯一确定</w:t>
            </w:r>
          </w:p>
        </w:tc>
        <w:tc>
          <w:tcPr>
            <w:tcW w:type="dxa" w:w="4238"/>
          </w:tcPr>
          <w:p>
            <w:pPr>
              <w:pStyle w:val="null3"/>
            </w:pPr>
            <w:r>
              <w:rPr/>
              <w:t>按照采购文件的报价方式、 报价要求进行了报价且报价方案是唯一确定</w:t>
            </w:r>
          </w:p>
        </w:tc>
      </w:tr>
      <w:tr>
        <w:tc>
          <w:tcPr>
            <w:tcW w:type="dxa" w:w="890"/>
          </w:tcPr>
          <w:p>
            <w:pPr>
              <w:pStyle w:val="null3"/>
            </w:pPr>
            <w:r>
              <w:rPr/>
              <w:t>5</w:t>
            </w:r>
          </w:p>
        </w:tc>
        <w:tc>
          <w:tcPr>
            <w:tcW w:type="dxa" w:w="3178"/>
          </w:tcPr>
          <w:p>
            <w:pPr>
              <w:pStyle w:val="null3"/>
            </w:pPr>
            <w:r>
              <w:rPr/>
              <w:t>投标报价未超出采购预算的，如设定最高限价的，且未超出最高限价</w:t>
            </w:r>
          </w:p>
        </w:tc>
        <w:tc>
          <w:tcPr>
            <w:tcW w:type="dxa" w:w="4238"/>
          </w:tcPr>
          <w:p>
            <w:pPr>
              <w:pStyle w:val="null3"/>
            </w:pPr>
            <w:r>
              <w:rPr/>
              <w:t>投标报价未超出采购预算的，如设定最高限价的，且未超出最高限价</w:t>
            </w:r>
          </w:p>
        </w:tc>
      </w:tr>
      <w:tr>
        <w:tc>
          <w:tcPr>
            <w:tcW w:type="dxa" w:w="890"/>
          </w:tcPr>
          <w:p>
            <w:pPr>
              <w:pStyle w:val="null3"/>
            </w:pPr>
            <w:r>
              <w:rPr/>
              <w:t>6</w:t>
            </w:r>
          </w:p>
        </w:tc>
        <w:tc>
          <w:tcPr>
            <w:tcW w:type="dxa" w:w="3178"/>
          </w:tcPr>
          <w:p>
            <w:pPr>
              <w:pStyle w:val="null3"/>
            </w:pPr>
            <w:r>
              <w:rPr/>
              <w:t>投标有效期符合采购文件要求的</w:t>
            </w:r>
          </w:p>
        </w:tc>
        <w:tc>
          <w:tcPr>
            <w:tcW w:type="dxa" w:w="4238"/>
          </w:tcPr>
          <w:p>
            <w:pPr>
              <w:pStyle w:val="null3"/>
            </w:pPr>
            <w:r>
              <w:rPr/>
              <w:t>投标有效期符合采购文件要求的</w:t>
            </w:r>
          </w:p>
        </w:tc>
      </w:tr>
      <w:tr>
        <w:tc>
          <w:tcPr>
            <w:tcW w:type="dxa" w:w="890"/>
          </w:tcPr>
          <w:p>
            <w:pPr>
              <w:pStyle w:val="null3"/>
            </w:pPr>
            <w:r>
              <w:rPr/>
              <w:t>7</w:t>
            </w:r>
          </w:p>
        </w:tc>
        <w:tc>
          <w:tcPr>
            <w:tcW w:type="dxa" w:w="3178"/>
          </w:tcPr>
          <w:p>
            <w:pPr>
              <w:pStyle w:val="null3"/>
            </w:pPr>
            <w:r>
              <w:rPr/>
              <w:t>投标文件未附带有采购人依法不能接受的条件</w:t>
            </w:r>
          </w:p>
        </w:tc>
        <w:tc>
          <w:tcPr>
            <w:tcW w:type="dxa" w:w="4238"/>
          </w:tcPr>
          <w:p>
            <w:pPr>
              <w:pStyle w:val="null3"/>
            </w:pPr>
            <w:r>
              <w:rPr/>
              <w:t>投标文件未附带有采购人依法不能接受的条件</w:t>
            </w:r>
          </w:p>
        </w:tc>
      </w:tr>
      <w:tr>
        <w:tc>
          <w:tcPr>
            <w:tcW w:type="dxa" w:w="890"/>
          </w:tcPr>
          <w:p>
            <w:pPr>
              <w:pStyle w:val="null3"/>
            </w:pPr>
            <w:r>
              <w:rPr/>
              <w:t>8</w:t>
            </w:r>
          </w:p>
        </w:tc>
        <w:tc>
          <w:tcPr>
            <w:tcW w:type="dxa" w:w="3178"/>
          </w:tcPr>
          <w:p>
            <w:pPr>
              <w:pStyle w:val="null3"/>
            </w:pPr>
            <w:r>
              <w:rPr/>
              <w:t>若采购文件中有★号条款和指标的，投标文件须完全响应；若采购文件中没有★号条款和指标的，则无需响应</w:t>
            </w:r>
          </w:p>
        </w:tc>
        <w:tc>
          <w:tcPr>
            <w:tcW w:type="dxa" w:w="4238"/>
          </w:tcPr>
          <w:p>
            <w:pPr>
              <w:pStyle w:val="null3"/>
            </w:pPr>
            <w:r>
              <w:rPr/>
              <w:t>若采购文件中有★号条款和指标的，投标文件须完全响应；若采购文件中没有★号条款和指标的，则无需响应</w:t>
            </w:r>
          </w:p>
        </w:tc>
      </w:tr>
      <w:tr>
        <w:tc>
          <w:tcPr>
            <w:tcW w:type="dxa" w:w="890"/>
          </w:tcPr>
          <w:p>
            <w:pPr>
              <w:pStyle w:val="null3"/>
            </w:pPr>
            <w:r>
              <w:rPr/>
              <w:t>9</w:t>
            </w:r>
          </w:p>
        </w:tc>
        <w:tc>
          <w:tcPr>
            <w:tcW w:type="dxa" w:w="3178"/>
          </w:tcPr>
          <w:p>
            <w:pPr>
              <w:pStyle w:val="null3"/>
            </w:pPr>
            <w:r>
              <w:rPr/>
              <w:t>评标委员会认为投标人没有串通投标情形</w:t>
            </w:r>
          </w:p>
        </w:tc>
        <w:tc>
          <w:tcPr>
            <w:tcW w:type="dxa" w:w="4238"/>
          </w:tcPr>
          <w:p>
            <w:pPr>
              <w:pStyle w:val="null3"/>
            </w:pPr>
            <w:r>
              <w:rPr/>
              <w:t>评标委员会认为投标人没有串通投标情形</w:t>
            </w:r>
          </w:p>
        </w:tc>
      </w:tr>
      <w:tr>
        <w:tc>
          <w:tcPr>
            <w:tcW w:type="dxa" w:w="890"/>
          </w:tcPr>
          <w:p>
            <w:pPr>
              <w:pStyle w:val="null3"/>
            </w:pPr>
            <w:r>
              <w:rPr/>
              <w:t>10</w:t>
            </w:r>
          </w:p>
        </w:tc>
        <w:tc>
          <w:tcPr>
            <w:tcW w:type="dxa" w:w="3178"/>
          </w:tcPr>
          <w:p>
            <w:pPr>
              <w:pStyle w:val="null3"/>
            </w:pPr>
            <w:r>
              <w:rPr/>
              <w:t>无法律、法规、规章规定无效投标、未实质性响应的其他情形</w:t>
            </w:r>
          </w:p>
        </w:tc>
        <w:tc>
          <w:tcPr>
            <w:tcW w:type="dxa" w:w="4238"/>
          </w:tcPr>
          <w:p>
            <w:pPr>
              <w:pStyle w:val="null3"/>
            </w:pPr>
            <w:r>
              <w:rPr/>
              <w:t>无法律、法规、规章规定无效投标、未实质性响应的其他情形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采购钻芯法检测、标准贯入试验和动力触探试验劳务服务单位（一）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商务部分47.0分</w:t>
            </w:r>
          </w:p>
          <w:p>
            <w:pPr>
              <w:pStyle w:val="null3"/>
            </w:pPr>
            <w:r>
              <w:rPr/>
              <w:t>技术部分33.0分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拟投入本项目配置设备 (13.0分)</w:t>
            </w:r>
          </w:p>
        </w:tc>
        <w:tc>
          <w:tcPr>
            <w:tcW w:type="dxa" w:w="5076"/>
          </w:tcPr>
          <w:p>
            <w:pPr>
              <w:pStyle w:val="null3"/>
              <w:jc w:val="left"/>
            </w:pPr>
            <w:r>
              <w:rPr/>
              <w:t>根据投标人按照本项目技术要求配置的高速钻机、标准贯入设备、轻型动力触探设备、重型动力触探设备等进行评分。投标人须配备高速钻机6套、标准贯入设备2套、轻型动力触探设备2套、重型动力触探设备2套，满足需求得13.0分，不满足得0分。投标人须承诺自有或租赁以上设备在服务合同期内应满足采购人要求，在采购人所在地使用，并提供有效的购置发票复印件及设备照片，租赁设备须提供租赁合同复印件，租赁合同有效期应大于本项目服务期。</w:t>
            </w:r>
          </w:p>
        </w:tc>
      </w:tr>
      <w:tr>
        <w:tc>
          <w:tcPr>
            <w:tcW w:type="dxa" w:w="922"/>
            <w:gridSpan w:val="2"/>
            <w:vMerge/>
          </w:tcPr>
          <w:p/>
        </w:tc>
        <w:tc>
          <w:tcPr>
            <w:tcW w:type="dxa" w:w="2307"/>
          </w:tcPr>
          <w:p>
            <w:pPr>
              <w:pStyle w:val="null3"/>
              <w:jc w:val="left"/>
            </w:pPr>
            <w:r>
              <w:rPr/>
              <w:t>项目组织实施方案 (10.0分)</w:t>
            </w:r>
          </w:p>
        </w:tc>
        <w:tc>
          <w:tcPr>
            <w:tcW w:type="dxa" w:w="5076"/>
          </w:tcPr>
          <w:p>
            <w:pPr>
              <w:pStyle w:val="null3"/>
              <w:jc w:val="left"/>
            </w:pPr>
            <w:r>
              <w:rPr/>
              <w:t>评委会根据投标人所提供的能满足本项目招标需求的组织实施方案进行比较和评价。1）组织实施方案非常详尽、合理，方案创新性和实施性非常强的，得10.0分；2）组织实施方案比较详尽、合理，方案创新性和实施性比较强的，得6.0分；3）组织实施方案基本详尽、合理，方案创新性和实施性一般的，得3.0分；4）无或未提供的不得分。</w:t>
            </w:r>
          </w:p>
        </w:tc>
      </w:tr>
      <w:tr>
        <w:tc>
          <w:tcPr>
            <w:tcW w:type="dxa" w:w="922"/>
            <w:gridSpan w:val="2"/>
            <w:vMerge/>
          </w:tcPr>
          <w:p/>
        </w:tc>
        <w:tc>
          <w:tcPr>
            <w:tcW w:type="dxa" w:w="2307"/>
          </w:tcPr>
          <w:p>
            <w:pPr>
              <w:pStyle w:val="null3"/>
              <w:jc w:val="left"/>
            </w:pPr>
            <w:r>
              <w:rPr/>
              <w:t>技术设计方案 (10.0分)</w:t>
            </w:r>
          </w:p>
        </w:tc>
        <w:tc>
          <w:tcPr>
            <w:tcW w:type="dxa" w:w="5076"/>
          </w:tcPr>
          <w:p>
            <w:pPr>
              <w:pStyle w:val="null3"/>
              <w:jc w:val="left"/>
            </w:pPr>
            <w:r>
              <w:rPr/>
              <w:t>评委会根据所有投标人提供的技术设计方案进行评分：1）技术设计方案非常明确、详尽、合理、规范，针对项目特点进行设计的方案非常合理、可行的，得10.0分；2）技术设计方案比较明确、详尽、合理、规范，针对项目特点进行设计的方案比较合理、可行的，得6.0分；3）技术设计方案基本明确、详尽、合理、规范，针对项目特点进行设计的方案基本合理、可行的，得3.0分；4）无或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应急预案处理 (10.0分)</w:t>
            </w:r>
          </w:p>
        </w:tc>
        <w:tc>
          <w:tcPr>
            <w:tcW w:type="dxa" w:w="5076"/>
          </w:tcPr>
          <w:p>
            <w:pPr>
              <w:pStyle w:val="null3"/>
              <w:jc w:val="left"/>
            </w:pPr>
            <w:r>
              <w:rPr/>
              <w:t>针对突然增加的任务数量或突发事件而建立完善的应急处理机制,评委会对所有投标人制定有针对性和可操作性的应急处置预案进行比较和评价。1）目标制定非常明确，针对性和操作性非常强，能有效解决突发事件问题的，得10.0分；2）目标制定较明确，针对性和操作性较强，较有效解决突发事件问题的，得6.0分；3）目标制定基本明确，针对性和操作性一般，解决部分突发事件问题的，得2.0分；4）无或未提供的不得分。</w:t>
            </w:r>
          </w:p>
        </w:tc>
      </w:tr>
      <w:tr>
        <w:tc>
          <w:tcPr>
            <w:tcW w:type="dxa" w:w="922"/>
            <w:gridSpan w:val="2"/>
            <w:vMerge/>
          </w:tcPr>
          <w:p/>
        </w:tc>
        <w:tc>
          <w:tcPr>
            <w:tcW w:type="dxa" w:w="2307"/>
          </w:tcPr>
          <w:p>
            <w:pPr>
              <w:pStyle w:val="null3"/>
              <w:jc w:val="left"/>
            </w:pPr>
            <w:r>
              <w:rPr/>
              <w:t>服务时间响应 (6.0分)</w:t>
            </w:r>
          </w:p>
        </w:tc>
        <w:tc>
          <w:tcPr>
            <w:tcW w:type="dxa" w:w="5076"/>
          </w:tcPr>
          <w:p>
            <w:pPr>
              <w:pStyle w:val="null3"/>
              <w:jc w:val="left"/>
            </w:pPr>
            <w:r>
              <w:rPr/>
              <w:t>工作任务下达之后，投标人须半个小时内响应，3个小时内进场开展检测工作。投标人承诺中标后按上述要求响应服务时间，满足要求得满分，不满足不得分。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投标人拟派项目负责人具有建筑工程检测或建筑工程管理或岩土初级职称的，得2.5分；具有建筑工程检测或建筑工程管理或岩土中级及以上职称的，得5.0分；其它情况不得分。投标人对项目负责人要提供为其缴纳的社保证明(开标当月之前6个月内任意1个月社保证明)及职称证书复印件。</w:t>
            </w:r>
          </w:p>
        </w:tc>
      </w:tr>
      <w:tr>
        <w:tc>
          <w:tcPr>
            <w:tcW w:type="dxa" w:w="922"/>
            <w:gridSpan w:val="2"/>
            <w:vMerge/>
          </w:tcPr>
          <w:p/>
        </w:tc>
        <w:tc>
          <w:tcPr>
            <w:tcW w:type="dxa" w:w="2307"/>
          </w:tcPr>
          <w:p>
            <w:pPr>
              <w:pStyle w:val="null3"/>
              <w:jc w:val="left"/>
            </w:pPr>
            <w:r>
              <w:rPr/>
              <w:t>拟派人员服务能力 (6.0分)</w:t>
            </w:r>
          </w:p>
        </w:tc>
        <w:tc>
          <w:tcPr>
            <w:tcW w:type="dxa" w:w="5076"/>
          </w:tcPr>
          <w:p>
            <w:pPr>
              <w:pStyle w:val="null3"/>
              <w:jc w:val="left"/>
            </w:pPr>
            <w:r>
              <w:rPr/>
              <w:t>投标人需配备建筑工程检测或岩土工程师或建筑工程管理工程师至少2名，完全满足得6.0分，不满足不得分； （投标文件提供投标人为拟派出人员缴纳开标当月之前6个月内任意1个月的社保记录和相关证书的证明材料才能得分）</w:t>
            </w:r>
          </w:p>
        </w:tc>
      </w:tr>
      <w:tr>
        <w:tc>
          <w:tcPr>
            <w:tcW w:type="dxa" w:w="922"/>
            <w:gridSpan w:val="2"/>
            <w:vMerge/>
          </w:tcPr>
          <w:p/>
        </w:tc>
        <w:tc>
          <w:tcPr>
            <w:tcW w:type="dxa" w:w="2307"/>
          </w:tcPr>
          <w:p>
            <w:pPr>
              <w:pStyle w:val="null3"/>
              <w:jc w:val="left"/>
            </w:pPr>
            <w:r>
              <w:rPr/>
              <w:t>同类业绩情况 (20.0分)</w:t>
            </w:r>
          </w:p>
        </w:tc>
        <w:tc>
          <w:tcPr>
            <w:tcW w:type="dxa" w:w="5076"/>
          </w:tcPr>
          <w:p>
            <w:pPr>
              <w:pStyle w:val="null3"/>
              <w:jc w:val="left"/>
            </w:pPr>
            <w:r>
              <w:rPr/>
              <w:t>根据投标人所提供的同类业绩的数量进行评分： 1）投标人提供一份钻芯法验桩的业绩得1分，满分8.0分； 2）投标人提供一份标准贯入试验的业绩得1分，满分4.0分； 3）投标人提供一份轻型动力触探试验的业绩得1分，满分4.0分； 4）投标人提供一份重型动力触探试验的业绩得1分，满分4.0分。 注：投标人提供得单份合同或结算单中包含以上多个类型的同类业绩可重复计算。须提供同类合同及发票复印件（合同可以复印合同的关键页面）或同类检测服务技术劳务合作项目结算单及发票复印件。（投标文件无提供这些同类业绩证明文件复印件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采购钻芯法检测、标准贯入试验和动力触探试验劳务服务单位（二）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商务部分47.0分</w:t>
            </w:r>
          </w:p>
          <w:p>
            <w:pPr>
              <w:pStyle w:val="null3"/>
            </w:pPr>
            <w:r>
              <w:rPr/>
              <w:t>技术部分33.0分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拟投入本项目配置设备 (13.0分)</w:t>
            </w:r>
          </w:p>
        </w:tc>
        <w:tc>
          <w:tcPr>
            <w:tcW w:type="dxa" w:w="5076"/>
          </w:tcPr>
          <w:p>
            <w:pPr>
              <w:pStyle w:val="null3"/>
              <w:jc w:val="left"/>
            </w:pPr>
            <w:r>
              <w:rPr/>
              <w:t>根据投标人按照本项目技术要求配置的高速钻机、标准贯入设备、轻型动力触探设备、重型动力触探设备等进行评分。投标人须配备高速钻机6套、标准贯入设备2套、轻型动力触探设备2套、重型动力触探设备2套，满足需求得13.0分，不满足得0分。投标人须承诺自有或租赁以上设备在服务合同期内应满足采购人要求，在采购人所在地使用，并提供有效的购置发票复印件及设备照片，租赁设备须提供租赁合同复印件，租赁合同有效期应大于本项目服务期。</w:t>
            </w:r>
          </w:p>
        </w:tc>
      </w:tr>
      <w:tr>
        <w:tc>
          <w:tcPr>
            <w:tcW w:type="dxa" w:w="922"/>
            <w:gridSpan w:val="2"/>
            <w:vMerge/>
          </w:tcPr>
          <w:p/>
        </w:tc>
        <w:tc>
          <w:tcPr>
            <w:tcW w:type="dxa" w:w="2307"/>
          </w:tcPr>
          <w:p>
            <w:pPr>
              <w:pStyle w:val="null3"/>
              <w:jc w:val="left"/>
            </w:pPr>
            <w:r>
              <w:rPr/>
              <w:t>项目组织实施方案 (10.0分)</w:t>
            </w:r>
          </w:p>
        </w:tc>
        <w:tc>
          <w:tcPr>
            <w:tcW w:type="dxa" w:w="5076"/>
          </w:tcPr>
          <w:p>
            <w:pPr>
              <w:pStyle w:val="null3"/>
              <w:jc w:val="left"/>
            </w:pPr>
            <w:r>
              <w:rPr/>
              <w:t>评委会根据投标人所提供的能满足本项目招标需求的组织实施方案进行比较和评价。1）组织实施方案非常详尽、合理，方案创新性和实施性非常强的，得10.0分；2）组织实施方案比较详尽、合理，方案创新性和实施性比较强的，得6.0分；3）组织实施方案基本详尽、合理，方案创新性和实施性一般的，得3.0分；4）无或未提供的不得分。</w:t>
            </w:r>
          </w:p>
        </w:tc>
      </w:tr>
      <w:tr>
        <w:tc>
          <w:tcPr>
            <w:tcW w:type="dxa" w:w="922"/>
            <w:gridSpan w:val="2"/>
            <w:vMerge/>
          </w:tcPr>
          <w:p/>
        </w:tc>
        <w:tc>
          <w:tcPr>
            <w:tcW w:type="dxa" w:w="2307"/>
          </w:tcPr>
          <w:p>
            <w:pPr>
              <w:pStyle w:val="null3"/>
              <w:jc w:val="left"/>
            </w:pPr>
            <w:r>
              <w:rPr/>
              <w:t>技术设计方案 (10.0分)</w:t>
            </w:r>
          </w:p>
        </w:tc>
        <w:tc>
          <w:tcPr>
            <w:tcW w:type="dxa" w:w="5076"/>
          </w:tcPr>
          <w:p>
            <w:pPr>
              <w:pStyle w:val="null3"/>
              <w:jc w:val="left"/>
            </w:pPr>
            <w:r>
              <w:rPr/>
              <w:t>评委会根据所有投标人提供的技术设计方案进行评分：1）技术设计方案非常明确、详尽、合理、规范，针对项目特点进行设计的方案非常合理、可行的，得10.0分；2）技术设计方案比较明确、详尽、合理、规范，针对项目特点进行设计的方案比较合理、可行的，得6.0分；3）技术设计方案基本明确、详尽、合理、规范，针对项目特点进行设计的方案基本合理、可行的，得3.0分；4）无或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应急预案处理 (10.0分)</w:t>
            </w:r>
          </w:p>
        </w:tc>
        <w:tc>
          <w:tcPr>
            <w:tcW w:type="dxa" w:w="5076"/>
          </w:tcPr>
          <w:p>
            <w:pPr>
              <w:pStyle w:val="null3"/>
              <w:jc w:val="left"/>
            </w:pPr>
            <w:r>
              <w:rPr/>
              <w:t>针对突然增加的任务数量或突发事件而建立完善的应急处理机制,评委会对所有投标人制定有针对性和可操作性的应急处置预案进行比较和评价。1）目标制定非常明确，针对性和操作性非常强，能有效解决突发事件问题的，得10.0分；2）目标制定较明确，针对性和操作性较强，较有效解决突发事件问题的，得6.0分；3）目标制定基本明确，针对性和操作性一般，解决部分突发事件问题的，得2.0分；4）无或未提供的不得分。</w:t>
            </w:r>
          </w:p>
        </w:tc>
      </w:tr>
      <w:tr>
        <w:tc>
          <w:tcPr>
            <w:tcW w:type="dxa" w:w="922"/>
            <w:gridSpan w:val="2"/>
            <w:vMerge/>
          </w:tcPr>
          <w:p/>
        </w:tc>
        <w:tc>
          <w:tcPr>
            <w:tcW w:type="dxa" w:w="2307"/>
          </w:tcPr>
          <w:p>
            <w:pPr>
              <w:pStyle w:val="null3"/>
              <w:jc w:val="left"/>
            </w:pPr>
            <w:r>
              <w:rPr/>
              <w:t>服务时间响应 (6.0分)</w:t>
            </w:r>
          </w:p>
        </w:tc>
        <w:tc>
          <w:tcPr>
            <w:tcW w:type="dxa" w:w="5076"/>
          </w:tcPr>
          <w:p>
            <w:pPr>
              <w:pStyle w:val="null3"/>
              <w:jc w:val="left"/>
            </w:pPr>
            <w:r>
              <w:rPr/>
              <w:t>工作任务下达之后，投标人须半个小时内响应，3个小时内进场开展检测工作。投标人承诺中标后按上述要求响应服务时间，满足要求得满分，不满足不得分。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投标人拟派项目负责人具有建筑工程检测或建筑工程管理或岩土初级职称的，得2.5分；具有建筑工程检测或建筑工程管理或岩土中级及以上职称的，得5.0分；其它情况不得分。投标人对项目负责人要提供为其缴纳的社保证明(开标当月之前6个月内任意1个月社保证明)及职称证书复印件。</w:t>
            </w:r>
          </w:p>
        </w:tc>
      </w:tr>
      <w:tr>
        <w:tc>
          <w:tcPr>
            <w:tcW w:type="dxa" w:w="922"/>
            <w:gridSpan w:val="2"/>
            <w:vMerge/>
          </w:tcPr>
          <w:p/>
        </w:tc>
        <w:tc>
          <w:tcPr>
            <w:tcW w:type="dxa" w:w="2307"/>
          </w:tcPr>
          <w:p>
            <w:pPr>
              <w:pStyle w:val="null3"/>
              <w:jc w:val="left"/>
            </w:pPr>
            <w:r>
              <w:rPr/>
              <w:t>拟派人员服务能力 (6.0分)</w:t>
            </w:r>
          </w:p>
        </w:tc>
        <w:tc>
          <w:tcPr>
            <w:tcW w:type="dxa" w:w="5076"/>
          </w:tcPr>
          <w:p>
            <w:pPr>
              <w:pStyle w:val="null3"/>
              <w:jc w:val="left"/>
            </w:pPr>
            <w:r>
              <w:rPr/>
              <w:t>投标人需配备建筑工程检测或岩土工程师或建筑工程管理工程师至少2名，完全满足得6.0分，不满足不得分； （投标文件提供投标人为拟派出人员缴纳开标当月之前6个月内任意1个月的社保记录和相关证书的证明材料才能得分）</w:t>
            </w:r>
          </w:p>
        </w:tc>
      </w:tr>
      <w:tr>
        <w:tc>
          <w:tcPr>
            <w:tcW w:type="dxa" w:w="922"/>
            <w:gridSpan w:val="2"/>
            <w:vMerge/>
          </w:tcPr>
          <w:p/>
        </w:tc>
        <w:tc>
          <w:tcPr>
            <w:tcW w:type="dxa" w:w="2307"/>
          </w:tcPr>
          <w:p>
            <w:pPr>
              <w:pStyle w:val="null3"/>
              <w:jc w:val="left"/>
            </w:pPr>
            <w:r>
              <w:rPr/>
              <w:t>同类业绩情况 (20.0分)</w:t>
            </w:r>
          </w:p>
        </w:tc>
        <w:tc>
          <w:tcPr>
            <w:tcW w:type="dxa" w:w="5076"/>
          </w:tcPr>
          <w:p>
            <w:pPr>
              <w:pStyle w:val="null3"/>
              <w:jc w:val="left"/>
            </w:pPr>
            <w:r>
              <w:rPr/>
              <w:t>根据投标人所提供的同类业绩的数量进行评分： 1）投标人提供一份钻芯法验桩的业绩得1分，满分8.0分； 2）投标人提供一份标准贯入试验的业绩得1分，满分4.0分； 3）投标人提供一份轻型动力触探试验的业绩得1分，满分4.0分； 4）投标人提供一份重型动力触探试验的业绩得1分，满分4.0分。 注：投标人提供得单份合同或结算单中包含以上多个类型的同类业绩可重复计算。须提供同类合同及发票复印件（合同可以复印合同的关键页面）或同类检测服务技术劳务合作项目结算单及发票复印件。（投标文件无提供这些同类业绩证明文件复印件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4"/>
          <w:b/>
        </w:rPr>
        <w:t>广东省政府采购</w:t>
      </w:r>
    </w:p>
    <w:p>
      <w:pPr>
        <w:pStyle w:val="null3"/>
        <w:spacing w:before="150" w:after="150"/>
        <w:jc w:val="both"/>
      </w:pPr>
      <w:r>
        <w:rPr>
          <w:sz w:val="24"/>
        </w:rPr>
        <w:t xml:space="preserve"> </w:t>
      </w:r>
    </w:p>
    <w:p>
      <w:pPr>
        <w:pStyle w:val="null3"/>
        <w:jc w:val="center"/>
      </w:pPr>
      <w:r>
        <w:rPr>
          <w:sz w:val="24"/>
          <w:b/>
        </w:rPr>
        <w:t>合　同　书</w:t>
      </w:r>
    </w:p>
    <w:p>
      <w:pPr>
        <w:pStyle w:val="null3"/>
        <w:jc w:val="center"/>
      </w:pPr>
      <w:r>
        <w:br/>
      </w:r>
      <w:r>
        <w:br/>
      </w:r>
      <w:r>
        <w:br/>
      </w:r>
      <w:r>
        <w:br/>
      </w:r>
      <w:r>
        <w:br/>
      </w:r>
      <w:r>
        <w:br/>
      </w:r>
      <w:r>
        <w:br/>
      </w:r>
      <w:r>
        <w:br/>
      </w:r>
      <w:r>
        <w:rPr>
          <w:sz w:val="24"/>
        </w:rPr>
        <w:t xml:space="preserve">  </w:t>
      </w:r>
    </w:p>
    <w:p>
      <w:pPr>
        <w:pStyle w:val="null3"/>
        <w:jc w:val="center"/>
      </w:pPr>
      <w:r>
        <w:rPr>
          <w:sz w:val="28"/>
          <w:color w:val="222222"/>
        </w:rPr>
        <w:t>采购计划编号：</w:t>
      </w:r>
      <w:r>
        <w:rPr>
          <w:sz w:val="24"/>
          <w:u w:val="single"/>
        </w:rPr>
        <w:t xml:space="preserve">      </w:t>
      </w:r>
      <w:r>
        <w:rPr>
          <w:sz w:val="24"/>
          <w:u w:val="single"/>
        </w:rPr>
        <w:t>441303-2025-00723</w:t>
      </w:r>
      <w:r>
        <w:rPr>
          <w:sz w:val="24"/>
          <w:u w:val="single"/>
        </w:rPr>
        <w:t xml:space="preserve">                         </w:t>
      </w:r>
    </w:p>
    <w:p>
      <w:pPr>
        <w:pStyle w:val="null3"/>
        <w:spacing w:before="150" w:after="150"/>
        <w:jc w:val="both"/>
      </w:pPr>
      <w:r>
        <w:rPr>
          <w:sz w:val="24"/>
        </w:rPr>
        <w:t xml:space="preserve"> </w:t>
      </w:r>
    </w:p>
    <w:p>
      <w:pPr>
        <w:pStyle w:val="null3"/>
        <w:jc w:val="center"/>
      </w:pPr>
      <w:r>
        <w:rPr>
          <w:sz w:val="28"/>
          <w:color w:val="222222"/>
        </w:rPr>
        <w:t>项目编号：</w:t>
      </w:r>
      <w:r>
        <w:rPr>
          <w:sz w:val="24"/>
          <w:u w:val="single"/>
        </w:rPr>
        <w:t xml:space="preserve">    </w:t>
      </w:r>
      <w:r>
        <w:rPr>
          <w:sz w:val="24"/>
          <w:u w:val="single"/>
        </w:rPr>
        <w:t>惠公易省云采惠阳〔</w:t>
      </w:r>
      <w:r>
        <w:rPr>
          <w:sz w:val="24"/>
          <w:u w:val="single"/>
        </w:rPr>
        <w:t>2025</w:t>
      </w:r>
      <w:r>
        <w:rPr>
          <w:sz w:val="24"/>
          <w:u w:val="single"/>
        </w:rPr>
        <w:t>〕</w:t>
      </w:r>
      <w:r>
        <w:rPr>
          <w:sz w:val="24"/>
          <w:u w:val="single"/>
        </w:rPr>
        <w:t>003</w:t>
      </w:r>
      <w:r>
        <w:rPr>
          <w:sz w:val="24"/>
          <w:u w:val="single"/>
        </w:rPr>
        <w:t>号</w:t>
      </w:r>
      <w:r>
        <w:rPr>
          <w:sz w:val="24"/>
          <w:u w:val="single"/>
        </w:rPr>
        <w:t xml:space="preserve">              </w:t>
      </w:r>
    </w:p>
    <w:p>
      <w:pPr>
        <w:pStyle w:val="null3"/>
        <w:spacing w:before="150" w:after="150"/>
        <w:jc w:val="both"/>
      </w:pPr>
      <w:r>
        <w:rPr>
          <w:sz w:val="24"/>
        </w:rPr>
        <w:t xml:space="preserve"> </w:t>
      </w:r>
    </w:p>
    <w:p>
      <w:pPr>
        <w:pStyle w:val="null3"/>
        <w:jc w:val="center"/>
      </w:pPr>
      <w:r>
        <w:rPr>
          <w:sz w:val="24"/>
        </w:rPr>
        <w:t xml:space="preserve">   </w:t>
      </w:r>
      <w:r>
        <w:rPr>
          <w:sz w:val="28"/>
          <w:color w:val="222222"/>
        </w:rPr>
        <w:t>项目名称：</w:t>
      </w:r>
      <w:r>
        <w:rPr>
          <w:sz w:val="24"/>
          <w:u w:val="single"/>
        </w:rPr>
        <w:t xml:space="preserve"> </w:t>
      </w:r>
      <w:r>
        <w:rPr>
          <w:sz w:val="24"/>
          <w:u w:val="single"/>
        </w:rPr>
        <w:t>钻芯法检测、标准贯入试验和动力触探试验劳务服务</w:t>
      </w:r>
      <w:r>
        <w:rPr>
          <w:sz w:val="24"/>
          <w:u w:val="single"/>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br/>
      </w:r>
      <w:r>
        <w:rPr>
          <w:sz w:val="24"/>
        </w:rPr>
        <w:t xml:space="preserve">  </w:t>
      </w:r>
    </w:p>
    <w:p>
      <w:pPr>
        <w:pStyle w:val="null3"/>
        <w:jc w:val="both"/>
      </w:pPr>
      <w:r>
        <w:rPr>
          <w:sz w:val="24"/>
          <w:b/>
        </w:rPr>
        <w:t>甲方：</w:t>
      </w:r>
      <w:r>
        <w:rPr>
          <w:sz w:val="24"/>
          <w:b/>
        </w:rPr>
        <w:t xml:space="preserve"> </w:t>
      </w:r>
      <w:r>
        <w:rPr>
          <w:sz w:val="24"/>
          <w:u w:val="single"/>
        </w:rPr>
        <w:t xml:space="preserve"> 惠州市惠阳区住房和城乡建设局   </w:t>
      </w:r>
    </w:p>
    <w:p>
      <w:pPr>
        <w:pStyle w:val="null3"/>
        <w:jc w:val="both"/>
      </w:pPr>
      <w:r>
        <w:rPr>
          <w:sz w:val="27"/>
          <w:color w:val="222222"/>
        </w:rPr>
        <w:t>电话：</w:t>
      </w:r>
      <w:r>
        <w:rPr>
          <w:sz w:val="27"/>
          <w:color w:val="222222"/>
        </w:rPr>
        <w:t xml:space="preserve"> </w:t>
      </w:r>
      <w:r>
        <w:rPr>
          <w:sz w:val="24"/>
          <w:u w:val="single"/>
        </w:rPr>
        <w:t xml:space="preserve"> 0752-3819342   </w:t>
      </w:r>
      <w:r>
        <w:rPr>
          <w:sz w:val="27"/>
          <w:color w:val="222222"/>
        </w:rPr>
        <w:t>传真</w:t>
      </w:r>
      <w:r>
        <w:rPr>
          <w:sz w:val="27"/>
          <w:color w:val="222222"/>
        </w:rPr>
        <w:t xml:space="preserve"> </w:t>
      </w:r>
      <w:r>
        <w:rPr>
          <w:sz w:val="27"/>
          <w:color w:val="222222"/>
        </w:rPr>
        <w:t>：</w:t>
      </w:r>
      <w:r>
        <w:rPr>
          <w:sz w:val="27"/>
          <w:color w:val="222222"/>
        </w:rPr>
        <w:t xml:space="preserve"> </w:t>
      </w:r>
      <w:r>
        <w:rPr>
          <w:sz w:val="24"/>
          <w:u w:val="single"/>
        </w:rPr>
        <w:t xml:space="preserve">    </w:t>
      </w:r>
      <w:r>
        <w:rPr>
          <w:sz w:val="27"/>
          <w:color w:val="222222"/>
        </w:rPr>
        <w:t>地址：</w:t>
      </w:r>
      <w:r>
        <w:rPr>
          <w:sz w:val="27"/>
          <w:color w:val="222222"/>
        </w:rPr>
        <w:t xml:space="preserve"> </w:t>
      </w:r>
      <w:r>
        <w:rPr>
          <w:sz w:val="24"/>
          <w:u w:val="single"/>
        </w:rPr>
        <w:t xml:space="preserve"> 惠州市惠阳区淡水伯公坳建设大厦     </w:t>
      </w:r>
    </w:p>
    <w:p>
      <w:pPr>
        <w:pStyle w:val="null3"/>
        <w:jc w:val="both"/>
      </w:pPr>
      <w:r>
        <w:rPr>
          <w:sz w:val="24"/>
          <w:b/>
        </w:rPr>
        <w:t>乙方：</w:t>
      </w:r>
      <w:r>
        <w:rPr>
          <w:sz w:val="24"/>
          <w:b/>
        </w:rPr>
        <w:t xml:space="preserve"> </w:t>
      </w:r>
      <w:r>
        <w:rPr>
          <w:sz w:val="24"/>
          <w:u w:val="single"/>
        </w:rPr>
        <w:t xml:space="preserve">    </w:t>
      </w:r>
    </w:p>
    <w:p>
      <w:pPr>
        <w:pStyle w:val="null3"/>
        <w:jc w:val="both"/>
      </w:pPr>
      <w:r>
        <w:rPr>
          <w:sz w:val="27"/>
          <w:color w:val="222222"/>
        </w:rPr>
        <w:t>电话：</w:t>
      </w:r>
      <w:r>
        <w:rPr>
          <w:sz w:val="27"/>
          <w:color w:val="222222"/>
        </w:rPr>
        <w:t xml:space="preserve"> </w:t>
      </w:r>
      <w:r>
        <w:rPr>
          <w:sz w:val="24"/>
          <w:u w:val="single"/>
        </w:rPr>
        <w:t xml:space="preserve">     </w:t>
      </w:r>
      <w:r>
        <w:rPr>
          <w:sz w:val="27"/>
          <w:color w:val="222222"/>
        </w:rPr>
        <w:t>传真：</w:t>
      </w:r>
      <w:r>
        <w:rPr>
          <w:sz w:val="24"/>
          <w:u w:val="single"/>
        </w:rPr>
        <w:t xml:space="preserve">      </w:t>
      </w:r>
      <w:r>
        <w:rPr>
          <w:sz w:val="27"/>
          <w:color w:val="222222"/>
        </w:rPr>
        <w:t>地址：</w:t>
      </w:r>
      <w:r>
        <w:rPr>
          <w:sz w:val="27"/>
          <w:color w:val="222222"/>
        </w:rPr>
        <w:t xml:space="preserve"> </w:t>
      </w:r>
      <w:r>
        <w:rPr>
          <w:sz w:val="24"/>
          <w:u w:val="single"/>
        </w:rPr>
        <w:t xml:space="preserve">     </w:t>
      </w:r>
    </w:p>
    <w:p>
      <w:pPr>
        <w:pStyle w:val="null3"/>
        <w:spacing w:before="150" w:after="150"/>
        <w:jc w:val="both"/>
      </w:pPr>
      <w:r>
        <w:rPr>
          <w:sz w:val="24"/>
        </w:rPr>
        <w:t xml:space="preserve"> </w:t>
      </w:r>
    </w:p>
    <w:p>
      <w:pPr>
        <w:pStyle w:val="null3"/>
        <w:jc w:val="both"/>
      </w:pPr>
      <w:r>
        <w:rPr>
          <w:sz w:val="24"/>
        </w:rPr>
        <w:t xml:space="preserve">  </w:t>
      </w:r>
    </w:p>
    <w:p>
      <w:pPr>
        <w:pStyle w:val="null3"/>
        <w:jc w:val="both"/>
      </w:pPr>
      <w:r>
        <w:rPr>
          <w:sz w:val="24"/>
        </w:rPr>
        <w:t>根据</w:t>
      </w:r>
      <w:r>
        <w:rPr>
          <w:sz w:val="24"/>
          <w:u w:val="single"/>
        </w:rPr>
        <w:t xml:space="preserve"> 钻芯法检测、标准贯入试验和动力触探试验劳务服务</w:t>
      </w:r>
      <w:r>
        <w:rPr>
          <w:sz w:val="24"/>
          <w:u w:val="single"/>
        </w:rPr>
        <w:t xml:space="preserve"> </w:t>
      </w:r>
      <w:r>
        <w:rPr>
          <w:sz w:val="24"/>
        </w:rPr>
        <w:t>的采购结果，按照《中华人民共和国政府采购法》，《中华人民共和国民法典(合同编)》的规定，经双方协商，本着平等互利和诚实信用的原则，一致同意遵守本合同如下。</w:t>
      </w:r>
    </w:p>
    <w:p>
      <w:pPr>
        <w:pStyle w:val="null3"/>
        <w:jc w:val="both"/>
      </w:pPr>
      <w:r>
        <w:rPr>
          <w:sz w:val="24"/>
          <w:b/>
        </w:rPr>
        <w:t>一</w:t>
      </w:r>
      <w:r>
        <w:rPr>
          <w:sz w:val="24"/>
          <w:b/>
        </w:rPr>
        <w:t>、合同预算总额</w:t>
      </w:r>
    </w:p>
    <w:p>
      <w:pPr>
        <w:pStyle w:val="null3"/>
        <w:jc w:val="both"/>
      </w:pPr>
      <w:r>
        <w:rPr>
          <w:sz w:val="24"/>
        </w:rPr>
        <w:t>合同预算金额为(大写):</w:t>
      </w:r>
      <w:r>
        <w:rPr>
          <w:sz w:val="24"/>
          <w:u w:val="single"/>
        </w:rPr>
        <w:t xml:space="preserve"> 肆佰伍拾万 </w:t>
      </w:r>
      <w:r>
        <w:rPr>
          <w:sz w:val="24"/>
        </w:rPr>
        <w:t>元 ( ¥4,500.000.00   元)人民币。最终以双方结算为准。</w:t>
      </w:r>
    </w:p>
    <w:p>
      <w:pPr>
        <w:pStyle w:val="null3"/>
        <w:spacing w:before="105"/>
      </w:pPr>
      <w:r>
        <w:rPr>
          <w:sz w:val="22"/>
        </w:rPr>
        <w:t>中标单价=劳务项目基准单价×（1-中标下浮率）：</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12"/>
        <w:gridCol w:w="1447"/>
        <w:gridCol w:w="1257"/>
        <w:gridCol w:w="1765"/>
        <w:gridCol w:w="1181"/>
        <w:gridCol w:w="1803"/>
      </w:tblGrid>
      <w:tr>
        <w:tc>
          <w:tcPr>
            <w:tcW w:type="dxa" w:w="8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pPr>
            <w:r>
              <w:rPr>
                <w:sz w:val="21"/>
                <w:color w:val="000000"/>
              </w:rPr>
              <w:t>序号</w:t>
            </w:r>
          </w:p>
        </w:tc>
        <w:tc>
          <w:tcPr>
            <w:tcW w:type="dxa" w:w="270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15"/>
            </w:pPr>
            <w:r>
              <w:rPr>
                <w:sz w:val="21"/>
                <w:color w:val="000000"/>
              </w:rPr>
              <w:t>检测项目</w:t>
            </w:r>
          </w:p>
        </w:tc>
        <w:tc>
          <w:tcPr>
            <w:tcW w:type="dxa" w:w="17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pPr>
            <w:r>
              <w:rPr>
                <w:sz w:val="21"/>
                <w:color w:val="000000"/>
              </w:rPr>
              <w:t>劳务项目基准价</w:t>
            </w:r>
          </w:p>
        </w:tc>
        <w:tc>
          <w:tcPr>
            <w:tcW w:type="dxa" w:w="1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pPr>
            <w:r>
              <w:rPr>
                <w:sz w:val="21"/>
                <w:color w:val="000000"/>
              </w:rPr>
              <w:t>中标下浮率</w:t>
            </w:r>
          </w:p>
        </w:tc>
        <w:tc>
          <w:tcPr>
            <w:tcW w:type="dxa" w:w="18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15"/>
            </w:pPr>
            <w:r>
              <w:rPr>
                <w:sz w:val="21"/>
                <w:color w:val="000000"/>
              </w:rPr>
              <w:t>中标单价</w:t>
            </w:r>
          </w:p>
        </w:tc>
      </w:tr>
      <w:tr>
        <w:tc>
          <w:tcPr>
            <w:tcW w:type="dxa" w:w="81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90"/>
            </w:pPr>
            <w:r>
              <w:rPr>
                <w:sz w:val="21"/>
                <w:color w:val="000000"/>
              </w:rPr>
              <w:t>1</w:t>
            </w:r>
          </w:p>
        </w:tc>
        <w:tc>
          <w:tcPr>
            <w:tcW w:type="dxa" w:w="14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pPr>
            <w:r>
              <w:rPr>
                <w:sz w:val="21"/>
                <w:color w:val="000000"/>
              </w:rPr>
              <w:t>钻芯法检测</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5"/>
            </w:pPr>
            <w:r>
              <w:rPr>
                <w:sz w:val="21"/>
                <w:color w:val="000000"/>
              </w:rPr>
              <w:t>混凝土和岩基</w:t>
            </w:r>
          </w:p>
        </w:tc>
        <w:tc>
          <w:tcPr>
            <w:tcW w:type="dxa" w:w="17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95"/>
            </w:pPr>
            <w:r>
              <w:rPr>
                <w:sz w:val="21"/>
                <w:color w:val="000000"/>
              </w:rPr>
              <w:t>266(元/米)</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60"/>
            </w:pPr>
          </w:p>
        </w:tc>
        <w:tc>
          <w:tcPr>
            <w:tcW w:type="dxa" w:w="18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12"/>
            <w:vMerge/>
            <w:tcBorders>
              <w:top w:val="none" w:color="000000" w:sz="4"/>
              <w:left w:val="single" w:color="000000" w:sz="4"/>
              <w:bottom w:val="single" w:color="000000" w:sz="4"/>
              <w:right w:val="single" w:color="000000" w:sz="4"/>
            </w:tcBorders>
          </w:tcPr>
          <w:p/>
        </w:tc>
        <w:tc>
          <w:tcPr>
            <w:tcW w:type="dxa" w:w="1447"/>
            <w:vMerge/>
            <w:tcBorders>
              <w:top w:val="none" w:color="000000" w:sz="4"/>
              <w:left w:val="singl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复合地基</w:t>
            </w:r>
          </w:p>
        </w:tc>
        <w:tc>
          <w:tcPr>
            <w:tcW w:type="dxa" w:w="17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95"/>
            </w:pPr>
            <w:r>
              <w:rPr>
                <w:sz w:val="21"/>
                <w:color w:val="000000"/>
              </w:rPr>
              <w:t>196(元/米)</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60"/>
            </w:pPr>
          </w:p>
        </w:tc>
        <w:tc>
          <w:tcPr>
            <w:tcW w:type="dxa" w:w="1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2</w:t>
            </w:r>
          </w:p>
        </w:tc>
        <w:tc>
          <w:tcPr>
            <w:tcW w:type="dxa" w:w="27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05"/>
              <w:jc w:val="left"/>
            </w:pPr>
            <w:r>
              <w:rPr>
                <w:sz w:val="21"/>
                <w:color w:val="000000"/>
              </w:rPr>
              <w:t>标准贯入试验</w:t>
            </w:r>
          </w:p>
        </w:tc>
        <w:tc>
          <w:tcPr>
            <w:tcW w:type="dxa" w:w="17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95"/>
            </w:pPr>
            <w:r>
              <w:rPr>
                <w:sz w:val="21"/>
                <w:color w:val="000000"/>
              </w:rPr>
              <w:t>175</w:t>
            </w:r>
            <w:r>
              <w:rPr>
                <w:sz w:val="21"/>
                <w:color w:val="000000"/>
              </w:rPr>
              <w:t>(元/米)</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60"/>
            </w:pPr>
          </w:p>
        </w:tc>
        <w:tc>
          <w:tcPr>
            <w:tcW w:type="dxa" w:w="1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1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3</w:t>
            </w:r>
          </w:p>
        </w:tc>
        <w:tc>
          <w:tcPr>
            <w:tcW w:type="dxa" w:w="14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pPr>
            <w:r>
              <w:rPr>
                <w:sz w:val="21"/>
                <w:color w:val="000000"/>
              </w:rPr>
              <w:t>动力触探试验</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45"/>
            </w:pPr>
            <w:r>
              <w:rPr>
                <w:sz w:val="21"/>
                <w:color w:val="000000"/>
              </w:rPr>
              <w:t>轻型</w:t>
            </w:r>
          </w:p>
        </w:tc>
        <w:tc>
          <w:tcPr>
            <w:tcW w:type="dxa" w:w="17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95"/>
            </w:pPr>
            <w:r>
              <w:rPr>
                <w:sz w:val="21"/>
                <w:color w:val="000000"/>
              </w:rPr>
              <w:t>140(元/点)</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60"/>
            </w:pPr>
          </w:p>
        </w:tc>
        <w:tc>
          <w:tcPr>
            <w:tcW w:type="dxa" w:w="18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12"/>
            <w:vMerge/>
            <w:tcBorders>
              <w:top w:val="none" w:color="000000" w:sz="4"/>
              <w:left w:val="single" w:color="000000" w:sz="4"/>
              <w:bottom w:val="single" w:color="000000" w:sz="4"/>
              <w:right w:val="single" w:color="000000" w:sz="4"/>
            </w:tcBorders>
          </w:tcPr>
          <w:p/>
        </w:tc>
        <w:tc>
          <w:tcPr>
            <w:tcW w:type="dxa" w:w="1447"/>
            <w:vMerge/>
            <w:tcBorders>
              <w:top w:val="none" w:color="000000" w:sz="4"/>
              <w:left w:val="singl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重型</w:t>
            </w:r>
          </w:p>
        </w:tc>
        <w:tc>
          <w:tcPr>
            <w:tcW w:type="dxa" w:w="17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95"/>
            </w:pPr>
            <w:r>
              <w:rPr>
                <w:sz w:val="21"/>
                <w:color w:val="000000"/>
              </w:rPr>
              <w:t>840(元/点)</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60"/>
            </w:pPr>
          </w:p>
        </w:tc>
        <w:tc>
          <w:tcPr>
            <w:tcW w:type="dxa" w:w="1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4"/>
          <w:b/>
        </w:rPr>
        <w:t>二、服务范围</w:t>
      </w:r>
    </w:p>
    <w:p>
      <w:pPr>
        <w:pStyle w:val="null3"/>
        <w:ind w:firstLine="408"/>
        <w:jc w:val="both"/>
      </w:pPr>
      <w:r>
        <w:rPr>
          <w:sz w:val="22"/>
        </w:rPr>
        <w:t>甲方聘请乙方提供以下服务：</w:t>
      </w:r>
    </w:p>
    <w:p>
      <w:pPr>
        <w:pStyle w:val="null3"/>
        <w:spacing w:before="105"/>
        <w:ind w:firstLine="420"/>
        <w:jc w:val="both"/>
      </w:pPr>
      <w:r>
        <w:rPr>
          <w:sz w:val="22"/>
        </w:rPr>
        <w:t>1、检测项目：钻芯法检测、</w:t>
      </w:r>
      <w:r>
        <w:rPr>
          <w:sz w:val="22"/>
        </w:rPr>
        <w:t>标准贯入试验、</w:t>
      </w:r>
      <w:r>
        <w:rPr>
          <w:sz w:val="22"/>
        </w:rPr>
        <w:t>轻型动力触探试验、重型动力触探试</w:t>
      </w:r>
      <w:r>
        <w:rPr>
          <w:sz w:val="22"/>
        </w:rPr>
        <w:t>验。</w:t>
      </w:r>
    </w:p>
    <w:p>
      <w:pPr>
        <w:pStyle w:val="null3"/>
        <w:ind w:firstLine="420"/>
        <w:jc w:val="both"/>
      </w:pPr>
      <w:r>
        <w:rPr>
          <w:sz w:val="22"/>
        </w:rPr>
        <w:t>2、项目技术服务内容及要求：</w:t>
      </w:r>
    </w:p>
    <w:tbl>
      <w:tblPr>
        <w:tblW w:w="0" w:type="auto"/>
        <w:tblInd w:type="dxa" w:w="615"/>
        <w:tblBorders>
          <w:top w:val="none" w:color="000000" w:sz="4"/>
          <w:left w:val="none" w:color="000000" w:sz="4"/>
          <w:bottom w:val="none" w:color="000000" w:sz="4"/>
          <w:right w:val="none" w:color="000000" w:sz="4"/>
          <w:insideH w:val="none"/>
          <w:insideV w:val="none"/>
        </w:tblBorders>
      </w:tblPr>
      <w:tblGrid>
        <w:gridCol w:w="720"/>
        <w:gridCol w:w="1335"/>
        <w:gridCol w:w="4755"/>
        <w:gridCol w:w="2400"/>
      </w:tblGrid>
      <w:tr>
        <w:tc>
          <w:tcPr>
            <w:tcW w:type="dxa" w:w="7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序号</w:t>
            </w:r>
          </w:p>
        </w:tc>
        <w:tc>
          <w:tcPr>
            <w:tcW w:type="dxa" w:w="13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2"/>
              </w:rPr>
              <w:t>检测项目</w:t>
            </w:r>
          </w:p>
        </w:tc>
        <w:tc>
          <w:tcPr>
            <w:tcW w:type="dxa" w:w="47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2"/>
              </w:rPr>
              <w:t>检测内容</w:t>
            </w:r>
          </w:p>
        </w:tc>
        <w:tc>
          <w:tcPr>
            <w:tcW w:type="dxa" w:w="24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2"/>
              </w:rPr>
              <w:t>检测要求</w:t>
            </w:r>
          </w:p>
        </w:tc>
      </w:tr>
      <w:tr>
        <w:tc>
          <w:tcPr>
            <w:tcW w:type="dxa" w:w="7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sz w:val="22"/>
              </w:rPr>
              <w:t>1</w:t>
            </w:r>
          </w:p>
        </w:tc>
        <w:tc>
          <w:tcPr>
            <w:tcW w:type="dxa" w:w="1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sz w:val="22"/>
              </w:rPr>
              <w:t>钻芯法检测</w:t>
            </w:r>
          </w:p>
        </w:tc>
        <w:tc>
          <w:tcPr>
            <w:tcW w:type="dxa" w:w="47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t xml:space="preserve"> </w:t>
            </w:r>
          </w:p>
        </w:tc>
        <w:tc>
          <w:tcPr>
            <w:tcW w:type="dxa" w:w="2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t xml:space="preserve"> </w:t>
            </w:r>
          </w:p>
        </w:tc>
      </w:tr>
      <w:tr>
        <w:tc>
          <w:tcPr>
            <w:tcW w:type="dxa" w:w="7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sz w:val="22"/>
              </w:rPr>
              <w:t>2</w:t>
            </w:r>
          </w:p>
        </w:tc>
        <w:tc>
          <w:tcPr>
            <w:tcW w:type="dxa" w:w="1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2"/>
              </w:rPr>
              <w:t>标准贯入试验</w:t>
            </w:r>
          </w:p>
        </w:tc>
        <w:tc>
          <w:tcPr>
            <w:tcW w:type="dxa" w:w="47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t xml:space="preserve"> </w:t>
            </w:r>
          </w:p>
        </w:tc>
        <w:tc>
          <w:tcPr>
            <w:tcW w:type="dxa" w:w="2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t xml:space="preserve"> </w:t>
            </w:r>
          </w:p>
        </w:tc>
      </w:tr>
      <w:tr>
        <w:tc>
          <w:tcPr>
            <w:tcW w:type="dxa" w:w="72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sz w:val="22"/>
              </w:rPr>
              <w:t>3</w:t>
            </w:r>
          </w:p>
          <w:p>
            <w:pPr>
              <w:pStyle w:val="null3"/>
              <w:ind w:firstLine="420"/>
              <w:jc w:val="both"/>
            </w:pPr>
            <w:r>
              <w:rPr/>
              <w:t xml:space="preserve"> </w:t>
            </w:r>
          </w:p>
        </w:tc>
        <w:tc>
          <w:tcPr>
            <w:tcW w:type="dxa" w:w="1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sz w:val="22"/>
              </w:rPr>
              <w:t>轻型动力触</w:t>
            </w:r>
          </w:p>
          <w:p>
            <w:pPr>
              <w:pStyle w:val="null3"/>
              <w:jc w:val="both"/>
            </w:pPr>
            <w:r>
              <w:rPr>
                <w:sz w:val="22"/>
              </w:rPr>
              <w:t>探试验</w:t>
            </w:r>
          </w:p>
        </w:tc>
        <w:tc>
          <w:tcPr>
            <w:tcW w:type="dxa" w:w="47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t xml:space="preserve"> </w:t>
            </w:r>
          </w:p>
        </w:tc>
        <w:tc>
          <w:tcPr>
            <w:tcW w:type="dxa" w:w="2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t xml:space="preserve"> </w:t>
            </w:r>
          </w:p>
        </w:tc>
      </w:tr>
      <w:tr>
        <w:tc>
          <w:tcPr>
            <w:tcW w:type="dxa" w:w="720"/>
            <w:vMerge/>
            <w:tcBorders>
              <w:top w:val="none" w:color="000000" w:sz="4"/>
              <w:left w:val="single" w:color="000000" w:sz="4"/>
              <w:bottom w:val="single" w:color="000000" w:sz="4"/>
              <w:right w:val="single" w:color="000000" w:sz="4"/>
            </w:tcBorders>
          </w:tcPr>
          <w:p/>
        </w:tc>
        <w:tc>
          <w:tcPr>
            <w:tcW w:type="dxa" w:w="1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sz w:val="22"/>
              </w:rPr>
              <w:t>重型动力触</w:t>
            </w:r>
          </w:p>
          <w:p>
            <w:pPr>
              <w:pStyle w:val="null3"/>
              <w:jc w:val="both"/>
            </w:pPr>
            <w:r>
              <w:rPr>
                <w:sz w:val="22"/>
              </w:rPr>
              <w:t>探试验</w:t>
            </w:r>
          </w:p>
        </w:tc>
        <w:tc>
          <w:tcPr>
            <w:tcW w:type="dxa" w:w="47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t xml:space="preserve"> </w:t>
            </w:r>
          </w:p>
        </w:tc>
        <w:tc>
          <w:tcPr>
            <w:tcW w:type="dxa" w:w="2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t xml:space="preserve"> </w:t>
            </w:r>
          </w:p>
        </w:tc>
      </w:tr>
    </w:tbl>
    <w:p>
      <w:pPr>
        <w:pStyle w:val="null3"/>
        <w:ind w:firstLine="420"/>
        <w:jc w:val="both"/>
      </w:pPr>
      <w:r>
        <w:rPr>
          <w:sz w:val="24"/>
          <w:b/>
        </w:rPr>
        <w:t>三、甲方乙方的权利和义务</w:t>
      </w:r>
    </w:p>
    <w:p>
      <w:pPr>
        <w:pStyle w:val="null3"/>
        <w:jc w:val="both"/>
      </w:pPr>
      <w:r>
        <w:rPr>
          <w:sz w:val="27"/>
          <w:color w:val="222222"/>
        </w:rPr>
        <w:t>　　</w:t>
      </w:r>
      <w:r>
        <w:rPr>
          <w:sz w:val="24"/>
        </w:rPr>
        <w:t>甲方的权利和义务：</w:t>
      </w:r>
    </w:p>
    <w:p>
      <w:pPr>
        <w:pStyle w:val="null3"/>
      </w:pPr>
      <w:r>
        <w:rPr>
          <w:sz w:val="24"/>
        </w:rPr>
        <w:t>1、安排检测计划，下达检测项目任务。</w:t>
      </w:r>
    </w:p>
    <w:p>
      <w:pPr>
        <w:pStyle w:val="null3"/>
      </w:pPr>
      <w:r>
        <w:rPr>
          <w:sz w:val="24"/>
        </w:rPr>
        <w:t>2、确定检测技术要求，检测方法，检测数量等。</w:t>
      </w:r>
    </w:p>
    <w:p>
      <w:pPr>
        <w:pStyle w:val="null3"/>
      </w:pPr>
      <w:r>
        <w:rPr>
          <w:sz w:val="24"/>
        </w:rPr>
        <w:t>3、协调与建设、设计、监理、施工等部门的关系。</w:t>
      </w:r>
    </w:p>
    <w:p>
      <w:pPr>
        <w:pStyle w:val="null3"/>
      </w:pPr>
      <w:r>
        <w:rPr>
          <w:sz w:val="24"/>
        </w:rPr>
        <w:t>4、对于乙方的检测工作进行审查监督。</w:t>
      </w:r>
    </w:p>
    <w:p>
      <w:pPr>
        <w:pStyle w:val="null3"/>
      </w:pPr>
      <w:r>
        <w:rPr>
          <w:sz w:val="24"/>
        </w:rPr>
        <w:t>5、提供当月实际完成工作量结算清单并结清当月技术协作服务费。</w:t>
      </w:r>
    </w:p>
    <w:p>
      <w:pPr>
        <w:pStyle w:val="null3"/>
      </w:pPr>
      <w:r>
        <w:rPr>
          <w:sz w:val="24"/>
        </w:rPr>
        <w:t>乙方的权利和义务：</w:t>
      </w:r>
    </w:p>
    <w:p>
      <w:pPr>
        <w:pStyle w:val="null3"/>
      </w:pPr>
      <w:r>
        <w:rPr>
          <w:sz w:val="24"/>
        </w:rPr>
        <w:t>1、负责提供各类检测所需设备和消耗材料及承担进退场费、人工费。</w:t>
      </w:r>
    </w:p>
    <w:p>
      <w:pPr>
        <w:pStyle w:val="null3"/>
      </w:pPr>
      <w:r>
        <w:rPr>
          <w:sz w:val="24"/>
        </w:rPr>
        <w:t>2、严格执行有关检测规范、规程及技术要求，按时完成检测工作。严格遵守甲方的《劳务分包单位管理办法》,并承担因违反规定造成的一切经济及法律责任。</w:t>
      </w:r>
    </w:p>
    <w:p>
      <w:pPr>
        <w:pStyle w:val="null3"/>
      </w:pPr>
      <w:r>
        <w:rPr>
          <w:sz w:val="24"/>
        </w:rPr>
        <w:t>3、乙方须按照投标文件要求配备项目负责人及检测人员。项目负责人应具备所属行业丰富的从业经验，</w:t>
      </w:r>
    </w:p>
    <w:p>
      <w:pPr>
        <w:pStyle w:val="null3"/>
      </w:pPr>
      <w:r>
        <w:rPr>
          <w:sz w:val="24"/>
        </w:rPr>
        <w:t>应至少具备钻芯法验桩(编审)和岩土工程原位测试上岗证，其余检测人员应具有相应的上岗资质。</w:t>
      </w:r>
    </w:p>
    <w:p>
      <w:pPr>
        <w:pStyle w:val="null3"/>
      </w:pPr>
      <w:r>
        <w:rPr>
          <w:sz w:val="24"/>
        </w:rPr>
        <w:t>4、参与检测的工作人员必须遵守国家的各项法律、法规，遵守各项操作规程，确保安全、文明生产。服从甲方的管理及工作安排。</w:t>
      </w:r>
    </w:p>
    <w:p>
      <w:pPr>
        <w:pStyle w:val="null3"/>
      </w:pPr>
      <w:r>
        <w:rPr>
          <w:sz w:val="24"/>
        </w:rPr>
        <w:t>5、按甲方规定及时提交检测报告或报表，并对数据的真实性、合法性、准确性负责。否则，按合同总价 2%/次的标准向甲方支付违约金，累计出现3次(含3次)以上，甲方有权单方解除本合同。</w:t>
      </w:r>
    </w:p>
    <w:p>
      <w:pPr>
        <w:pStyle w:val="null3"/>
      </w:pPr>
      <w:r>
        <w:rPr>
          <w:sz w:val="24"/>
        </w:rPr>
        <w:t>6、承担因乙方原因引起的检测质量问题而产生的责任。</w:t>
      </w:r>
    </w:p>
    <w:p>
      <w:pPr>
        <w:pStyle w:val="null3"/>
      </w:pPr>
      <w:r>
        <w:rPr>
          <w:sz w:val="24"/>
        </w:rPr>
        <w:t>7、承担检测人员的工资、交通费、差旅费等工本费。</w:t>
      </w:r>
    </w:p>
    <w:p>
      <w:pPr>
        <w:pStyle w:val="null3"/>
      </w:pPr>
      <w:r>
        <w:rPr>
          <w:sz w:val="24"/>
        </w:rPr>
        <w:t>8、保证检测工作安全，并承担因安全问题造成的一切经济及法律责任。</w:t>
      </w:r>
    </w:p>
    <w:p>
      <w:pPr>
        <w:pStyle w:val="null3"/>
      </w:pPr>
      <w:r>
        <w:rPr>
          <w:sz w:val="24"/>
        </w:rPr>
        <w:t>9、遵守各项操作规程，确保安全生产，若发生安全事故，责任自负，费用自理。</w:t>
      </w:r>
    </w:p>
    <w:p>
      <w:pPr>
        <w:pStyle w:val="null3"/>
        <w:jc w:val="both"/>
      </w:pPr>
      <w:r>
        <w:rPr>
          <w:sz w:val="24"/>
          <w:b/>
        </w:rPr>
        <w:t>四、服务期间（项目完成期限）</w:t>
      </w:r>
    </w:p>
    <w:p>
      <w:pPr>
        <w:pStyle w:val="null3"/>
        <w:jc w:val="both"/>
      </w:pPr>
      <w:r>
        <w:rPr>
          <w:sz w:val="24"/>
        </w:rPr>
        <w:t xml:space="preserve"> 1.委托服务期间自______年______月至______年______月止。</w:t>
      </w:r>
    </w:p>
    <w:p>
      <w:pPr>
        <w:pStyle w:val="null3"/>
        <w:jc w:val="both"/>
      </w:pPr>
      <w:r>
        <w:rPr>
          <w:sz w:val="24"/>
          <w:b/>
        </w:rPr>
        <w:t>五、</w:t>
      </w:r>
      <w:r>
        <w:rPr>
          <w:sz w:val="24"/>
          <w:b/>
        </w:rPr>
        <w:t>结算及</w:t>
      </w:r>
      <w:r>
        <w:rPr>
          <w:sz w:val="24"/>
          <w:b/>
        </w:rPr>
        <w:t>付款方式</w:t>
      </w:r>
    </w:p>
    <w:p>
      <w:pPr>
        <w:pStyle w:val="null3"/>
        <w:jc w:val="both"/>
      </w:pPr>
      <w:r>
        <w:rPr>
          <w:sz w:val="24"/>
        </w:rPr>
        <w:t>1、结算方式：服务费=中标单价×实际完成工作量。</w:t>
      </w:r>
    </w:p>
    <w:p>
      <w:pPr>
        <w:pStyle w:val="null3"/>
      </w:pPr>
      <w:r>
        <w:rPr>
          <w:sz w:val="24"/>
        </w:rPr>
        <w:t>2、实际完成工作量的确定：以检测业务委托方取得检测报告并缴费后的工作量为当月实际完成工作量由双方签名确认后进行结算。</w:t>
      </w:r>
    </w:p>
    <w:p>
      <w:pPr>
        <w:pStyle w:val="null3"/>
      </w:pPr>
      <w:r>
        <w:rPr>
          <w:sz w:val="24"/>
        </w:rPr>
        <w:t>3、技术协作服务费的付款办法：当月技术协作服务费于下一个月10日前结清，乙方负责提供发票及承担相关税费。</w:t>
      </w:r>
    </w:p>
    <w:p>
      <w:pPr>
        <w:pStyle w:val="null3"/>
      </w:pPr>
      <w:r>
        <w:rPr>
          <w:sz w:val="24"/>
        </w:rPr>
        <w:t>4、甲方委托下属事业单位惠州市惠阳区建设工程质量检测中心与乙方进行结算并支付相关款项。</w:t>
      </w:r>
    </w:p>
    <w:p>
      <w:pPr>
        <w:pStyle w:val="null3"/>
      </w:pPr>
      <w:r>
        <w:rPr>
          <w:sz w:val="24"/>
        </w:rPr>
        <w:t>5、实际支付进度以财政资金拨付进度为准，如因财政资金不能及时到位导致甲方延迟支付，甲方不构成违约，不承担给乙方造成的任何损失，且不作为乙方延迟履行或不履行合同的依据和理由。</w:t>
      </w:r>
    </w:p>
    <w:p>
      <w:pPr>
        <w:pStyle w:val="null3"/>
      </w:pPr>
      <w:r>
        <w:rPr/>
        <w:t xml:space="preserve"> </w:t>
      </w:r>
    </w:p>
    <w:p>
      <w:pPr>
        <w:pStyle w:val="null3"/>
        <w:jc w:val="both"/>
      </w:pPr>
      <w:r>
        <w:rPr>
          <w:sz w:val="24"/>
          <w:b/>
        </w:rPr>
        <w:t>六、知识产权归属</w:t>
      </w:r>
    </w:p>
    <w:p>
      <w:pPr>
        <w:pStyle w:val="null3"/>
        <w:spacing w:before="195"/>
      </w:pPr>
      <w:r>
        <w:rPr>
          <w:sz w:val="24"/>
        </w:rPr>
        <w:t xml:space="preserve">      甲方拥有本合同项目的所有中间成果和最终成果，以及与之相关的所有权利。</w:t>
      </w:r>
    </w:p>
    <w:p>
      <w:pPr>
        <w:pStyle w:val="null3"/>
        <w:jc w:val="both"/>
      </w:pPr>
      <w:r>
        <w:rPr>
          <w:sz w:val="24"/>
          <w:b/>
        </w:rPr>
        <w:t>七、保密</w:t>
      </w:r>
    </w:p>
    <w:p>
      <w:pPr>
        <w:pStyle w:val="null3"/>
        <w:ind w:firstLine="540"/>
      </w:pPr>
      <w:r>
        <w:rPr>
          <w:sz w:val="24"/>
        </w:rPr>
        <w:t>甲乙双方应遵守国家的有关保密规定，妥善保管对方提供的资料，保守对方的各项秘密，并保护对方的 知识产权。</w:t>
      </w:r>
    </w:p>
    <w:p>
      <w:pPr>
        <w:pStyle w:val="null3"/>
      </w:pPr>
      <w:r>
        <w:rPr>
          <w:sz w:val="24"/>
          <w:b/>
        </w:rPr>
        <w:t>八、违约责任与赔偿损失</w:t>
      </w:r>
    </w:p>
    <w:p>
      <w:pPr>
        <w:pStyle w:val="null3"/>
      </w:pPr>
      <w:r>
        <w:rPr>
          <w:sz w:val="24"/>
        </w:rPr>
        <w:t xml:space="preserve"> 1、乙方提供的服务不符合本合同规定的，甲方有权拒收，并且乙方须向甲方支付本合同总价5%的违约金。</w:t>
      </w:r>
    </w:p>
    <w:p>
      <w:pPr>
        <w:pStyle w:val="null3"/>
      </w:pPr>
      <w:r>
        <w:rPr>
          <w:sz w:val="24"/>
        </w:rPr>
        <w:t>2、 乙方未能按本合同规定的交货时间提供服务，从逾期之日起每日按本合同总价3‰。的数额向甲方支付 违约金；逾期半个月以上的，甲方有权终止合同，由此造成的甲方经济损失由乙方承担。</w:t>
      </w:r>
    </w:p>
    <w:p>
      <w:pPr>
        <w:pStyle w:val="null3"/>
      </w:pPr>
      <w:r>
        <w:rPr>
          <w:sz w:val="24"/>
        </w:rPr>
        <w:t>3、 甲方无正当理由拒收接受服务，甲方向乙方偿付本合同总的5%的违约金。甲方逾期付款，则每日按拖欠款项金额的3‰向乙方偿付违约金。因财政部门未及时拨付导致迟延支付的情形除外。</w:t>
      </w:r>
    </w:p>
    <w:p>
      <w:pPr>
        <w:pStyle w:val="null3"/>
      </w:pPr>
      <w:r>
        <w:rPr>
          <w:sz w:val="24"/>
        </w:rPr>
        <w:t>4、其它违约责任按《中华人民共和国民法典》处理。</w:t>
      </w:r>
    </w:p>
    <w:p>
      <w:pPr>
        <w:pStyle w:val="null3"/>
      </w:pPr>
      <w:r>
        <w:rPr>
          <w:sz w:val="24"/>
          <w:b/>
        </w:rPr>
        <w:t>九、争议的解决</w:t>
      </w:r>
    </w:p>
    <w:p>
      <w:pPr>
        <w:pStyle w:val="null3"/>
        <w:ind w:left="345"/>
      </w:pPr>
      <w:r>
        <w:rPr>
          <w:sz w:val="24"/>
        </w:rPr>
        <w:t>合同执行过程中发生的任何争议，如双方不能通过友好协商解决，任何一方可向甲方所在地人民法院提起 诉讼。</w:t>
      </w:r>
    </w:p>
    <w:p>
      <w:pPr>
        <w:pStyle w:val="null3"/>
      </w:pPr>
      <w:r>
        <w:rPr>
          <w:sz w:val="24"/>
          <w:b/>
        </w:rPr>
        <w:t>十、不可抗力</w:t>
      </w:r>
    </w:p>
    <w:p>
      <w:pPr>
        <w:pStyle w:val="null3"/>
        <w:spacing w:before="195"/>
        <w:ind w:firstLine="419"/>
      </w:pPr>
      <w:r>
        <w:rPr>
          <w:sz w:val="24"/>
        </w:rPr>
        <w:t>任何一方由于不可抗力原因不能履行合同时，应在不可抗力事件结束后1日内向对方通报，以减轻可能 给对方造成的损失，在取得有关机构的不可抗力证明或双方谅解确认后，允许延期履行或修订合同，并根据情况可部分或全部免于承担违约责任。</w:t>
      </w:r>
    </w:p>
    <w:p>
      <w:pPr>
        <w:pStyle w:val="null3"/>
      </w:pPr>
      <w:r>
        <w:rPr>
          <w:sz w:val="24"/>
          <w:b/>
        </w:rPr>
        <w:t>十一、税费</w:t>
      </w:r>
    </w:p>
    <w:p>
      <w:pPr>
        <w:pStyle w:val="null3"/>
      </w:pPr>
      <w:r>
        <w:rPr>
          <w:sz w:val="24"/>
        </w:rPr>
        <w:t>在中国境内、外发生的与本合同执行有关的一切税费均由乙方负担。</w:t>
      </w:r>
    </w:p>
    <w:p>
      <w:pPr>
        <w:pStyle w:val="null3"/>
      </w:pPr>
      <w:r>
        <w:rPr>
          <w:sz w:val="24"/>
          <w:b/>
        </w:rPr>
        <w:t>十二、其它</w:t>
      </w:r>
    </w:p>
    <w:p>
      <w:pPr>
        <w:pStyle w:val="null3"/>
      </w:pPr>
      <w:r>
        <w:rPr>
          <w:sz w:val="24"/>
        </w:rPr>
        <w:t>1、本合同所有附件、招标文件、投标文件、中标通知书均为合同的有效组成部分，与本合同具有同等法律效力。</w:t>
      </w:r>
    </w:p>
    <w:p>
      <w:pPr>
        <w:pStyle w:val="null3"/>
      </w:pPr>
      <w:r>
        <w:rPr>
          <w:sz w:val="24"/>
        </w:rPr>
        <w:t>2、在执行本合同的过程中，所有经双方签署确认的文件(包括会议纪要、补充协议、往来信函)即成为本合同的有效组成部分。</w:t>
      </w:r>
    </w:p>
    <w:p>
      <w:pPr>
        <w:pStyle w:val="null3"/>
      </w:pPr>
      <w:r>
        <w:rPr>
          <w:sz w:val="24"/>
        </w:rPr>
        <w:t>3、如一方地址、电话、传真号码有变更，应在变更当日内书面通知对方，否则，应承担相应责任。</w:t>
      </w:r>
    </w:p>
    <w:p>
      <w:pPr>
        <w:pStyle w:val="null3"/>
      </w:pPr>
      <w:r>
        <w:rPr>
          <w:sz w:val="24"/>
        </w:rPr>
        <w:t>4、除甲方事先书面同意外，乙方不得部分或全部转让其应履行的合同项下的义务。否则，甲方有权单方解除合同，乙方按合同总价20%的标准向甲方支付违约金。</w:t>
      </w:r>
    </w:p>
    <w:p>
      <w:pPr>
        <w:pStyle w:val="null3"/>
      </w:pPr>
      <w:r>
        <w:rPr>
          <w:sz w:val="24"/>
          <w:b/>
        </w:rPr>
        <w:t>十 三 、合同生效</w:t>
      </w:r>
    </w:p>
    <w:p>
      <w:pPr>
        <w:pStyle w:val="null3"/>
      </w:pPr>
      <w:r>
        <w:rPr>
          <w:sz w:val="24"/>
        </w:rPr>
        <w:t>1、本合同在甲乙双方法定代表人或其授权代表签字盖章后生效。</w:t>
      </w:r>
    </w:p>
    <w:p>
      <w:pPr>
        <w:pStyle w:val="null3"/>
      </w:pPr>
      <w:r>
        <w:rPr>
          <w:sz w:val="24"/>
        </w:rPr>
        <w:t>2、合 同 一式   伍份，甲方执  肆 份，乙方执 壹 分。</w:t>
      </w:r>
    </w:p>
    <w:p>
      <w:pPr>
        <w:pStyle w:val="null3"/>
      </w:pPr>
      <w:r>
        <w:rPr>
          <w:sz w:val="24"/>
        </w:rPr>
        <w:t>甲方（盖章）：                                乙方（盖章）：</w:t>
      </w:r>
    </w:p>
    <w:p>
      <w:pPr>
        <w:pStyle w:val="null3"/>
      </w:pPr>
      <w:r>
        <w:rPr>
          <w:sz w:val="24"/>
        </w:rPr>
        <w:t>代表：                                              代表：</w:t>
      </w:r>
    </w:p>
    <w:p>
      <w:pPr>
        <w:pStyle w:val="null3"/>
      </w:pPr>
      <w:r>
        <w:rPr>
          <w:sz w:val="24"/>
        </w:rPr>
        <w:t>签订地点：</w:t>
      </w:r>
    </w:p>
    <w:p>
      <w:pPr>
        <w:pStyle w:val="null3"/>
      </w:pPr>
      <w:r>
        <w:rPr>
          <w:sz w:val="24"/>
        </w:rPr>
        <w:t>签订日期：　　　年　　月　　日  签订日期：　　　年　　月　　日</w:t>
      </w:r>
    </w:p>
    <w:p>
      <w:pPr>
        <w:pStyle w:val="null3"/>
      </w:pPr>
      <w:r>
        <w:rPr>
          <w:sz w:val="24"/>
        </w:rPr>
        <w:t>开户名称：</w:t>
      </w:r>
    </w:p>
    <w:p>
      <w:pPr>
        <w:pStyle w:val="null3"/>
      </w:pPr>
      <w:r>
        <w:rPr>
          <w:sz w:val="24"/>
        </w:rPr>
        <w:t>银行帐号：</w:t>
      </w:r>
    </w:p>
    <w:p>
      <w:pPr>
        <w:pStyle w:val="null3"/>
      </w:pPr>
      <w:r>
        <w:rPr>
          <w:sz w:val="24"/>
        </w:rPr>
        <w:t>开 户 行：</w:t>
      </w:r>
    </w:p>
    <w:p>
      <w:pPr>
        <w:pStyle w:val="null3"/>
        <w:jc w:val="left"/>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441303-2025-00723</w:t>
      </w:r>
    </w:p>
    <w:p>
      <w:pPr>
        <w:pStyle w:val="null3"/>
        <w:jc w:val="center"/>
        <w:outlineLvl w:val="3"/>
      </w:pPr>
      <w:r>
        <w:rPr>
          <w:sz w:val="24"/>
          <w:b/>
        </w:rPr>
        <w:t>采购项目编号：</w:t>
      </w:r>
      <w:r>
        <w:rPr>
          <w:sz w:val="24"/>
          <w:b/>
        </w:rPr>
        <w:t>惠公易省云采惠阳〔2025〕003号</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惠州市公共资源交易中心惠阳分中心</w:t>
      </w:r>
    </w:p>
    <w:p>
      <w:pPr>
        <w:pStyle w:val="null3"/>
        <w:ind w:firstLine="480"/>
      </w:pPr>
      <w:r>
        <w:rPr/>
        <w:t xml:space="preserve"> 你方组织的</w:t>
      </w:r>
      <w:r>
        <w:rPr>
          <w:u w:val="single"/>
        </w:rPr>
        <w:t>“</w:t>
      </w:r>
      <w:r>
        <w:rPr>
          <w:u w:val="single"/>
        </w:rPr>
        <w:t>钻芯法检测、标准贯入试验和动力触探试验劳务服务</w:t>
      </w:r>
      <w:r>
        <w:rPr>
          <w:u w:val="single"/>
        </w:rPr>
        <w:t>”</w:t>
      </w:r>
      <w:r>
        <w:rPr/>
        <w:t>项目的招标[采购项目编号为：</w:t>
      </w:r>
      <w:r>
        <w:rPr>
          <w:u w:val="single"/>
        </w:rPr>
        <w:t>惠公易省云采惠阳〔2025〕003号</w:t>
      </w:r>
      <w:r>
        <w:rPr/>
        <w:t>]，我方愿参与投标。</w:t>
      </w:r>
    </w:p>
    <w:p>
      <w:pPr>
        <w:pStyle w:val="null3"/>
        <w:ind w:firstLine="480"/>
      </w:pPr>
      <w:r>
        <w:rPr/>
        <w:t>我方确认收到贵方提供的</w:t>
      </w:r>
      <w:r>
        <w:rPr>
          <w:u w:val="single"/>
        </w:rPr>
        <w:t>“</w:t>
      </w:r>
      <w:r>
        <w:rPr>
          <w:u w:val="single"/>
        </w:rPr>
        <w:t>钻芯法检测、标准贯入试验和动力触探试验劳务服务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惠州市公共资源交易中心惠阳分中心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钻芯法检测、标准贯入试验和动力触探试验劳务服务</w:t>
      </w:r>
      <w:r>
        <w:rPr/>
        <w:t>”项目采购[采购项目编号为</w:t>
      </w:r>
      <w:r>
        <w:rPr/>
        <w:t>惠公易省云采惠阳〔2025〕003号</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惠州市惠阳区住房和城乡建设局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惠州市公共资源交易中心惠阳分中心</w:t>
      </w:r>
    </w:p>
    <w:p>
      <w:pPr>
        <w:pStyle w:val="null3"/>
        <w:ind w:firstLine="480"/>
      </w:pPr>
      <w:r>
        <w:rPr/>
        <w:t xml:space="preserve"> 如果我方在贵采购代理机构组织的</w:t>
      </w:r>
      <w:r>
        <w:rPr/>
        <w:t>钻芯法检测、标准贯入试验和动力触探试验劳务服务</w:t>
      </w:r>
      <w:r>
        <w:rPr/>
        <w:t>招标中获中标（采购项目编号：</w:t>
      </w:r>
      <w:r>
        <w:rPr/>
        <w:t>惠公易省云采惠阳〔2025〕003号</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惠州市公共资源交易中心惠阳分中心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惠州市公共资源交易中心惠阳分中心</w:t>
      </w:r>
    </w:p>
    <w:p>
      <w:pPr>
        <w:pStyle w:val="null3"/>
        <w:ind w:firstLine="480"/>
      </w:pPr>
      <w:r>
        <w:rPr/>
        <w:t>我单位已登记并准备参与“</w:t>
      </w:r>
      <w:r>
        <w:rPr/>
        <w:t>钻芯法检测、标准贯入试验和动力触探试验劳务服务</w:t>
      </w:r>
      <w:r>
        <w:rPr/>
        <w:t>”项目（采购项目编号：</w:t>
      </w:r>
      <w:r>
        <w:rPr/>
        <w:t>惠公易省云采惠阳〔2025〕003号</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