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版本号：N510781202500003420250325001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2025年医疗责任险(二次)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N5107812025000034</w:t>
      </w:r>
    </w:p>
    <w:p>
      <w:pPr>
        <w:pStyle w:val="null3"/>
        <w:jc w:val="left"/>
        <w:outlineLvl w:val="2"/>
      </w:pPr>
      <w:r>
        <w:rPr>
          <w:rFonts w:ascii="仿宋_GB2312" w:hAnsi="仿宋_GB2312" w:cs="仿宋_GB2312" w:eastAsia="仿宋_GB2312"/>
          <w:sz w:val="28"/>
          <w:b/>
        </w:rPr>
        <w:t>江油市第二人民医院</w:t>
      </w:r>
    </w:p>
    <w:p>
      <w:pPr>
        <w:pStyle w:val="null3"/>
        <w:jc w:val="center"/>
        <w:outlineLvl w:val="2"/>
      </w:pPr>
      <w:r>
        <w:rPr>
          <w:rFonts w:ascii="仿宋_GB2312" w:hAnsi="仿宋_GB2312" w:cs="仿宋_GB2312" w:eastAsia="仿宋_GB2312"/>
          <w:sz w:val="28"/>
          <w:b/>
        </w:rPr>
        <w:t>四川勤德建设工程造价咨询有限责任公司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江油市第二人民医院</w:t>
      </w:r>
      <w:r>
        <w:rPr>
          <w:rFonts w:ascii="仿宋_GB2312" w:hAnsi="仿宋_GB2312" w:cs="仿宋_GB2312" w:eastAsia="仿宋_GB2312"/>
        </w:rPr>
        <w:t xml:space="preserve"> 委托，拟对 </w:t>
      </w:r>
      <w:r>
        <w:rPr>
          <w:rFonts w:ascii="仿宋_GB2312" w:hAnsi="仿宋_GB2312" w:cs="仿宋_GB2312" w:eastAsia="仿宋_GB2312"/>
        </w:rPr>
        <w:t>2025年医疗责任险(二次)</w:t>
      </w:r>
      <w:r>
        <w:rPr>
          <w:rFonts w:ascii="仿宋_GB2312" w:hAnsi="仿宋_GB2312" w:cs="仿宋_GB2312" w:eastAsia="仿宋_GB2312"/>
        </w:rPr>
        <w:t xml:space="preserve"> 采用竞争性谈判方式进行采购，兹邀请符合资格条件的供应商参加谈判。本项目为四川省</w:t>
      </w:r>
      <w:r>
        <w:rPr>
          <w:rFonts w:ascii="仿宋_GB2312" w:hAnsi="仿宋_GB2312" w:cs="仿宋_GB2312" w:eastAsia="仿宋_GB2312"/>
        </w:rPr>
        <w:t>绵阳市江油市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N5107812025000034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2025年医疗责任险(二次)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江油市第二人民医院购买医疗责任保险采购项目。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1、具有中国保险监督管理委员会颁发的有效的《经营保险业务许可证》（描述：提供中国保险监督管理委员会颁发的有效的《经营保险业务许可证》扫描件）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江油市第二人民医院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江油市聚慧路31号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0816-3264711</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四川勤德建设工程造价咨询有限责任公司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四川省绵阳市市辖区绵阳科创区玉泉南路15号田森.奥林春天三期1幢9楼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金蕾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18142560107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代理服务费收费标准：参照【计价格[2002]1980号】文件标准金额执行,由中标（成交）供应商在领取中标（成交）通知书之前一次性支付给乙方。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江油市第二人民医院</w:t>
      </w:r>
      <w:r>
        <w:rPr>
          <w:rFonts w:ascii="仿宋_GB2312" w:hAnsi="仿宋_GB2312" w:cs="仿宋_GB2312" w:eastAsia="仿宋_GB2312"/>
        </w:rPr>
        <w:t xml:space="preserve"> 和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江油市第二人民医院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四川勤德建设工程造价咨询有限责任公司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三、成交供应商完全遵守《中华人民共和国劳动合同法》有关规定和《中华人民共和国妇女权益保障法》中关于“劳动和社会保障权益”的有关要求。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投保生效后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按照相关规定，以合同约定为准。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江油市第二人民医院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联系人：赵添</w:t>
      </w:r>
    </w:p>
    <w:p>
      <w:pPr>
        <w:pStyle w:val="null3"/>
        <w:jc w:val="left"/>
      </w:pPr>
      <w:r>
        <w:rPr>
          <w:rFonts w:ascii="仿宋_GB2312" w:hAnsi="仿宋_GB2312" w:cs="仿宋_GB2312" w:eastAsia="仿宋_GB2312"/>
        </w:rPr>
        <w:t>联系电话：0816-3264711</w:t>
      </w:r>
    </w:p>
    <w:p>
      <w:pPr>
        <w:pStyle w:val="null3"/>
        <w:jc w:val="left"/>
      </w:pPr>
      <w:r>
        <w:rPr>
          <w:rFonts w:ascii="仿宋_GB2312" w:hAnsi="仿宋_GB2312" w:cs="仿宋_GB2312" w:eastAsia="仿宋_GB2312"/>
        </w:rPr>
        <w:t>地址：江油市聚慧路31号</w:t>
      </w:r>
    </w:p>
    <w:p>
      <w:pPr>
        <w:pStyle w:val="null3"/>
        <w:jc w:val="left"/>
      </w:pPr>
      <w:r>
        <w:rPr>
          <w:rFonts w:ascii="仿宋_GB2312" w:hAnsi="仿宋_GB2312" w:cs="仿宋_GB2312" w:eastAsia="仿宋_GB2312"/>
        </w:rPr>
        <w:t>邮编：621700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联系人：金蕾</w:t>
      </w:r>
    </w:p>
    <w:p>
      <w:pPr>
        <w:pStyle w:val="null3"/>
        <w:jc w:val="left"/>
      </w:pPr>
      <w:r>
        <w:rPr>
          <w:rFonts w:ascii="仿宋_GB2312" w:hAnsi="仿宋_GB2312" w:cs="仿宋_GB2312" w:eastAsia="仿宋_GB2312"/>
        </w:rPr>
        <w:t>联系电话：18142560107</w:t>
      </w:r>
    </w:p>
    <w:p>
      <w:pPr>
        <w:pStyle w:val="null3"/>
        <w:jc w:val="left"/>
      </w:pPr>
      <w:r>
        <w:rPr>
          <w:rFonts w:ascii="仿宋_GB2312" w:hAnsi="仿宋_GB2312" w:cs="仿宋_GB2312" w:eastAsia="仿宋_GB2312"/>
        </w:rPr>
        <w:t>地址： 四川省绵阳市市辖区绵阳科创区玉泉南路15号田森.奥林春天三期1幢9楼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财政部门联系方式详见四川政府采购网-下载专区-政府采购供应商投诉书范本-政府采购供应商投诉书范本及受理投诉联系方式。正文</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C18040199 其他商业保险服务</w:t>
            </w:r>
          </w:p>
        </w:tc>
        <w:tc>
          <w:tcPr>
            <w:tcW w:type="dxa" w:w="821"/>
          </w:tcPr>
          <w:p>
            <w:pPr>
              <w:pStyle w:val="null3"/>
              <w:jc w:val="left"/>
            </w:pPr>
            <w:r>
              <w:rPr>
                <w:rFonts w:ascii="仿宋_GB2312" w:hAnsi="仿宋_GB2312" w:cs="仿宋_GB2312" w:eastAsia="仿宋_GB2312"/>
              </w:rPr>
              <w:t>医疗责任保险、公众责任险</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医疗责任保险、公众责任险</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标的名称：医疗责任保险、公众责任险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2"/>
              <w:jc w:val="left"/>
            </w:pPr>
            <w:r>
              <w:rPr>
                <w:rFonts w:ascii="仿宋_GB2312" w:hAnsi="仿宋_GB2312" w:cs="仿宋_GB2312" w:eastAsia="仿宋_GB2312"/>
                <w:sz w:val="21"/>
              </w:rPr>
              <w:t>（一）医疗责任险购买范围</w:t>
            </w:r>
          </w:p>
          <w:tbl>
            <w:tblPr>
              <w:tblInd w:type="dxa" w:w="420"/>
              <w:tblBorders>
                <w:top w:val="none" w:color="000000" w:sz="4"/>
                <w:left w:val="none" w:color="000000" w:sz="4"/>
                <w:bottom w:val="none" w:color="000000" w:sz="4"/>
                <w:right w:val="none" w:color="000000" w:sz="4"/>
                <w:insideH w:val="none"/>
                <w:insideV w:val="none"/>
              </w:tblBorders>
            </w:tblPr>
            <w:tblGrid>
              <w:gridCol w:w="592"/>
              <w:gridCol w:w="1688"/>
              <w:gridCol w:w="730"/>
              <w:gridCol w:w="2586"/>
            </w:tblGrid>
            <w:tr>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险种</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主险</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拟投保床位数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604</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张</w:t>
                  </w:r>
                </w:p>
              </w:tc>
            </w:tr>
            <w:tr>
              <w:tc>
                <w:tcPr>
                  <w:tcW w:type="dxa" w:w="592"/>
                  <w:vMerge/>
                  <w:tcBorders>
                    <w:top w:val="none" w:color="000000" w:sz="4"/>
                    <w:left w:val="singl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拟投保医务人员数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310</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人</w:t>
                  </w:r>
                </w:p>
              </w:tc>
            </w:tr>
            <w:tr>
              <w:tc>
                <w:tcPr>
                  <w:tcW w:type="dxa" w:w="592"/>
                  <w:vMerge/>
                  <w:tcBorders>
                    <w:top w:val="none" w:color="000000" w:sz="4"/>
                    <w:left w:val="single" w:color="000000" w:sz="4"/>
                    <w:bottom w:val="single" w:color="000000" w:sz="4"/>
                    <w:right w:val="single" w:color="000000" w:sz="4"/>
                  </w:tcBorders>
                </w:tcP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拟投保手术台数</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4407</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台次</w:t>
                  </w:r>
                </w:p>
              </w:tc>
            </w:tr>
            <w:tr>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附加险</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附加医疗机构场所责任保险</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5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r>
          </w:tbl>
          <w:p>
            <w:pPr>
              <w:pStyle w:val="null3"/>
              <w:ind w:firstLine="482"/>
              <w:jc w:val="left"/>
            </w:pPr>
            <w:r>
              <w:rPr>
                <w:rFonts w:ascii="仿宋_GB2312" w:hAnsi="仿宋_GB2312" w:cs="仿宋_GB2312" w:eastAsia="仿宋_GB2312"/>
                <w:sz w:val="21"/>
              </w:rPr>
              <w:t>（二）医疗责任险方案</w:t>
            </w:r>
          </w:p>
          <w:tbl>
            <w:tblPr>
              <w:tblInd w:type="dxa" w:w="405"/>
              <w:tblBorders>
                <w:top w:val="none" w:color="000000" w:sz="4"/>
                <w:left w:val="none" w:color="000000" w:sz="4"/>
                <w:bottom w:val="none" w:color="000000" w:sz="4"/>
                <w:right w:val="none" w:color="000000" w:sz="4"/>
                <w:insideH w:val="none"/>
                <w:insideV w:val="none"/>
              </w:tblBorders>
            </w:tblPr>
            <w:tblGrid>
              <w:gridCol w:w="1856"/>
              <w:gridCol w:w="3732"/>
            </w:tblGrid>
            <w:tr>
              <w:tc>
                <w:tcPr>
                  <w:tcW w:type="dxa" w:w="1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保障项目</w:t>
                  </w:r>
                </w:p>
              </w:tc>
              <w:tc>
                <w:tcPr>
                  <w:tcW w:type="dxa" w:w="3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保险金额（万元）</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伤亡/医疗基准每人责任限额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法律费用累计责任限额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法律费用每次责任限额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精神损害每人责任限额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累计基准责任限额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332.5</w:t>
                  </w:r>
                </w:p>
              </w:tc>
            </w:tr>
            <w:tr>
              <w:tc>
                <w:tcPr>
                  <w:tcW w:type="dxa" w:w="1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附加医疗机构场所责任限额</w:t>
                  </w:r>
                </w:p>
              </w:tc>
              <w:tc>
                <w:tcPr>
                  <w:tcW w:type="dxa" w:w="3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每人50万元，全年累计300万元</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2"/>
              <w:jc w:val="left"/>
            </w:pPr>
            <w:r>
              <w:rPr>
                <w:rFonts w:ascii="仿宋_GB2312" w:hAnsi="仿宋_GB2312" w:cs="仿宋_GB2312" w:eastAsia="仿宋_GB2312"/>
                <w:sz w:val="21"/>
              </w:rPr>
              <w:t>（一）公众责任险购买范围</w:t>
            </w:r>
          </w:p>
          <w:tbl>
            <w:tblPr>
              <w:tblInd w:type="dxa" w:w="420"/>
              <w:tblBorders>
                <w:top w:val="none" w:color="000000" w:sz="4"/>
                <w:left w:val="none" w:color="000000" w:sz="4"/>
                <w:bottom w:val="none" w:color="000000" w:sz="4"/>
                <w:right w:val="none" w:color="000000" w:sz="4"/>
                <w:insideH w:val="none"/>
                <w:insideV w:val="none"/>
              </w:tblBorders>
            </w:tblPr>
            <w:tblGrid>
              <w:gridCol w:w="1181"/>
              <w:gridCol w:w="4417"/>
            </w:tblGrid>
            <w:tr>
              <w:tc>
                <w:tcPr>
                  <w:tcW w:type="dxa" w:w="1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险种</w:t>
                  </w:r>
                </w:p>
              </w:tc>
              <w:tc>
                <w:tcPr>
                  <w:tcW w:type="dxa" w:w="4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r>
            <w:tr>
              <w:tc>
                <w:tcPr>
                  <w:tcW w:type="dxa" w:w="1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主险</w:t>
                  </w: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公众责任险</w:t>
                  </w:r>
                </w:p>
              </w:tc>
            </w:tr>
            <w:tr>
              <w:tc>
                <w:tcPr>
                  <w:tcW w:type="dxa" w:w="1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附加险</w:t>
                  </w: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附加火灾爆炸责任险</w:t>
                  </w:r>
                </w:p>
              </w:tc>
            </w:tr>
            <w:tr>
              <w:tc>
                <w:tcPr>
                  <w:tcW w:type="dxa" w:w="1181"/>
                  <w:vMerge/>
                  <w:tcBorders>
                    <w:top w:val="none" w:color="000000" w:sz="4"/>
                    <w:left w:val="single" w:color="000000" w:sz="4"/>
                    <w:bottom w:val="single" w:color="000000" w:sz="4"/>
                    <w:right w:val="single" w:color="000000" w:sz="4"/>
                  </w:tcBorders>
                </w:tcP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附加广告装饰责任险</w:t>
                  </w:r>
                </w:p>
              </w:tc>
            </w:tr>
            <w:tr>
              <w:tc>
                <w:tcPr>
                  <w:tcW w:type="dxa" w:w="1181"/>
                  <w:vMerge/>
                  <w:tcBorders>
                    <w:top w:val="none" w:color="000000" w:sz="4"/>
                    <w:left w:val="single" w:color="000000" w:sz="4"/>
                    <w:bottom w:val="single" w:color="000000" w:sz="4"/>
                    <w:right w:val="single" w:color="000000" w:sz="4"/>
                  </w:tcBorders>
                </w:tcPr>
                <w:p/>
              </w:tc>
              <w:tc>
                <w:tcPr>
                  <w:tcW w:type="dxa" w:w="4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附加电梯责任保险</w:t>
                  </w:r>
                </w:p>
              </w:tc>
            </w:tr>
          </w:tbl>
          <w:p>
            <w:pPr>
              <w:pStyle w:val="null3"/>
              <w:ind w:firstLine="482"/>
              <w:jc w:val="left"/>
            </w:pPr>
            <w:r>
              <w:rPr>
                <w:rFonts w:ascii="仿宋_GB2312" w:hAnsi="仿宋_GB2312" w:cs="仿宋_GB2312" w:eastAsia="仿宋_GB2312"/>
                <w:sz w:val="21"/>
              </w:rPr>
              <w:t>（二）公众责任险方案</w:t>
            </w:r>
          </w:p>
          <w:tbl>
            <w:tblPr>
              <w:tblInd w:type="dxa" w:w="390"/>
              <w:tblBorders>
                <w:top w:val="none" w:color="000000" w:sz="4"/>
                <w:left w:val="none" w:color="000000" w:sz="4"/>
                <w:bottom w:val="none" w:color="000000" w:sz="4"/>
                <w:right w:val="none" w:color="000000" w:sz="4"/>
                <w:insideH w:val="none"/>
                <w:insideV w:val="none"/>
              </w:tblBorders>
            </w:tblPr>
            <w:tblGrid>
              <w:gridCol w:w="1962"/>
              <w:gridCol w:w="3636"/>
            </w:tblGrid>
            <w:tr>
              <w:tc>
                <w:tcPr>
                  <w:tcW w:type="dxa" w:w="1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保障项目</w:t>
                  </w:r>
                </w:p>
              </w:tc>
              <w:tc>
                <w:tcPr>
                  <w:tcW w:type="dxa" w:w="3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保险金额（万元）</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累计责任限额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事故财产每次责任限额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伤亡每人责任限额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医疗每人责任限额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附加火灾爆炸责任限额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附加广告装饰责任限额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r>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附加电梯责任限额</w:t>
                  </w:r>
                </w:p>
              </w:tc>
              <w:tc>
                <w:tcPr>
                  <w:tcW w:type="dxa" w:w="3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同主险</w:t>
                  </w:r>
                </w:p>
              </w:tc>
            </w:tr>
          </w:tbl>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80"/>
              <w:jc w:val="left"/>
            </w:pPr>
            <w:r>
              <w:rPr>
                <w:rFonts w:ascii="仿宋_GB2312" w:hAnsi="仿宋_GB2312" w:cs="仿宋_GB2312" w:eastAsia="仿宋_GB2312"/>
                <w:sz w:val="21"/>
              </w:rPr>
              <w:t>1、供应商须承诺在采购人所在地有保险服务点（提供承诺函，并加盖供应商单位公章）。</w:t>
            </w:r>
          </w:p>
          <w:p>
            <w:pPr>
              <w:pStyle w:val="null3"/>
              <w:ind w:firstLine="480"/>
              <w:jc w:val="left"/>
            </w:pPr>
            <w:r>
              <w:rPr>
                <w:rFonts w:ascii="仿宋_GB2312" w:hAnsi="仿宋_GB2312" w:cs="仿宋_GB2312" w:eastAsia="仿宋_GB2312"/>
                <w:sz w:val="21"/>
              </w:rPr>
              <w:t>2、服务团队：供应商应成立专门的服务团队，配备医学、法律、财会等专业背景的专职服务人员，负责做好与采购人及其参与人的沟通协调、咨询、费用支付、投诉等服务。</w:t>
            </w:r>
          </w:p>
          <w:p>
            <w:pPr>
              <w:pStyle w:val="null3"/>
              <w:ind w:firstLine="480"/>
              <w:jc w:val="both"/>
            </w:pPr>
            <w:r>
              <w:rPr>
                <w:rFonts w:ascii="仿宋_GB2312" w:hAnsi="仿宋_GB2312" w:cs="仿宋_GB2312" w:eastAsia="仿宋_GB2312"/>
                <w:sz w:val="21"/>
              </w:rPr>
              <w:t>3、理赔服务：供应商应成立理赔服务团队，设有24小时热线客户咨询服务、投诉举报电话,有专人接听、记录、受理。由专人负责采购人的理赔事宜，以便更好地保证服务质量和时效。</w:t>
            </w: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江油市第二人民医院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按照相关规定，以合同约定为准。</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1、投保生效后，达到付款条件起30日内，据实情况说明为按实际购买保险人数据实结算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按照相关规定，以合同约定为准。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sz w:val="24"/>
          <w:color w:val="0A82E5"/>
          <w:shd w:fill="FFFFFF" w:val="clear"/>
        </w:rPr>
        <w:t>评审小组可以根据谈判文件和谈判情况实质性变动以下内容：第三章</w:t>
      </w:r>
      <w:r>
        <w:rPr>
          <w:rFonts w:ascii="仿宋_GB2312" w:hAnsi="仿宋_GB2312" w:cs="仿宋_GB2312" w:eastAsia="仿宋_GB2312"/>
          <w:sz w:val="24"/>
          <w:color w:val="0A82E5"/>
          <w:shd w:fill="FFFFFF" w:val="clear"/>
        </w:rPr>
        <w:t>“技术、服务及其他要求”：但不得变动谈判文件中的其他内容，实质性变动的内容，须经采购人代表确认。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sz w:val="24"/>
          <w:color w:val="0A82E5"/>
          <w:shd w:fill="FFFFFF" w:val="clear"/>
        </w:rPr>
        <w:t>评审小组可以根据谈判文件和谈判情况实质性变动以下内容：第七章</w:t>
      </w:r>
      <w:r>
        <w:rPr>
          <w:rFonts w:ascii="仿宋_GB2312" w:hAnsi="仿宋_GB2312" w:cs="仿宋_GB2312" w:eastAsia="仿宋_GB2312"/>
          <w:sz w:val="24"/>
          <w:color w:val="0A82E5"/>
          <w:shd w:fill="FFFFFF" w:val="clear"/>
        </w:rPr>
        <w:t>“拟签订采购合同文本”：但不得变动谈判文件中的其他内容，实质性变动的内容，须经采购人代表确认。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具有中国保险监督管理委员会颁发的有效的《经营保险业务许可证》</w:t>
            </w:r>
          </w:p>
        </w:tc>
        <w:tc>
          <w:tcPr>
            <w:tcW w:type="dxa" w:w="3322"/>
          </w:tcPr>
          <w:p>
            <w:pPr>
              <w:pStyle w:val="null3"/>
              <w:jc w:val="left"/>
            </w:pPr>
            <w:r>
              <w:rPr>
                <w:rFonts w:ascii="仿宋_GB2312" w:hAnsi="仿宋_GB2312" w:cs="仿宋_GB2312" w:eastAsia="仿宋_GB2312"/>
              </w:rPr>
              <w:t>提供中国保险监督管理委员会颁发的有效的《经营保险业务许可证》扫描件</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采购文件第三章技术、服务要求中3.2技术要求中带“★”的为实质性要求</w:t>
            </w:r>
          </w:p>
        </w:tc>
        <w:tc>
          <w:tcPr>
            <w:tcW w:type="dxa" w:w="3322"/>
          </w:tcPr>
          <w:p>
            <w:pPr>
              <w:pStyle w:val="null3"/>
              <w:jc w:val="left"/>
            </w:pPr>
            <w:r>
              <w:rPr>
                <w:rFonts w:ascii="仿宋_GB2312" w:hAnsi="仿宋_GB2312" w:cs="仿宋_GB2312" w:eastAsia="仿宋_GB2312"/>
              </w:rPr>
              <w:t>3.2技术要求中带“★”的要求为实质性要求在服务应答表中按相应要求响应，不满足按无效响应处理。</w:t>
            </w:r>
          </w:p>
        </w:tc>
        <w:tc>
          <w:tcPr>
            <w:tcW w:type="dxa" w:w="1910"/>
          </w:tcPr>
          <w:p>
            <w:pPr>
              <w:pStyle w:val="null3"/>
              <w:jc w:val="left"/>
            </w:pPr>
            <w:r>
              <w:rPr>
                <w:rFonts w:ascii="仿宋_GB2312" w:hAnsi="仿宋_GB2312" w:cs="仿宋_GB2312" w:eastAsia="仿宋_GB2312"/>
              </w:rPr>
              <w:t>技术应答表.docx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采购文件第三章技术、服务要求中3.3服务要求中带“★”的为实质性要求</w:t>
            </w:r>
          </w:p>
        </w:tc>
        <w:tc>
          <w:tcPr>
            <w:tcW w:type="dxa" w:w="3322"/>
          </w:tcPr>
          <w:p>
            <w:pPr>
              <w:pStyle w:val="null3"/>
              <w:jc w:val="left"/>
            </w:pPr>
            <w:r>
              <w:rPr>
                <w:rFonts w:ascii="仿宋_GB2312" w:hAnsi="仿宋_GB2312" w:cs="仿宋_GB2312" w:eastAsia="仿宋_GB2312"/>
              </w:rPr>
              <w:t>3.3服务要求中带“★”的要求为实质性要求在服务应答表中按相应要求响应，不满足按无效响应处理。</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详见附件：技术应答表.docx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《谈判文件》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