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版本号：ZCPC-2025-01220250319001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2025年度西安海外社交媒体账号运营项目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ZCPC-2025-012</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2025年度西安海外社交媒体账号运营项目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2025年度西安海外社交媒体账号运营项目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2025年度西安海外社交媒体账号运营项目，具体内容详见竞争性磋商文件。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采购包1（2025年度西安海外社交媒体账号运营项目）：属于专门面向中小企业采购。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会计报告：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4、社会保障资金缴纳证明：提供开标截止时间前6个月内任意时段的社会保障资金缴存单据或社保机构开具的社会保险参保缴费情况证明，依法不需要缴纳社会保障资金的提供相关文件证明；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5、税收缴纳证明：提供开标截止时间前6个月内任意时段的纳税证明或完税证明，纳税证明或完税证明上应有代收机构或税务机关的公章，依法免税的应提供相关文件证明；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米雅兰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张琰玮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18966707323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联系人：张琰玮</w:t>
      </w:r>
    </w:p>
    <w:p>
      <w:pPr>
        <w:pStyle w:val="null3"/>
      </w:pPr>
      <w:r>
        <w:rPr>
          <w:rFonts w:ascii="仿宋_GB2312" w:hAnsi="仿宋_GB2312" w:cs="仿宋_GB2312" w:eastAsia="仿宋_GB2312"/>
        </w:rPr>
        <w:t>联系电话：18966707323</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2025年度西安海外社交媒体账号运营项目，具体内容详见竞争性磋商文件。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2025年度西安海外社交媒体账号运营项目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标的名称：2025年度西安海外社交媒体账号运营项目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一、项目内容</w:t>
            </w:r>
          </w:p>
        </w:tc>
        <w:tc>
          <w:tcPr>
            <w:tcW w:type="dxa" w:w="2076"/>
          </w:tcPr>
          <w:p>
            <w:pPr>
              <w:pStyle w:val="null3"/>
            </w:pPr>
            <w:r>
              <w:rPr>
                <w:rFonts w:ascii="仿宋_GB2312" w:hAnsi="仿宋_GB2312" w:cs="仿宋_GB2312" w:eastAsia="仿宋_GB2312"/>
                <w:sz w:val="28"/>
              </w:rPr>
              <w:t>配合西安城市形象海外整体营销，运营</w:t>
            </w:r>
            <w:r>
              <w:rPr>
                <w:rFonts w:ascii="仿宋_GB2312" w:hAnsi="仿宋_GB2312" w:cs="仿宋_GB2312" w:eastAsia="仿宋_GB2312"/>
                <w:sz w:val="28"/>
              </w:rPr>
              <w:t>“IN XI'AN”海外社交媒体账号矩阵，对外推介西安的历史文化、风土人情、美食美景等，让海外受众更加认识西安、了解西安，提升西安的国际知名度和影响力。以粉丝数增量、视频曝光量、帖文互动率(转发、点赞、评论)等量化指标作为考核依据，通过运营实现全平台粉丝总量突破340万（新增粉丝35万以上）；发布原创贴文500篇以上，贴文互动量超148万次；发布视频80条以上，观看量超540万次</w:t>
            </w:r>
            <w:r>
              <w:rPr>
                <w:rFonts w:ascii="仿宋_GB2312" w:hAnsi="仿宋_GB2312" w:cs="仿宋_GB2312" w:eastAsia="仿宋_GB2312"/>
                <w:sz w:val="28"/>
              </w:rPr>
              <w:t>；加强海外社媒平台西安城市形象监测，全年提交双周报、月报、半年报、年报不少于</w:t>
            </w:r>
            <w:r>
              <w:rPr>
                <w:rFonts w:ascii="仿宋_GB2312" w:hAnsi="仿宋_GB2312" w:cs="仿宋_GB2312" w:eastAsia="仿宋_GB2312"/>
                <w:sz w:val="28"/>
              </w:rPr>
              <w:t>36期，海外社媒平台西安监测报告和运营建议报告不少于12期</w:t>
            </w:r>
            <w:r>
              <w:rPr>
                <w:rFonts w:ascii="仿宋_GB2312" w:hAnsi="仿宋_GB2312" w:cs="仿宋_GB2312" w:eastAsia="仿宋_GB2312"/>
                <w:sz w:val="28"/>
              </w:rPr>
              <w:t>。</w:t>
            </w:r>
            <w:r>
              <w:rPr>
                <w:rFonts w:ascii="仿宋_GB2312" w:hAnsi="仿宋_GB2312" w:cs="仿宋_GB2312" w:eastAsia="仿宋_GB2312"/>
                <w:sz w:val="28"/>
              </w:rPr>
              <w:t>2025年账号运营在保持内容质量的同时，策划开展线上线下活动各2场，开发更多互动性话题和游戏，提高账号服务力、粉丝黏性和互动率。在海外媒体和社媒平台搜集整理与西安相关新闻报道、贴文内容，借助市属媒体新媒体平台打通“西安声音”回传路径，每月发布3期。</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二、运营目标</w:t>
            </w:r>
          </w:p>
        </w:tc>
        <w:tc>
          <w:tcPr>
            <w:tcW w:type="dxa" w:w="2076"/>
          </w:tcPr>
          <w:p>
            <w:pPr>
              <w:pStyle w:val="null3"/>
            </w:pPr>
            <w:r>
              <w:rPr>
                <w:rFonts w:ascii="仿宋_GB2312" w:hAnsi="仿宋_GB2312" w:cs="仿宋_GB2312" w:eastAsia="仿宋_GB2312"/>
                <w:sz w:val="28"/>
              </w:rPr>
              <w:t>以粉丝数增量、视频传播量、贴文互动量（转发、点赞、评论）等作为综合衡量标准，重点在增强粉丝粘性上求突破。计划通过一年的运营周期，实现全平台粉丝总量突破</w:t>
            </w:r>
            <w:r>
              <w:rPr>
                <w:rFonts w:ascii="仿宋_GB2312" w:hAnsi="仿宋_GB2312" w:cs="仿宋_GB2312" w:eastAsia="仿宋_GB2312"/>
                <w:sz w:val="28"/>
              </w:rPr>
              <w:t>340万（新增粉丝35万以上）；发布视频80条以上，观看量超540万次，同比增长36%；发布原创贴文500篇以上，贴文互动量超148万次，同比增长80%；策划开展线上线下活动各2场；全年提交双周报、月报、半年报、年报不少于36期</w:t>
            </w:r>
            <w:r>
              <w:rPr>
                <w:rFonts w:ascii="仿宋_GB2312" w:hAnsi="仿宋_GB2312" w:cs="仿宋_GB2312" w:eastAsia="仿宋_GB2312"/>
                <w:sz w:val="28"/>
              </w:rPr>
              <w:t>，海外社媒平台西安监测报告和运营建议报告不少于</w:t>
            </w:r>
            <w:r>
              <w:rPr>
                <w:rFonts w:ascii="仿宋_GB2312" w:hAnsi="仿宋_GB2312" w:cs="仿宋_GB2312" w:eastAsia="仿宋_GB2312"/>
                <w:sz w:val="28"/>
              </w:rPr>
              <w:t>12期。</w:t>
            </w:r>
            <w:r>
              <w:rPr>
                <w:rFonts w:ascii="仿宋_GB2312" w:hAnsi="仿宋_GB2312" w:cs="仿宋_GB2312" w:eastAsia="仿宋_GB2312"/>
                <w:sz w:val="28"/>
                <w:b/>
              </w:rPr>
              <w:t>付款方式</w:t>
            </w:r>
            <w:r>
              <w:rPr>
                <w:rFonts w:ascii="仿宋_GB2312" w:hAnsi="仿宋_GB2312" w:cs="仿宋_GB2312" w:eastAsia="仿宋_GB2312"/>
                <w:sz w:val="28"/>
              </w:rPr>
              <w:t>：</w:t>
            </w:r>
            <w:r>
              <w:rPr>
                <w:rFonts w:ascii="仿宋_GB2312" w:hAnsi="仿宋_GB2312" w:cs="仿宋_GB2312" w:eastAsia="仿宋_GB2312"/>
                <w:sz w:val="28"/>
              </w:rPr>
              <w:t>服务费用分叁次支付。合同签订且供应商开具增值税正式发票后的</w:t>
            </w:r>
            <w:r>
              <w:rPr>
                <w:rFonts w:ascii="仿宋_GB2312" w:hAnsi="仿宋_GB2312" w:cs="仿宋_GB2312" w:eastAsia="仿宋_GB2312"/>
                <w:sz w:val="28"/>
              </w:rPr>
              <w:t>30个工作日内，以银行转账形式向其支付本合同总费用的40%；在项目运营期内需按月提交月报，项目运营中期支付本合同总费用的30%。项目结束后，供应商出具结案报告，待第三方验收完成后30个工作日内，向供应商支付剩余30%项目尾款。</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三、服务及验收要求</w:t>
            </w:r>
          </w:p>
        </w:tc>
        <w:tc>
          <w:tcPr>
            <w:tcW w:type="dxa" w:w="2076"/>
          </w:tcPr>
          <w:p>
            <w:pPr>
              <w:pStyle w:val="null3"/>
            </w:pPr>
            <w:r>
              <w:rPr>
                <w:rFonts w:ascii="仿宋_GB2312" w:hAnsi="仿宋_GB2312" w:cs="仿宋_GB2312" w:eastAsia="仿宋_GB2312"/>
                <w:sz w:val="28"/>
              </w:rPr>
              <w:t>供应商应结合我方账号运营需求和重点，提供全年度账号运营的策划方案，方案要求重点突出、内容细致、渠道多样；能够提供内容生产、原创稿件编发、海外社交媒体账号发布等服务；能够达到较好的传播效果；月度、季度、年终等重要节点需提交评估报告及传播报告，项目完成后，提交结案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合同签订后一年（若项目提前交付，则采购人按实际交付时间支付合同尾款）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根据合同要求和内容，由甲、乙方共同验收，符合国家相关规定及行业验收的合格标准。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在项目运营期内需按月提交月报，项目运营中期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供应商出具结案报告，待第三方验收完成后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代理服务费：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针对本项目提供具体可行的实施方案，包括但不限于：①海外社交媒体账号矩阵运营方案；②线上线下活动实施方案，包括活动宣传推广方案。 二、评审标准 1、完善性：账号矩阵运营方案及线上线下活动实施方案必须全面，对评审内容中的各项要求有详细阐述； 2、可实施性：切合本项目实际情况，提出步骤清晰、合理的培育及传播方案； 3、针对性：账号矩阵运营方案及线上线下活动实施方案能够紧扣项目实际情况，内容科学合理。 上述2项评审内容全部满足评审标准得20分，每有一个评审内容缺项扣10分，每有一项评审内容存在缺陷，扣1-9分，扣完为止。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一、评审内容 针对本项目提供具体可行的时间进度安排方案，包括但不限于： ①进度安排方案；②进度控制保障措施。 评审标准 1、符合度：是否对整体需求进行充分响应，不得提供与本评审项无关内容； 2、完整性：需结合整体需求，进行全方面的描述，不得缺项； 3、合理性：需依据本项目阐述，具有可执行性。 上述2项评审内容全部满足评审标准得8分，每有一个评审内容缺项扣4分，每有一项评审内容存在缺陷，扣1-3分，扣完为止。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时间进度安排.docx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具体可行的质量保证措施，包括但不限于：①实现全平台粉丝总量突破340万（新增粉丝35万以上）的质量保证措施；②发布视频80条以上，观看量超540万次，同比增长36%的质量保证措施；③发布原创贴文500篇以上，贴文互动量超148万次，同比增长80%的质量保证措施；④线上监测：提交海外社媒平台西安线上监测报告不少于12期的质量保证措施；⑤开展线上线下活动各2场的质量保证措施。 评审标准： 1、符合度：是否对整体需求进行充分响应，不得提供与本评审项无关内容； 2、完整性：需结合整体需求，进行全方面的描述，不得缺项； 3、合理性：需依据本项目阐述，具有可执行性。 上述5项评审内容全部满足评审标准得30分，每有一个评审内容缺项扣6分，每有一项评审内容存在缺陷，扣1-5分，扣完为止。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供应商提供针对本项目的应急预案，内容包括但不限于：①应急预案计划；②应急预案措施；③应急预案响应时间。，内容包括但不限于：①应急预案计划；②应急预案措施；③应急预案响应时间。 评审标准： 2、符合度：是否对整体需求进行充分响应，不得提供与本评审项无关内容； 2、完整性：需结合整体需求，进行全方面的描述，不得缺项； 3、合理性：需依据本项目阐述，具有可执行性。 上述3项评审内容全部满足评审标准得3分，每有一个评审内容缺项扣9分，每有一项评审内容存在缺陷，扣1-8分，扣完为止。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项目负责人具有类似项目工作经验的得3分。 【证明材料：须提供类似项目相关工作经验证明材料加盖公章，否则不得分。】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①人员配备齐全、经验丰富：包括且不限于主要人员具备英语能力（须提供证明），具备平面/视频设计等从业经验；②项目组织机构和管理机构能满足本项目工作需要、有能力按时完成项目，岗位分工与责任划分明确。 二、评审标准 1、符合度：是否对整体需求进行充分响应，不得提供与本评审项无关内容； 2、完整性：需结合整体需求，进行全方面的描述，不得缺项； 3、合理性：需依据本项目阐述，具有可执行性。 上述2项评审内容全部满足评审标准得8分，每有一个评审内容缺项扣4分，每有一项评审内容存在缺陷，扣1-3分，扣完为止。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供应商承诺</w:t>
            </w:r>
          </w:p>
        </w:tc>
        <w:tc>
          <w:tcPr>
            <w:tcW w:type="dxa" w:w="2492"/>
          </w:tcPr>
          <w:p>
            <w:pPr>
              <w:pStyle w:val="null3"/>
            </w:pPr>
            <w:r>
              <w:rPr>
                <w:rFonts w:ascii="仿宋_GB2312" w:hAnsi="仿宋_GB2312" w:cs="仿宋_GB2312" w:eastAsia="仿宋_GB2312"/>
              </w:rPr>
              <w:t>供应商承诺中标后至少安排1名专业工作人员负责与甲方沟通跟进项目工作，确保随时响应，得2分，无承诺书或者承诺书内容不满足要求的不得分。 【证明材料：提供承诺书并加盖公章。】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供应商须提供近三年（2022年1月至今）类似项目业绩，每提供1个得2分，最高得10分。 注：响应文件中提供合同复印件并加盖公章。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详见附件：时间进度安排.docx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