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C6B0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实施方案</w:t>
      </w:r>
    </w:p>
    <w:p w14:paraId="72F8B70A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招标需求及评分标准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包括但不限于：①海外社交媒体账号矩阵运营方案；②线上线下活动实施方案，包括活动宣传推广方案。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3203467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2025-03-19T08:26:25Z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2B9346196A3549B9B686CB0DEA29D9B9_12</vt:lpwstr>
  </property>
</Properties>
</file>