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版本号：N511621202500001420250312001</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岳池县姚家河等8条河流管理范围划定项目(三次)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N5116212025000014</w:t>
      </w:r>
    </w:p>
    <w:p>
      <w:pPr>
        <w:pStyle w:val="null3"/>
        <w:jc w:val="left"/>
        <w:outlineLvl w:val="2"/>
      </w:pPr>
      <w:r>
        <w:rPr>
          <w:rFonts w:ascii="仿宋_GB2312" w:hAnsi="仿宋_GB2312" w:cs="仿宋_GB2312" w:eastAsia="仿宋_GB2312"/>
          <w:sz w:val="28"/>
          <w:b/>
        </w:rPr>
        <w:t>岳池县水务局</w:t>
      </w:r>
    </w:p>
    <w:p>
      <w:pPr>
        <w:pStyle w:val="null3"/>
        <w:jc w:val="center"/>
        <w:outlineLvl w:val="2"/>
      </w:pPr>
      <w:r>
        <w:rPr>
          <w:rFonts w:ascii="仿宋_GB2312" w:hAnsi="仿宋_GB2312" w:cs="仿宋_GB2312" w:eastAsia="仿宋_GB2312"/>
          <w:sz w:val="28"/>
          <w:b/>
        </w:rPr>
        <w:t>广安政公采购招标代理有限公司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广安政公采购招标代理有限公司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岳池县水务局</w:t>
      </w:r>
      <w:r>
        <w:rPr>
          <w:rFonts w:ascii="仿宋_GB2312" w:hAnsi="仿宋_GB2312" w:cs="仿宋_GB2312" w:eastAsia="仿宋_GB2312"/>
        </w:rPr>
        <w:t xml:space="preserve"> 委托，拟对 </w:t>
      </w:r>
      <w:r>
        <w:rPr>
          <w:rFonts w:ascii="仿宋_GB2312" w:hAnsi="仿宋_GB2312" w:cs="仿宋_GB2312" w:eastAsia="仿宋_GB2312"/>
        </w:rPr>
        <w:t>岳池县姚家河等8条河流管理范围划定项目(三次)</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广安市岳池县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N5116212025000014</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岳池县姚家河等8条河流管理范围划定项目(三次)</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依法对岳池县姚家河、丁家河、乔家河、天王庙河、河堰口河、三溪沟河、秀才沟河、董家河等8条河流开展河流管理范围划定工作，进一步明确河湖管理范围，强化岸线管控。</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1、特殊资格条件（描述：具有行政主管部门颁发的测绘乙级及以上资质证书，专业类别需包含：工程测量。）</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岳池县水务局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建设路东段18号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638300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0826-5688233</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广安政公采购招标代理有限公司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四川省广安市岳池县四川省广安市岳池县翔凤大道与安拱路交汇处岳池亿联建材家居五金城26幢325、327、329号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638300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0826-5298999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采购包1：989,500.00元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本采购包履约保证金为合同金额的10%</w:t>
            </w:r>
          </w:p>
          <w:p>
            <w:pPr>
              <w:pStyle w:val="null3"/>
              <w:jc w:val="left"/>
            </w:pPr>
            <w:r>
              <w:rPr>
                <w:rFonts w:ascii="仿宋_GB2312" w:hAnsi="仿宋_GB2312" w:cs="仿宋_GB2312" w:eastAsia="仿宋_GB2312"/>
              </w:rPr>
              <w:t>交款方式：银行转账，支票、汇票、本票，保函</w:t>
            </w:r>
          </w:p>
          <w:p>
            <w:pPr>
              <w:pStyle w:val="null3"/>
              <w:jc w:val="left"/>
            </w:pPr>
            <w:r>
              <w:rPr>
                <w:rFonts w:ascii="仿宋_GB2312" w:hAnsi="仿宋_GB2312" w:cs="仿宋_GB2312" w:eastAsia="仿宋_GB2312"/>
              </w:rPr>
              <w:t>银行转账，支票/汇票/本票，保函/保险</w:t>
              <w:br/>
              <w:t>需备注本项目名称及项目编号</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代理服务费收费标准：参考原国家财政部、国家计委、国家物价局（2002）1980号、发改办价格(2003)857号等文件规定收费下浮20%计算收取。 收款单位：广安政公采购招标代理有限公司 开户银行：中国邮政储蓄银行股份有限公司岳池县支行 帐 号：951003010003456717</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岳池县水务局</w:t>
      </w:r>
      <w:r>
        <w:rPr>
          <w:rFonts w:ascii="仿宋_GB2312" w:hAnsi="仿宋_GB2312" w:cs="仿宋_GB2312" w:eastAsia="仿宋_GB2312"/>
        </w:rPr>
        <w:t xml:space="preserve"> 和 </w:t>
      </w:r>
      <w:r>
        <w:rPr>
          <w:rFonts w:ascii="仿宋_GB2312" w:hAnsi="仿宋_GB2312" w:cs="仿宋_GB2312" w:eastAsia="仿宋_GB2312"/>
        </w:rPr>
        <w:t>广安政公采购招标代理有限公司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岳池县水务局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广安政公采购招标代理有限公司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 xml:space="preserve">项目实施完毕后，由成交供应商向县水务局提出验收申请，县水务局组织相关人员对划界数据成果进行审查、对桩牌安装情况进行现场抽验，并出具验收报告。 </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合同约定</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按照本项目招标文件中“技术参数要求”约定及供应商投标文件执行</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按照本项目招标文件中“商务要求”约定及供应商投标文件执行</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按照《广安市政府采购项目履约验收工作规程》（广市财采〔 2021〕275号）、《四川省河湖管理范围划定操作指南》以及相关文件的要求由岳池县水务局组织的专家验收。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合同约定</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岳池县水务局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广安政公采购招标代理有限公司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广安政公采购招标代理有限公司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联系人：张老师</w:t>
      </w:r>
    </w:p>
    <w:p>
      <w:pPr>
        <w:pStyle w:val="null3"/>
        <w:jc w:val="left"/>
      </w:pPr>
      <w:r>
        <w:rPr>
          <w:rFonts w:ascii="仿宋_GB2312" w:hAnsi="仿宋_GB2312" w:cs="仿宋_GB2312" w:eastAsia="仿宋_GB2312"/>
        </w:rPr>
        <w:t>联系电话：0826-5688233</w:t>
      </w:r>
    </w:p>
    <w:p>
      <w:pPr>
        <w:pStyle w:val="null3"/>
        <w:jc w:val="left"/>
      </w:pPr>
      <w:r>
        <w:rPr>
          <w:rFonts w:ascii="仿宋_GB2312" w:hAnsi="仿宋_GB2312" w:cs="仿宋_GB2312" w:eastAsia="仿宋_GB2312"/>
        </w:rPr>
        <w:t>地址：建设路东段18号</w:t>
      </w:r>
    </w:p>
    <w:p>
      <w:pPr>
        <w:pStyle w:val="null3"/>
        <w:jc w:val="left"/>
      </w:pPr>
      <w:r>
        <w:rPr>
          <w:rFonts w:ascii="仿宋_GB2312" w:hAnsi="仿宋_GB2312" w:cs="仿宋_GB2312" w:eastAsia="仿宋_GB2312"/>
        </w:rPr>
        <w:t>邮编：638300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联系人：李老师</w:t>
      </w:r>
    </w:p>
    <w:p>
      <w:pPr>
        <w:pStyle w:val="null3"/>
        <w:jc w:val="left"/>
      </w:pPr>
      <w:r>
        <w:rPr>
          <w:rFonts w:ascii="仿宋_GB2312" w:hAnsi="仿宋_GB2312" w:cs="仿宋_GB2312" w:eastAsia="仿宋_GB2312"/>
        </w:rPr>
        <w:t>联系电话：0826-5298999</w:t>
      </w:r>
    </w:p>
    <w:p>
      <w:pPr>
        <w:pStyle w:val="null3"/>
        <w:jc w:val="left"/>
      </w:pPr>
      <w:r>
        <w:rPr>
          <w:rFonts w:ascii="仿宋_GB2312" w:hAnsi="仿宋_GB2312" w:cs="仿宋_GB2312" w:eastAsia="仿宋_GB2312"/>
        </w:rPr>
        <w:t>地址：四川省广安市岳池县四川省广安市岳池县翔凤大道与安拱路交汇处岳池亿联建材家居五金城26幢325、327、329号</w:t>
      </w:r>
    </w:p>
    <w:p>
      <w:pPr>
        <w:pStyle w:val="null3"/>
        <w:jc w:val="left"/>
      </w:pPr>
      <w:r>
        <w:rPr>
          <w:rFonts w:ascii="仿宋_GB2312" w:hAnsi="仿宋_GB2312" w:cs="仿宋_GB2312" w:eastAsia="仿宋_GB2312"/>
        </w:rPr>
        <w:t>邮编：638300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989,500.00</w:t>
      </w:r>
    </w:p>
    <w:p>
      <w:pPr>
        <w:pStyle w:val="null3"/>
        <w:jc w:val="left"/>
      </w:pPr>
      <w:r>
        <w:rPr>
          <w:rFonts w:ascii="仿宋_GB2312" w:hAnsi="仿宋_GB2312" w:cs="仿宋_GB2312" w:eastAsia="仿宋_GB2312"/>
        </w:rPr>
        <w:t>采购包最高限价（元）: 940,025.00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岳池县姚家河等8条河流管理范围划定项目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940,025.00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岳池县姚家河等8条河流管理范围划定项目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940,025.00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标的名称：岳池县姚家河等8条河流管理范围划定项目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ind w:firstLine="400"/>
              <w:jc w:val="both"/>
            </w:pPr>
            <w:r>
              <w:rPr>
                <w:rFonts w:ascii="仿宋_GB2312" w:hAnsi="仿宋_GB2312" w:cs="仿宋_GB2312" w:eastAsia="仿宋_GB2312"/>
                <w:sz w:val="20"/>
                <w:color w:val="000000"/>
              </w:rPr>
              <w:t>河道划界</w:t>
            </w:r>
            <w:r>
              <w:rPr>
                <w:rFonts w:ascii="仿宋_GB2312" w:hAnsi="仿宋_GB2312" w:cs="仿宋_GB2312" w:eastAsia="仿宋_GB2312"/>
                <w:sz w:val="20"/>
                <w:color w:val="000000"/>
              </w:rPr>
              <w:t>重要的一项工作是确定河道和水库的</w:t>
            </w:r>
            <w:r>
              <w:rPr>
                <w:rFonts w:ascii="仿宋_GB2312" w:hAnsi="仿宋_GB2312" w:cs="仿宋_GB2312" w:eastAsia="仿宋_GB2312"/>
                <w:sz w:val="20"/>
                <w:color w:val="000000"/>
              </w:rPr>
              <w:t>管理</w:t>
            </w:r>
            <w:r>
              <w:rPr>
                <w:rFonts w:ascii="仿宋_GB2312" w:hAnsi="仿宋_GB2312" w:cs="仿宋_GB2312" w:eastAsia="仿宋_GB2312"/>
                <w:sz w:val="20"/>
                <w:color w:val="000000"/>
              </w:rPr>
              <w:t>范围，并且埋设界桩，界桩埋设后能够明确权利，减少争议。岳池县姚家河</w:t>
            </w:r>
            <w:r>
              <w:rPr>
                <w:rFonts w:ascii="仿宋_GB2312" w:hAnsi="仿宋_GB2312" w:cs="仿宋_GB2312" w:eastAsia="仿宋_GB2312"/>
                <w:sz w:val="20"/>
                <w:color w:val="000000"/>
              </w:rPr>
              <w:t>、</w:t>
            </w:r>
            <w:r>
              <w:rPr>
                <w:rFonts w:ascii="仿宋_GB2312" w:hAnsi="仿宋_GB2312" w:cs="仿宋_GB2312" w:eastAsia="仿宋_GB2312"/>
                <w:sz w:val="20"/>
                <w:color w:val="000000"/>
              </w:rPr>
              <w:t>丁家河</w:t>
            </w:r>
            <w:r>
              <w:rPr>
                <w:rFonts w:ascii="仿宋_GB2312" w:hAnsi="仿宋_GB2312" w:cs="仿宋_GB2312" w:eastAsia="仿宋_GB2312"/>
                <w:sz w:val="20"/>
                <w:color w:val="000000"/>
              </w:rPr>
              <w:t>、</w:t>
            </w:r>
            <w:r>
              <w:rPr>
                <w:rFonts w:ascii="仿宋_GB2312" w:hAnsi="仿宋_GB2312" w:cs="仿宋_GB2312" w:eastAsia="仿宋_GB2312"/>
                <w:sz w:val="20"/>
                <w:color w:val="000000"/>
              </w:rPr>
              <w:t>乔家河</w:t>
            </w:r>
            <w:r>
              <w:rPr>
                <w:rFonts w:ascii="仿宋_GB2312" w:hAnsi="仿宋_GB2312" w:cs="仿宋_GB2312" w:eastAsia="仿宋_GB2312"/>
                <w:sz w:val="20"/>
                <w:color w:val="000000"/>
              </w:rPr>
              <w:t>、</w:t>
            </w:r>
            <w:r>
              <w:rPr>
                <w:rFonts w:ascii="仿宋_GB2312" w:hAnsi="仿宋_GB2312" w:cs="仿宋_GB2312" w:eastAsia="仿宋_GB2312"/>
                <w:sz w:val="20"/>
                <w:color w:val="000000"/>
              </w:rPr>
              <w:t>天王庙河</w:t>
            </w:r>
            <w:r>
              <w:rPr>
                <w:rFonts w:ascii="仿宋_GB2312" w:hAnsi="仿宋_GB2312" w:cs="仿宋_GB2312" w:eastAsia="仿宋_GB2312"/>
                <w:sz w:val="20"/>
                <w:color w:val="000000"/>
              </w:rPr>
              <w:t>、</w:t>
            </w:r>
            <w:r>
              <w:rPr>
                <w:rFonts w:ascii="仿宋_GB2312" w:hAnsi="仿宋_GB2312" w:cs="仿宋_GB2312" w:eastAsia="仿宋_GB2312"/>
                <w:sz w:val="20"/>
                <w:color w:val="000000"/>
              </w:rPr>
              <w:t>河堰口河</w:t>
            </w:r>
            <w:r>
              <w:rPr>
                <w:rFonts w:ascii="仿宋_GB2312" w:hAnsi="仿宋_GB2312" w:cs="仿宋_GB2312" w:eastAsia="仿宋_GB2312"/>
                <w:sz w:val="20"/>
                <w:color w:val="000000"/>
              </w:rPr>
              <w:t>、</w:t>
            </w:r>
            <w:r>
              <w:rPr>
                <w:rFonts w:ascii="仿宋_GB2312" w:hAnsi="仿宋_GB2312" w:cs="仿宋_GB2312" w:eastAsia="仿宋_GB2312"/>
                <w:sz w:val="20"/>
                <w:color w:val="000000"/>
              </w:rPr>
              <w:t>三溪沟河</w:t>
            </w:r>
            <w:r>
              <w:rPr>
                <w:rFonts w:ascii="仿宋_GB2312" w:hAnsi="仿宋_GB2312" w:cs="仿宋_GB2312" w:eastAsia="仿宋_GB2312"/>
                <w:sz w:val="20"/>
                <w:color w:val="000000"/>
              </w:rPr>
              <w:t>、</w:t>
            </w:r>
            <w:r>
              <w:rPr>
                <w:rFonts w:ascii="仿宋_GB2312" w:hAnsi="仿宋_GB2312" w:cs="仿宋_GB2312" w:eastAsia="仿宋_GB2312"/>
                <w:sz w:val="20"/>
                <w:color w:val="000000"/>
              </w:rPr>
              <w:t>秀才沟河、董家河</w:t>
            </w:r>
            <w:r>
              <w:rPr>
                <w:rFonts w:ascii="仿宋_GB2312" w:hAnsi="仿宋_GB2312" w:cs="仿宋_GB2312" w:eastAsia="仿宋_GB2312"/>
                <w:sz w:val="20"/>
                <w:color w:val="000000"/>
              </w:rPr>
              <w:t>等</w:t>
            </w:r>
            <w:r>
              <w:rPr>
                <w:rFonts w:ascii="仿宋_GB2312" w:hAnsi="仿宋_GB2312" w:cs="仿宋_GB2312" w:eastAsia="仿宋_GB2312"/>
                <w:sz w:val="20"/>
                <w:color w:val="000000"/>
              </w:rPr>
              <w:t>8条河流总长约31.66</w:t>
            </w:r>
            <w:r>
              <w:rPr>
                <w:rFonts w:ascii="仿宋_GB2312" w:hAnsi="仿宋_GB2312" w:cs="仿宋_GB2312" w:eastAsia="仿宋_GB2312"/>
                <w:sz w:val="20"/>
                <w:color w:val="000000"/>
              </w:rPr>
              <w:t>千米</w:t>
            </w:r>
            <w:r>
              <w:rPr>
                <w:rFonts w:ascii="仿宋_GB2312" w:hAnsi="仿宋_GB2312" w:cs="仿宋_GB2312" w:eastAsia="仿宋_GB2312"/>
                <w:sz w:val="20"/>
                <w:color w:val="000000"/>
              </w:rPr>
              <w:t>（具体实测为准）</w:t>
            </w:r>
            <w:r>
              <w:rPr>
                <w:rFonts w:ascii="仿宋_GB2312" w:hAnsi="仿宋_GB2312" w:cs="仿宋_GB2312" w:eastAsia="仿宋_GB2312"/>
                <w:sz w:val="20"/>
                <w:color w:val="000000"/>
              </w:rPr>
              <w:t>，工作内容：</w:t>
            </w:r>
            <w:r>
              <w:rPr>
                <w:rFonts w:ascii="仿宋_GB2312" w:hAnsi="仿宋_GB2312" w:cs="仿宋_GB2312" w:eastAsia="仿宋_GB2312"/>
                <w:sz w:val="20"/>
                <w:color w:val="000000"/>
              </w:rPr>
              <w:t>参照《四川省河湖管理范围划定操作指南》技术标准进行测量、洪水分析、岸线划定、桩牌制作及安装等方面工作。</w:t>
            </w:r>
          </w:p>
          <w:p>
            <w:pPr>
              <w:pStyle w:val="null3"/>
              <w:ind w:firstLine="402"/>
              <w:jc w:val="both"/>
            </w:pPr>
            <w:r>
              <w:rPr>
                <w:rFonts w:ascii="仿宋_GB2312" w:hAnsi="仿宋_GB2312" w:cs="仿宋_GB2312" w:eastAsia="仿宋_GB2312"/>
                <w:sz w:val="20"/>
                <w:b/>
                <w:color w:val="000000"/>
              </w:rPr>
              <w:t>1、河道地形带状测量、断面测量及控制测量：</w:t>
            </w:r>
          </w:p>
          <w:p>
            <w:pPr>
              <w:pStyle w:val="null3"/>
              <w:ind w:firstLine="400"/>
              <w:jc w:val="both"/>
            </w:pPr>
            <w:r>
              <w:rPr>
                <w:rFonts w:ascii="仿宋_GB2312" w:hAnsi="仿宋_GB2312" w:cs="仿宋_GB2312" w:eastAsia="仿宋_GB2312"/>
                <w:sz w:val="20"/>
                <w:color w:val="000000"/>
              </w:rPr>
              <w:t>根据本项目的现状及相关技术规范要求，实地测设控制点、水准高程点。并完成每条河流的带状地形图测绘和断面测绘，测绘精度应达到</w:t>
            </w:r>
            <w:r>
              <w:rPr>
                <w:rFonts w:ascii="仿宋_GB2312" w:hAnsi="仿宋_GB2312" w:cs="仿宋_GB2312" w:eastAsia="仿宋_GB2312"/>
                <w:sz w:val="20"/>
                <w:color w:val="000000"/>
              </w:rPr>
              <w:t>1:2000比例尺的标准。</w:t>
            </w:r>
          </w:p>
          <w:p>
            <w:pPr>
              <w:pStyle w:val="null3"/>
              <w:ind w:firstLine="400"/>
              <w:jc w:val="both"/>
            </w:pPr>
            <w:r>
              <w:rPr>
                <w:rFonts w:ascii="仿宋_GB2312" w:hAnsi="仿宋_GB2312" w:cs="仿宋_GB2312" w:eastAsia="仿宋_GB2312"/>
                <w:sz w:val="20"/>
              </w:rPr>
              <w:t>1.1带状地形图</w:t>
            </w:r>
            <w:r>
              <w:rPr>
                <w:rFonts w:ascii="仿宋_GB2312" w:hAnsi="仿宋_GB2312" w:cs="仿宋_GB2312" w:eastAsia="仿宋_GB2312"/>
                <w:sz w:val="20"/>
                <w:color w:val="000000"/>
                <w:shd w:fill="FFFFFF" w:val="clear"/>
              </w:rPr>
              <w:t>测量</w:t>
            </w:r>
            <w:r>
              <w:rPr>
                <w:rFonts w:ascii="仿宋_GB2312" w:hAnsi="仿宋_GB2312" w:cs="仿宋_GB2312" w:eastAsia="仿宋_GB2312"/>
                <w:sz w:val="20"/>
              </w:rPr>
              <w:t>技术要求：</w:t>
            </w:r>
          </w:p>
          <w:p>
            <w:pPr>
              <w:pStyle w:val="null3"/>
              <w:ind w:firstLine="400"/>
              <w:jc w:val="both"/>
            </w:pPr>
            <w:r>
              <w:rPr>
                <w:rFonts w:ascii="仿宋_GB2312" w:hAnsi="仿宋_GB2312" w:cs="仿宋_GB2312" w:eastAsia="仿宋_GB2312"/>
                <w:sz w:val="20"/>
              </w:rPr>
              <w:t>a.带状地形图应尽量测制1:2000大比例尺地形图，部分地方可根据实际情况测制1:10000比例尺地形图，不同比例尺地形图按相应的精度指标执行。</w:t>
            </w:r>
          </w:p>
          <w:p>
            <w:pPr>
              <w:pStyle w:val="null3"/>
              <w:ind w:firstLine="400"/>
              <w:jc w:val="both"/>
            </w:pPr>
            <w:r>
              <w:rPr>
                <w:rFonts w:ascii="仿宋_GB2312" w:hAnsi="仿宋_GB2312" w:cs="仿宋_GB2312" w:eastAsia="仿宋_GB2312"/>
                <w:sz w:val="20"/>
              </w:rPr>
              <w:t>b.带状地形图测量可采用航天影像资料、低空无人机和全野外地形测量，并采用内外业一体化数字测图。全野外测图设站时要对测站进行检核并作记录，符合规范规定的要求后方能测图；采用的航天影像资料、低空无人机测图航飞、像片控制、立体采集、数据编辑均须符合相关国家和行业测绘标准的技术要求。</w:t>
            </w:r>
          </w:p>
          <w:p>
            <w:pPr>
              <w:pStyle w:val="null3"/>
              <w:ind w:firstLine="400"/>
              <w:jc w:val="both"/>
            </w:pPr>
            <w:r>
              <w:rPr>
                <w:rFonts w:ascii="仿宋_GB2312" w:hAnsi="仿宋_GB2312" w:cs="仿宋_GB2312" w:eastAsia="仿宋_GB2312"/>
                <w:sz w:val="20"/>
              </w:rPr>
              <w:t>c.绘图区域范围内的交叉建筑物、附属建筑物、地物应在河道带状地形图上表示清楚。堤防护岸、拦河坝、水闸、沿河提引水建筑物等水利工程应注明名称及有关特征参数。</w:t>
            </w:r>
          </w:p>
          <w:p>
            <w:pPr>
              <w:pStyle w:val="null3"/>
              <w:ind w:firstLine="400"/>
              <w:jc w:val="both"/>
            </w:pPr>
            <w:r>
              <w:rPr>
                <w:rFonts w:ascii="仿宋_GB2312" w:hAnsi="仿宋_GB2312" w:cs="仿宋_GB2312" w:eastAsia="仿宋_GB2312"/>
                <w:sz w:val="20"/>
              </w:rPr>
              <w:t>1.2</w:t>
            </w:r>
            <w:r>
              <w:rPr>
                <w:rFonts w:ascii="仿宋_GB2312" w:hAnsi="仿宋_GB2312" w:cs="仿宋_GB2312" w:eastAsia="仿宋_GB2312"/>
                <w:sz w:val="20"/>
                <w:color w:val="000000"/>
                <w:shd w:fill="FFFFFF" w:val="clear"/>
              </w:rPr>
              <w:t>大断面测（绘）</w:t>
            </w:r>
            <w:r>
              <w:rPr>
                <w:rFonts w:ascii="仿宋_GB2312" w:hAnsi="仿宋_GB2312" w:cs="仿宋_GB2312" w:eastAsia="仿宋_GB2312"/>
                <w:sz w:val="20"/>
              </w:rPr>
              <w:t>技术要求：</w:t>
            </w:r>
          </w:p>
          <w:p>
            <w:pPr>
              <w:pStyle w:val="null3"/>
              <w:ind w:firstLine="400"/>
              <w:jc w:val="both"/>
            </w:pPr>
            <w:r>
              <w:rPr>
                <w:rFonts w:ascii="仿宋_GB2312" w:hAnsi="仿宋_GB2312" w:cs="仿宋_GB2312" w:eastAsia="仿宋_GB2312"/>
                <w:sz w:val="20"/>
              </w:rPr>
              <w:t>大断面测（绘）一般沿河道中心线，每隔</w:t>
            </w:r>
            <w:r>
              <w:rPr>
                <w:rFonts w:ascii="仿宋_GB2312" w:hAnsi="仿宋_GB2312" w:cs="仿宋_GB2312" w:eastAsia="仿宋_GB2312"/>
                <w:sz w:val="20"/>
              </w:rPr>
              <w:t>300-500米布设一处断面测量点。</w:t>
            </w:r>
          </w:p>
          <w:p>
            <w:pPr>
              <w:pStyle w:val="null3"/>
              <w:ind w:firstLine="402"/>
              <w:jc w:val="both"/>
            </w:pPr>
            <w:r>
              <w:rPr>
                <w:rFonts w:ascii="仿宋_GB2312" w:hAnsi="仿宋_GB2312" w:cs="仿宋_GB2312" w:eastAsia="仿宋_GB2312"/>
                <w:sz w:val="20"/>
                <w:b/>
              </w:rPr>
              <w:t>2、洪水分析计算：</w:t>
            </w:r>
          </w:p>
          <w:p>
            <w:pPr>
              <w:pStyle w:val="null3"/>
              <w:ind w:firstLine="400"/>
              <w:jc w:val="both"/>
            </w:pPr>
            <w:r>
              <w:rPr>
                <w:rFonts w:ascii="仿宋_GB2312" w:hAnsi="仿宋_GB2312" w:cs="仿宋_GB2312" w:eastAsia="仿宋_GB2312"/>
                <w:sz w:val="20"/>
              </w:rPr>
              <w:t>2.1 有分析成果河段的，宜引用已有成果。</w:t>
            </w:r>
          </w:p>
          <w:p>
            <w:pPr>
              <w:pStyle w:val="null3"/>
              <w:ind w:firstLine="400"/>
              <w:jc w:val="both"/>
            </w:pPr>
            <w:r>
              <w:rPr>
                <w:rFonts w:ascii="仿宋_GB2312" w:hAnsi="仿宋_GB2312" w:cs="仿宋_GB2312" w:eastAsia="仿宋_GB2312"/>
                <w:sz w:val="20"/>
              </w:rPr>
              <w:t>2.1.1有水利部门或有关部门正式批复的洪水设计成果可直接引用，但必须进行合理性分析；对批复后发生了特大洪水的河段应对原设计成果进行复核。</w:t>
            </w:r>
          </w:p>
          <w:p>
            <w:pPr>
              <w:pStyle w:val="null3"/>
              <w:ind w:firstLine="400"/>
              <w:jc w:val="both"/>
            </w:pPr>
            <w:r>
              <w:rPr>
                <w:rFonts w:ascii="仿宋_GB2312" w:hAnsi="仿宋_GB2312" w:cs="仿宋_GB2312" w:eastAsia="仿宋_GB2312"/>
                <w:sz w:val="20"/>
              </w:rPr>
              <w:t>2.2.2由水利部门或其他相关部门刊印或审定的有历史洪水调查的河段可直接引用历史洪水调查成果，但对以后发生了特大洪水的河段应对历史洪水调查成果进行复核。</w:t>
            </w:r>
          </w:p>
          <w:p>
            <w:pPr>
              <w:pStyle w:val="null3"/>
              <w:ind w:firstLine="400"/>
              <w:jc w:val="both"/>
            </w:pPr>
            <w:r>
              <w:rPr>
                <w:rFonts w:ascii="仿宋_GB2312" w:hAnsi="仿宋_GB2312" w:cs="仿宋_GB2312" w:eastAsia="仿宋_GB2312"/>
                <w:sz w:val="20"/>
              </w:rPr>
              <w:t>2.2 无分析成果的河段，根据实测暴雨洪水资料、洪水调查资料并结合其他相关资料综合分析确定洪水成果。</w:t>
            </w:r>
          </w:p>
          <w:p>
            <w:pPr>
              <w:pStyle w:val="null3"/>
              <w:ind w:firstLine="402"/>
              <w:jc w:val="both"/>
            </w:pPr>
            <w:r>
              <w:rPr>
                <w:rFonts w:ascii="仿宋_GB2312" w:hAnsi="仿宋_GB2312" w:cs="仿宋_GB2312" w:eastAsia="仿宋_GB2312"/>
                <w:sz w:val="20"/>
                <w:b/>
              </w:rPr>
              <w:t>3、界线划定：</w:t>
            </w:r>
          </w:p>
          <w:p>
            <w:pPr>
              <w:pStyle w:val="null3"/>
              <w:ind w:firstLine="400"/>
              <w:jc w:val="both"/>
            </w:pPr>
            <w:r>
              <w:rPr>
                <w:rFonts w:ascii="仿宋_GB2312" w:hAnsi="仿宋_GB2312" w:cs="仿宋_GB2312" w:eastAsia="仿宋_GB2312"/>
                <w:sz w:val="20"/>
              </w:rPr>
              <w:t>3.1有堤防的河道，管理范围为两岸堤防之间的水域、沙洲、滩地（包括可耕地）、行洪区，以及两岸堤防及护堤地。</w:t>
            </w:r>
          </w:p>
          <w:p>
            <w:pPr>
              <w:pStyle w:val="null3"/>
              <w:ind w:firstLine="400"/>
              <w:jc w:val="both"/>
            </w:pPr>
            <w:r>
              <w:rPr>
                <w:rFonts w:ascii="仿宋_GB2312" w:hAnsi="仿宋_GB2312" w:cs="仿宋_GB2312" w:eastAsia="仿宋_GB2312"/>
                <w:sz w:val="20"/>
              </w:rPr>
              <w:t>3.2无堤防的山区型河道，管理范围为满足该河道防洪标准的设计洪水位（或历史最高洪水位）与山丘体交线之间的水域、滩地（包括可耕地）、行洪区等。</w:t>
            </w:r>
          </w:p>
          <w:p>
            <w:pPr>
              <w:pStyle w:val="null3"/>
              <w:ind w:firstLine="400"/>
              <w:jc w:val="both"/>
            </w:pPr>
            <w:r>
              <w:rPr>
                <w:rFonts w:ascii="仿宋_GB2312" w:hAnsi="仿宋_GB2312" w:cs="仿宋_GB2312" w:eastAsia="仿宋_GB2312"/>
                <w:sz w:val="20"/>
              </w:rPr>
              <w:t>3.3无堤防的平原型河道，管理范围为水域、滩地及河岸线两侧一定范围</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color w:val="000000"/>
              </w:rPr>
              <w:t>4、界桩（牌）、告示牌制作、放样、安装：</w:t>
            </w:r>
          </w:p>
          <w:p>
            <w:pPr>
              <w:pStyle w:val="null3"/>
              <w:ind w:firstLine="400"/>
              <w:jc w:val="both"/>
            </w:pPr>
            <w:r>
              <w:rPr>
                <w:rFonts w:ascii="仿宋_GB2312" w:hAnsi="仿宋_GB2312" w:cs="仿宋_GB2312" w:eastAsia="仿宋_GB2312"/>
                <w:sz w:val="20"/>
                <w:color w:val="000000"/>
              </w:rPr>
              <w:t>根据文件要求按标准尺寸制作界桩（牌）、告示牌，参照编制成果，测量人员根据图上划定的界线界桩点坐标将需要埋设的界桩放样至实地，施工人员根据放样结果将界桩埋设完毕。（具体尺寸如下图）</w:t>
            </w:r>
          </w:p>
          <w:p>
            <w:pPr>
              <w:pStyle w:val="null3"/>
              <w:jc w:val="both"/>
            </w:pPr>
            <w:r>
              <w:rPr>
                <w:rFonts w:ascii="仿宋_GB2312" w:hAnsi="仿宋_GB2312" w:cs="仿宋_GB2312" w:eastAsia="仿宋_GB2312"/>
                <w:sz w:val="20"/>
                <w:b/>
              </w:rPr>
              <w:t>5、界桩（牌）设置原则：</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.1</w:t>
            </w:r>
            <w:r>
              <w:rPr>
                <w:rFonts w:ascii="仿宋_GB2312" w:hAnsi="仿宋_GB2312" w:cs="仿宋_GB2312" w:eastAsia="仿宋_GB2312"/>
                <w:sz w:val="21"/>
              </w:rPr>
              <w:t xml:space="preserve"> </w:t>
            </w:r>
            <w:r>
              <w:rPr>
                <w:rFonts w:ascii="仿宋_GB2312" w:hAnsi="仿宋_GB2312" w:cs="仿宋_GB2312" w:eastAsia="仿宋_GB2312"/>
                <w:sz w:val="20"/>
                <w:color w:val="000000"/>
              </w:rPr>
              <w:t>城市（镇）规划区桩（牌）间距</w:t>
            </w:r>
            <w:r>
              <w:rPr>
                <w:rFonts w:ascii="仿宋_GB2312" w:hAnsi="仿宋_GB2312" w:cs="仿宋_GB2312" w:eastAsia="仿宋_GB2312"/>
                <w:sz w:val="20"/>
                <w:color w:val="000000"/>
              </w:rPr>
              <w:t>400m。</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 xml:space="preserve">2 </w:t>
            </w:r>
            <w:r>
              <w:rPr>
                <w:rFonts w:ascii="仿宋_GB2312" w:hAnsi="仿宋_GB2312" w:cs="仿宋_GB2312" w:eastAsia="仿宋_GB2312"/>
                <w:sz w:val="20"/>
                <w:color w:val="000000"/>
              </w:rPr>
              <w:t>非城市（镇）规划区桩（牌）间距</w:t>
            </w:r>
            <w:r>
              <w:rPr>
                <w:rFonts w:ascii="仿宋_GB2312" w:hAnsi="仿宋_GB2312" w:cs="仿宋_GB2312" w:eastAsia="仿宋_GB2312"/>
                <w:sz w:val="20"/>
                <w:color w:val="000000"/>
              </w:rPr>
              <w:t>800m。</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 xml:space="preserve">3 </w:t>
            </w:r>
            <w:r>
              <w:rPr>
                <w:rFonts w:ascii="仿宋_GB2312" w:hAnsi="仿宋_GB2312" w:cs="仿宋_GB2312" w:eastAsia="仿宋_GB2312"/>
                <w:sz w:val="20"/>
                <w:color w:val="000000"/>
              </w:rPr>
              <w:t>在下列情况应加密增设桩（牌）：</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（重要下河通道（车行通道）；</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color w:val="000000"/>
              </w:rPr>
              <w:t>重要码头、桥梁、取水口、电站等涉河设施处；</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河道拐弯（角度小于</w:t>
            </w:r>
            <w:r>
              <w:rPr>
                <w:rFonts w:ascii="仿宋_GB2312" w:hAnsi="仿宋_GB2312" w:cs="仿宋_GB2312" w:eastAsia="仿宋_GB2312"/>
                <w:sz w:val="20"/>
                <w:color w:val="000000"/>
              </w:rPr>
              <w:t>120度）处；</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水事纠纷和水事案件易发地段或行政界。</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 xml:space="preserve">4 </w:t>
            </w:r>
            <w:r>
              <w:rPr>
                <w:rFonts w:ascii="仿宋_GB2312" w:hAnsi="仿宋_GB2312" w:cs="仿宋_GB2312" w:eastAsia="仿宋_GB2312"/>
                <w:sz w:val="20"/>
                <w:color w:val="000000"/>
              </w:rPr>
              <w:t>在临近无生产、生活和人类活动的陡崖、荒山、森林等河道、湖泊、水库段，可根据实际情况加大桩（牌）设置间距，或虚实结合、采用其他方式明确界址。</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 xml:space="preserve">5 </w:t>
            </w:r>
            <w:r>
              <w:rPr>
                <w:rFonts w:ascii="仿宋_GB2312" w:hAnsi="仿宋_GB2312" w:cs="仿宋_GB2312" w:eastAsia="仿宋_GB2312"/>
                <w:sz w:val="20"/>
                <w:color w:val="000000"/>
              </w:rPr>
              <w:t>桩（牌）应尽量设置安装在田埂边、河塘边、道路边等不影响耕作和通行的地质条件较稳定位置。</w:t>
            </w:r>
          </w:p>
          <w:p>
            <w:pPr>
              <w:pStyle w:val="null3"/>
              <w:ind w:firstLine="402"/>
              <w:jc w:val="left"/>
            </w:pPr>
            <w:r>
              <w:rPr>
                <w:rFonts w:ascii="仿宋_GB2312" w:hAnsi="仿宋_GB2312" w:cs="仿宋_GB2312" w:eastAsia="仿宋_GB2312"/>
                <w:sz w:val="20"/>
                <w:b/>
              </w:rPr>
              <w:t>6、告示牌设置原则：</w:t>
            </w:r>
          </w:p>
          <w:p>
            <w:pPr>
              <w:pStyle w:val="null3"/>
              <w:ind w:firstLine="400"/>
              <w:jc w:val="both"/>
            </w:pPr>
            <w:r>
              <w:rPr>
                <w:rFonts w:ascii="仿宋_GB2312" w:hAnsi="仿宋_GB2312" w:cs="仿宋_GB2312" w:eastAsia="仿宋_GB2312"/>
                <w:sz w:val="20"/>
                <w:color w:val="000000"/>
              </w:rPr>
              <w:t>城市规划区原则上不少于</w:t>
            </w:r>
            <w:r>
              <w:rPr>
                <w:rFonts w:ascii="仿宋_GB2312" w:hAnsi="仿宋_GB2312" w:cs="仿宋_GB2312" w:eastAsia="仿宋_GB2312"/>
                <w:sz w:val="20"/>
                <w:color w:val="000000"/>
              </w:rPr>
              <w:t>3处，城镇规划区原则上不少于1处。在下列情况应设置：</w:t>
            </w:r>
          </w:p>
          <w:p>
            <w:pPr>
              <w:pStyle w:val="null3"/>
              <w:ind w:firstLine="400"/>
              <w:jc w:val="both"/>
            </w:pPr>
            <w:r>
              <w:rPr>
                <w:rFonts w:ascii="仿宋_GB2312" w:hAnsi="仿宋_GB2312" w:cs="仿宋_GB2312" w:eastAsia="仿宋_GB2312"/>
                <w:sz w:val="20"/>
                <w:color w:val="000000"/>
              </w:rPr>
              <w:t xml:space="preserve">6.1 </w:t>
            </w:r>
            <w:r>
              <w:rPr>
                <w:rFonts w:ascii="仿宋_GB2312" w:hAnsi="仿宋_GB2312" w:cs="仿宋_GB2312" w:eastAsia="仿宋_GB2312"/>
                <w:sz w:val="20"/>
                <w:color w:val="000000"/>
              </w:rPr>
              <w:t>穿越城镇规划区上、下游；</w:t>
            </w:r>
          </w:p>
          <w:p>
            <w:pPr>
              <w:pStyle w:val="null3"/>
              <w:ind w:firstLine="400"/>
              <w:jc w:val="both"/>
            </w:pPr>
            <w:r>
              <w:rPr>
                <w:rFonts w:ascii="仿宋_GB2312" w:hAnsi="仿宋_GB2312" w:cs="仿宋_GB2312" w:eastAsia="仿宋_GB2312"/>
                <w:sz w:val="20"/>
                <w:color w:val="000000"/>
              </w:rPr>
              <w:t xml:space="preserve">6.2 </w:t>
            </w:r>
            <w:r>
              <w:rPr>
                <w:rFonts w:ascii="仿宋_GB2312" w:hAnsi="仿宋_GB2312" w:cs="仿宋_GB2312" w:eastAsia="仿宋_GB2312"/>
                <w:sz w:val="20"/>
                <w:color w:val="000000"/>
              </w:rPr>
              <w:t>重要下河通道（车行通道）；</w:t>
            </w:r>
          </w:p>
          <w:p>
            <w:pPr>
              <w:pStyle w:val="null3"/>
              <w:ind w:firstLine="400"/>
              <w:jc w:val="both"/>
            </w:pPr>
            <w:r>
              <w:rPr>
                <w:rFonts w:ascii="仿宋_GB2312" w:hAnsi="仿宋_GB2312" w:cs="仿宋_GB2312" w:eastAsia="仿宋_GB2312"/>
                <w:sz w:val="20"/>
                <w:color w:val="000000"/>
              </w:rPr>
              <w:t xml:space="preserve">6.3 </w:t>
            </w:r>
            <w:r>
              <w:rPr>
                <w:rFonts w:ascii="仿宋_GB2312" w:hAnsi="仿宋_GB2312" w:cs="仿宋_GB2312" w:eastAsia="仿宋_GB2312"/>
                <w:sz w:val="20"/>
                <w:color w:val="000000"/>
              </w:rPr>
              <w:t>人口密集或人流聚集地点河岸；</w:t>
            </w:r>
          </w:p>
          <w:p>
            <w:pPr>
              <w:pStyle w:val="null3"/>
              <w:ind w:firstLine="400"/>
              <w:jc w:val="both"/>
            </w:pPr>
            <w:r>
              <w:rPr>
                <w:rFonts w:ascii="仿宋_GB2312" w:hAnsi="仿宋_GB2312" w:cs="仿宋_GB2312" w:eastAsia="仿宋_GB2312"/>
                <w:sz w:val="20"/>
                <w:color w:val="000000"/>
              </w:rPr>
              <w:t xml:space="preserve">6.4 </w:t>
            </w:r>
            <w:r>
              <w:rPr>
                <w:rFonts w:ascii="仿宋_GB2312" w:hAnsi="仿宋_GB2312" w:cs="仿宋_GB2312" w:eastAsia="仿宋_GB2312"/>
                <w:sz w:val="20"/>
                <w:color w:val="000000"/>
              </w:rPr>
              <w:t>重要码头、桥梁、取水口、电站等涉河设施处；</w:t>
            </w:r>
          </w:p>
          <w:p>
            <w:pPr>
              <w:pStyle w:val="null3"/>
              <w:ind w:firstLine="400"/>
              <w:jc w:val="both"/>
            </w:pPr>
            <w:r>
              <w:rPr>
                <w:rFonts w:ascii="仿宋_GB2312" w:hAnsi="仿宋_GB2312" w:cs="仿宋_GB2312" w:eastAsia="仿宋_GB2312"/>
                <w:sz w:val="20"/>
                <w:color w:val="000000"/>
              </w:rPr>
              <w:t xml:space="preserve">6.5 </w:t>
            </w:r>
            <w:r>
              <w:rPr>
                <w:rFonts w:ascii="仿宋_GB2312" w:hAnsi="仿宋_GB2312" w:cs="仿宋_GB2312" w:eastAsia="仿宋_GB2312"/>
                <w:sz w:val="20"/>
                <w:color w:val="000000"/>
              </w:rPr>
              <w:t>水事纠纷和水事案件易发地段或行政界。</w:t>
            </w:r>
          </w:p>
          <w:p>
            <w:pPr>
              <w:pStyle w:val="null3"/>
              <w:ind w:firstLine="402"/>
              <w:jc w:val="both"/>
            </w:pPr>
            <w:r>
              <w:rPr>
                <w:rFonts w:ascii="仿宋_GB2312" w:hAnsi="仿宋_GB2312" w:cs="仿宋_GB2312" w:eastAsia="仿宋_GB2312"/>
                <w:sz w:val="20"/>
                <w:b/>
              </w:rPr>
              <w:t>7、</w:t>
            </w:r>
            <w:r>
              <w:rPr>
                <w:rFonts w:ascii="仿宋_GB2312" w:hAnsi="仿宋_GB2312" w:cs="仿宋_GB2312" w:eastAsia="仿宋_GB2312"/>
                <w:sz w:val="20"/>
                <w:b/>
              </w:rPr>
              <w:t>资料整编：</w:t>
            </w:r>
          </w:p>
          <w:p>
            <w:pPr>
              <w:pStyle w:val="null3"/>
              <w:ind w:firstLine="400"/>
              <w:jc w:val="both"/>
            </w:pPr>
            <w:r>
              <w:rPr>
                <w:rFonts w:ascii="仿宋_GB2312" w:hAnsi="仿宋_GB2312" w:cs="仿宋_GB2312" w:eastAsia="仿宋_GB2312"/>
                <w:sz w:val="20"/>
              </w:rPr>
              <w:t>测量内容、计算内容编辑成册，并按照要求将相关数据向省测绘二院、自然资源部第三地理信息制图院等单位做好数据入库、成果交接等工作。</w:t>
            </w:r>
          </w:p>
          <w:p>
            <w:pPr>
              <w:pStyle w:val="null3"/>
              <w:ind w:firstLine="402"/>
              <w:jc w:val="both"/>
            </w:pPr>
            <w:r>
              <w:rPr>
                <w:rFonts w:ascii="仿宋_GB2312" w:hAnsi="仿宋_GB2312" w:cs="仿宋_GB2312" w:eastAsia="仿宋_GB2312"/>
                <w:sz w:val="20"/>
                <w:b/>
              </w:rPr>
              <w:t>8、</w:t>
            </w:r>
            <w:r>
              <w:rPr>
                <w:rFonts w:ascii="仿宋_GB2312" w:hAnsi="仿宋_GB2312" w:cs="仿宋_GB2312" w:eastAsia="仿宋_GB2312"/>
                <w:sz w:val="20"/>
                <w:b/>
              </w:rPr>
              <w:t>执行标准及技术要求：</w:t>
            </w:r>
          </w:p>
          <w:p>
            <w:pPr>
              <w:pStyle w:val="null3"/>
              <w:ind w:firstLine="400"/>
              <w:jc w:val="both"/>
            </w:pPr>
            <w:r>
              <w:rPr>
                <w:rFonts w:ascii="仿宋_GB2312" w:hAnsi="仿宋_GB2312" w:cs="仿宋_GB2312" w:eastAsia="仿宋_GB2312"/>
                <w:sz w:val="20"/>
              </w:rPr>
              <w:t>执行标准及技术要求按照《四川省河湖管理范围划定操作指南》《水库工程管理设计规范》（</w:t>
            </w:r>
            <w:r>
              <w:rPr>
                <w:rFonts w:ascii="仿宋_GB2312" w:hAnsi="仿宋_GB2312" w:cs="仿宋_GB2312" w:eastAsia="仿宋_GB2312"/>
                <w:sz w:val="20"/>
              </w:rPr>
              <w:t>SL106-2017</w:t>
            </w:r>
            <w:r>
              <w:rPr>
                <w:rFonts w:ascii="仿宋_GB2312" w:hAnsi="仿宋_GB2312" w:cs="仿宋_GB2312" w:eastAsia="仿宋_GB2312"/>
                <w:sz w:val="20"/>
              </w:rPr>
              <w:t>）等规范文件执行，符合相关法律法规。根据划界工作安排，领取中标通知书后应及时签订合同，配齐专业队伍及设备，15日内完成外业测绘，提交测绘成果，并按要求完成专家审查，进行公示公告；30日内完成外业界桩埋设，6月20日前按要求完成划界成果入库工作，积极服从甲方的工作安排。</w:t>
            </w:r>
          </w:p>
          <w:p>
            <w:pPr>
              <w:pStyle w:val="null3"/>
              <w:ind w:firstLine="402"/>
              <w:jc w:val="left"/>
            </w:pPr>
            <w:r>
              <w:rPr>
                <w:rFonts w:ascii="仿宋_GB2312" w:hAnsi="仿宋_GB2312" w:cs="仿宋_GB2312" w:eastAsia="仿宋_GB2312"/>
                <w:sz w:val="20"/>
                <w:b/>
              </w:rPr>
              <w:t>9、提交成果及验收基本要求:</w:t>
            </w:r>
          </w:p>
          <w:p>
            <w:pPr>
              <w:pStyle w:val="null3"/>
              <w:ind w:firstLine="400"/>
              <w:jc w:val="left"/>
            </w:pPr>
            <w:r>
              <w:rPr>
                <w:rFonts w:ascii="仿宋_GB2312" w:hAnsi="仿宋_GB2312" w:cs="仿宋_GB2312" w:eastAsia="仿宋_GB2312"/>
                <w:sz w:val="20"/>
              </w:rPr>
              <w:t>9</w:t>
            </w:r>
            <w:r>
              <w:rPr>
                <w:rFonts w:ascii="仿宋_GB2312" w:hAnsi="仿宋_GB2312" w:cs="仿宋_GB2312" w:eastAsia="仿宋_GB2312"/>
                <w:sz w:val="20"/>
              </w:rPr>
              <w:t>.1</w:t>
            </w:r>
            <w:r>
              <w:rPr>
                <w:rFonts w:ascii="仿宋_GB2312" w:hAnsi="仿宋_GB2312" w:cs="仿宋_GB2312" w:eastAsia="仿宋_GB2312"/>
              </w:rPr>
              <w:t xml:space="preserve"> </w:t>
            </w:r>
            <w:r>
              <w:rPr>
                <w:rFonts w:ascii="仿宋_GB2312" w:hAnsi="仿宋_GB2312" w:cs="仿宋_GB2312" w:eastAsia="仿宋_GB2312"/>
                <w:sz w:val="20"/>
              </w:rPr>
              <w:t>成果文件及要求：</w:t>
            </w:r>
            <w:r>
              <w:rPr>
                <w:rFonts w:ascii="仿宋_GB2312" w:hAnsi="仿宋_GB2312" w:cs="仿宋_GB2312" w:eastAsia="仿宋_GB2312"/>
                <w:sz w:val="20"/>
              </w:rPr>
              <w:t>符合《四川省河湖管理范围划定操作指南》第</w:t>
            </w:r>
            <w:r>
              <w:rPr>
                <w:rFonts w:ascii="仿宋_GB2312" w:hAnsi="仿宋_GB2312" w:cs="仿宋_GB2312" w:eastAsia="仿宋_GB2312"/>
                <w:sz w:val="20"/>
              </w:rPr>
              <w:t>8章</w:t>
            </w:r>
            <w:r>
              <w:rPr>
                <w:rFonts w:ascii="仿宋_GB2312" w:hAnsi="仿宋_GB2312" w:cs="仿宋_GB2312" w:eastAsia="仿宋_GB2312"/>
                <w:sz w:val="20"/>
              </w:rPr>
              <w:t>划界工作成果管理规定。</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）划界数</w:t>
            </w:r>
            <w:r>
              <w:rPr>
                <w:rFonts w:ascii="仿宋_GB2312" w:hAnsi="仿宋_GB2312" w:cs="仿宋_GB2312" w:eastAsia="仿宋_GB2312"/>
                <w:sz w:val="20"/>
              </w:rPr>
              <w:t>据成果、文档资料、生产过程成果及各种专业资料等，应按照规定格式标准统一整理并汇总和提交。</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）划界单位提交的各种文档资料应按国家档案的文档归档要求进行组织；生产使用的各种专业资料应建立完整的资料目录及其使用情况说明。</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）划界报告等数据成果和文档资料应以电子文档和纸质文件形式分别提交，其中纸质文件一律以</w:t>
            </w:r>
            <w:r>
              <w:rPr>
                <w:rFonts w:ascii="仿宋_GB2312" w:hAnsi="仿宋_GB2312" w:cs="仿宋_GB2312" w:eastAsia="仿宋_GB2312"/>
                <w:sz w:val="20"/>
              </w:rPr>
              <w:t>A4纸打印汇交（除有特殊纸张大小要求）。</w:t>
            </w:r>
          </w:p>
          <w:p>
            <w:pPr>
              <w:pStyle w:val="null3"/>
              <w:ind w:firstLine="400"/>
              <w:jc w:val="left"/>
            </w:pP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 xml:space="preserve">2 </w:t>
            </w:r>
            <w:r>
              <w:rPr>
                <w:rFonts w:ascii="仿宋_GB2312" w:hAnsi="仿宋_GB2312" w:cs="仿宋_GB2312" w:eastAsia="仿宋_GB2312"/>
                <w:sz w:val="20"/>
              </w:rPr>
              <w:t>成果评审及验收：按照《四川省河湖管理范围划定操作指南》第</w:t>
            </w:r>
            <w:r>
              <w:rPr>
                <w:rFonts w:ascii="仿宋_GB2312" w:hAnsi="仿宋_GB2312" w:cs="仿宋_GB2312" w:eastAsia="仿宋_GB2312"/>
                <w:sz w:val="20"/>
              </w:rPr>
              <w:t>9章划界成果验收要求</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1）在开展管理与保护范围划界工作的过程中，接受业主的检查。</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2）管理与保护范围划界工作完成后，其划定成果接受业主组织的专家评审及现场验收。</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3）提交的成果应满足国家、行业和业主的要求，确保其提交的成果通过评审验收，业主的验收不免除承担单位应承担的技术责任。</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4）应根据评审意见在20日内补充完善划定成果并提交最终成果。承担单位有义务参加本工程有关的技术答辩工作。</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2025年6月30日前。（具体时间，根据工作实际情况，以采购方安排为准）</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岳池县水务局指定地点。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 xml:space="preserve">按照《广安市政府采购项目履约验收工作规程》（广市财采〔 2021〕275号）、《四川省河湖管理范围划定操作指南》以及相关文件的要求由岳池县水务局组织的专家验收。 </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1、以采购合同签订为准。，达到付款条件起90日内，支付合同总金额的100.00%</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 （1）甲乙双方必须遵守本合同并执行合同中的各项规定，保证本合同的正常履行。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2.解决合同纠纷的方式 在执行本合同中发生的或与本合同有关的争端，双方应通过友好协商解决，经协商在30天内不能达成协议时，可向采购人所在地的人民法院提起诉讼。</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★其他商务要求： 1、质量要求：满足《四川省河湖管理范围划定操作指南》要求以及符合其他相关法规、文件、规范和标准的规定，划定成果通过岳池县水务局组织的专家评审。 2、其他要求： （1）根据各供应商提供的项目技术实施方案进行评审，内容包括：①工作技术流程；②工作实施方案；③组织机构设计；④人员安排及分工；⑤进度保障措施；⑥质量控制措施等内容。（2）根据各供应商提供的项目制度及措施进行评审，内容包括：①项目管理制度；②安全生产措施；③保密措施等内容。 （3）根据各供应商提供的售后服务方案进行评审，内容包括：①售后服务人员配置；②响应时间；③培训措施；④应急预案保障措施等内容。 3、其他未尽事宜甲乙双方合同约定。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“技术、服务及其他要求”中“3.2.技术要求”，“3.3.服务要求”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提供｛注：①可提供2022年以来任意年度经审计的财务报告复印件（包含审计报告和审计报告中所涉及的财务报表和报表附注），②可提供2022年以来任意年度供应商内部的财务报表（至少包含资产负债表）复印件，③可提供截至响应文件递交截止日一年内银行出具的资信证明（复印件），④供应商注册时间截至响应文件递交截止日不足一年的，也可提供在工商备案主管部门的公司章程（复印件）。｝以上任选其一供应商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具有健全财务会计制度的证明材料.docx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特殊资格条件</w:t>
            </w:r>
          </w:p>
        </w:tc>
        <w:tc>
          <w:tcPr>
            <w:tcW w:type="dxa" w:w="3322"/>
          </w:tcPr>
          <w:p>
            <w:pPr>
              <w:pStyle w:val="null3"/>
              <w:jc w:val="left"/>
            </w:pPr>
            <w:r>
              <w:rPr>
                <w:rFonts w:ascii="仿宋_GB2312" w:hAnsi="仿宋_GB2312" w:cs="仿宋_GB2312" w:eastAsia="仿宋_GB2312"/>
              </w:rPr>
              <w:t>具有行政主管部门颁发的测绘乙级及以上资质证书，专业类别需包含：工程测量。</w:t>
            </w:r>
          </w:p>
        </w:tc>
        <w:tc>
          <w:tcPr>
            <w:tcW w:type="dxa" w:w="1910"/>
          </w:tcPr>
          <w:p>
            <w:pPr>
              <w:pStyle w:val="null3"/>
              <w:jc w:val="left"/>
            </w:pPr>
            <w:r>
              <w:rPr>
                <w:rFonts w:ascii="仿宋_GB2312" w:hAnsi="仿宋_GB2312" w:cs="仿宋_GB2312" w:eastAsia="仿宋_GB2312"/>
              </w:rPr>
              <w:t>供应商应提交的相关证明材料</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响应文件封面</w:t>
            </w:r>
          </w:p>
        </w:tc>
        <w:tc>
          <w:tcPr>
            <w:tcW w:type="dxa" w:w="3322"/>
          </w:tcPr>
          <w:p>
            <w:pPr>
              <w:pStyle w:val="null3"/>
              <w:jc w:val="left"/>
            </w:pPr>
            <w:r>
              <w:rPr>
                <w:rFonts w:ascii="仿宋_GB2312" w:hAnsi="仿宋_GB2312" w:cs="仿宋_GB2312" w:eastAsia="仿宋_GB2312"/>
              </w:rPr>
              <w:t>响应文件封面盖章</w:t>
            </w:r>
          </w:p>
        </w:tc>
        <w:tc>
          <w:tcPr>
            <w:tcW w:type="dxa" w:w="1910"/>
          </w:tcPr>
          <w:p>
            <w:pPr>
              <w:pStyle w:val="null3"/>
              <w:jc w:val="left"/>
            </w:pPr>
            <w:r>
              <w:rPr>
                <w:rFonts w:ascii="仿宋_GB2312" w:hAnsi="仿宋_GB2312" w:cs="仿宋_GB2312" w:eastAsia="仿宋_GB2312"/>
              </w:rPr>
              <w:t>响应文件封面</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磋商文件技术服务、商务要求实质性审查</w:t>
            </w:r>
          </w:p>
        </w:tc>
        <w:tc>
          <w:tcPr>
            <w:tcW w:type="dxa" w:w="3322"/>
          </w:tcPr>
          <w:p>
            <w:pPr>
              <w:pStyle w:val="null3"/>
              <w:jc w:val="left"/>
            </w:pPr>
            <w:r>
              <w:rPr>
                <w:rFonts w:ascii="仿宋_GB2312" w:hAnsi="仿宋_GB2312" w:cs="仿宋_GB2312" w:eastAsia="仿宋_GB2312"/>
              </w:rPr>
              <w:t>供应商须完全响应磋商文件技术服务、商务要求</w:t>
            </w:r>
          </w:p>
        </w:tc>
        <w:tc>
          <w:tcPr>
            <w:tcW w:type="dxa" w:w="1910"/>
          </w:tcPr>
          <w:p>
            <w:pPr>
              <w:pStyle w:val="null3"/>
              <w:jc w:val="left"/>
            </w:pPr>
            <w:r>
              <w:rPr>
                <w:rFonts w:ascii="仿宋_GB2312" w:hAnsi="仿宋_GB2312" w:cs="仿宋_GB2312" w:eastAsia="仿宋_GB2312"/>
              </w:rPr>
              <w:t>供应商应提交的相关证明材料,供应商认为需要提供的其他文件.docx,服务应答表,商务应答表.docx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不正当竞争预防措施</w:t>
            </w:r>
          </w:p>
        </w:tc>
        <w:tc>
          <w:tcPr>
            <w:tcW w:type="dxa" w:w="3322"/>
          </w:tcPr>
          <w:p>
            <w:pPr>
              <w:pStyle w:val="null3"/>
              <w:jc w:val="left"/>
            </w:pPr>
            <w:r>
              <w:rPr>
                <w:rFonts w:ascii="仿宋_GB2312" w:hAnsi="仿宋_GB2312" w:cs="仿宋_GB2312" w:eastAsia="仿宋_GB2312"/>
              </w:rPr>
              <w:t>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tc>
        <w:tc>
          <w:tcPr>
            <w:tcW w:type="dxa" w:w="1910"/>
          </w:tcPr>
          <w:p>
            <w:pPr>
              <w:pStyle w:val="null3"/>
              <w:jc w:val="left"/>
            </w:pPr>
            <w:r>
              <w:rPr>
                <w:rFonts w:ascii="仿宋_GB2312" w:hAnsi="仿宋_GB2312" w:cs="仿宋_GB2312" w:eastAsia="仿宋_GB2312"/>
              </w:rPr>
              <w:t>报价一览表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服务方案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详细评审80.00分</w:t>
            </w:r>
          </w:p>
          <w:p>
            <w:pPr>
              <w:pStyle w:val="null3"/>
              <w:jc w:val="left"/>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拟投入设备配置</w:t>
            </w:r>
          </w:p>
        </w:tc>
        <w:tc>
          <w:tcPr>
            <w:tcW w:type="dxa" w:w="2575"/>
          </w:tcPr>
          <w:p>
            <w:pPr>
              <w:pStyle w:val="null3"/>
              <w:jc w:val="left"/>
            </w:pPr>
            <w:r>
              <w:rPr>
                <w:rFonts w:ascii="仿宋_GB2312" w:hAnsi="仿宋_GB2312" w:cs="仿宋_GB2312" w:eastAsia="仿宋_GB2312"/>
              </w:rPr>
              <w:t>供应商拟投入本项目的仪器设备满足无人船2套(含2套)及以上的得3分；满足无人机3套(含3套)及以上的得3分；满足全站仪4台（含4台）及以上的得2分；满足GNSS设备6台（含6台）及以上的得2分，本项最多得10分。 注：①若设备为自有，提供设备购买发票复印件；②若设备为租赁，提供设备租赁合同。</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供应商认为需要提供的其他文件.docx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供应商自2021年1月1日以来每具有一个类似项目（类似业绩是指：河湖管理范围划定、水利水电界桩测量、河湖断面测量、水下地形测量、无人机航测成图等业绩）履约经验得4分，本项最多得12分。 注：需提供业主单位出具的委托书或中标（成交、中选）通知书或合同复印件等业绩证明材料，并加盖供应商鲜章。</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供应商认为需要提供的其他文件.docx</w:t>
            </w:r>
          </w:p>
        </w:tc>
      </w:tr>
      <w:tr>
        <w:tc>
          <w:tcPr>
            <w:tcW w:type="dxa" w:w="831"/>
            <w:vMerge/>
          </w:tcP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技术实施方案。根据各供应商提供的项目技术实施方案进行评审，内容包括：①工作技术流程；②工作实施方案；③组织机构设计；④人员安排及分工；⑤进度保障措施；⑥质量控制措施等内容。方案内容完全满足以上要求，且内容详细，切实可行，符合项目实施特点和项目需求内容的得18分；以上六个方面，每缺少一方面内容扣3分，每有一方面内容存在不足(不足是指：内容不详细、不满足项目要求或与项目实际存在偏差，项目名称、实施地点、涉及的规范、技术服务标准与本项目不一致等)的扣1.5分，扣完为止。 制度及措施。根据各供应商提供的项目制度及措施进行评审，内容包括：①项目管理制度；②安全生产措施；③保密措施等内容。制度及措施内容完全满足以上要求，且内容详细，切实可行，符合项目实施特点和项目需求内容的得9分；以上三个方面，每缺少一方面内容扣3分，每有一方面内容存在不足(不足是指：内容不详细、不满足项目要求或与项目实际存在偏差，项目名称、实施地点、涉及的规范、技术服务标准与本项目不一致等)的扣1分，扣完为止。 售后服务。根据各供应商提供的售后服务方案进行评审，内容包括：①售后服务人员配置；②响应时间；③培训措施；④应急预案保障措施等内容。售后服务内容完全满足以上要求，且内容详细，切实可行，符合项目实施特点和项目需求内容的得6分；以上四个方面，每缺少一方面内容扣1.5分，每有一方面内容存在不足(不足是指：内容不详细、不满足项目要求或与项目实际存在偏差，项目名称、实施地点、涉及的规范、技术服务标准与本项目不一致等)的扣0.5分，扣完为止。</w:t>
            </w:r>
          </w:p>
        </w:tc>
        <w:tc>
          <w:tcPr>
            <w:tcW w:type="dxa" w:w="831"/>
          </w:tcPr>
          <w:p>
            <w:pPr>
              <w:pStyle w:val="null3"/>
              <w:jc w:val="center"/>
            </w:pPr>
            <w:r>
              <w:rPr>
                <w:rFonts w:ascii="仿宋_GB2312" w:hAnsi="仿宋_GB2312" w:cs="仿宋_GB2312" w:eastAsia="仿宋_GB2312"/>
              </w:rPr>
              <w:t>33.0000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供应商认为需要提供的其他文件.docx</w:t>
            </w:r>
          </w:p>
        </w:tc>
      </w:tr>
      <w:tr>
        <w:tc>
          <w:tcPr>
            <w:tcW w:type="dxa" w:w="831"/>
            <w:vMerge/>
          </w:tcPr>
          <w:p/>
        </w:tc>
        <w:tc>
          <w:tcPr>
            <w:tcW w:type="dxa" w:w="1661"/>
          </w:tcPr>
          <w:p>
            <w:pPr>
              <w:pStyle w:val="null3"/>
              <w:jc w:val="left"/>
            </w:pPr>
            <w:r>
              <w:rPr>
                <w:rFonts w:ascii="仿宋_GB2312" w:hAnsi="仿宋_GB2312" w:cs="仿宋_GB2312" w:eastAsia="仿宋_GB2312"/>
              </w:rPr>
              <w:t>拟派本项目人员配置</w:t>
            </w:r>
          </w:p>
        </w:tc>
        <w:tc>
          <w:tcPr>
            <w:tcW w:type="dxa" w:w="2575"/>
          </w:tcPr>
          <w:p>
            <w:pPr>
              <w:pStyle w:val="null3"/>
              <w:jc w:val="left"/>
            </w:pPr>
            <w:r>
              <w:rPr>
                <w:rFonts w:ascii="仿宋_GB2312" w:hAnsi="仿宋_GB2312" w:cs="仿宋_GB2312" w:eastAsia="仿宋_GB2312"/>
              </w:rPr>
              <w:t>1.项目负责人（1人）：具有水利水电专业高级及以上职称的得4分；具备注册测绘师资格证书的得3分。本项最多得7分。 2.技术负责人（1人）：具有水文与水资源或测绘类专业高级及以上职称的得3分；具有相关注册类证书的得3分。本项最多得6分。 3.拟投入本项目的其他人员具有测绘类专业中级职称的1人得0.5分；具有测绘类专业高级及以上职称的1人得1分。此处最多得6分。 同时具有涉密测绘成果管理人员培训证书（或测绘成果档案和保密管理培训合格证书或测绘地理信息安全保密及成果档案管理培训合格证或地理信息安全保密培训合格证明）1人加0.5分；具有测绘主管部门颁发的质检培训合格（或结业）证书的1人加0.5分，此处最多加6分。本项最多得12分。 注：以上人员不重复计分，提供身份证、相关执业或职称证书及人员为本单位人员的证明材料复印件加盖公章。</w:t>
            </w:r>
          </w:p>
        </w:tc>
        <w:tc>
          <w:tcPr>
            <w:tcW w:type="dxa" w:w="831"/>
          </w:tcPr>
          <w:p>
            <w:pPr>
              <w:pStyle w:val="null3"/>
              <w:jc w:val="center"/>
            </w:pPr>
            <w:r>
              <w:rPr>
                <w:rFonts w:ascii="仿宋_GB2312" w:hAnsi="仿宋_GB2312" w:cs="仿宋_GB2312" w:eastAsia="仿宋_GB2312"/>
              </w:rPr>
              <w:t>25.0000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供应商认为需要提供的其他文件.docx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以本次有效供应商中最低的最后报价为基准价，等于基准价的得20分，报价得分=(基准价／最后报价)*20（保留小数点后两位）</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报价一览表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详见附件：供应商认为需要提供的其他文件.docx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详见附件：具有健全财务会计制度的证明材料.docx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