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91D46">
      <w:pPr>
        <w:pStyle w:val="5"/>
        <w:keepNext w:val="0"/>
        <w:keepLines w:val="0"/>
        <w:pageBreakBefore w:val="0"/>
        <w:widowControl w:val="0"/>
        <w:kinsoku/>
        <w:wordWrap w:val="0"/>
        <w:overflowPunct/>
        <w:bidi w:val="0"/>
        <w:spacing w:line="360" w:lineRule="auto"/>
        <w:jc w:val="center"/>
        <w:outlineLvl w:val="2"/>
        <w:rPr>
          <w:rFonts w:eastAsia="仿宋"/>
          <w:b/>
          <w:bCs/>
          <w:sz w:val="28"/>
          <w:szCs w:val="28"/>
          <w:highlight w:val="none"/>
        </w:rPr>
      </w:pPr>
      <w:r>
        <w:rPr>
          <w:rFonts w:eastAsia="仿宋"/>
          <w:b/>
          <w:bCs/>
          <w:sz w:val="28"/>
          <w:szCs w:val="28"/>
          <w:highlight w:val="none"/>
        </w:rPr>
        <w:t>采购需求</w:t>
      </w:r>
      <w:bookmarkStart w:id="0" w:name="_GoBack"/>
      <w:bookmarkEnd w:id="0"/>
    </w:p>
    <w:p w14:paraId="0AFCE3A0">
      <w:pPr>
        <w:pStyle w:val="2"/>
        <w:spacing w:before="179" w:line="222" w:lineRule="auto"/>
        <w:ind w:left="51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一、项目概况</w:t>
      </w:r>
    </w:p>
    <w:p w14:paraId="78598EE4">
      <w:pPr>
        <w:pStyle w:val="2"/>
        <w:spacing w:before="175" w:after="0" w:afterAutospacing="0" w:line="353" w:lineRule="auto"/>
        <w:ind w:left="21" w:right="14" w:firstLine="49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3"/>
          <w:sz w:val="24"/>
          <w:szCs w:val="24"/>
        </w:rPr>
        <w:t>繁昌区易涝区防洪排涝能力建设工程(经开区一标段)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施工内容为</w:t>
      </w:r>
      <w:r>
        <w:rPr>
          <w:rFonts w:hint="eastAsia" w:ascii="仿宋" w:hAnsi="仿宋" w:eastAsia="仿宋" w:cs="仿宋"/>
          <w:spacing w:val="3"/>
          <w:sz w:val="24"/>
          <w:szCs w:val="24"/>
        </w:rPr>
        <w:t>三元山河、枣园山河、南山山河系统整治，河沿三岔水系连通，纬二路过路箱涵建设，老河沿山泵站更新改造及管理用房、防汛仓库建设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spacing w:val="3"/>
          <w:sz w:val="24"/>
          <w:szCs w:val="24"/>
        </w:rPr>
        <w:t>。繁昌区易涝区防洪排涝能力建设工程（经开区一标段）项目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控制价为</w:t>
      </w:r>
      <w:r>
        <w:rPr>
          <w:rFonts w:hint="eastAsia" w:ascii="仿宋" w:hAnsi="仿宋" w:eastAsia="仿宋" w:cs="仿宋"/>
          <w:spacing w:val="3"/>
          <w:sz w:val="24"/>
          <w:szCs w:val="24"/>
        </w:rPr>
        <w:t>44302076.21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元</w:t>
      </w:r>
      <w:r>
        <w:rPr>
          <w:rFonts w:hint="eastAsia" w:ascii="仿宋" w:hAnsi="仿宋" w:eastAsia="仿宋" w:cs="仿宋"/>
          <w:spacing w:val="3"/>
          <w:sz w:val="24"/>
          <w:szCs w:val="24"/>
        </w:rPr>
        <w:t>。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本次采购跟踪审计服务单位，负责本项目建设内容跟踪审计，并提供跟踪审计及一审服务。</w:t>
      </w:r>
    </w:p>
    <w:p w14:paraId="3029EB84">
      <w:pPr>
        <w:pStyle w:val="6"/>
        <w:numPr>
          <w:ilvl w:val="0"/>
          <w:numId w:val="0"/>
        </w:numPr>
        <w:spacing w:beforeAutospacing="0" w:line="360" w:lineRule="auto"/>
        <w:ind w:leftChars="177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二、人员要求</w:t>
      </w:r>
    </w:p>
    <w:p w14:paraId="502086F0"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*1、项目负责人1名，具备国家一级注册造价工程师证书，专业为‌水利工程，项目负责人必须是本单位人员且造价师证书须注册在本单位，所提供的有效注册证书单位名称必须与供应商名称一致，并提供社保证明（退休人员须提供退休证及劳动合同），社保缴纳单位为本单位或本单位不具备独立法人资格的分支机构。</w:t>
      </w:r>
    </w:p>
    <w:p w14:paraId="76EDB3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4"/>
          <w:highlight w:val="none"/>
          <w:lang w:val="en-US" w:eastAsia="zh-CN"/>
        </w:rPr>
        <w:t>人员配置:项目组人员4人，其中项目负责人1名，专业工程师配备2名，其他人员配备1人。投标文件中须明确本项目拟派的项目负责人1人，其余人员待成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交后签订合同时按国家相关规定及采购人要求配备齐全，人员配备满足项目需要且具备相关资格证书或证明材料。</w:t>
      </w:r>
    </w:p>
    <w:p w14:paraId="4DB6F5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三、服务期</w:t>
      </w:r>
    </w:p>
    <w:p w14:paraId="6E69A6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自合同签订之日起，至完成项目最终竣工结算审计工作止。</w:t>
      </w:r>
    </w:p>
    <w:p w14:paraId="55E197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四、服务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内容</w:t>
      </w:r>
    </w:p>
    <w:p w14:paraId="0A3DFF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本次跟踪审计服务内容包括但不限于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清单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控制价量、价及变更签证、进度款等造价审核，过程中工程实体工程量确认(含对隐蔽工程工程量确认),参与市场价格询价并确认询价结果，对施工、监理单位合同内管理人员考核，对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竣工结算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文件审核并出具一审报告等。负责繁昌区易涝区防洪排涝能力建设工程(经开区一标段)跟踪审计，并提供跟踪审计及一审服务。</w:t>
      </w:r>
    </w:p>
    <w:p w14:paraId="53994E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报价要求</w:t>
      </w:r>
    </w:p>
    <w:p w14:paraId="04C2BC8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参照《关于重新制定工程造价咨询服务收费项目及标准的通知》（皖价服[2007]8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号）服务收费项目及标准为基础，按费率报价。如费率为45.00%，是指以《关于重新制定工程造价咨询服务收费项目及标准的通知》（皖价服[2007]86号）服务收费项目及标准*45.00% 。报价格式为：**.**%（四舍五入保留两位小数，第三位四舍五入）。</w:t>
      </w:r>
    </w:p>
    <w:p w14:paraId="686052C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本项目跟踪审计服务费（含跟踪审计费、一审结算审计基本收费、一审</w:t>
      </w:r>
      <w:r>
        <w:rPr>
          <w:rFonts w:hint="eastAsia" w:ascii="仿宋" w:hAnsi="仿宋" w:eastAsia="仿宋" w:cs="仿宋"/>
          <w:spacing w:val="1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结算审计核减额收费）最终结算价格不超过本项目的控制价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32.4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万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元。</w:t>
      </w:r>
    </w:p>
    <w:p w14:paraId="328048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12" w:firstLineChars="200"/>
        <w:jc w:val="left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</w:rPr>
        <w:t>工程一审结算审计报告的基本收费包含在本次报价范围内</w:t>
      </w:r>
      <w:r>
        <w:rPr>
          <w:rFonts w:hint="eastAsia" w:ascii="仿宋" w:hAnsi="仿宋" w:eastAsia="仿宋" w:cs="仿宋"/>
          <w:spacing w:val="7"/>
          <w:sz w:val="24"/>
          <w:szCs w:val="24"/>
        </w:rPr>
        <w:t>，不另行支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付。工程结算核减额10%以内的咨询费用，</w:t>
      </w:r>
      <w:r>
        <w:rPr>
          <w:rFonts w:hint="eastAsia"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由建设单位支付；超10%的核减部分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由施工单位按规定支付。</w:t>
      </w:r>
    </w:p>
    <w:p w14:paraId="7AA4B3C4">
      <w:pPr>
        <w:pStyle w:val="2"/>
        <w:spacing w:beforeAutospacing="0" w:line="222" w:lineRule="auto"/>
        <w:ind w:left="5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、其他要求</w:t>
      </w:r>
    </w:p>
    <w:p w14:paraId="741649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.投标文件中明确的项目负责人及其他常驻人员应按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人要求驻场办公，在履行合同期间，未经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人同意擅自离场或中途变更的，一经发现，责令不改的，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人停止支付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服务费</w:t>
      </w:r>
      <w:r>
        <w:rPr>
          <w:rFonts w:hint="eastAsia" w:ascii="仿宋" w:hAnsi="仿宋" w:eastAsia="仿宋" w:cs="仿宋"/>
          <w:sz w:val="24"/>
          <w:szCs w:val="24"/>
        </w:rPr>
        <w:t>并清退出场，并追究由中标人造成的损失。如因工程停工，经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人书面同意后，可在停工期间撤离人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员</w:t>
      </w:r>
      <w:r>
        <w:rPr>
          <w:rFonts w:hint="eastAsia" w:ascii="仿宋" w:hAnsi="仿宋" w:eastAsia="仿宋" w:cs="仿宋"/>
          <w:sz w:val="24"/>
          <w:szCs w:val="24"/>
        </w:rPr>
        <w:t>，但复工后，自接到通知之日起 2 日内必须重新按合同约定人员到场，否则停止支付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服务费</w:t>
      </w:r>
      <w:r>
        <w:rPr>
          <w:rFonts w:hint="eastAsia" w:ascii="仿宋" w:hAnsi="仿宋" w:eastAsia="仿宋" w:cs="仿宋"/>
          <w:sz w:val="24"/>
          <w:szCs w:val="24"/>
        </w:rPr>
        <w:t>并清退出场，并追究由中标人造成的损失。</w:t>
      </w:r>
    </w:p>
    <w:p w14:paraId="71FC95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、合同执行过程中以及合同执行（或解除）完毕后，中标人皆须对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 委托的全部业务内容、信息资料（包括资料、数据、管理方法等）进行严格保密。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人享有跟踪审计服务成果（包括电子数据）等版权。</w:t>
      </w:r>
    </w:p>
    <w:p w14:paraId="5E3AC3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、中标人必须严格遵守有关执业行为准则和规范，若中标人收受其它利益 当事人的宴请、礼金、礼品、购物卡或与其他利益当事人恶意串通、谋取私利 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人将依法追究中标人的经济责任及法律责任。</w:t>
      </w:r>
    </w:p>
    <w:p w14:paraId="68E595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、中标人派驻人员须遵守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人及其总包单位制定的安全生产规定，派驻 人员从业安全由中标人负责，发生任何人身事故，由中标人自行承担。</w:t>
      </w:r>
    </w:p>
    <w:p w14:paraId="533EF1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、咨询业务时限要求</w:t>
      </w:r>
    </w:p>
    <w:p w14:paraId="282F84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.1 咨询成果时限按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 xml:space="preserve">人下发的任务委托单约定时间为准。过程中如因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人原因而须延长完成时间，经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人查核属实后方可延期，但费用不予增 加。</w:t>
      </w:r>
    </w:p>
    <w:p w14:paraId="0DCC0B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 xml:space="preserve"> 施工阶段造价控制成果时限：进度款，材料、设备价咨询，工程洽商、签证、变更审核（费用审核除外）等收到的齐全资料后 5 个日历天内。</w:t>
      </w:r>
    </w:p>
    <w:p w14:paraId="3F5074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" w:right="11" w:firstLine="471"/>
        <w:textAlignment w:val="auto"/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pacing w:val="5"/>
          <w:sz w:val="24"/>
          <w:szCs w:val="24"/>
        </w:rPr>
        <w:t>.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5"/>
          <w:sz w:val="24"/>
          <w:szCs w:val="24"/>
        </w:rPr>
        <w:t xml:space="preserve"> 结算审核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</w:rPr>
        <w:t>时限为</w:t>
      </w:r>
      <w:r>
        <w:rPr>
          <w:rFonts w:hint="eastAsia" w:ascii="仿宋" w:hAnsi="仿宋" w:eastAsia="仿宋" w:cs="仿宋"/>
          <w:spacing w:val="5"/>
          <w:sz w:val="24"/>
          <w:szCs w:val="24"/>
        </w:rPr>
        <w:t>从接到竣工结算报告和完整的竣工结算资料之日起 6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pacing w:val="5"/>
          <w:sz w:val="24"/>
          <w:szCs w:val="24"/>
        </w:rPr>
        <w:t>天</w:t>
      </w: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。</w:t>
      </w:r>
    </w:p>
    <w:p w14:paraId="3847B4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360" w:lineRule="auto"/>
        <w:ind w:left="29" w:right="16" w:firstLine="474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</w:p>
    <w:p w14:paraId="08495E84">
      <w:pPr>
        <w:pStyle w:val="2"/>
        <w:spacing w:before="180" w:line="314" w:lineRule="auto"/>
        <w:ind w:right="16"/>
        <w:jc w:val="center"/>
        <w:rPr>
          <w:rFonts w:eastAsia="仿宋"/>
          <w:b/>
          <w:bCs/>
          <w:sz w:val="24"/>
          <w:szCs w:val="24"/>
          <w:highlight w:val="none"/>
        </w:rPr>
      </w:pPr>
      <w:r>
        <w:rPr>
          <w:rFonts w:eastAsia="仿宋"/>
          <w:b/>
          <w:bCs/>
          <w:sz w:val="24"/>
          <w:szCs w:val="24"/>
          <w:highlight w:val="none"/>
        </w:rPr>
        <w:t>采购需求一览表</w:t>
      </w:r>
    </w:p>
    <w:tbl>
      <w:tblPr>
        <w:tblStyle w:val="3"/>
        <w:tblpPr w:leftFromText="180" w:rightFromText="180" w:vertAnchor="text" w:horzAnchor="page" w:tblpX="1545" w:tblpY="291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40"/>
        <w:gridCol w:w="2535"/>
        <w:gridCol w:w="1335"/>
        <w:gridCol w:w="975"/>
        <w:gridCol w:w="885"/>
        <w:gridCol w:w="975"/>
        <w:gridCol w:w="642"/>
      </w:tblGrid>
      <w:tr w14:paraId="572B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610" w:type="dxa"/>
            <w:noWrap w:val="0"/>
            <w:vAlign w:val="center"/>
          </w:tcPr>
          <w:p w14:paraId="6837B2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 w14:paraId="7D8139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名称</w:t>
            </w:r>
          </w:p>
        </w:tc>
        <w:tc>
          <w:tcPr>
            <w:tcW w:w="2535" w:type="dxa"/>
            <w:noWrap w:val="0"/>
            <w:vAlign w:val="center"/>
          </w:tcPr>
          <w:p w14:paraId="33650A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服务范围</w:t>
            </w:r>
          </w:p>
        </w:tc>
        <w:tc>
          <w:tcPr>
            <w:tcW w:w="1335" w:type="dxa"/>
            <w:noWrap w:val="0"/>
            <w:vAlign w:val="center"/>
          </w:tcPr>
          <w:p w14:paraId="6CDC4D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服务要求</w:t>
            </w:r>
          </w:p>
        </w:tc>
        <w:tc>
          <w:tcPr>
            <w:tcW w:w="975" w:type="dxa"/>
            <w:noWrap w:val="0"/>
            <w:vAlign w:val="center"/>
          </w:tcPr>
          <w:p w14:paraId="511C32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服务时间</w:t>
            </w:r>
          </w:p>
        </w:tc>
        <w:tc>
          <w:tcPr>
            <w:tcW w:w="885" w:type="dxa"/>
            <w:noWrap w:val="0"/>
            <w:vAlign w:val="center"/>
          </w:tcPr>
          <w:p w14:paraId="5AD18F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服务标准</w:t>
            </w:r>
          </w:p>
        </w:tc>
        <w:tc>
          <w:tcPr>
            <w:tcW w:w="975" w:type="dxa"/>
            <w:noWrap w:val="0"/>
            <w:vAlign w:val="center"/>
          </w:tcPr>
          <w:p w14:paraId="3B503D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所属行业（按工信部联企业〔2011〕300号）</w:t>
            </w:r>
          </w:p>
        </w:tc>
        <w:tc>
          <w:tcPr>
            <w:tcW w:w="642" w:type="dxa"/>
            <w:noWrap w:val="0"/>
            <w:vAlign w:val="center"/>
          </w:tcPr>
          <w:p w14:paraId="24C697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备注</w:t>
            </w:r>
          </w:p>
        </w:tc>
      </w:tr>
      <w:tr w14:paraId="1B30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610" w:type="dxa"/>
            <w:noWrap w:val="0"/>
            <w:vAlign w:val="center"/>
          </w:tcPr>
          <w:p w14:paraId="645659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spacing w:line="360" w:lineRule="auto"/>
              <w:jc w:val="center"/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 w14:paraId="663FB0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spacing w:line="360" w:lineRule="auto"/>
              <w:jc w:val="center"/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eastAsia="仿宋"/>
                <w:b w:val="0"/>
                <w:bCs w:val="0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  <w:lang w:eastAsia="zh-CN"/>
              </w:rPr>
              <w:t>繁昌区易涝区防洪排涝能力建设工程(经开区一标段)跟踪审计</w:t>
            </w:r>
          </w:p>
        </w:tc>
        <w:tc>
          <w:tcPr>
            <w:tcW w:w="2535" w:type="dxa"/>
            <w:noWrap w:val="0"/>
            <w:vAlign w:val="center"/>
          </w:tcPr>
          <w:p w14:paraId="0BF905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spacing w:line="360" w:lineRule="auto"/>
              <w:jc w:val="left"/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</w:rPr>
              <w:t>本次跟踪审计服务内容包括但不限于清单和控制价量、价及变更签证、进度款等造价审核，过程中工程实体工程量确认(含对隐蔽工程工程量确认)</w:t>
            </w:r>
            <w:r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</w:rPr>
              <w:t>参与市场价格询价并确认询价结果，对施工、监理单位合同内管理人员考核，对竣工结算文件审核并出具一审报告等。</w:t>
            </w:r>
          </w:p>
        </w:tc>
        <w:tc>
          <w:tcPr>
            <w:tcW w:w="1335" w:type="dxa"/>
            <w:noWrap w:val="0"/>
            <w:vAlign w:val="center"/>
          </w:tcPr>
          <w:p w14:paraId="2B99ED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spacing w:line="360" w:lineRule="auto"/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Cs w:val="21"/>
                <w:highlight w:val="none"/>
                <w:lang w:val="en-US" w:eastAsia="zh-CN"/>
              </w:rPr>
              <w:t>负责繁昌区易涝区防洪排涝能力建设工程(经开区一标段)跟踪审计，并提供跟踪审计及一审服务。</w:t>
            </w:r>
          </w:p>
        </w:tc>
        <w:tc>
          <w:tcPr>
            <w:tcW w:w="975" w:type="dxa"/>
            <w:noWrap w:val="0"/>
            <w:vAlign w:val="center"/>
          </w:tcPr>
          <w:p w14:paraId="5CFF97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spacing w:line="360" w:lineRule="auto"/>
              <w:jc w:val="center"/>
              <w:rPr>
                <w:rFonts w:hint="default" w:ascii="Times New Roman" w:hAnsi="Times New Roman" w:eastAsia="仿宋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  <w:lang w:val="en-US" w:eastAsia="zh-CN"/>
              </w:rPr>
              <w:t>自合同签订之日起，至完成项目最终竣工结算审计工作止</w:t>
            </w:r>
          </w:p>
        </w:tc>
        <w:tc>
          <w:tcPr>
            <w:tcW w:w="885" w:type="dxa"/>
            <w:noWrap w:val="0"/>
            <w:vAlign w:val="center"/>
          </w:tcPr>
          <w:p w14:paraId="72E789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spacing w:line="360" w:lineRule="auto"/>
              <w:jc w:val="center"/>
              <w:rPr>
                <w:rFonts w:hint="default" w:ascii="Times New Roman" w:hAnsi="Times New Roman" w:eastAsia="仿宋"/>
                <w:b w:val="0"/>
                <w:bCs w:val="0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  <w:lang w:val="en-US" w:eastAsia="zh-CN"/>
              </w:rPr>
              <w:t>执行中国建设工程造价管理协会发布的《建设工程造价咨询成果文件质量标准》</w:t>
            </w:r>
          </w:p>
        </w:tc>
        <w:tc>
          <w:tcPr>
            <w:tcW w:w="975" w:type="dxa"/>
            <w:noWrap w:val="0"/>
            <w:vAlign w:val="center"/>
          </w:tcPr>
          <w:p w14:paraId="1CEF52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spacing w:line="360" w:lineRule="auto"/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Cs w:val="21"/>
                <w:highlight w:val="none"/>
              </w:rPr>
              <w:t>其他未列明行业★</w:t>
            </w:r>
          </w:p>
        </w:tc>
        <w:tc>
          <w:tcPr>
            <w:tcW w:w="642" w:type="dxa"/>
            <w:noWrap w:val="0"/>
            <w:vAlign w:val="center"/>
          </w:tcPr>
          <w:p w14:paraId="184630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bidi w:val="0"/>
              <w:spacing w:line="360" w:lineRule="auto"/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  <w:highlight w:val="none"/>
              </w:rPr>
            </w:pPr>
          </w:p>
        </w:tc>
      </w:tr>
    </w:tbl>
    <w:p w14:paraId="1E8C6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5D6FD"/>
    <w:multiLevelType w:val="singleLevel"/>
    <w:tmpl w:val="C415D6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D0A7D"/>
    <w:rsid w:val="19ED0A7D"/>
    <w:rsid w:val="4213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 Spacing"/>
    <w:qFormat/>
    <w:uiPriority w:val="0"/>
    <w:rPr>
      <w:rFonts w:ascii="Calibri" w:hAnsi="Calibri" w:eastAsia="宋体" w:cs="Times New Roman"/>
      <w:kern w:val="2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1839</Words>
  <Characters>1901</Characters>
  <Lines>0</Lines>
  <Paragraphs>0</Paragraphs>
  <TotalTime>0</TotalTime>
  <ScaleCrop>false</ScaleCrop>
  <LinksUpToDate>false</LinksUpToDate>
  <CharactersWithSpaces>1920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2025-04-01T00:36:00Z</dcterms:created>
  <dc:creator>姜安琪</dc:creator>
  <cp:lastModifiedBy>姜安琪</cp:lastModifiedBy>
  <dcterms:modified xsi:type="dcterms:W3CDTF">2025-04-01T02:10:38Z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6D2B2E1897124E09996F9C6D34854EFA_11</vt:lpwstr>
  </property>
  <property fmtid="{D5CDD505-2E9C-101B-9397-08002B2CF9AE}" pid="4" name="KSOTemplateDocerSaveRecord">
    <vt:lpwstr>eyJoZGlkIjoiYzA0NzUzMzI1OTEyNmZjNDAxMzlmNGJjOTk1NWZmMjYiLCJ1c2VySWQiOiI0ODY3MTI4ODAifQ==</vt:lpwstr>
  </property>
</Properties>
</file>