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版本号：N511421202500005620250326001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仁寿县2025年大豆玉米复合种植产业集群项目多靶标害虫智能迷向喷雾器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N5114212025000056</w:t>
      </w:r>
    </w:p>
    <w:p>
      <w:pPr>
        <w:pStyle w:val="null3"/>
        <w:jc w:val="left"/>
        <w:outlineLvl w:val="2"/>
      </w:pPr>
      <w:r>
        <w:rPr>
          <w:rFonts w:ascii="仿宋_GB2312" w:hAnsi="仿宋_GB2312" w:cs="仿宋_GB2312" w:eastAsia="仿宋_GB2312"/>
          <w:sz w:val="28"/>
          <w:b/>
        </w:rPr>
        <w:t>仁寿县农业农村局</w:t>
      </w:r>
    </w:p>
    <w:p>
      <w:pPr>
        <w:pStyle w:val="null3"/>
        <w:jc w:val="center"/>
        <w:outlineLvl w:val="2"/>
      </w:pPr>
      <w:r>
        <w:rPr>
          <w:rFonts w:ascii="仿宋_GB2312" w:hAnsi="仿宋_GB2312" w:cs="仿宋_GB2312" w:eastAsia="仿宋_GB2312"/>
          <w:sz w:val="28"/>
          <w:b/>
        </w:rPr>
        <w:t>四川中易安工程项目管理有限公司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四川中易安工程项目管理有限公司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仁寿县农业农村局</w:t>
      </w:r>
      <w:r>
        <w:rPr>
          <w:rFonts w:ascii="仿宋_GB2312" w:hAnsi="仿宋_GB2312" w:cs="仿宋_GB2312" w:eastAsia="仿宋_GB2312"/>
        </w:rPr>
        <w:t xml:space="preserve"> 委托，拟对 </w:t>
      </w:r>
      <w:r>
        <w:rPr>
          <w:rFonts w:ascii="仿宋_GB2312" w:hAnsi="仿宋_GB2312" w:cs="仿宋_GB2312" w:eastAsia="仿宋_GB2312"/>
        </w:rPr>
        <w:t>仁寿县2025年大豆玉米复合种植产业集群项目多靶标害虫智能迷向喷雾器</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眉山市仁寿县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N5114212025000056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仁寿县2025年大豆玉米复合种植产业集群项目多靶标害虫智能迷向喷雾器</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根据《仁寿县2025年度大豆玉米复合种植产业集群项目实施方案》要求，建设大豆玉米带状复合种植标准化生产基地和大豆玉米复合种植核心示范片，其中核心示范片需采购多靶标害虫智能迷向喷雾器250套；标化生产基地仁寿县部分需采购多靶标害虫智能迷向喷雾器1250套。</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仁寿县农业农村局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眉山市仁寿县文林街道建设路三段281号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028-36284328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四川中易安工程项目管理有限公司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眉山市仁寿县龙滩大道八里街138号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18228579996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代理服务费收费标准：按照成本加合理利润的原则向成交供应商收取代理服务费7100元，由成交供应商在领取成交通知书前一次性支付。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仁寿县农业农村局</w:t>
      </w:r>
      <w:r>
        <w:rPr>
          <w:rFonts w:ascii="仿宋_GB2312" w:hAnsi="仿宋_GB2312" w:cs="仿宋_GB2312" w:eastAsia="仿宋_GB2312"/>
        </w:rPr>
        <w:t xml:space="preserve"> 和 </w:t>
      </w:r>
      <w:r>
        <w:rPr>
          <w:rFonts w:ascii="仿宋_GB2312" w:hAnsi="仿宋_GB2312" w:cs="仿宋_GB2312" w:eastAsia="仿宋_GB2312"/>
        </w:rPr>
        <w:t>四川中易安工程项目管理有限公司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仁寿县农业农村局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四川中易安工程项目管理有限公司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货物完成供货及验收合格后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按照本项目技术要求及成交供应商的《响应文件》进行验收。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：按照本项目商务要求及成交供应商的《响应文件》进行验收。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成交人与采购人按照《财政部关于进一步加强政府采购需求和履约验收管理的指导意见》的通知 （财库〔2016〕205号）文件并结合本项目验收要求进行验收。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仁寿县农业农村局</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四川中易安工程项目管理有限公司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四川中易安工程项目管理有限公司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联系人：廖老师</w:t>
      </w:r>
    </w:p>
    <w:p>
      <w:pPr>
        <w:pStyle w:val="null3"/>
        <w:jc w:val="left"/>
      </w:pPr>
      <w:r>
        <w:rPr>
          <w:rFonts w:ascii="仿宋_GB2312" w:hAnsi="仿宋_GB2312" w:cs="仿宋_GB2312" w:eastAsia="仿宋_GB2312"/>
        </w:rPr>
        <w:t>联系电话：028-36284328</w:t>
      </w:r>
    </w:p>
    <w:p>
      <w:pPr>
        <w:pStyle w:val="null3"/>
        <w:jc w:val="left"/>
      </w:pPr>
      <w:r>
        <w:rPr>
          <w:rFonts w:ascii="仿宋_GB2312" w:hAnsi="仿宋_GB2312" w:cs="仿宋_GB2312" w:eastAsia="仿宋_GB2312"/>
        </w:rPr>
        <w:t>地址：眉山市仁寿县文林街道建设路三段281号</w:t>
      </w:r>
    </w:p>
    <w:p>
      <w:pPr>
        <w:pStyle w:val="null3"/>
        <w:jc w:val="left"/>
      </w:pPr>
      <w:r>
        <w:rPr>
          <w:rFonts w:ascii="仿宋_GB2312" w:hAnsi="仿宋_GB2312" w:cs="仿宋_GB2312" w:eastAsia="仿宋_GB2312"/>
        </w:rPr>
        <w:t>邮编：620500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联系电话：18228579996</w:t>
      </w:r>
    </w:p>
    <w:p>
      <w:pPr>
        <w:pStyle w:val="null3"/>
        <w:jc w:val="left"/>
      </w:pPr>
      <w:r>
        <w:rPr>
          <w:rFonts w:ascii="仿宋_GB2312" w:hAnsi="仿宋_GB2312" w:cs="仿宋_GB2312" w:eastAsia="仿宋_GB2312"/>
        </w:rPr>
        <w:t>地址：眉山市仁寿县龙滩大道八里街138号</w:t>
      </w:r>
    </w:p>
    <w:p>
      <w:pPr>
        <w:pStyle w:val="null3"/>
        <w:jc w:val="left"/>
      </w:pPr>
      <w:r>
        <w:rPr>
          <w:rFonts w:ascii="仿宋_GB2312" w:hAnsi="仿宋_GB2312" w:cs="仿宋_GB2312" w:eastAsia="仿宋_GB2312"/>
        </w:rPr>
        <w:t>邮编：620500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A02229900 其他农业和林业机械</w:t>
            </w:r>
          </w:p>
        </w:tc>
        <w:tc>
          <w:tcPr>
            <w:tcW w:type="dxa" w:w="821"/>
          </w:tcPr>
          <w:p>
            <w:pPr>
              <w:pStyle w:val="null3"/>
              <w:jc w:val="left"/>
            </w:pPr>
            <w:r>
              <w:rPr>
                <w:rFonts w:ascii="仿宋_GB2312" w:hAnsi="仿宋_GB2312" w:cs="仿宋_GB2312" w:eastAsia="仿宋_GB2312"/>
              </w:rPr>
              <w:t>多靶标害虫智能迷向喷雾器</w:t>
            </w:r>
          </w:p>
        </w:tc>
        <w:tc>
          <w:tcPr>
            <w:tcW w:type="dxa" w:w="821"/>
          </w:tcPr>
          <w:p>
            <w:pPr>
              <w:pStyle w:val="null3"/>
              <w:jc w:val="right"/>
            </w:pPr>
            <w:r>
              <w:rPr>
                <w:rFonts w:ascii="仿宋_GB2312" w:hAnsi="仿宋_GB2312" w:cs="仿宋_GB2312" w:eastAsia="仿宋_GB2312"/>
              </w:rPr>
              <w:t>1,500.00（套）</w:t>
            </w:r>
          </w:p>
        </w:tc>
        <w:tc>
          <w:tcPr>
            <w:tcW w:type="dxa" w:w="821"/>
          </w:tcPr>
          <w:p>
            <w:pPr>
              <w:pStyle w:val="null3"/>
              <w:jc w:val="right"/>
            </w:pPr>
            <w:r>
              <w:rPr>
                <w:rFonts w:ascii="仿宋_GB2312" w:hAnsi="仿宋_GB2312" w:cs="仿宋_GB2312" w:eastAsia="仿宋_GB2312"/>
              </w:rPr>
              <w:t>540,000.00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多靶标害虫智能迷向喷雾器</w:t>
            </w:r>
          </w:p>
        </w:tc>
        <w:tc>
          <w:tcPr>
            <w:tcW w:type="dxa" w:w="1138"/>
          </w:tcPr>
          <w:p>
            <w:pPr>
              <w:pStyle w:val="null3"/>
              <w:jc w:val="center"/>
            </w:pPr>
            <w:r>
              <w:rPr>
                <w:rFonts w:ascii="仿宋_GB2312" w:hAnsi="仿宋_GB2312" w:cs="仿宋_GB2312" w:eastAsia="仿宋_GB2312"/>
              </w:rPr>
              <w:t>1,500.00（套）</w:t>
            </w:r>
          </w:p>
        </w:tc>
        <w:tc>
          <w:tcPr>
            <w:tcW w:type="dxa" w:w="1365"/>
          </w:tcPr>
          <w:p>
            <w:pPr>
              <w:pStyle w:val="null3"/>
              <w:jc w:val="center"/>
            </w:pPr>
            <w:r>
              <w:rPr>
                <w:rFonts w:ascii="仿宋_GB2312" w:hAnsi="仿宋_GB2312" w:cs="仿宋_GB2312" w:eastAsia="仿宋_GB2312"/>
              </w:rPr>
              <w:t>540,000.00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A02229900 其他农业和林业机械</w:t>
            </w:r>
          </w:p>
        </w:tc>
        <w:tc>
          <w:tcPr>
            <w:tcW w:type="dxa" w:w="2492"/>
          </w:tcPr>
          <w:p>
            <w:pPr>
              <w:pStyle w:val="null3"/>
              <w:jc w:val="left"/>
            </w:pPr>
            <w:r>
              <w:rPr>
                <w:rFonts w:ascii="仿宋_GB2312" w:hAnsi="仿宋_GB2312" w:cs="仿宋_GB2312" w:eastAsia="仿宋_GB2312"/>
              </w:rPr>
              <w:t>多靶标害虫智能迷向喷雾器</w:t>
            </w:r>
          </w:p>
        </w:tc>
        <w:tc>
          <w:tcPr>
            <w:tcW w:type="dxa" w:w="2492"/>
          </w:tcPr>
          <w:p>
            <w:pPr>
              <w:pStyle w:val="null3"/>
              <w:jc w:val="left"/>
            </w:pPr>
            <w:r>
              <w:rPr>
                <w:rFonts w:ascii="仿宋_GB2312" w:hAnsi="仿宋_GB2312" w:cs="仿宋_GB2312" w:eastAsia="仿宋_GB2312"/>
              </w:rPr>
              <w:t>多靶标害虫智能迷向喷雾器</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标的名称：多靶标害虫智能迷向喷雾器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pPr>
            <w:r>
              <w:rPr>
                <w:rFonts w:ascii="仿宋_GB2312" w:hAnsi="仿宋_GB2312" w:cs="仿宋_GB2312" w:eastAsia="仿宋_GB2312"/>
                <w:sz w:val="20"/>
                <w:color w:val="333333"/>
              </w:rPr>
              <w:t>1</w:t>
            </w:r>
            <w:r>
              <w:rPr>
                <w:rFonts w:ascii="仿宋_GB2312" w:hAnsi="仿宋_GB2312" w:cs="仿宋_GB2312" w:eastAsia="仿宋_GB2312"/>
                <w:sz w:val="20"/>
                <w:color w:val="333333"/>
              </w:rPr>
              <w:t>、设备功能（作用机制）：性信息素交配干扰。</w:t>
            </w:r>
          </w:p>
          <w:p>
            <w:pPr>
              <w:pStyle w:val="null3"/>
              <w:jc w:val="left"/>
            </w:pPr>
            <w:r>
              <w:rPr>
                <w:rFonts w:ascii="仿宋_GB2312" w:hAnsi="仿宋_GB2312" w:cs="仿宋_GB2312" w:eastAsia="仿宋_GB2312"/>
                <w:sz w:val="20"/>
                <w:color w:val="333333"/>
              </w:rPr>
              <w:t>2</w:t>
            </w:r>
            <w:r>
              <w:rPr>
                <w:rFonts w:ascii="仿宋_GB2312" w:hAnsi="仿宋_GB2312" w:cs="仿宋_GB2312" w:eastAsia="仿宋_GB2312"/>
                <w:sz w:val="20"/>
                <w:color w:val="333333"/>
              </w:rPr>
              <w:t>、靶标害虫：草地贪夜蛾、玉米螟、斜纹夜蛾、甜菜夜蛾、豆荚螟、豆野螟、大豆卷叶螟等。</w:t>
            </w:r>
          </w:p>
          <w:p>
            <w:pPr>
              <w:pStyle w:val="null3"/>
              <w:jc w:val="left"/>
            </w:pPr>
            <w:r>
              <w:rPr>
                <w:rFonts w:ascii="仿宋_GB2312" w:hAnsi="仿宋_GB2312" w:cs="仿宋_GB2312" w:eastAsia="仿宋_GB2312"/>
                <w:sz w:val="20"/>
                <w:color w:val="333333"/>
              </w:rPr>
              <w:t>★3、信息素化合物释放时间设置：用户可以自己设置喷射程序，通过遥控器设置喷射的起始时间、喷射间隔时间和结束时间，喷射间隔时间可以在1—100分钟之间任意设置。</w:t>
            </w:r>
          </w:p>
          <w:p>
            <w:pPr>
              <w:pStyle w:val="null3"/>
              <w:jc w:val="left"/>
            </w:pPr>
            <w:r>
              <w:rPr>
                <w:rFonts w:ascii="仿宋_GB2312" w:hAnsi="仿宋_GB2312" w:cs="仿宋_GB2312" w:eastAsia="仿宋_GB2312"/>
                <w:sz w:val="20"/>
                <w:color w:val="333333"/>
              </w:rPr>
              <w:t>★4、释放量：喷射≥4.5微升。</w:t>
            </w:r>
          </w:p>
          <w:p>
            <w:pPr>
              <w:pStyle w:val="null3"/>
              <w:jc w:val="left"/>
            </w:pPr>
            <w:r>
              <w:rPr>
                <w:rFonts w:ascii="仿宋_GB2312" w:hAnsi="仿宋_GB2312" w:cs="仿宋_GB2312" w:eastAsia="仿宋_GB2312"/>
                <w:sz w:val="20"/>
                <w:color w:val="333333"/>
              </w:rPr>
              <w:t>5</w:t>
            </w:r>
            <w:r>
              <w:rPr>
                <w:rFonts w:ascii="仿宋_GB2312" w:hAnsi="仿宋_GB2312" w:cs="仿宋_GB2312" w:eastAsia="仿宋_GB2312"/>
                <w:sz w:val="20"/>
                <w:color w:val="333333"/>
              </w:rPr>
              <w:t>、供电系统：采用太阳能锂电池供电，太阳能板≥5V90ma，锂电池≥2500mah。</w:t>
            </w:r>
          </w:p>
          <w:p>
            <w:pPr>
              <w:pStyle w:val="null3"/>
              <w:jc w:val="left"/>
            </w:pPr>
            <w:r>
              <w:rPr>
                <w:rFonts w:ascii="仿宋_GB2312" w:hAnsi="仿宋_GB2312" w:cs="仿宋_GB2312" w:eastAsia="仿宋_GB2312"/>
                <w:sz w:val="20"/>
                <w:color w:val="333333"/>
              </w:rPr>
              <w:t>★6、性信息素储存瓶：直径≥5.0cm，高≥11.0cm。性信息素净含量200ml，有效活性成分性信息素制剂中有效活性成分总量占≥22.0 %，其中，主要成分顺11-十六碳烯醛含≥6.0%，顺-12-十四碳烯乙酸酯和反12-十四碳烯乙酸酯合计含≥3.6%。</w:t>
            </w:r>
          </w:p>
          <w:p>
            <w:pPr>
              <w:pStyle w:val="null3"/>
              <w:jc w:val="left"/>
            </w:pPr>
            <w:r>
              <w:rPr>
                <w:rFonts w:ascii="仿宋_GB2312" w:hAnsi="仿宋_GB2312" w:cs="仿宋_GB2312" w:eastAsia="仿宋_GB2312"/>
                <w:sz w:val="20"/>
                <w:color w:val="333333"/>
              </w:rPr>
              <w:t>7</w:t>
            </w:r>
            <w:r>
              <w:rPr>
                <w:rFonts w:ascii="仿宋_GB2312" w:hAnsi="仿宋_GB2312" w:cs="仿宋_GB2312" w:eastAsia="仿宋_GB2312"/>
                <w:sz w:val="20"/>
                <w:color w:val="333333"/>
              </w:rPr>
              <w:t>、整体尺寸：高≥17.0cm,长≥9.0cm,宽≥7.0cm。设备侧面有固定卡扣，根据作物生长可调节高度，玻璃纤维空心杆，直径≥1.8cm。</w:t>
            </w:r>
          </w:p>
          <w:p>
            <w:pPr>
              <w:pStyle w:val="null3"/>
              <w:jc w:val="left"/>
            </w:pPr>
            <w:r>
              <w:rPr>
                <w:rFonts w:ascii="仿宋_GB2312" w:hAnsi="仿宋_GB2312" w:cs="仿宋_GB2312" w:eastAsia="仿宋_GB2312"/>
                <w:sz w:val="20"/>
                <w:color w:val="333333"/>
              </w:rPr>
              <w:t>8</w:t>
            </w:r>
            <w:r>
              <w:rPr>
                <w:rFonts w:ascii="仿宋_GB2312" w:hAnsi="仿宋_GB2312" w:cs="仿宋_GB2312" w:eastAsia="仿宋_GB2312"/>
                <w:sz w:val="20"/>
                <w:color w:val="333333"/>
              </w:rPr>
              <w:t>、田间建议使用量：每3—5亩设置1个交配干扰释放器。</w:t>
            </w:r>
          </w:p>
          <w:p>
            <w:pPr>
              <w:pStyle w:val="null3"/>
              <w:jc w:val="left"/>
            </w:pPr>
            <w:r>
              <w:rPr>
                <w:rFonts w:ascii="仿宋_GB2312" w:hAnsi="仿宋_GB2312" w:cs="仿宋_GB2312" w:eastAsia="仿宋_GB2312"/>
                <w:sz w:val="21"/>
                <w:color w:val="333333"/>
              </w:rPr>
              <w:t>9</w:t>
            </w:r>
            <w:r>
              <w:rPr>
                <w:rFonts w:ascii="仿宋_GB2312" w:hAnsi="仿宋_GB2312" w:cs="仿宋_GB2312" w:eastAsia="仿宋_GB2312"/>
                <w:sz w:val="21"/>
                <w:color w:val="333333"/>
              </w:rPr>
              <w:t>、持效期:≥4个月。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报价要求：本项目报价应是最终采购人验收合格后的总价，包括运输、装卸、调试、培训、技术支持、售后服务、税费等费用。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售后服务：供货方负责现场指导培训产品使用技术。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安全责任：供应商在履行合同期限内，发生安全事故，一切责任概由供应商承担，采购人不承担责任。（提供承诺函）</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病虫害综合防控效果达到85%以上，病虫为害损失率控制在4%以下，无重大农产品农残超标事件发生。如因产品质量问题引起的事故、纠纷、经济损失由成交供应商全权负责。提供承诺函（格式自拟）</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合同签订前成交供应商须提供多靶标害虫智能迷向喷雾器产品样品交采购人进行测试，所测产品参数、产品功能与询价文件要求和响应文件响应的技术参数逐一对比，并提供产品合格证。如发现提供虚假响应文件的，将取消其成交资格，并按相关法律法规作出处罚。提供承诺函（格式自拟）</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在项目镇（街道）采购人指定地点完成交货</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1、预付款，采购合同签订后，达到付款条件起15日内，支付合同总金额的40.00%</w:t>
            </w:r>
          </w:p>
          <w:p>
            <w:pPr>
              <w:pStyle w:val="null3"/>
              <w:jc w:val="left"/>
            </w:pPr>
            <w:r>
              <w:rPr>
                <w:rFonts w:ascii="仿宋_GB2312" w:hAnsi="仿宋_GB2312" w:cs="仿宋_GB2312" w:eastAsia="仿宋_GB2312"/>
              </w:rPr>
              <w:t>2、尾款，所供货物经采购相关部门验收合格签字确认后，并由成交供应商向采购人出具合法有效完整的完税发票及相关资料，达到付款条件起30日内，支付合同总金额的60.00%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本项目采购人将严格按照政府采购相关法律法规以及《财政部关于进一步加强政府采购需求和履约验收管理的指导意见》（财库〔2016〕205 号）、《政府采购需求管理办法》（财库〔2021〕22 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质保期：产品质保期为≥1年，自采购人验收合格签字起计算。所有产品质保期不低于厂家或是国家行业标准(本项目另有要求的，以另外要求为准)，质保期内有质量问题，成交供应商须免费更换。</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1、违约责任：（1）双方必须遵守本合同并执行合同中的各项规定，保证本合同的 正常履行。 （2）如因供应商工作人员在履行职务过程中的的疏忽、失职、过错等故意或者过失原因给采购人造成损失或侵害 ，包括但不限于采购人本身的财产损失、由此而导致的采购人对任何第三方的法律责任等，供应商对此均应承担全部的赔偿责任。（3）如因供应商在提供货物过程中出现违规、违约等情形，采购人有权单方终止合同。2、争议解决办法：（1）双方就本合同所产生的任何争议都应该进行友好协商，协商解决不成的，任何一方均可向原告方所在地有管辖权的人民法院提起诉讼。 2）诉讼费应由败诉方承担。 3）在诉讼期间，除正在进行诉讼的部分外，合同其他部分继续执行。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符合询价文件的实质性要求</w:t>
            </w:r>
          </w:p>
        </w:tc>
        <w:tc>
          <w:tcPr>
            <w:tcW w:type="dxa" w:w="3322"/>
          </w:tcPr>
          <w:p>
            <w:pPr>
              <w:pStyle w:val="null3"/>
              <w:jc w:val="left"/>
            </w:pPr>
            <w:r>
              <w:rPr>
                <w:rFonts w:ascii="仿宋_GB2312" w:hAnsi="仿宋_GB2312" w:cs="仿宋_GB2312" w:eastAsia="仿宋_GB2312"/>
              </w:rPr>
              <w:t>供应商按照询价文件要求上传响应文件并在响应文件中进行实质性响应，否则作无效响应处理。</w:t>
            </w:r>
          </w:p>
        </w:tc>
        <w:tc>
          <w:tcPr>
            <w:tcW w:type="dxa" w:w="1910"/>
          </w:tcPr>
          <w:p>
            <w:pPr>
              <w:pStyle w:val="null3"/>
              <w:jc w:val="left"/>
            </w:pPr>
            <w:r>
              <w:rPr>
                <w:rFonts w:ascii="仿宋_GB2312" w:hAnsi="仿宋_GB2312" w:cs="仿宋_GB2312" w:eastAsia="仿宋_GB2312"/>
              </w:rPr>
              <w:t>产品技术参数响应表,服务应答表,报价表,投标（响应）函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