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4E995">
      <w:pPr>
        <w:pStyle w:val="4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报价说明</w:t>
      </w:r>
    </w:p>
    <w:p w14:paraId="332BC27C">
      <w:pPr>
        <w:pStyle w:val="4"/>
        <w:bidi w:val="0"/>
        <w:ind w:firstLine="562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本采购项目磋商报价表中的单价为磋商总报价=常用项报价+周期性采购报价，各品类的单价报价不允许超出单价限价。</w:t>
      </w:r>
    </w:p>
    <w:p w14:paraId="5AE454A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-SA"/>
        </w:rPr>
        <w:t>本项目以中标单价为依据，按实际配送量结算。验收合格入库后，按月结算。</w:t>
      </w:r>
    </w:p>
    <w:p w14:paraId="19346E0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756B11"/>
    <w:rsid w:val="77A6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117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2025-03-11T07:37:00Z</dcterms:created>
  <dc:creator>Administrator</dc:creator>
  <cp:lastModifiedBy>十五</cp:lastModifiedBy>
  <dcterms:modified xsi:type="dcterms:W3CDTF">2025-03-18T06:28:41Z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7A85155A3059441291DC51F071F607D4_13</vt:lpwstr>
  </property>
</Properties>
</file>