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D7C9B">
      <w:pPr>
        <w:jc w:val="center"/>
        <w:rPr>
          <w:rFonts w:hint="eastAsia"/>
          <w:b/>
          <w:bCs/>
          <w:sz w:val="36"/>
          <w:szCs w:val="36"/>
          <w:lang w:val="en-US" w:eastAsia="zh-CN"/>
        </w:rPr>
      </w:pPr>
      <w:r>
        <w:rPr>
          <w:rFonts w:hint="eastAsia"/>
          <w:b/>
          <w:bCs/>
          <w:sz w:val="36"/>
          <w:szCs w:val="36"/>
          <w:lang w:val="en-US" w:eastAsia="zh-CN"/>
        </w:rPr>
        <w:t>采购需求</w:t>
      </w:r>
    </w:p>
    <w:p w14:paraId="6F1B048B">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cs="宋体"/>
          <w:i w:val="0"/>
          <w:iCs w:val="0"/>
          <w:sz w:val="24"/>
          <w:szCs w:val="24"/>
          <w:lang w:val="en-US" w:eastAsia="zh-CN"/>
        </w:rPr>
      </w:pPr>
      <w:r>
        <w:rPr>
          <w:rFonts w:hint="eastAsia" w:ascii="宋体" w:hAnsi="宋体" w:cs="宋体" w:eastAsiaTheme="minorEastAsia"/>
          <w:i w:val="0"/>
          <w:iCs w:val="0"/>
          <w:kern w:val="2"/>
          <w:sz w:val="24"/>
          <w:szCs w:val="24"/>
          <w:lang w:val="en-US" w:eastAsia="zh-CN" w:bidi="ar-SA"/>
        </w:rPr>
        <w:t>一、</w:t>
      </w:r>
      <w:r>
        <w:rPr>
          <w:rFonts w:hint="eastAsia" w:ascii="宋体" w:hAnsi="宋体" w:eastAsia="宋体" w:cs="宋体"/>
          <w:b/>
          <w:bCs/>
          <w:color w:val="auto"/>
          <w:sz w:val="24"/>
          <w:szCs w:val="24"/>
          <w:highlight w:val="none"/>
          <w:lang w:val="en-US" w:eastAsia="zh-CN"/>
        </w:rPr>
        <w:t>采购项目名称</w:t>
      </w:r>
      <w:r>
        <w:rPr>
          <w:rFonts w:hint="eastAsia" w:ascii="宋体" w:hAnsi="宋体" w:eastAsia="宋体" w:cs="宋体"/>
          <w:color w:val="auto"/>
          <w:sz w:val="24"/>
          <w:szCs w:val="24"/>
          <w:highlight w:val="none"/>
          <w:lang w:val="en-US" w:eastAsia="zh-CN"/>
        </w:rPr>
        <w:t>：</w:t>
      </w:r>
      <w:r>
        <w:rPr>
          <w:rFonts w:hint="eastAsia" w:ascii="宋体" w:hAnsi="宋体" w:cs="宋体"/>
          <w:i w:val="0"/>
          <w:iCs w:val="0"/>
          <w:sz w:val="24"/>
          <w:szCs w:val="24"/>
          <w:lang w:val="en-US" w:eastAsia="zh-CN"/>
        </w:rPr>
        <w:t>2025年度长龙街道城管综合巡查辅助服务外包</w:t>
      </w:r>
    </w:p>
    <w:p w14:paraId="11D3AAAF">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bCs/>
          <w:color w:val="auto"/>
          <w:sz w:val="24"/>
          <w:szCs w:val="24"/>
          <w:highlight w:val="none"/>
          <w:lang w:val="en-US" w:eastAsia="zh-CN"/>
        </w:rPr>
        <w:t>二、项目预算</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lang w:val="en-US" w:eastAsia="zh-CN"/>
        </w:rPr>
        <w:t>1190896.80元</w:t>
      </w:r>
    </w:p>
    <w:p w14:paraId="01E8B945">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bCs/>
          <w:color w:val="auto"/>
          <w:sz w:val="24"/>
          <w:szCs w:val="24"/>
          <w:highlight w:val="none"/>
          <w:lang w:val="en-US" w:eastAsia="zh-CN"/>
        </w:rPr>
        <w:t>三、服务范围及服务期限</w:t>
      </w:r>
      <w:r>
        <w:rPr>
          <w:rFonts w:hint="eastAsia" w:ascii="宋体" w:hAnsi="宋体" w:eastAsia="宋体" w:cs="宋体"/>
          <w:color w:val="auto"/>
          <w:sz w:val="24"/>
          <w:szCs w:val="24"/>
          <w:highlight w:val="none"/>
          <w:lang w:val="en-US" w:eastAsia="zh-CN"/>
        </w:rPr>
        <w:t>：本项目为2025年度长龙街道城管综合巡查辅助服务外包，为持续深入推进“城乡品质提档年”行动，全力以赴推进城管各项工作落实落细</w:t>
      </w:r>
      <w:r>
        <w:rPr>
          <w:rFonts w:hint="eastAsia" w:ascii="宋体" w:hAnsi="宋体" w:eastAsia="宋体" w:cs="宋体"/>
          <w:sz w:val="24"/>
          <w:szCs w:val="24"/>
          <w:lang w:val="en-US" w:eastAsia="zh-CN"/>
        </w:rPr>
        <w:t>，通过全年、全天候对辖区内易发生违法违规行为重点区域进行巡查监管，做到对蓝天保卫战、建筑垃圾及渣土方面违法违规行为及时发现、劝导、上报，协助执法部门进行处置，震慑违规违法行为，减少城区内环境乱象。</w:t>
      </w:r>
    </w:p>
    <w:p w14:paraId="6E3A503A">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本项目服务期限：合同签订之日起一年。</w:t>
      </w:r>
    </w:p>
    <w:tbl>
      <w:tblPr>
        <w:tblStyle w:val="9"/>
        <w:tblW w:w="1060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828"/>
        <w:gridCol w:w="2862"/>
        <w:gridCol w:w="696"/>
        <w:gridCol w:w="1656"/>
        <w:gridCol w:w="456"/>
        <w:gridCol w:w="696"/>
        <w:gridCol w:w="1056"/>
        <w:gridCol w:w="1296"/>
        <w:gridCol w:w="1096"/>
      </w:tblGrid>
      <w:tr w14:paraId="75D9B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7" w:hRule="atLeast"/>
          <w:jc w:val="center"/>
        </w:trPr>
        <w:tc>
          <w:tcPr>
            <w:tcW w:w="828" w:type="dxa"/>
            <w:tcBorders>
              <w:tl2br w:val="nil"/>
              <w:tr2bl w:val="nil"/>
            </w:tcBorders>
            <w:shd w:val="clear" w:color="auto" w:fill="auto"/>
            <w:vAlign w:val="center"/>
          </w:tcPr>
          <w:p w14:paraId="484F88FE">
            <w:pPr>
              <w:keepNext w:val="0"/>
              <w:keepLines w:val="0"/>
              <w:widowControl/>
              <w:suppressLineNumbers w:val="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  事项</w:t>
            </w:r>
          </w:p>
        </w:tc>
        <w:tc>
          <w:tcPr>
            <w:tcW w:w="2862" w:type="dxa"/>
            <w:tcBorders>
              <w:tl2br w:val="nil"/>
              <w:tr2bl w:val="nil"/>
            </w:tcBorders>
            <w:shd w:val="clear" w:color="auto" w:fill="auto"/>
            <w:vAlign w:val="center"/>
          </w:tcPr>
          <w:p w14:paraId="7AB62B1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服务内容</w:t>
            </w:r>
          </w:p>
        </w:tc>
        <w:tc>
          <w:tcPr>
            <w:tcW w:w="817" w:type="dxa"/>
            <w:tcBorders>
              <w:tl2br w:val="nil"/>
              <w:tr2bl w:val="nil"/>
            </w:tcBorders>
            <w:shd w:val="clear" w:color="auto" w:fill="auto"/>
            <w:vAlign w:val="center"/>
          </w:tcPr>
          <w:p w14:paraId="2526856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分项</w:t>
            </w:r>
          </w:p>
        </w:tc>
        <w:tc>
          <w:tcPr>
            <w:tcW w:w="1721" w:type="dxa"/>
            <w:tcBorders>
              <w:tl2br w:val="nil"/>
              <w:tr2bl w:val="nil"/>
            </w:tcBorders>
            <w:shd w:val="clear" w:color="auto" w:fill="auto"/>
            <w:vAlign w:val="center"/>
          </w:tcPr>
          <w:p w14:paraId="5EE6A4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项目特征</w:t>
            </w:r>
          </w:p>
        </w:tc>
        <w:tc>
          <w:tcPr>
            <w:tcW w:w="436" w:type="dxa"/>
            <w:tcBorders>
              <w:tl2br w:val="nil"/>
              <w:tr2bl w:val="nil"/>
            </w:tcBorders>
            <w:shd w:val="clear" w:color="auto" w:fill="auto"/>
            <w:vAlign w:val="center"/>
          </w:tcPr>
          <w:p w14:paraId="35CFD4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656" w:type="dxa"/>
            <w:tcBorders>
              <w:tl2br w:val="nil"/>
              <w:tr2bl w:val="nil"/>
            </w:tcBorders>
            <w:shd w:val="clear" w:color="auto" w:fill="auto"/>
            <w:vAlign w:val="center"/>
          </w:tcPr>
          <w:p w14:paraId="7874EE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986" w:type="dxa"/>
            <w:tcBorders>
              <w:tl2br w:val="nil"/>
              <w:tr2bl w:val="nil"/>
            </w:tcBorders>
            <w:shd w:val="clear" w:color="auto" w:fill="auto"/>
            <w:vAlign w:val="center"/>
          </w:tcPr>
          <w:p w14:paraId="3198AE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w:t>
            </w:r>
          </w:p>
        </w:tc>
        <w:tc>
          <w:tcPr>
            <w:tcW w:w="1206" w:type="dxa"/>
            <w:tcBorders>
              <w:tl2br w:val="nil"/>
              <w:tr2bl w:val="nil"/>
            </w:tcBorders>
            <w:shd w:val="clear" w:color="auto" w:fill="auto"/>
            <w:vAlign w:val="center"/>
          </w:tcPr>
          <w:p w14:paraId="3DCB7A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合价</w:t>
            </w:r>
          </w:p>
        </w:tc>
        <w:tc>
          <w:tcPr>
            <w:tcW w:w="1096" w:type="dxa"/>
            <w:tcBorders>
              <w:tl2br w:val="nil"/>
              <w:tr2bl w:val="nil"/>
            </w:tcBorders>
            <w:shd w:val="clear" w:color="auto" w:fill="auto"/>
            <w:vAlign w:val="center"/>
          </w:tcPr>
          <w:p w14:paraId="381508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1FDAD0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8" w:hRule="atLeast"/>
          <w:jc w:val="center"/>
        </w:trPr>
        <w:tc>
          <w:tcPr>
            <w:tcW w:w="828" w:type="dxa"/>
            <w:vMerge w:val="restart"/>
            <w:tcBorders>
              <w:tl2br w:val="nil"/>
              <w:tr2bl w:val="nil"/>
            </w:tcBorders>
            <w:shd w:val="clear" w:color="auto" w:fill="auto"/>
            <w:vAlign w:val="center"/>
          </w:tcPr>
          <w:p w14:paraId="00811F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渣土巡查及蓝天保卫违规违法行为巡查</w:t>
            </w:r>
          </w:p>
        </w:tc>
        <w:tc>
          <w:tcPr>
            <w:tcW w:w="2862" w:type="dxa"/>
            <w:vMerge w:val="restart"/>
            <w:tcBorders>
              <w:tl2br w:val="nil"/>
              <w:tr2bl w:val="nil"/>
            </w:tcBorders>
            <w:shd w:val="clear" w:color="auto" w:fill="auto"/>
            <w:vAlign w:val="center"/>
          </w:tcPr>
          <w:p w14:paraId="683494A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过全年、全天候对辖区内易发生违法违规行为重点区域进行巡查监管，做到对蓝天保卫战、建筑垃圾及渣土方面违法违规行为及时发现、劝导、上报，协助执法部门进行处置，震慑违规违法行为，减少城区内环境乱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1.按要求开展日间及夜间巡查、驻点值守和蹲点，及时发现违法违规行为，进行劝导、上报并协助处置。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2.对运输建筑垃圾、渣土车辆进行监管，确保其密闭运输，防止运输途中渣土散落、抛洒。</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3.对在建工地渣土车辆是否净车出场进行巡查，避免带泥上路污染道路。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4.实时掌握闲置地块、城乡结合部情况，对偷倒建筑垃圾、乱倒渣土行为进行巡查监管，确保无新增乱倒建筑垃圾和渣土。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5.按照蓝天保卫战工作要求，对辖区内露天焚烧行为进行巡查发现和劝导。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6.与街道和相关部门建立有效的沟通和协作机制，加强信息共享和联合处置力度。</w:t>
            </w:r>
          </w:p>
        </w:tc>
        <w:tc>
          <w:tcPr>
            <w:tcW w:w="817" w:type="dxa"/>
            <w:tcBorders>
              <w:tl2br w:val="nil"/>
              <w:tr2bl w:val="nil"/>
            </w:tcBorders>
            <w:shd w:val="clear" w:color="auto" w:fill="auto"/>
            <w:vAlign w:val="center"/>
          </w:tcPr>
          <w:p w14:paraId="378DE0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茶塘村、龙湘社区城乡结合部区域及周边在建工地</w:t>
            </w:r>
          </w:p>
        </w:tc>
        <w:tc>
          <w:tcPr>
            <w:tcW w:w="1721" w:type="dxa"/>
            <w:tcBorders>
              <w:tl2br w:val="nil"/>
              <w:tr2bl w:val="nil"/>
            </w:tcBorders>
            <w:shd w:val="clear" w:color="auto" w:fill="auto"/>
            <w:vAlign w:val="center"/>
          </w:tcPr>
          <w:p w14:paraId="7FAF0AA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1.每天3次，每8个小时计一次（8：00-16：00、16：00-24:00，24：00-次日8：00）；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2.每天任务空缺数为3和1台工作车，单次任务空缺数为1；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4.含管理费、利润、税金。</w:t>
            </w:r>
          </w:p>
        </w:tc>
        <w:tc>
          <w:tcPr>
            <w:tcW w:w="436" w:type="dxa"/>
            <w:tcBorders>
              <w:tl2br w:val="nil"/>
              <w:tr2bl w:val="nil"/>
            </w:tcBorders>
            <w:shd w:val="clear" w:color="auto" w:fill="auto"/>
            <w:vAlign w:val="center"/>
          </w:tcPr>
          <w:p w14:paraId="3DC321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656" w:type="dxa"/>
            <w:tcBorders>
              <w:tl2br w:val="nil"/>
              <w:tr2bl w:val="nil"/>
            </w:tcBorders>
            <w:shd w:val="clear" w:color="auto" w:fill="auto"/>
            <w:noWrap/>
            <w:vAlign w:val="center"/>
          </w:tcPr>
          <w:p w14:paraId="5C66D5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1095</w:t>
            </w:r>
          </w:p>
        </w:tc>
        <w:tc>
          <w:tcPr>
            <w:tcW w:w="986" w:type="dxa"/>
            <w:tcBorders>
              <w:tl2br w:val="nil"/>
              <w:tr2bl w:val="nil"/>
            </w:tcBorders>
            <w:shd w:val="clear" w:color="auto" w:fill="auto"/>
            <w:noWrap/>
            <w:vAlign w:val="center"/>
          </w:tcPr>
          <w:p w14:paraId="5C7E41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391.14 </w:t>
            </w:r>
          </w:p>
        </w:tc>
        <w:tc>
          <w:tcPr>
            <w:tcW w:w="1206" w:type="dxa"/>
            <w:tcBorders>
              <w:tl2br w:val="nil"/>
              <w:tr2bl w:val="nil"/>
            </w:tcBorders>
            <w:shd w:val="clear" w:color="auto" w:fill="auto"/>
            <w:noWrap/>
            <w:vAlign w:val="center"/>
          </w:tcPr>
          <w:p w14:paraId="4EF944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428298.3</w:t>
            </w:r>
          </w:p>
        </w:tc>
        <w:tc>
          <w:tcPr>
            <w:tcW w:w="1096" w:type="dxa"/>
            <w:tcBorders>
              <w:tl2br w:val="nil"/>
              <w:tr2bl w:val="nil"/>
            </w:tcBorders>
            <w:shd w:val="clear" w:color="auto" w:fill="auto"/>
            <w:vAlign w:val="center"/>
          </w:tcPr>
          <w:p w14:paraId="5E2F6C6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p>
        </w:tc>
      </w:tr>
      <w:tr w14:paraId="6C284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0" w:hRule="atLeast"/>
          <w:jc w:val="center"/>
        </w:trPr>
        <w:tc>
          <w:tcPr>
            <w:tcW w:w="828" w:type="dxa"/>
            <w:vMerge w:val="continue"/>
            <w:tcBorders>
              <w:tl2br w:val="nil"/>
              <w:tr2bl w:val="nil"/>
            </w:tcBorders>
            <w:shd w:val="clear" w:color="auto" w:fill="auto"/>
            <w:vAlign w:val="center"/>
          </w:tcPr>
          <w:p w14:paraId="1435C13B">
            <w:pPr>
              <w:jc w:val="center"/>
              <w:rPr>
                <w:rFonts w:hint="eastAsia" w:ascii="宋体" w:hAnsi="宋体" w:eastAsia="宋体" w:cs="宋体"/>
                <w:i w:val="0"/>
                <w:iCs w:val="0"/>
                <w:color w:val="000000"/>
                <w:sz w:val="24"/>
                <w:szCs w:val="24"/>
                <w:u w:val="none"/>
              </w:rPr>
            </w:pPr>
          </w:p>
        </w:tc>
        <w:tc>
          <w:tcPr>
            <w:tcW w:w="2862" w:type="dxa"/>
            <w:vMerge w:val="continue"/>
            <w:tcBorders>
              <w:tl2br w:val="nil"/>
              <w:tr2bl w:val="nil"/>
            </w:tcBorders>
            <w:shd w:val="clear" w:color="auto" w:fill="auto"/>
            <w:vAlign w:val="center"/>
          </w:tcPr>
          <w:p w14:paraId="6F7BBFCE">
            <w:pPr>
              <w:jc w:val="left"/>
              <w:rPr>
                <w:rFonts w:hint="eastAsia" w:ascii="宋体" w:hAnsi="宋体" w:eastAsia="宋体" w:cs="宋体"/>
                <w:i w:val="0"/>
                <w:iCs w:val="0"/>
                <w:color w:val="000000"/>
                <w:sz w:val="24"/>
                <w:szCs w:val="24"/>
                <w:u w:val="none"/>
              </w:rPr>
            </w:pPr>
          </w:p>
        </w:tc>
        <w:tc>
          <w:tcPr>
            <w:tcW w:w="817" w:type="dxa"/>
            <w:tcBorders>
              <w:tl2br w:val="nil"/>
              <w:tr2bl w:val="nil"/>
            </w:tcBorders>
            <w:shd w:val="clear" w:color="auto" w:fill="auto"/>
            <w:vAlign w:val="center"/>
          </w:tcPr>
          <w:p w14:paraId="32B8F5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湘峰村易倒区域</w:t>
            </w:r>
          </w:p>
        </w:tc>
        <w:tc>
          <w:tcPr>
            <w:tcW w:w="1721" w:type="dxa"/>
            <w:tcBorders>
              <w:tl2br w:val="nil"/>
              <w:tr2bl w:val="nil"/>
            </w:tcBorders>
            <w:shd w:val="clear" w:color="auto" w:fill="auto"/>
            <w:vAlign w:val="center"/>
          </w:tcPr>
          <w:p w14:paraId="398BFC2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1.每天2次，每8个小时计一次（8：00-16：00、16：00-24:00）；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2.每天任务空缺数为3和1台工作车，单次任务空缺数为1；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4.含管理费、利润、税金。</w:t>
            </w:r>
          </w:p>
        </w:tc>
        <w:tc>
          <w:tcPr>
            <w:tcW w:w="436" w:type="dxa"/>
            <w:tcBorders>
              <w:tl2br w:val="nil"/>
              <w:tr2bl w:val="nil"/>
            </w:tcBorders>
            <w:shd w:val="clear" w:color="auto" w:fill="auto"/>
            <w:vAlign w:val="center"/>
          </w:tcPr>
          <w:p w14:paraId="20569C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656" w:type="dxa"/>
            <w:tcBorders>
              <w:tl2br w:val="nil"/>
              <w:tr2bl w:val="nil"/>
            </w:tcBorders>
            <w:shd w:val="clear" w:color="auto" w:fill="auto"/>
            <w:noWrap/>
            <w:vAlign w:val="center"/>
          </w:tcPr>
          <w:p w14:paraId="135950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730</w:t>
            </w:r>
          </w:p>
        </w:tc>
        <w:tc>
          <w:tcPr>
            <w:tcW w:w="986" w:type="dxa"/>
            <w:tcBorders>
              <w:tl2br w:val="nil"/>
              <w:tr2bl w:val="nil"/>
            </w:tcBorders>
            <w:shd w:val="clear" w:color="auto" w:fill="auto"/>
            <w:noWrap/>
            <w:vAlign w:val="center"/>
          </w:tcPr>
          <w:p w14:paraId="429CB9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391.14 </w:t>
            </w:r>
          </w:p>
        </w:tc>
        <w:tc>
          <w:tcPr>
            <w:tcW w:w="1206" w:type="dxa"/>
            <w:tcBorders>
              <w:tl2br w:val="nil"/>
              <w:tr2bl w:val="nil"/>
            </w:tcBorders>
            <w:shd w:val="clear" w:color="auto" w:fill="auto"/>
            <w:noWrap/>
            <w:vAlign w:val="center"/>
          </w:tcPr>
          <w:p w14:paraId="047D01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285532.2</w:t>
            </w:r>
          </w:p>
        </w:tc>
        <w:tc>
          <w:tcPr>
            <w:tcW w:w="1096" w:type="dxa"/>
            <w:tcBorders>
              <w:tl2br w:val="nil"/>
              <w:tr2bl w:val="nil"/>
            </w:tcBorders>
            <w:shd w:val="clear" w:color="auto" w:fill="auto"/>
            <w:noWrap/>
            <w:vAlign w:val="center"/>
          </w:tcPr>
          <w:p w14:paraId="2C92DCDC">
            <w:pPr>
              <w:rPr>
                <w:rFonts w:hint="eastAsia" w:ascii="宋体" w:hAnsi="宋体" w:eastAsia="宋体" w:cs="宋体"/>
                <w:i w:val="0"/>
                <w:iCs w:val="0"/>
                <w:color w:val="000000"/>
                <w:sz w:val="24"/>
                <w:szCs w:val="24"/>
                <w:u w:val="none"/>
              </w:rPr>
            </w:pPr>
          </w:p>
        </w:tc>
      </w:tr>
      <w:tr w14:paraId="2B8025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6" w:hRule="atLeast"/>
          <w:jc w:val="center"/>
        </w:trPr>
        <w:tc>
          <w:tcPr>
            <w:tcW w:w="828" w:type="dxa"/>
            <w:vMerge w:val="continue"/>
            <w:tcBorders>
              <w:tl2br w:val="nil"/>
              <w:tr2bl w:val="nil"/>
            </w:tcBorders>
            <w:shd w:val="clear" w:color="auto" w:fill="auto"/>
            <w:vAlign w:val="center"/>
          </w:tcPr>
          <w:p w14:paraId="22FC0B21">
            <w:pPr>
              <w:jc w:val="center"/>
              <w:rPr>
                <w:rFonts w:hint="eastAsia" w:ascii="宋体" w:hAnsi="宋体" w:eastAsia="宋体" w:cs="宋体"/>
                <w:i w:val="0"/>
                <w:iCs w:val="0"/>
                <w:color w:val="000000"/>
                <w:sz w:val="24"/>
                <w:szCs w:val="24"/>
                <w:u w:val="none"/>
              </w:rPr>
            </w:pPr>
          </w:p>
        </w:tc>
        <w:tc>
          <w:tcPr>
            <w:tcW w:w="2862" w:type="dxa"/>
            <w:vMerge w:val="continue"/>
            <w:tcBorders>
              <w:tl2br w:val="nil"/>
              <w:tr2bl w:val="nil"/>
            </w:tcBorders>
            <w:shd w:val="clear" w:color="auto" w:fill="auto"/>
            <w:vAlign w:val="center"/>
          </w:tcPr>
          <w:p w14:paraId="6A65980A">
            <w:pPr>
              <w:jc w:val="left"/>
              <w:rPr>
                <w:rFonts w:hint="eastAsia" w:ascii="宋体" w:hAnsi="宋体" w:eastAsia="宋体" w:cs="宋体"/>
                <w:i w:val="0"/>
                <w:iCs w:val="0"/>
                <w:color w:val="000000"/>
                <w:sz w:val="24"/>
                <w:szCs w:val="24"/>
                <w:u w:val="none"/>
              </w:rPr>
            </w:pPr>
          </w:p>
        </w:tc>
        <w:tc>
          <w:tcPr>
            <w:tcW w:w="817" w:type="dxa"/>
            <w:tcBorders>
              <w:tl2br w:val="nil"/>
              <w:tr2bl w:val="nil"/>
            </w:tcBorders>
            <w:shd w:val="clear" w:color="auto" w:fill="auto"/>
            <w:vAlign w:val="center"/>
          </w:tcPr>
          <w:p w14:paraId="0B707F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城区在建工地</w:t>
            </w:r>
          </w:p>
        </w:tc>
        <w:tc>
          <w:tcPr>
            <w:tcW w:w="1721" w:type="dxa"/>
            <w:tcBorders>
              <w:tl2br w:val="nil"/>
              <w:tr2bl w:val="nil"/>
            </w:tcBorders>
            <w:shd w:val="clear" w:color="auto" w:fill="auto"/>
            <w:vAlign w:val="center"/>
          </w:tcPr>
          <w:p w14:paraId="11AAFB7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1.每天3次，每8个小时计一次（8：00-16：00、16：00-24:00，24：00-次日8：00）；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2.每天任务空缺数为3和1台工作车，单次任务空缺数为1；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4.含管理费、利润、税金。</w:t>
            </w:r>
          </w:p>
        </w:tc>
        <w:tc>
          <w:tcPr>
            <w:tcW w:w="436" w:type="dxa"/>
            <w:tcBorders>
              <w:tl2br w:val="nil"/>
              <w:tr2bl w:val="nil"/>
            </w:tcBorders>
            <w:shd w:val="clear" w:color="auto" w:fill="auto"/>
            <w:vAlign w:val="center"/>
          </w:tcPr>
          <w:p w14:paraId="1962EE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656" w:type="dxa"/>
            <w:tcBorders>
              <w:tl2br w:val="nil"/>
              <w:tr2bl w:val="nil"/>
            </w:tcBorders>
            <w:shd w:val="clear" w:color="auto" w:fill="auto"/>
            <w:noWrap/>
            <w:vAlign w:val="center"/>
          </w:tcPr>
          <w:p w14:paraId="3F80DF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1095</w:t>
            </w:r>
          </w:p>
        </w:tc>
        <w:tc>
          <w:tcPr>
            <w:tcW w:w="986" w:type="dxa"/>
            <w:tcBorders>
              <w:tl2br w:val="nil"/>
              <w:tr2bl w:val="nil"/>
            </w:tcBorders>
            <w:shd w:val="clear" w:color="auto" w:fill="auto"/>
            <w:noWrap/>
            <w:vAlign w:val="center"/>
          </w:tcPr>
          <w:p w14:paraId="2FAE4E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391.14 </w:t>
            </w:r>
          </w:p>
        </w:tc>
        <w:tc>
          <w:tcPr>
            <w:tcW w:w="1206" w:type="dxa"/>
            <w:tcBorders>
              <w:tl2br w:val="nil"/>
              <w:tr2bl w:val="nil"/>
            </w:tcBorders>
            <w:shd w:val="clear" w:color="auto" w:fill="auto"/>
            <w:noWrap/>
            <w:vAlign w:val="center"/>
          </w:tcPr>
          <w:p w14:paraId="0B070A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428298.3</w:t>
            </w:r>
          </w:p>
        </w:tc>
        <w:tc>
          <w:tcPr>
            <w:tcW w:w="1096" w:type="dxa"/>
            <w:tcBorders>
              <w:tl2br w:val="nil"/>
              <w:tr2bl w:val="nil"/>
            </w:tcBorders>
            <w:shd w:val="clear" w:color="auto" w:fill="auto"/>
            <w:noWrap/>
            <w:vAlign w:val="center"/>
          </w:tcPr>
          <w:p w14:paraId="50299DF6">
            <w:pPr>
              <w:rPr>
                <w:rFonts w:hint="eastAsia" w:ascii="宋体" w:hAnsi="宋体" w:eastAsia="宋体" w:cs="宋体"/>
                <w:i w:val="0"/>
                <w:iCs w:val="0"/>
                <w:color w:val="000000"/>
                <w:sz w:val="24"/>
                <w:szCs w:val="24"/>
                <w:u w:val="none"/>
              </w:rPr>
            </w:pPr>
          </w:p>
        </w:tc>
      </w:tr>
      <w:tr w14:paraId="7AFE7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9" w:hRule="atLeast"/>
          <w:jc w:val="center"/>
        </w:trPr>
        <w:tc>
          <w:tcPr>
            <w:tcW w:w="828" w:type="dxa"/>
            <w:vMerge w:val="continue"/>
            <w:tcBorders>
              <w:tl2br w:val="nil"/>
              <w:tr2bl w:val="nil"/>
            </w:tcBorders>
            <w:shd w:val="clear" w:color="auto" w:fill="auto"/>
            <w:vAlign w:val="center"/>
          </w:tcPr>
          <w:p w14:paraId="7B1E7CA9">
            <w:pPr>
              <w:jc w:val="center"/>
              <w:rPr>
                <w:rFonts w:hint="eastAsia" w:ascii="宋体" w:hAnsi="宋体" w:eastAsia="宋体" w:cs="宋体"/>
                <w:i w:val="0"/>
                <w:iCs w:val="0"/>
                <w:color w:val="000000"/>
                <w:sz w:val="24"/>
                <w:szCs w:val="24"/>
                <w:u w:val="none"/>
              </w:rPr>
            </w:pPr>
          </w:p>
        </w:tc>
        <w:tc>
          <w:tcPr>
            <w:tcW w:w="2862" w:type="dxa"/>
            <w:vMerge w:val="continue"/>
            <w:tcBorders>
              <w:tl2br w:val="nil"/>
              <w:tr2bl w:val="nil"/>
            </w:tcBorders>
            <w:shd w:val="clear" w:color="auto" w:fill="auto"/>
            <w:vAlign w:val="center"/>
          </w:tcPr>
          <w:p w14:paraId="5E6397B5">
            <w:pPr>
              <w:jc w:val="left"/>
              <w:rPr>
                <w:rFonts w:hint="eastAsia" w:ascii="宋体" w:hAnsi="宋体" w:eastAsia="宋体" w:cs="宋体"/>
                <w:i w:val="0"/>
                <w:iCs w:val="0"/>
                <w:color w:val="000000"/>
                <w:sz w:val="24"/>
                <w:szCs w:val="24"/>
                <w:u w:val="none"/>
              </w:rPr>
            </w:pPr>
          </w:p>
        </w:tc>
        <w:tc>
          <w:tcPr>
            <w:tcW w:w="817" w:type="dxa"/>
            <w:tcBorders>
              <w:tl2br w:val="nil"/>
              <w:tr2bl w:val="nil"/>
            </w:tcBorders>
            <w:shd w:val="clear" w:color="auto" w:fill="auto"/>
            <w:vAlign w:val="center"/>
          </w:tcPr>
          <w:p w14:paraId="63F79D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3个巡查区域内无人机航拍</w:t>
            </w:r>
          </w:p>
        </w:tc>
        <w:tc>
          <w:tcPr>
            <w:tcW w:w="1721" w:type="dxa"/>
            <w:tcBorders>
              <w:tl2br w:val="nil"/>
              <w:tr2bl w:val="nil"/>
            </w:tcBorders>
            <w:shd w:val="clear" w:color="auto" w:fill="auto"/>
            <w:vAlign w:val="center"/>
          </w:tcPr>
          <w:p w14:paraId="35AC272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1.每两周1次，每个区域计一次；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2.每次任务需2人、无人机1台和1台工作车；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4.含管理费、利润、税金。</w:t>
            </w:r>
          </w:p>
        </w:tc>
        <w:tc>
          <w:tcPr>
            <w:tcW w:w="436" w:type="dxa"/>
            <w:tcBorders>
              <w:tl2br w:val="nil"/>
              <w:tr2bl w:val="nil"/>
            </w:tcBorders>
            <w:shd w:val="clear" w:color="auto" w:fill="auto"/>
            <w:vAlign w:val="center"/>
          </w:tcPr>
          <w:p w14:paraId="6E0D03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656" w:type="dxa"/>
            <w:tcBorders>
              <w:tl2br w:val="nil"/>
              <w:tr2bl w:val="nil"/>
            </w:tcBorders>
            <w:shd w:val="clear" w:color="auto" w:fill="auto"/>
            <w:noWrap/>
            <w:vAlign w:val="center"/>
          </w:tcPr>
          <w:p w14:paraId="1A49D7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986" w:type="dxa"/>
            <w:tcBorders>
              <w:tl2br w:val="nil"/>
              <w:tr2bl w:val="nil"/>
            </w:tcBorders>
            <w:shd w:val="clear" w:color="auto" w:fill="auto"/>
            <w:noWrap/>
            <w:vAlign w:val="center"/>
          </w:tcPr>
          <w:p w14:paraId="7DE721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2032.00 </w:t>
            </w:r>
          </w:p>
        </w:tc>
        <w:tc>
          <w:tcPr>
            <w:tcW w:w="1206" w:type="dxa"/>
            <w:tcBorders>
              <w:tl2br w:val="nil"/>
              <w:tr2bl w:val="nil"/>
            </w:tcBorders>
            <w:shd w:val="clear" w:color="auto" w:fill="auto"/>
            <w:noWrap/>
            <w:vAlign w:val="center"/>
          </w:tcPr>
          <w:p w14:paraId="06B513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48768</w:t>
            </w:r>
          </w:p>
        </w:tc>
        <w:tc>
          <w:tcPr>
            <w:tcW w:w="1096" w:type="dxa"/>
            <w:tcBorders>
              <w:tl2br w:val="nil"/>
              <w:tr2bl w:val="nil"/>
            </w:tcBorders>
            <w:shd w:val="clear" w:color="auto" w:fill="auto"/>
            <w:vAlign w:val="center"/>
          </w:tcPr>
          <w:p w14:paraId="6E7AED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无人机单次航拍图片价格参市场价400元/次</w:t>
            </w:r>
          </w:p>
        </w:tc>
      </w:tr>
      <w:tr w14:paraId="6AB23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9" w:hRule="atLeast"/>
          <w:jc w:val="center"/>
        </w:trPr>
        <w:tc>
          <w:tcPr>
            <w:tcW w:w="828" w:type="dxa"/>
            <w:tcBorders>
              <w:tl2br w:val="nil"/>
              <w:tr2bl w:val="nil"/>
            </w:tcBorders>
            <w:shd w:val="clear" w:color="auto" w:fill="auto"/>
            <w:vAlign w:val="center"/>
          </w:tcPr>
          <w:p w14:paraId="13DFA7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流动摊贩巡查整治</w:t>
            </w:r>
          </w:p>
        </w:tc>
        <w:tc>
          <w:tcPr>
            <w:tcW w:w="2862" w:type="dxa"/>
            <w:tcBorders>
              <w:tl2br w:val="nil"/>
              <w:tr2bl w:val="nil"/>
            </w:tcBorders>
            <w:shd w:val="clear" w:color="auto" w:fill="auto"/>
            <w:vAlign w:val="center"/>
          </w:tcPr>
          <w:p w14:paraId="08DFF01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由街道带队，联合执法部门，辅助巡查人员，每周一次对流动摊贩、门店违规摆放经营物品进行暂扣，对违规灯箱进行暂扣，物品装满一车后进行集中拖运处置</w:t>
            </w:r>
          </w:p>
        </w:tc>
        <w:tc>
          <w:tcPr>
            <w:tcW w:w="817" w:type="dxa"/>
            <w:tcBorders>
              <w:tl2br w:val="nil"/>
              <w:tr2bl w:val="nil"/>
            </w:tcBorders>
            <w:shd w:val="clear" w:color="auto" w:fill="auto"/>
            <w:vAlign w:val="center"/>
          </w:tcPr>
          <w:p w14:paraId="3E779A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区域内流动摊贩整治</w:t>
            </w:r>
          </w:p>
        </w:tc>
        <w:tc>
          <w:tcPr>
            <w:tcW w:w="1721" w:type="dxa"/>
            <w:tcBorders>
              <w:tl2br w:val="nil"/>
              <w:tr2bl w:val="nil"/>
            </w:tcBorders>
            <w:shd w:val="clear" w:color="auto" w:fill="auto"/>
            <w:vAlign w:val="center"/>
          </w:tcPr>
          <w:p w14:paraId="0A4E07E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1.10人及以下，8T货车1-2台;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2.每8小时为一次；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3.人工200元/人/次，8T货车949元/台/次；                4.含管理费、利润、税金。</w:t>
            </w:r>
          </w:p>
        </w:tc>
        <w:tc>
          <w:tcPr>
            <w:tcW w:w="436" w:type="dxa"/>
            <w:tcBorders>
              <w:tl2br w:val="nil"/>
              <w:tr2bl w:val="nil"/>
            </w:tcBorders>
            <w:shd w:val="clear" w:color="auto" w:fill="auto"/>
            <w:vAlign w:val="center"/>
          </w:tcPr>
          <w:p w14:paraId="34257C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656" w:type="dxa"/>
            <w:tcBorders>
              <w:tl2br w:val="nil"/>
              <w:tr2bl w:val="nil"/>
            </w:tcBorders>
            <w:shd w:val="clear" w:color="auto" w:fill="auto"/>
            <w:noWrap/>
            <w:vAlign w:val="center"/>
          </w:tcPr>
          <w:p w14:paraId="40EAAEE3">
            <w:pPr>
              <w:jc w:val="center"/>
              <w:rPr>
                <w:rFonts w:hint="eastAsia" w:ascii="宋体" w:hAnsi="宋体" w:eastAsia="宋体" w:cs="宋体"/>
                <w:i w:val="0"/>
                <w:iCs w:val="0"/>
                <w:color w:val="000000"/>
                <w:sz w:val="24"/>
                <w:szCs w:val="24"/>
                <w:u w:val="none"/>
              </w:rPr>
            </w:pPr>
          </w:p>
        </w:tc>
        <w:tc>
          <w:tcPr>
            <w:tcW w:w="986" w:type="dxa"/>
            <w:tcBorders>
              <w:tl2br w:val="nil"/>
              <w:tr2bl w:val="nil"/>
            </w:tcBorders>
            <w:shd w:val="clear" w:color="auto" w:fill="auto"/>
            <w:noWrap/>
            <w:vAlign w:val="center"/>
          </w:tcPr>
          <w:p w14:paraId="7D66BC75">
            <w:pPr>
              <w:jc w:val="center"/>
              <w:rPr>
                <w:rFonts w:hint="eastAsia" w:ascii="宋体" w:hAnsi="宋体" w:eastAsia="宋体" w:cs="宋体"/>
                <w:i w:val="0"/>
                <w:iCs w:val="0"/>
                <w:color w:val="000000"/>
                <w:sz w:val="24"/>
                <w:szCs w:val="24"/>
                <w:u w:val="none"/>
              </w:rPr>
            </w:pPr>
          </w:p>
        </w:tc>
        <w:tc>
          <w:tcPr>
            <w:tcW w:w="1206" w:type="dxa"/>
            <w:tcBorders>
              <w:tl2br w:val="nil"/>
              <w:tr2bl w:val="nil"/>
            </w:tcBorders>
            <w:shd w:val="clear" w:color="auto" w:fill="auto"/>
            <w:noWrap/>
            <w:vAlign w:val="center"/>
          </w:tcPr>
          <w:p w14:paraId="0A5E64AF">
            <w:pPr>
              <w:jc w:val="center"/>
              <w:rPr>
                <w:rFonts w:hint="eastAsia" w:ascii="宋体" w:hAnsi="宋体" w:eastAsia="宋体" w:cs="宋体"/>
                <w:i w:val="0"/>
                <w:iCs w:val="0"/>
                <w:color w:val="000000"/>
                <w:sz w:val="24"/>
                <w:szCs w:val="24"/>
                <w:u w:val="none"/>
              </w:rPr>
            </w:pPr>
          </w:p>
        </w:tc>
        <w:tc>
          <w:tcPr>
            <w:tcW w:w="1096" w:type="dxa"/>
            <w:tcBorders>
              <w:tl2br w:val="nil"/>
              <w:tr2bl w:val="nil"/>
            </w:tcBorders>
            <w:shd w:val="clear" w:color="auto" w:fill="auto"/>
            <w:vAlign w:val="center"/>
          </w:tcPr>
          <w:p w14:paraId="48F0E6D5">
            <w:pPr>
              <w:jc w:val="center"/>
              <w:rPr>
                <w:rFonts w:hint="eastAsia" w:ascii="宋体" w:hAnsi="宋体" w:eastAsia="宋体" w:cs="宋体"/>
                <w:i w:val="0"/>
                <w:iCs w:val="0"/>
                <w:color w:val="000000"/>
                <w:sz w:val="24"/>
                <w:szCs w:val="24"/>
                <w:u w:val="none"/>
              </w:rPr>
            </w:pPr>
          </w:p>
        </w:tc>
      </w:tr>
      <w:tr w14:paraId="6DE674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8" w:hRule="atLeast"/>
          <w:jc w:val="center"/>
        </w:trPr>
        <w:tc>
          <w:tcPr>
            <w:tcW w:w="828" w:type="dxa"/>
            <w:tcBorders>
              <w:tl2br w:val="nil"/>
              <w:tr2bl w:val="nil"/>
            </w:tcBorders>
            <w:shd w:val="clear" w:color="auto" w:fill="auto"/>
            <w:noWrap/>
            <w:vAlign w:val="center"/>
          </w:tcPr>
          <w:p w14:paraId="3251CBB5">
            <w:pPr>
              <w:rPr>
                <w:rFonts w:hint="eastAsia" w:ascii="宋体" w:hAnsi="宋体" w:eastAsia="宋体" w:cs="宋体"/>
                <w:i w:val="0"/>
                <w:iCs w:val="0"/>
                <w:color w:val="000000"/>
                <w:sz w:val="24"/>
                <w:szCs w:val="24"/>
                <w:u w:val="none"/>
              </w:rPr>
            </w:pPr>
          </w:p>
        </w:tc>
        <w:tc>
          <w:tcPr>
            <w:tcW w:w="2862" w:type="dxa"/>
            <w:tcBorders>
              <w:tl2br w:val="nil"/>
              <w:tr2bl w:val="nil"/>
            </w:tcBorders>
            <w:shd w:val="clear" w:color="auto" w:fill="auto"/>
            <w:noWrap/>
            <w:vAlign w:val="center"/>
          </w:tcPr>
          <w:p w14:paraId="2481B7AD">
            <w:pPr>
              <w:rPr>
                <w:rFonts w:hint="eastAsia" w:ascii="宋体" w:hAnsi="宋体" w:eastAsia="宋体" w:cs="宋体"/>
                <w:i w:val="0"/>
                <w:iCs w:val="0"/>
                <w:color w:val="000000"/>
                <w:sz w:val="24"/>
                <w:szCs w:val="24"/>
                <w:u w:val="none"/>
              </w:rPr>
            </w:pPr>
          </w:p>
        </w:tc>
        <w:tc>
          <w:tcPr>
            <w:tcW w:w="817" w:type="dxa"/>
            <w:tcBorders>
              <w:tl2br w:val="nil"/>
              <w:tr2bl w:val="nil"/>
            </w:tcBorders>
            <w:shd w:val="clear" w:color="auto" w:fill="auto"/>
            <w:vAlign w:val="center"/>
          </w:tcPr>
          <w:p w14:paraId="30E24A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总计</w:t>
            </w:r>
          </w:p>
        </w:tc>
        <w:tc>
          <w:tcPr>
            <w:tcW w:w="1721" w:type="dxa"/>
            <w:tcBorders>
              <w:tl2br w:val="nil"/>
              <w:tr2bl w:val="nil"/>
            </w:tcBorders>
            <w:shd w:val="clear" w:color="auto" w:fill="auto"/>
            <w:vAlign w:val="center"/>
          </w:tcPr>
          <w:p w14:paraId="1C3EC67E">
            <w:pPr>
              <w:rPr>
                <w:rFonts w:hint="eastAsia" w:ascii="宋体" w:hAnsi="宋体" w:eastAsia="宋体" w:cs="宋体"/>
                <w:i w:val="0"/>
                <w:iCs w:val="0"/>
                <w:color w:val="000000"/>
                <w:sz w:val="24"/>
                <w:szCs w:val="24"/>
                <w:u w:val="none"/>
              </w:rPr>
            </w:pPr>
          </w:p>
        </w:tc>
        <w:tc>
          <w:tcPr>
            <w:tcW w:w="436" w:type="dxa"/>
            <w:tcBorders>
              <w:tl2br w:val="nil"/>
              <w:tr2bl w:val="nil"/>
            </w:tcBorders>
            <w:shd w:val="clear" w:color="auto" w:fill="auto"/>
            <w:vAlign w:val="center"/>
          </w:tcPr>
          <w:p w14:paraId="1B6FFE9A">
            <w:pPr>
              <w:jc w:val="center"/>
              <w:rPr>
                <w:rFonts w:hint="eastAsia" w:ascii="宋体" w:hAnsi="宋体" w:eastAsia="宋体" w:cs="宋体"/>
                <w:i w:val="0"/>
                <w:iCs w:val="0"/>
                <w:color w:val="000000"/>
                <w:sz w:val="24"/>
                <w:szCs w:val="24"/>
                <w:u w:val="none"/>
              </w:rPr>
            </w:pPr>
          </w:p>
        </w:tc>
        <w:tc>
          <w:tcPr>
            <w:tcW w:w="656" w:type="dxa"/>
            <w:tcBorders>
              <w:tl2br w:val="nil"/>
              <w:tr2bl w:val="nil"/>
            </w:tcBorders>
            <w:shd w:val="clear" w:color="auto" w:fill="auto"/>
            <w:vAlign w:val="center"/>
          </w:tcPr>
          <w:p w14:paraId="47CC068A">
            <w:pPr>
              <w:jc w:val="center"/>
              <w:rPr>
                <w:rFonts w:hint="eastAsia" w:ascii="宋体" w:hAnsi="宋体" w:eastAsia="宋体" w:cs="宋体"/>
                <w:i w:val="0"/>
                <w:iCs w:val="0"/>
                <w:color w:val="000000"/>
                <w:sz w:val="24"/>
                <w:szCs w:val="24"/>
                <w:u w:val="none"/>
              </w:rPr>
            </w:pPr>
          </w:p>
        </w:tc>
        <w:tc>
          <w:tcPr>
            <w:tcW w:w="986" w:type="dxa"/>
            <w:tcBorders>
              <w:tl2br w:val="nil"/>
              <w:tr2bl w:val="nil"/>
            </w:tcBorders>
            <w:shd w:val="clear" w:color="auto" w:fill="auto"/>
            <w:vAlign w:val="center"/>
          </w:tcPr>
          <w:p w14:paraId="6F7ED06A">
            <w:pPr>
              <w:jc w:val="center"/>
              <w:rPr>
                <w:rFonts w:hint="eastAsia" w:ascii="宋体" w:hAnsi="宋体" w:eastAsia="宋体" w:cs="宋体"/>
                <w:i w:val="0"/>
                <w:iCs w:val="0"/>
                <w:color w:val="000000"/>
                <w:sz w:val="24"/>
                <w:szCs w:val="24"/>
                <w:u w:val="none"/>
              </w:rPr>
            </w:pPr>
          </w:p>
        </w:tc>
        <w:tc>
          <w:tcPr>
            <w:tcW w:w="1206" w:type="dxa"/>
            <w:tcBorders>
              <w:tl2br w:val="nil"/>
              <w:tr2bl w:val="nil"/>
            </w:tcBorders>
            <w:shd w:val="clear" w:color="auto" w:fill="auto"/>
            <w:vAlign w:val="center"/>
          </w:tcPr>
          <w:p w14:paraId="2C65E8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1190896.8</w:t>
            </w:r>
          </w:p>
        </w:tc>
        <w:tc>
          <w:tcPr>
            <w:tcW w:w="1096" w:type="dxa"/>
            <w:tcBorders>
              <w:tl2br w:val="nil"/>
              <w:tr2bl w:val="nil"/>
            </w:tcBorders>
            <w:shd w:val="clear" w:color="auto" w:fill="auto"/>
            <w:noWrap/>
            <w:vAlign w:val="center"/>
          </w:tcPr>
          <w:p w14:paraId="3C763D52">
            <w:pPr>
              <w:rPr>
                <w:rFonts w:hint="eastAsia" w:ascii="宋体" w:hAnsi="宋体" w:eastAsia="宋体" w:cs="宋体"/>
                <w:i w:val="0"/>
                <w:iCs w:val="0"/>
                <w:color w:val="000000"/>
                <w:sz w:val="24"/>
                <w:szCs w:val="24"/>
                <w:u w:val="none"/>
              </w:rPr>
            </w:pPr>
          </w:p>
        </w:tc>
      </w:tr>
    </w:tbl>
    <w:p w14:paraId="63CFC3FE">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四、服务内容及要求：</w:t>
      </w:r>
    </w:p>
    <w:p w14:paraId="29316436">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1、接到分派任务时，人员、设备应当在规定时间内到达指定现场，并保质保量按时完成任务。应急处突任务应当接到通知后1小时内人员、设备到达指定现场。</w:t>
      </w:r>
    </w:p>
    <w:p w14:paraId="13599E43">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2、现场施工成交供应商所有人员必须着装整齐，穿着统一标志反光背心，配戴安全帽，工作规范，作风严谨。 </w:t>
      </w:r>
    </w:p>
    <w:p w14:paraId="4379425A">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3、重点路段市容秩序值守及应急驻场劳务人员必须统一着装，穿着统一标志反光背心，必须严格执行采购人的任务规定，按规定人数驻点，坚持原则，文明劝导。 </w:t>
      </w:r>
    </w:p>
    <w:p w14:paraId="35A154E8">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4、成交供应商必须将劳务人员统一派送指定位置，其所产生的人员运送费用由成交供应商负责。 </w:t>
      </w:r>
    </w:p>
    <w:p w14:paraId="7E615B6D">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5、成交供应商所派劳务人员年龄18－55周岁，五官端正，身体健康，无传染性疾病，持有健康证，无违法犯罪记录，服从指挥，听从安排</w:t>
      </w:r>
    </w:p>
    <w:p w14:paraId="457E77F0">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6、施工现场成交供应商必须安排项目负责人进行监督管理。</w:t>
      </w:r>
    </w:p>
    <w:p w14:paraId="637934A1">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7、成交供应商在合同期内应负责设备的维修保养，保险、税费、管理费等相关费用，并承担一切风险责任及相应法律责任。</w:t>
      </w:r>
    </w:p>
    <w:p w14:paraId="0229A15A">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8、到场设备及操作人员发生事故时，由成交供应商担负全部责任，并承担相关赔偿费用，采购人不负责任何赔偿及不承担任何连带责任。 </w:t>
      </w:r>
    </w:p>
    <w:p w14:paraId="037067B7">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10、机械设备保管，如发生偷盗，由成交供应商负责，采购人不负责任何赔偿。</w:t>
      </w:r>
    </w:p>
    <w:p w14:paraId="62F72602">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11、在劳务、作业时如有成交供应商人员发生任何意外事故，由成交供应商负全责，采购人免除一切责任。 </w:t>
      </w:r>
    </w:p>
    <w:p w14:paraId="1700D162">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12、成交供应商应该与其所派劳务人员按照国家规定签订劳动合同，办理有关劳动用工手续，并及时为所属劳务人员购买国家规定的社会保险及其它保险，按时交纳规定费用(含单位及个人应缴纳的部分)，若成交供应商未办理相关保险或未及时参保并缴纳费用，所有与此相关的责任由成交供应商完全承担。 </w:t>
      </w:r>
    </w:p>
    <w:p w14:paraId="49828ED3">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 xml:space="preserve">13、成交供应商在施工期间不得损害采购人及第三方的利益,出于个人行为而给采购人或第三方带来经济损失的, 成交供应商必须承担全部责任。 </w:t>
      </w:r>
    </w:p>
    <w:p w14:paraId="27AD1128">
      <w:pPr>
        <w:keepNext w:val="0"/>
        <w:keepLines w:val="0"/>
        <w:pageBreakBefore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i w:val="0"/>
          <w:iCs w:val="0"/>
          <w:sz w:val="24"/>
          <w:szCs w:val="24"/>
        </w:rPr>
      </w:pPr>
      <w:r>
        <w:rPr>
          <w:rFonts w:hint="eastAsia" w:ascii="宋体" w:hAnsi="宋体" w:eastAsia="宋体" w:cs="宋体"/>
          <w:i w:val="0"/>
          <w:iCs w:val="0"/>
          <w:sz w:val="24"/>
          <w:szCs w:val="24"/>
          <w:lang w:val="en-US" w:eastAsia="zh-CN"/>
        </w:rPr>
        <w:t>14、采购人不保证成交供应商的最低业务量，以实际发生工作量乘以中标单价予以结算。</w:t>
      </w:r>
    </w:p>
    <w:p w14:paraId="7C3184C2">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五、验收及结算标准：</w:t>
      </w:r>
    </w:p>
    <w:p w14:paraId="5D523537">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1、本项目按照长沙市财政局《关于加强长沙市政府采购项目履约验收工作的通知》（长财采购[2024]5号）的规定进行验收。</w:t>
      </w:r>
    </w:p>
    <w:p w14:paraId="65EA98C0">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六、付款方式：</w:t>
      </w:r>
    </w:p>
    <w:p w14:paraId="0261620B">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1、支付方式：长沙县长龙街道办事处</w:t>
      </w:r>
    </w:p>
    <w:p w14:paraId="6A691A71">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付款方式：按实结算，按照先服务后付款的方式，按季度支付。每个季度结束后采购人将严格按照所制定的季度考核标准（附件一）进行一次综合考核，并根据考核结果向成交供应商支付相应的服务费。优秀【90分以上(含)】，支付考核当季度款项的100%；良好【80分（含）至89分】，扣除考核当季度款项的10%；不合格【79分以下】，扣除考核当季度款项的20%。连续2个季度或一年之内出现两次及以上考核不合格的，采购人有权提前终止合同或者不再续签合同，且不承担任何法律责任。</w:t>
      </w:r>
    </w:p>
    <w:p w14:paraId="5358E691">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付款特别说明：本项目的最终付款进度以财政资金拨付到位为准。因财政资金到位延缓等原因影响采购人支付的，采购人不承担任何违约或赔偿责任，但供应商不得因此延误农民工工资的发放，供应商应结合项目实际</w:t>
      </w:r>
      <w:bookmarkStart w:id="0" w:name="_GoBack"/>
      <w:bookmarkEnd w:id="0"/>
      <w:r>
        <w:rPr>
          <w:rFonts w:hint="eastAsia" w:ascii="宋体" w:hAnsi="宋体" w:eastAsia="宋体" w:cs="宋体"/>
          <w:b/>
          <w:bCs/>
          <w:sz w:val="24"/>
          <w:szCs w:val="24"/>
          <w:lang w:val="en-US" w:eastAsia="zh-CN"/>
        </w:rPr>
        <w:t>及自身实际情况进行报价，同时在响应文件中提供相应的承诺函（格式自拟），未提供视为无效响应。</w:t>
      </w:r>
    </w:p>
    <w:p w14:paraId="4E9A4C47">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七、其它要求：</w:t>
      </w:r>
    </w:p>
    <w:p w14:paraId="01A8DA88">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1、服务期间成交供应商必须与每位作业人员签订劳动合同；提供劳动安全保障；购买保险。注重文明作业，安全操作，作业时发生任何安全事故均由成交供应商负责并承担一切责任。</w:t>
      </w:r>
    </w:p>
    <w:p w14:paraId="464967EF">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2、因成交供应商管理不善或操作不当等原因造成的一切安全事故并对采购人、成交供应商或第三方造成人身、财产损害的。由成交供应商承担全部责任并负责善后处理，政府概不承担任何责任。</w:t>
      </w:r>
    </w:p>
    <w:p w14:paraId="5E063712">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4、实行退出机制。成交供应商在承包期内违反下列条款的，采购人将无条件终止合同，由此产生的经济损失，由成交供应商自行承担：</w:t>
      </w:r>
    </w:p>
    <w:p w14:paraId="79F9FD68">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4.1严重违反国家法律法规和政策的。</w:t>
      </w:r>
    </w:p>
    <w:p w14:paraId="212201FF">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4.2严重违反各项管理制度，经采购人就同一问题发出整改通知三次，仍不合格的。</w:t>
      </w:r>
    </w:p>
    <w:p w14:paraId="127134C7">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4.3违反劳动纪律、法规或规章，不能妥善解决与服务人员之间劳资争议并造成恶劣影响的。</w:t>
      </w:r>
    </w:p>
    <w:p w14:paraId="2CF4CEBA">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4.4在工作中，发生恶性服务质量事件，给采购人等造成重大经济损失，严重影响采购人声誉的（两次连续在新闻媒体曝光、有关行政部门公开点名批评、因同一事件被投诉三次以上的)。</w:t>
      </w:r>
    </w:p>
    <w:p w14:paraId="0A98DB73">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4.5成交供应商必须遵循“整体运作、统一管理、薪金到人、意外险到人”的原则，如果发现拆整分包或整体转包，违规操作，经查属实的。</w:t>
      </w:r>
    </w:p>
    <w:p w14:paraId="77E55A90">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4.6成交供应商无正当理由中途终止合同的。</w:t>
      </w:r>
    </w:p>
    <w:p w14:paraId="3BAA9AAF">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5、本项目采用费用包干方式，一旦中标，在项目实施中出现任何遗漏，均由成交供应商免费提供，采购人不再支付任何费用。</w:t>
      </w:r>
    </w:p>
    <w:p w14:paraId="6431975D">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6、本项目采购人不组织现场踏勘，供应商需自行踏勘现场的，有关费用自理，踏勘期间发生的意外自负。</w:t>
      </w:r>
    </w:p>
    <w:p w14:paraId="05DC85E3">
      <w:pPr>
        <w:keepNext w:val="0"/>
        <w:keepLines w:val="0"/>
        <w:pageBreakBefore w:val="0"/>
        <w:widowControl w:val="0"/>
        <w:kinsoku/>
        <w:wordWrap/>
        <w:overflowPunct/>
        <w:topLinePunct w:val="0"/>
        <w:bidi w:val="0"/>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对于上述项目要求，供应商应在投标文件中进行回应，做出承诺及说明。</w:t>
      </w:r>
    </w:p>
    <w:p w14:paraId="3BE0D62C">
      <w:pPr>
        <w:rPr>
          <w:rFonts w:hint="eastAsia"/>
          <w:sz w:val="24"/>
          <w:szCs w:val="24"/>
          <w:lang w:val="en-US" w:eastAsia="zh-CN"/>
        </w:rPr>
      </w:pPr>
      <w:r>
        <w:rPr>
          <w:rFonts w:hint="eastAsia"/>
          <w:sz w:val="24"/>
          <w:szCs w:val="24"/>
          <w:lang w:val="en-US" w:eastAsia="zh-CN"/>
        </w:rPr>
        <w:br w:type="page"/>
      </w:r>
    </w:p>
    <w:p w14:paraId="6368849C">
      <w:pPr>
        <w:pStyle w:val="18"/>
        <w:jc w:val="both"/>
        <w:rPr>
          <w:rFonts w:hint="eastAsia"/>
          <w:sz w:val="24"/>
          <w:szCs w:val="24"/>
          <w:lang w:val="en-US" w:eastAsia="zh-CN"/>
        </w:rPr>
      </w:pPr>
      <w:r>
        <w:rPr>
          <w:rFonts w:hint="eastAsia"/>
          <w:sz w:val="24"/>
          <w:szCs w:val="24"/>
          <w:lang w:val="en-US" w:eastAsia="zh-CN"/>
        </w:rPr>
        <w:t>附件一：</w:t>
      </w:r>
    </w:p>
    <w:p w14:paraId="7553CDF5">
      <w:pPr>
        <w:pStyle w:val="18"/>
        <w:jc w:val="center"/>
        <w:rPr>
          <w:rStyle w:val="10"/>
          <w:rFonts w:hint="eastAsia" w:ascii="宋体" w:hAnsi="宋体" w:eastAsia="宋体" w:cs="宋体"/>
          <w:b/>
          <w:bCs/>
          <w:sz w:val="44"/>
          <w:szCs w:val="44"/>
        </w:rPr>
      </w:pPr>
      <w:r>
        <w:rPr>
          <w:rStyle w:val="10"/>
          <w:rFonts w:hint="eastAsia" w:ascii="宋体" w:hAnsi="宋体" w:eastAsia="宋体" w:cs="宋体"/>
          <w:b/>
          <w:bCs/>
          <w:sz w:val="44"/>
          <w:szCs w:val="44"/>
        </w:rPr>
        <w:t>考 核 标 准</w:t>
      </w:r>
    </w:p>
    <w:p w14:paraId="4183B7ED">
      <w:pPr>
        <w:pStyle w:val="20"/>
        <w:jc w:val="center"/>
        <w:rPr>
          <w:rStyle w:val="10"/>
          <w:rFonts w:hint="eastAsia" w:ascii="宋体" w:hAnsi="宋体" w:eastAsia="宋体" w:cs="宋体"/>
          <w:sz w:val="24"/>
          <w:szCs w:val="22"/>
        </w:rPr>
      </w:pPr>
      <w:r>
        <w:rPr>
          <w:rStyle w:val="10"/>
          <w:rFonts w:hint="eastAsia" w:ascii="宋体" w:hAnsi="宋体" w:eastAsia="宋体" w:cs="宋体"/>
          <w:szCs w:val="22"/>
        </w:rPr>
        <w:t xml:space="preserve"> </w:t>
      </w:r>
    </w:p>
    <w:tbl>
      <w:tblPr>
        <w:tblStyle w:val="9"/>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176"/>
        <w:gridCol w:w="3215"/>
        <w:gridCol w:w="1105"/>
        <w:gridCol w:w="1260"/>
      </w:tblGrid>
      <w:tr w14:paraId="2EA5A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3DB05E3C">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序号</w:t>
            </w:r>
          </w:p>
        </w:tc>
        <w:tc>
          <w:tcPr>
            <w:tcW w:w="3176" w:type="dxa"/>
            <w:tcBorders>
              <w:top w:val="single" w:color="auto" w:sz="4" w:space="0"/>
              <w:left w:val="nil"/>
              <w:bottom w:val="single" w:color="auto" w:sz="4" w:space="0"/>
              <w:right w:val="single" w:color="auto" w:sz="4" w:space="0"/>
            </w:tcBorders>
            <w:noWrap w:val="0"/>
            <w:vAlign w:val="center"/>
          </w:tcPr>
          <w:p w14:paraId="79DE10E7">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考核内容</w:t>
            </w:r>
          </w:p>
        </w:tc>
        <w:tc>
          <w:tcPr>
            <w:tcW w:w="3215" w:type="dxa"/>
            <w:tcBorders>
              <w:top w:val="single" w:color="auto" w:sz="4" w:space="0"/>
              <w:left w:val="nil"/>
              <w:bottom w:val="single" w:color="auto" w:sz="4" w:space="0"/>
              <w:right w:val="single" w:color="auto" w:sz="4" w:space="0"/>
            </w:tcBorders>
            <w:noWrap w:val="0"/>
            <w:vAlign w:val="center"/>
          </w:tcPr>
          <w:p w14:paraId="5F78ED89">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评分细则</w:t>
            </w:r>
          </w:p>
        </w:tc>
        <w:tc>
          <w:tcPr>
            <w:tcW w:w="1105" w:type="dxa"/>
            <w:tcBorders>
              <w:top w:val="single" w:color="auto" w:sz="4" w:space="0"/>
              <w:left w:val="nil"/>
              <w:bottom w:val="single" w:color="auto" w:sz="4" w:space="0"/>
              <w:right w:val="single" w:color="auto" w:sz="4" w:space="0"/>
            </w:tcBorders>
            <w:noWrap w:val="0"/>
            <w:vAlign w:val="center"/>
          </w:tcPr>
          <w:p w14:paraId="3C3ABE32">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监督情况</w:t>
            </w:r>
          </w:p>
        </w:tc>
        <w:tc>
          <w:tcPr>
            <w:tcW w:w="1260" w:type="dxa"/>
            <w:tcBorders>
              <w:top w:val="single" w:color="auto" w:sz="4" w:space="0"/>
              <w:left w:val="nil"/>
              <w:bottom w:val="single" w:color="auto" w:sz="4" w:space="0"/>
              <w:right w:val="single" w:color="auto" w:sz="4" w:space="0"/>
            </w:tcBorders>
            <w:noWrap w:val="0"/>
            <w:vAlign w:val="center"/>
          </w:tcPr>
          <w:p w14:paraId="40B679F6">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事项备注</w:t>
            </w:r>
          </w:p>
        </w:tc>
      </w:tr>
      <w:tr w14:paraId="1FDCE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1C101A64">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1</w:t>
            </w:r>
          </w:p>
        </w:tc>
        <w:tc>
          <w:tcPr>
            <w:tcW w:w="3176" w:type="dxa"/>
            <w:tcBorders>
              <w:top w:val="single" w:color="auto" w:sz="4" w:space="0"/>
              <w:left w:val="nil"/>
              <w:bottom w:val="single" w:color="auto" w:sz="4" w:space="0"/>
              <w:right w:val="single" w:color="auto" w:sz="4" w:space="0"/>
            </w:tcBorders>
            <w:noWrap w:val="0"/>
            <w:vAlign w:val="center"/>
          </w:tcPr>
          <w:p w14:paraId="52B451BD">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接到分派任务时，人员及设备未按规定时间到达现场，应急任务接到通知后1小时内未到达现场</w:t>
            </w:r>
          </w:p>
        </w:tc>
        <w:tc>
          <w:tcPr>
            <w:tcW w:w="3215" w:type="dxa"/>
            <w:tcBorders>
              <w:top w:val="single" w:color="auto" w:sz="4" w:space="0"/>
              <w:left w:val="nil"/>
              <w:bottom w:val="single" w:color="auto" w:sz="4" w:space="0"/>
              <w:right w:val="single" w:color="auto" w:sz="4" w:space="0"/>
            </w:tcBorders>
            <w:noWrap w:val="0"/>
            <w:vAlign w:val="center"/>
          </w:tcPr>
          <w:p w14:paraId="4BE66BE7">
            <w:pPr>
              <w:pStyle w:val="22"/>
              <w:jc w:val="center"/>
              <w:rPr>
                <w:rStyle w:val="10"/>
                <w:rFonts w:hint="eastAsia" w:ascii="宋体" w:hAnsi="宋体" w:eastAsia="宋体" w:cs="宋体"/>
                <w:color w:val="000000"/>
                <w:sz w:val="24"/>
                <w:szCs w:val="22"/>
              </w:rPr>
            </w:pPr>
            <w:r>
              <w:rPr>
                <w:rStyle w:val="10"/>
                <w:rFonts w:hint="eastAsia" w:ascii="宋体" w:hAnsi="宋体" w:eastAsia="宋体" w:cs="宋体"/>
                <w:color w:val="000000"/>
                <w:szCs w:val="22"/>
              </w:rPr>
              <w:t>合格记“√”</w:t>
            </w:r>
          </w:p>
          <w:p w14:paraId="2438753F">
            <w:pPr>
              <w:pStyle w:val="22"/>
              <w:jc w:val="center"/>
              <w:rPr>
                <w:rStyle w:val="10"/>
                <w:rFonts w:hint="eastAsia" w:ascii="宋体" w:hAnsi="宋体" w:eastAsia="宋体" w:cs="宋体"/>
                <w:sz w:val="24"/>
                <w:szCs w:val="22"/>
              </w:rPr>
            </w:pPr>
            <w:r>
              <w:rPr>
                <w:rStyle w:val="10"/>
                <w:rFonts w:hint="eastAsia" w:ascii="宋体" w:hAnsi="宋体" w:eastAsia="宋体" w:cs="宋体"/>
                <w:color w:val="000000"/>
                <w:szCs w:val="22"/>
              </w:rPr>
              <w:t>在规定 时间超过半小时未到位，扣发200元/次，超过1个小时以上，扣发500元/次，并且采购人有权选择其它中标单位</w:t>
            </w:r>
          </w:p>
        </w:tc>
        <w:tc>
          <w:tcPr>
            <w:tcW w:w="1105" w:type="dxa"/>
            <w:tcBorders>
              <w:top w:val="single" w:color="auto" w:sz="4" w:space="0"/>
              <w:left w:val="nil"/>
              <w:bottom w:val="single" w:color="auto" w:sz="4" w:space="0"/>
              <w:right w:val="single" w:color="auto" w:sz="4" w:space="0"/>
            </w:tcBorders>
            <w:noWrap w:val="0"/>
            <w:vAlign w:val="center"/>
          </w:tcPr>
          <w:p w14:paraId="0F5366AB">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1F4F8C52">
            <w:pPr>
              <w:pStyle w:val="22"/>
              <w:jc w:val="center"/>
              <w:rPr>
                <w:rStyle w:val="10"/>
                <w:rFonts w:hint="eastAsia" w:ascii="宋体" w:hAnsi="宋体" w:eastAsia="宋体" w:cs="宋体"/>
                <w:sz w:val="24"/>
                <w:szCs w:val="22"/>
              </w:rPr>
            </w:pPr>
          </w:p>
        </w:tc>
      </w:tr>
      <w:tr w14:paraId="0DFEC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13BB8BD5">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2</w:t>
            </w:r>
          </w:p>
        </w:tc>
        <w:tc>
          <w:tcPr>
            <w:tcW w:w="3176" w:type="dxa"/>
            <w:tcBorders>
              <w:top w:val="single" w:color="auto" w:sz="4" w:space="0"/>
              <w:left w:val="nil"/>
              <w:bottom w:val="single" w:color="auto" w:sz="4" w:space="0"/>
              <w:right w:val="single" w:color="auto" w:sz="4" w:space="0"/>
            </w:tcBorders>
            <w:noWrap w:val="0"/>
            <w:vAlign w:val="center"/>
          </w:tcPr>
          <w:p w14:paraId="75C1AE47">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现场</w:t>
            </w:r>
            <w:r>
              <w:rPr>
                <w:rStyle w:val="10"/>
                <w:rFonts w:hint="eastAsia" w:ascii="宋体" w:hAnsi="宋体" w:cs="宋体"/>
                <w:szCs w:val="22"/>
                <w:lang w:eastAsia="zh-CN"/>
              </w:rPr>
              <w:t>工作</w:t>
            </w:r>
            <w:r>
              <w:rPr>
                <w:rStyle w:val="10"/>
                <w:rFonts w:hint="eastAsia" w:ascii="宋体" w:hAnsi="宋体" w:eastAsia="宋体" w:cs="宋体"/>
                <w:szCs w:val="22"/>
              </w:rPr>
              <w:t>人员着装整齐，穿着统一标志反光背心，配戴安全帽，工作规范，作风严谨</w:t>
            </w:r>
          </w:p>
        </w:tc>
        <w:tc>
          <w:tcPr>
            <w:tcW w:w="3215" w:type="dxa"/>
            <w:tcBorders>
              <w:top w:val="single" w:color="auto" w:sz="4" w:space="0"/>
              <w:left w:val="nil"/>
              <w:bottom w:val="single" w:color="auto" w:sz="4" w:space="0"/>
              <w:right w:val="single" w:color="auto" w:sz="4" w:space="0"/>
            </w:tcBorders>
            <w:noWrap w:val="0"/>
            <w:vAlign w:val="center"/>
          </w:tcPr>
          <w:p w14:paraId="4DFD3730">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49225F08">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出现一人次未统一标志，未配载安全帽或穿拖鞋，赤足者扣发100元/人次，视情况严重可劝退该名员工</w:t>
            </w:r>
          </w:p>
        </w:tc>
        <w:tc>
          <w:tcPr>
            <w:tcW w:w="1105" w:type="dxa"/>
            <w:tcBorders>
              <w:top w:val="single" w:color="auto" w:sz="4" w:space="0"/>
              <w:left w:val="nil"/>
              <w:bottom w:val="single" w:color="auto" w:sz="4" w:space="0"/>
              <w:right w:val="single" w:color="auto" w:sz="4" w:space="0"/>
            </w:tcBorders>
            <w:noWrap w:val="0"/>
            <w:vAlign w:val="center"/>
          </w:tcPr>
          <w:p w14:paraId="3A39AEA6">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3CDCEF6B">
            <w:pPr>
              <w:pStyle w:val="22"/>
              <w:jc w:val="center"/>
              <w:rPr>
                <w:rStyle w:val="10"/>
                <w:rFonts w:hint="eastAsia" w:ascii="宋体" w:hAnsi="宋体" w:eastAsia="宋体" w:cs="宋体"/>
                <w:sz w:val="24"/>
                <w:szCs w:val="22"/>
              </w:rPr>
            </w:pPr>
          </w:p>
        </w:tc>
      </w:tr>
      <w:tr w14:paraId="36586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541A3C0A">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3</w:t>
            </w:r>
          </w:p>
        </w:tc>
        <w:tc>
          <w:tcPr>
            <w:tcW w:w="3176" w:type="dxa"/>
            <w:tcBorders>
              <w:top w:val="single" w:color="auto" w:sz="4" w:space="0"/>
              <w:left w:val="nil"/>
              <w:bottom w:val="single" w:color="auto" w:sz="4" w:space="0"/>
              <w:right w:val="single" w:color="auto" w:sz="4" w:space="0"/>
            </w:tcBorders>
            <w:noWrap w:val="0"/>
            <w:vAlign w:val="center"/>
          </w:tcPr>
          <w:p w14:paraId="1F7FB88F">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现场必须安排项目负责人进行现场指挥，监督和管理</w:t>
            </w:r>
          </w:p>
        </w:tc>
        <w:tc>
          <w:tcPr>
            <w:tcW w:w="3215" w:type="dxa"/>
            <w:tcBorders>
              <w:top w:val="single" w:color="auto" w:sz="4" w:space="0"/>
              <w:left w:val="nil"/>
              <w:bottom w:val="single" w:color="auto" w:sz="4" w:space="0"/>
              <w:right w:val="single" w:color="auto" w:sz="4" w:space="0"/>
            </w:tcBorders>
            <w:noWrap w:val="0"/>
            <w:vAlign w:val="center"/>
          </w:tcPr>
          <w:p w14:paraId="53852FFE">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合格记“√”，未安排现场管理人员，扣发500元/次</w:t>
            </w:r>
          </w:p>
        </w:tc>
        <w:tc>
          <w:tcPr>
            <w:tcW w:w="1105" w:type="dxa"/>
            <w:tcBorders>
              <w:top w:val="single" w:color="auto" w:sz="4" w:space="0"/>
              <w:left w:val="nil"/>
              <w:bottom w:val="single" w:color="auto" w:sz="4" w:space="0"/>
              <w:right w:val="single" w:color="auto" w:sz="4" w:space="0"/>
            </w:tcBorders>
            <w:noWrap w:val="0"/>
            <w:vAlign w:val="center"/>
          </w:tcPr>
          <w:p w14:paraId="16516F52">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7BE54F76">
            <w:pPr>
              <w:pStyle w:val="22"/>
              <w:jc w:val="center"/>
              <w:rPr>
                <w:rStyle w:val="10"/>
                <w:rFonts w:hint="eastAsia" w:ascii="宋体" w:hAnsi="宋体" w:eastAsia="宋体" w:cs="宋体"/>
                <w:sz w:val="24"/>
                <w:szCs w:val="22"/>
              </w:rPr>
            </w:pPr>
          </w:p>
        </w:tc>
      </w:tr>
      <w:tr w14:paraId="7399A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008A9608">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4</w:t>
            </w:r>
          </w:p>
        </w:tc>
        <w:tc>
          <w:tcPr>
            <w:tcW w:w="3176" w:type="dxa"/>
            <w:tcBorders>
              <w:top w:val="single" w:color="auto" w:sz="4" w:space="0"/>
              <w:left w:val="nil"/>
              <w:bottom w:val="single" w:color="auto" w:sz="4" w:space="0"/>
              <w:right w:val="single" w:color="auto" w:sz="4" w:space="0"/>
            </w:tcBorders>
            <w:noWrap w:val="0"/>
            <w:vAlign w:val="center"/>
          </w:tcPr>
          <w:p w14:paraId="365906EF">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所到场设备必须标识清晰，严格按采购人派遣规定的设备型号调配设备，填写 好设备清单表，严禁增开、虚开设备型号和台次</w:t>
            </w:r>
          </w:p>
        </w:tc>
        <w:tc>
          <w:tcPr>
            <w:tcW w:w="3215" w:type="dxa"/>
            <w:tcBorders>
              <w:top w:val="single" w:color="auto" w:sz="4" w:space="0"/>
              <w:left w:val="nil"/>
              <w:bottom w:val="single" w:color="auto" w:sz="4" w:space="0"/>
              <w:right w:val="single" w:color="auto" w:sz="4" w:space="0"/>
            </w:tcBorders>
            <w:noWrap w:val="0"/>
            <w:vAlign w:val="center"/>
          </w:tcPr>
          <w:p w14:paraId="25ED40A3">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6AA32F04">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所到场 设备陈旧，标识模糊不清，扣发500元/.次，发现增开、虚开到场设备台次或型号，取消当次 到场设备台班费用并扣发2000元/次。</w:t>
            </w:r>
          </w:p>
        </w:tc>
        <w:tc>
          <w:tcPr>
            <w:tcW w:w="1105" w:type="dxa"/>
            <w:tcBorders>
              <w:top w:val="single" w:color="auto" w:sz="4" w:space="0"/>
              <w:left w:val="nil"/>
              <w:bottom w:val="single" w:color="auto" w:sz="4" w:space="0"/>
              <w:right w:val="single" w:color="auto" w:sz="4" w:space="0"/>
            </w:tcBorders>
            <w:noWrap w:val="0"/>
            <w:vAlign w:val="center"/>
          </w:tcPr>
          <w:p w14:paraId="74AC3014">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24E70BE0">
            <w:pPr>
              <w:pStyle w:val="22"/>
              <w:jc w:val="center"/>
              <w:rPr>
                <w:rStyle w:val="10"/>
                <w:rFonts w:hint="eastAsia" w:ascii="宋体" w:hAnsi="宋体" w:eastAsia="宋体" w:cs="宋体"/>
                <w:sz w:val="24"/>
                <w:szCs w:val="22"/>
              </w:rPr>
            </w:pPr>
          </w:p>
        </w:tc>
      </w:tr>
      <w:tr w14:paraId="30C0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63232DE2">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5</w:t>
            </w:r>
          </w:p>
        </w:tc>
        <w:tc>
          <w:tcPr>
            <w:tcW w:w="3176" w:type="dxa"/>
            <w:tcBorders>
              <w:top w:val="single" w:color="auto" w:sz="4" w:space="0"/>
              <w:left w:val="nil"/>
              <w:bottom w:val="single" w:color="auto" w:sz="4" w:space="0"/>
              <w:right w:val="single" w:color="auto" w:sz="4" w:space="0"/>
            </w:tcBorders>
            <w:noWrap w:val="0"/>
            <w:vAlign w:val="center"/>
          </w:tcPr>
          <w:p w14:paraId="31AB67F7">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所派劳务民工年龄18－55周岁，五官端正，身体健康，无传染性疾病，</w:t>
            </w:r>
            <w:r>
              <w:rPr>
                <w:rStyle w:val="10"/>
                <w:rFonts w:hint="eastAsia" w:ascii="宋体" w:hAnsi="宋体" w:eastAsia="宋体" w:cs="宋体"/>
                <w:szCs w:val="21"/>
              </w:rPr>
              <w:t>持有健康证，</w:t>
            </w:r>
            <w:r>
              <w:rPr>
                <w:rStyle w:val="10"/>
                <w:rFonts w:hint="eastAsia" w:ascii="宋体" w:hAnsi="宋体" w:eastAsia="宋体" w:cs="宋体"/>
                <w:szCs w:val="22"/>
              </w:rPr>
              <w:t>无违法犯罪记录，服从指挥，听从安排，安全操作，举止文明</w:t>
            </w:r>
          </w:p>
        </w:tc>
        <w:tc>
          <w:tcPr>
            <w:tcW w:w="3215" w:type="dxa"/>
            <w:tcBorders>
              <w:top w:val="single" w:color="auto" w:sz="4" w:space="0"/>
              <w:left w:val="nil"/>
              <w:bottom w:val="single" w:color="auto" w:sz="4" w:space="0"/>
              <w:right w:val="single" w:color="auto" w:sz="4" w:space="0"/>
            </w:tcBorders>
            <w:noWrap w:val="0"/>
            <w:vAlign w:val="center"/>
          </w:tcPr>
          <w:p w14:paraId="6C1B1AB1">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328D544C">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发现一例不合格，或不听从安排的，扣发200元/人次，视情况                      严重程度责令中标单位劝退该员工 。</w:t>
            </w:r>
          </w:p>
        </w:tc>
        <w:tc>
          <w:tcPr>
            <w:tcW w:w="1105" w:type="dxa"/>
            <w:tcBorders>
              <w:top w:val="single" w:color="auto" w:sz="4" w:space="0"/>
              <w:left w:val="nil"/>
              <w:bottom w:val="single" w:color="auto" w:sz="4" w:space="0"/>
              <w:right w:val="single" w:color="auto" w:sz="4" w:space="0"/>
            </w:tcBorders>
            <w:noWrap w:val="0"/>
            <w:vAlign w:val="center"/>
          </w:tcPr>
          <w:p w14:paraId="1DA09DB7">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5B5E53CE">
            <w:pPr>
              <w:pStyle w:val="22"/>
              <w:jc w:val="center"/>
              <w:rPr>
                <w:rStyle w:val="10"/>
                <w:rFonts w:hint="eastAsia" w:ascii="宋体" w:hAnsi="宋体" w:eastAsia="宋体" w:cs="宋体"/>
                <w:sz w:val="24"/>
                <w:szCs w:val="22"/>
              </w:rPr>
            </w:pPr>
          </w:p>
        </w:tc>
      </w:tr>
      <w:tr w14:paraId="37ADD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5A81D1D1">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6</w:t>
            </w:r>
          </w:p>
        </w:tc>
        <w:tc>
          <w:tcPr>
            <w:tcW w:w="3176" w:type="dxa"/>
            <w:tcBorders>
              <w:top w:val="single" w:color="auto" w:sz="4" w:space="0"/>
              <w:left w:val="nil"/>
              <w:bottom w:val="single" w:color="auto" w:sz="4" w:space="0"/>
              <w:right w:val="single" w:color="auto" w:sz="4" w:space="0"/>
            </w:tcBorders>
            <w:noWrap w:val="0"/>
            <w:vAlign w:val="center"/>
          </w:tcPr>
          <w:p w14:paraId="447C7917">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现场工作员工必须填写员工签到表，作业期间 必须每时段拍摄作业照片，时间节点必须有记录，严禁虚报员工人数</w:t>
            </w:r>
          </w:p>
        </w:tc>
        <w:tc>
          <w:tcPr>
            <w:tcW w:w="3215" w:type="dxa"/>
            <w:tcBorders>
              <w:top w:val="single" w:color="auto" w:sz="4" w:space="0"/>
              <w:left w:val="nil"/>
              <w:bottom w:val="single" w:color="auto" w:sz="4" w:space="0"/>
              <w:right w:val="single" w:color="auto" w:sz="4" w:space="0"/>
            </w:tcBorders>
            <w:noWrap w:val="0"/>
            <w:vAlign w:val="center"/>
          </w:tcPr>
          <w:p w14:paraId="3F3BC314">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29A86F6A">
            <w:pPr>
              <w:pStyle w:val="22"/>
              <w:jc w:val="center"/>
              <w:rPr>
                <w:rStyle w:val="10"/>
                <w:rFonts w:hint="eastAsia" w:ascii="宋体" w:hAnsi="宋体" w:eastAsia="宋体" w:cs="宋体"/>
                <w:szCs w:val="22"/>
              </w:rPr>
            </w:pPr>
            <w:r>
              <w:rPr>
                <w:rStyle w:val="10"/>
                <w:rFonts w:hint="eastAsia" w:ascii="宋体" w:hAnsi="宋体" w:eastAsia="宋体" w:cs="宋体"/>
                <w:szCs w:val="22"/>
              </w:rPr>
              <w:t>发现虚报员工人数或不按规定安排作业员工，扣发500元/人次。</w:t>
            </w:r>
          </w:p>
          <w:p w14:paraId="354CE305">
            <w:pPr>
              <w:pStyle w:val="22"/>
              <w:jc w:val="center"/>
              <w:rPr>
                <w:rStyle w:val="10"/>
                <w:rFonts w:hint="eastAsia" w:ascii="宋体" w:hAnsi="宋体" w:eastAsia="宋体" w:cs="宋体"/>
                <w:sz w:val="24"/>
                <w:szCs w:val="22"/>
              </w:rPr>
            </w:pPr>
          </w:p>
        </w:tc>
        <w:tc>
          <w:tcPr>
            <w:tcW w:w="1105" w:type="dxa"/>
            <w:tcBorders>
              <w:top w:val="single" w:color="auto" w:sz="4" w:space="0"/>
              <w:left w:val="nil"/>
              <w:bottom w:val="single" w:color="auto" w:sz="4" w:space="0"/>
              <w:right w:val="single" w:color="auto" w:sz="4" w:space="0"/>
            </w:tcBorders>
            <w:noWrap w:val="0"/>
            <w:vAlign w:val="center"/>
          </w:tcPr>
          <w:p w14:paraId="5D4A4002">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2B8D7C67">
            <w:pPr>
              <w:pStyle w:val="22"/>
              <w:jc w:val="center"/>
              <w:rPr>
                <w:rStyle w:val="10"/>
                <w:rFonts w:hint="eastAsia" w:ascii="宋体" w:hAnsi="宋体" w:eastAsia="宋体" w:cs="宋体"/>
                <w:sz w:val="24"/>
                <w:szCs w:val="22"/>
              </w:rPr>
            </w:pPr>
          </w:p>
        </w:tc>
      </w:tr>
      <w:tr w14:paraId="3207A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0874A7F3">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7</w:t>
            </w:r>
          </w:p>
        </w:tc>
        <w:tc>
          <w:tcPr>
            <w:tcW w:w="3176" w:type="dxa"/>
            <w:tcBorders>
              <w:top w:val="single" w:color="auto" w:sz="4" w:space="0"/>
              <w:left w:val="nil"/>
              <w:bottom w:val="single" w:color="auto" w:sz="4" w:space="0"/>
              <w:right w:val="single" w:color="auto" w:sz="4" w:space="0"/>
            </w:tcBorders>
            <w:noWrap w:val="0"/>
            <w:vAlign w:val="center"/>
          </w:tcPr>
          <w:p w14:paraId="2E788607">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现场工作人员积极配合现场施工，严禁与第三方人员发生冲突</w:t>
            </w:r>
          </w:p>
        </w:tc>
        <w:tc>
          <w:tcPr>
            <w:tcW w:w="3215" w:type="dxa"/>
            <w:tcBorders>
              <w:top w:val="single" w:color="auto" w:sz="4" w:space="0"/>
              <w:left w:val="nil"/>
              <w:bottom w:val="single" w:color="auto" w:sz="4" w:space="0"/>
              <w:right w:val="single" w:color="auto" w:sz="4" w:space="0"/>
            </w:tcBorders>
            <w:noWrap w:val="0"/>
            <w:vAlign w:val="center"/>
          </w:tcPr>
          <w:p w14:paraId="74039A1A">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5D047E78">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发现有人与第三方人员发生冲突，扣发500元/人次，情节严重可追究其相关法律责任。</w:t>
            </w:r>
          </w:p>
        </w:tc>
        <w:tc>
          <w:tcPr>
            <w:tcW w:w="1105" w:type="dxa"/>
            <w:tcBorders>
              <w:top w:val="single" w:color="auto" w:sz="4" w:space="0"/>
              <w:left w:val="nil"/>
              <w:bottom w:val="single" w:color="auto" w:sz="4" w:space="0"/>
              <w:right w:val="single" w:color="auto" w:sz="4" w:space="0"/>
            </w:tcBorders>
            <w:noWrap w:val="0"/>
            <w:vAlign w:val="center"/>
          </w:tcPr>
          <w:p w14:paraId="64B321B8">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71E77D38">
            <w:pPr>
              <w:pStyle w:val="22"/>
              <w:jc w:val="center"/>
              <w:rPr>
                <w:rStyle w:val="10"/>
                <w:rFonts w:hint="eastAsia" w:ascii="宋体" w:hAnsi="宋体" w:eastAsia="宋体" w:cs="宋体"/>
                <w:sz w:val="24"/>
                <w:szCs w:val="22"/>
              </w:rPr>
            </w:pPr>
          </w:p>
        </w:tc>
      </w:tr>
      <w:tr w14:paraId="5725E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463D9CB2">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8</w:t>
            </w:r>
          </w:p>
        </w:tc>
        <w:tc>
          <w:tcPr>
            <w:tcW w:w="3176" w:type="dxa"/>
            <w:tcBorders>
              <w:top w:val="single" w:color="auto" w:sz="4" w:space="0"/>
              <w:left w:val="nil"/>
              <w:bottom w:val="single" w:color="auto" w:sz="4" w:space="0"/>
              <w:right w:val="single" w:color="auto" w:sz="4" w:space="0"/>
            </w:tcBorders>
            <w:noWrap w:val="0"/>
            <w:vAlign w:val="center"/>
          </w:tcPr>
          <w:p w14:paraId="786036D1">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现场施工必须严格安全操作规程，切实做好安全防范措施，严禁野蛮施工</w:t>
            </w:r>
          </w:p>
        </w:tc>
        <w:tc>
          <w:tcPr>
            <w:tcW w:w="3215" w:type="dxa"/>
            <w:tcBorders>
              <w:top w:val="single" w:color="auto" w:sz="4" w:space="0"/>
              <w:left w:val="nil"/>
              <w:bottom w:val="single" w:color="auto" w:sz="4" w:space="0"/>
              <w:right w:val="single" w:color="auto" w:sz="4" w:space="0"/>
            </w:tcBorders>
            <w:noWrap w:val="0"/>
            <w:vAlign w:val="center"/>
          </w:tcPr>
          <w:p w14:paraId="4CA891DE">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合格记“√”</w:t>
            </w:r>
          </w:p>
          <w:p w14:paraId="0094B026">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发现现场安全措施不到位，不守安全操作规程，动作 蛮 干者，扣发500元/次，严格做到安全措施不到位，不许施工作业。</w:t>
            </w:r>
          </w:p>
        </w:tc>
        <w:tc>
          <w:tcPr>
            <w:tcW w:w="1105" w:type="dxa"/>
            <w:tcBorders>
              <w:top w:val="single" w:color="auto" w:sz="4" w:space="0"/>
              <w:left w:val="nil"/>
              <w:bottom w:val="single" w:color="auto" w:sz="4" w:space="0"/>
              <w:right w:val="single" w:color="auto" w:sz="4" w:space="0"/>
            </w:tcBorders>
            <w:noWrap w:val="0"/>
            <w:vAlign w:val="center"/>
          </w:tcPr>
          <w:p w14:paraId="6E08CB7B">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6118BACA">
            <w:pPr>
              <w:pStyle w:val="22"/>
              <w:jc w:val="center"/>
              <w:rPr>
                <w:rStyle w:val="10"/>
                <w:rFonts w:hint="eastAsia" w:ascii="宋体" w:hAnsi="宋体" w:eastAsia="宋体" w:cs="宋体"/>
                <w:sz w:val="24"/>
                <w:szCs w:val="22"/>
              </w:rPr>
            </w:pPr>
          </w:p>
        </w:tc>
      </w:tr>
      <w:tr w14:paraId="728F7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6B811FBB">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9</w:t>
            </w:r>
          </w:p>
        </w:tc>
        <w:tc>
          <w:tcPr>
            <w:tcW w:w="3176" w:type="dxa"/>
            <w:tcBorders>
              <w:top w:val="single" w:color="auto" w:sz="4" w:space="0"/>
              <w:left w:val="nil"/>
              <w:bottom w:val="single" w:color="auto" w:sz="4" w:space="0"/>
              <w:right w:val="single" w:color="auto" w:sz="4" w:space="0"/>
            </w:tcBorders>
            <w:noWrap w:val="0"/>
            <w:vAlign w:val="center"/>
          </w:tcPr>
          <w:p w14:paraId="68B0EAC8">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项目实施中未列明的考核事项</w:t>
            </w:r>
          </w:p>
        </w:tc>
        <w:tc>
          <w:tcPr>
            <w:tcW w:w="3215" w:type="dxa"/>
            <w:tcBorders>
              <w:top w:val="single" w:color="auto" w:sz="4" w:space="0"/>
              <w:left w:val="nil"/>
              <w:bottom w:val="single" w:color="auto" w:sz="4" w:space="0"/>
              <w:right w:val="single" w:color="auto" w:sz="4" w:space="0"/>
            </w:tcBorders>
            <w:noWrap w:val="0"/>
            <w:vAlign w:val="center"/>
          </w:tcPr>
          <w:p w14:paraId="76D464C3">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采购人可根据事由的严重程度对中标单位进行监督并实施扣发措施</w:t>
            </w:r>
          </w:p>
        </w:tc>
        <w:tc>
          <w:tcPr>
            <w:tcW w:w="1105" w:type="dxa"/>
            <w:tcBorders>
              <w:top w:val="single" w:color="auto" w:sz="4" w:space="0"/>
              <w:left w:val="nil"/>
              <w:bottom w:val="single" w:color="auto" w:sz="4" w:space="0"/>
              <w:right w:val="single" w:color="auto" w:sz="4" w:space="0"/>
            </w:tcBorders>
            <w:noWrap w:val="0"/>
            <w:vAlign w:val="center"/>
          </w:tcPr>
          <w:p w14:paraId="61F93CA5">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6DAD0E06">
            <w:pPr>
              <w:pStyle w:val="22"/>
              <w:jc w:val="center"/>
              <w:rPr>
                <w:rStyle w:val="10"/>
                <w:rFonts w:hint="eastAsia" w:ascii="宋体" w:hAnsi="宋体" w:eastAsia="宋体" w:cs="宋体"/>
                <w:sz w:val="24"/>
                <w:szCs w:val="22"/>
              </w:rPr>
            </w:pPr>
          </w:p>
        </w:tc>
      </w:tr>
      <w:tr w14:paraId="05233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noWrap w:val="0"/>
            <w:vAlign w:val="center"/>
          </w:tcPr>
          <w:p w14:paraId="07A05F86">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10</w:t>
            </w:r>
          </w:p>
        </w:tc>
        <w:tc>
          <w:tcPr>
            <w:tcW w:w="3176" w:type="dxa"/>
            <w:tcBorders>
              <w:top w:val="single" w:color="auto" w:sz="4" w:space="0"/>
              <w:left w:val="nil"/>
              <w:bottom w:val="single" w:color="auto" w:sz="4" w:space="0"/>
              <w:right w:val="single" w:color="auto" w:sz="4" w:space="0"/>
            </w:tcBorders>
            <w:noWrap w:val="0"/>
            <w:vAlign w:val="center"/>
          </w:tcPr>
          <w:p w14:paraId="428D6DB3">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项目实施中重大违规问题</w:t>
            </w:r>
          </w:p>
        </w:tc>
        <w:tc>
          <w:tcPr>
            <w:tcW w:w="3215" w:type="dxa"/>
            <w:tcBorders>
              <w:top w:val="single" w:color="auto" w:sz="4" w:space="0"/>
              <w:left w:val="nil"/>
              <w:bottom w:val="single" w:color="auto" w:sz="4" w:space="0"/>
              <w:right w:val="single" w:color="auto" w:sz="4" w:space="0"/>
            </w:tcBorders>
            <w:noWrap w:val="0"/>
            <w:vAlign w:val="center"/>
          </w:tcPr>
          <w:p w14:paraId="4877894B">
            <w:pPr>
              <w:pStyle w:val="22"/>
              <w:jc w:val="center"/>
              <w:rPr>
                <w:rStyle w:val="10"/>
                <w:rFonts w:hint="eastAsia" w:ascii="宋体" w:hAnsi="宋体" w:eastAsia="宋体" w:cs="宋体"/>
                <w:sz w:val="24"/>
                <w:szCs w:val="22"/>
              </w:rPr>
            </w:pPr>
            <w:r>
              <w:rPr>
                <w:rStyle w:val="10"/>
                <w:rFonts w:hint="eastAsia" w:ascii="宋体" w:hAnsi="宋体" w:eastAsia="宋体" w:cs="宋体"/>
                <w:szCs w:val="22"/>
              </w:rPr>
              <w:t>采购人可根据事由的严重性，可对中标单位加大实施扣发措施或并追究相应法律责任</w:t>
            </w:r>
          </w:p>
        </w:tc>
        <w:tc>
          <w:tcPr>
            <w:tcW w:w="1105" w:type="dxa"/>
            <w:tcBorders>
              <w:top w:val="single" w:color="auto" w:sz="4" w:space="0"/>
              <w:left w:val="nil"/>
              <w:bottom w:val="single" w:color="auto" w:sz="4" w:space="0"/>
              <w:right w:val="single" w:color="auto" w:sz="4" w:space="0"/>
            </w:tcBorders>
            <w:noWrap w:val="0"/>
            <w:vAlign w:val="center"/>
          </w:tcPr>
          <w:p w14:paraId="6AEC02EA">
            <w:pPr>
              <w:pStyle w:val="22"/>
              <w:jc w:val="center"/>
              <w:rPr>
                <w:rStyle w:val="10"/>
                <w:rFonts w:hint="eastAsia" w:ascii="宋体" w:hAnsi="宋体" w:eastAsia="宋体" w:cs="宋体"/>
                <w:sz w:val="24"/>
                <w:szCs w:val="22"/>
              </w:rPr>
            </w:pPr>
          </w:p>
        </w:tc>
        <w:tc>
          <w:tcPr>
            <w:tcW w:w="1260" w:type="dxa"/>
            <w:tcBorders>
              <w:top w:val="single" w:color="auto" w:sz="4" w:space="0"/>
              <w:left w:val="nil"/>
              <w:bottom w:val="single" w:color="auto" w:sz="4" w:space="0"/>
              <w:right w:val="single" w:color="auto" w:sz="4" w:space="0"/>
            </w:tcBorders>
            <w:noWrap w:val="0"/>
            <w:vAlign w:val="center"/>
          </w:tcPr>
          <w:p w14:paraId="38C97F75">
            <w:pPr>
              <w:pStyle w:val="22"/>
              <w:jc w:val="center"/>
              <w:rPr>
                <w:rStyle w:val="10"/>
                <w:rFonts w:hint="eastAsia" w:ascii="宋体" w:hAnsi="宋体" w:eastAsia="宋体" w:cs="宋体"/>
                <w:sz w:val="24"/>
                <w:szCs w:val="22"/>
              </w:rPr>
            </w:pPr>
          </w:p>
        </w:tc>
      </w:tr>
    </w:tbl>
    <w:p w14:paraId="70A55CB4">
      <w:pPr>
        <w:widowControl w:val="0"/>
        <w:spacing w:after="120"/>
        <w:ind w:left="0" w:leftChars="0" w:firstLine="0" w:firstLineChars="0"/>
        <w:jc w:val="both"/>
        <w:rPr>
          <w:rFonts w:hint="default" w:ascii="宋体" w:hAnsi="宋体" w:eastAsia="宋体" w:cs="Times New Roman"/>
          <w:kern w:val="2"/>
          <w:sz w:val="21"/>
          <w:szCs w:val="24"/>
          <w:lang w:val="en-US" w:eastAsia="zh-CN" w:bidi="ar-SA"/>
        </w:rPr>
      </w:pPr>
      <w:r>
        <w:rPr>
          <w:rStyle w:val="10"/>
          <w:rFonts w:hint="eastAsia" w:ascii="宋体" w:hAnsi="宋体" w:eastAsia="宋体" w:cs="宋体"/>
          <w:kern w:val="2"/>
          <w:sz w:val="21"/>
          <w:szCs w:val="22"/>
          <w:lang w:val="en-US" w:eastAsia="zh-CN" w:bidi="ar-SA"/>
        </w:rPr>
        <w:t xml:space="preserve">  该考核清单每月汇总，结算时严格扣除扣发款项，中标单位一个月内各项考评扣发在4次及以上，视为中标单位不履行信用条款，属违约行为，采购人有权终止合同。</w:t>
      </w:r>
    </w:p>
    <w:p w14:paraId="1069D598">
      <w:pPr>
        <w:pStyle w:val="11"/>
        <w:rPr>
          <w:rFonts w:hint="eastAsia"/>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E82D4A"/>
    <w:rsid w:val="4EBA32F4"/>
    <w:rsid w:val="75436159"/>
    <w:rsid w:val="7A4543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next w:val="3"/>
    <w:qFormat/>
    <w:uiPriority w:val="0"/>
    <w:pPr>
      <w:widowControl/>
      <w:ind w:firstLine="420"/>
      <w:jc w:val="left"/>
    </w:pPr>
    <w:rPr>
      <w:rFonts w:ascii="Times New Roman" w:hAnsi="Times New Roman" w:eastAsia="宋体" w:cs="Times New Roman"/>
      <w:kern w:val="0"/>
      <w:sz w:val="20"/>
      <w:szCs w:val="20"/>
      <w:lang w:val="en-US" w:eastAsia="zh-CN" w:bidi="ar-SA"/>
    </w:rPr>
  </w:style>
  <w:style w:type="paragraph" w:customStyle="1" w:styleId="3">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4">
    <w:name w:val="Body Text Indent"/>
    <w:basedOn w:val="1"/>
    <w:next w:val="5"/>
    <w:uiPriority w:val="0"/>
    <w:pPr>
      <w:widowControl w:val="0"/>
      <w:spacing w:after="120"/>
      <w:ind w:left="420" w:leftChars="200"/>
      <w:jc w:val="both"/>
    </w:pPr>
    <w:rPr>
      <w:rFonts w:ascii="Calibri" w:hAnsi="Calibri" w:eastAsia="宋体" w:cs="Times New Roman"/>
      <w:kern w:val="2"/>
      <w:sz w:val="24"/>
      <w:szCs w:val="20"/>
      <w:lang w:val="en-US" w:eastAsia="zh-CN" w:bidi="ar-SA"/>
    </w:rPr>
  </w:style>
  <w:style w:type="paragraph" w:styleId="5">
    <w:name w:val="Body Text Indent 2"/>
    <w:basedOn w:val="1"/>
    <w:next w:val="6"/>
    <w:uiPriority w:val="0"/>
    <w:pPr>
      <w:widowControl w:val="0"/>
      <w:spacing w:after="120" w:line="480" w:lineRule="auto"/>
      <w:ind w:left="420" w:leftChars="200"/>
      <w:jc w:val="both"/>
    </w:pPr>
    <w:rPr>
      <w:rFonts w:ascii="Calibri" w:hAnsi="Calibri" w:eastAsia="宋体" w:cs="Times New Roman"/>
      <w:kern w:val="2"/>
      <w:sz w:val="24"/>
      <w:szCs w:val="20"/>
      <w:lang w:val="en-US" w:eastAsia="zh-CN" w:bidi="ar-SA"/>
    </w:rPr>
  </w:style>
  <w:style w:type="paragraph" w:styleId="6">
    <w:name w:val="Date"/>
    <w:basedOn w:val="1"/>
    <w:next w:val="1"/>
    <w:qFormat/>
    <w:uiPriority w:val="0"/>
    <w:pPr>
      <w:widowControl w:val="0"/>
      <w:jc w:val="both"/>
    </w:pPr>
    <w:rPr>
      <w:rFonts w:ascii="Calibri" w:hAnsi="Calibri" w:eastAsia="宋体" w:cs="Times New Roman"/>
      <w:kern w:val="2"/>
      <w:sz w:val="24"/>
      <w:szCs w:val="20"/>
      <w:lang w:val="en-US" w:eastAsia="zh-CN" w:bidi="ar-SA"/>
    </w:rPr>
  </w:style>
  <w:style w:type="paragraph" w:styleId="7">
    <w:name w:val="Normal (Web)"/>
    <w:basedOn w:val="1"/>
    <w:qFormat/>
    <w:uiPriority w:val="99"/>
    <w:pPr>
      <w:spacing w:before="100" w:beforeAutospacing="1" w:after="100" w:afterAutospacing="1"/>
      <w:ind w:left="0" w:right="0"/>
      <w:jc w:val="left"/>
    </w:pPr>
    <w:rPr>
      <w:kern w:val="0"/>
      <w:sz w:val="24"/>
      <w:lang w:val="en-US" w:eastAsia="zh-CN" w:bidi="ar"/>
    </w:rPr>
  </w:style>
  <w:style w:type="paragraph" w:styleId="8">
    <w:name w:val="Body Text First Indent 2"/>
    <w:basedOn w:val="4"/>
    <w:next w:val="2"/>
    <w:qFormat/>
    <w:uiPriority w:val="0"/>
    <w:pPr>
      <w:widowControl/>
      <w:spacing w:after="120" w:afterLines="100" w:line="360" w:lineRule="auto"/>
      <w:ind w:left="200" w:leftChars="200" w:firstLine="210" w:firstLineChars="200"/>
      <w:jc w:val="left"/>
    </w:pPr>
    <w:rPr>
      <w:rFonts w:ascii="Calibri" w:hAnsi="Calibri" w:eastAsia="宋体" w:cs="Times New Roman"/>
      <w:kern w:val="28"/>
      <w:sz w:val="24"/>
      <w:szCs w:val="20"/>
      <w:lang w:val="zh-CN" w:eastAsia="zh-CN" w:bidi="ar-SA"/>
    </w:rPr>
  </w:style>
  <w:style w:type="paragraph" w:customStyle="1" w:styleId="11">
    <w:name w:val="正文文本_0"/>
    <w:basedOn w:val="12"/>
    <w:next w:val="12"/>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customStyle="1" w:styleId="12">
    <w:name w:val="正文_0"/>
    <w:next w:val="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_50"/>
    <w:next w:val="1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正文首行缩进 2_43"/>
    <w:basedOn w:val="15"/>
    <w:qFormat/>
    <w:uiPriority w:val="99"/>
    <w:pPr>
      <w:widowControl w:val="0"/>
      <w:autoSpaceDE w:val="0"/>
      <w:autoSpaceDN w:val="0"/>
      <w:adjustRightInd w:val="0"/>
      <w:spacing w:after="120"/>
      <w:ind w:left="420" w:leftChars="200"/>
      <w:jc w:val="left"/>
    </w:pPr>
    <w:rPr>
      <w:rFonts w:ascii="Times New Roman" w:hAnsi="Times New Roman" w:eastAsia="宋体" w:cs="Times New Roman"/>
      <w:kern w:val="2"/>
      <w:sz w:val="21"/>
      <w:szCs w:val="24"/>
      <w:lang w:val="en-US" w:eastAsia="zh-CN" w:bidi="ar-SA"/>
    </w:rPr>
  </w:style>
  <w:style w:type="paragraph" w:customStyle="1" w:styleId="15">
    <w:name w:val="正文文本缩进_44"/>
    <w:next w:val="16"/>
    <w:qFormat/>
    <w:uiPriority w:val="0"/>
    <w:pPr>
      <w:widowControl w:val="0"/>
      <w:spacing w:after="120"/>
      <w:ind w:left="420" w:leftChars="200"/>
      <w:jc w:val="both"/>
    </w:pPr>
    <w:rPr>
      <w:rFonts w:ascii="Times New Roman" w:hAnsi="Times New Roman" w:eastAsia="宋体" w:cs="Times New Roman"/>
      <w:kern w:val="2"/>
      <w:sz w:val="21"/>
      <w:szCs w:val="24"/>
      <w:lang w:val="en-US" w:eastAsia="zh-CN" w:bidi="ar-SA"/>
    </w:rPr>
  </w:style>
  <w:style w:type="paragraph" w:customStyle="1" w:styleId="16">
    <w:name w:val="批注主题_44"/>
    <w:basedOn w:val="17"/>
    <w:next w:val="13"/>
    <w:qFormat/>
    <w:uiPriority w:val="0"/>
    <w:pPr>
      <w:widowControl w:val="0"/>
      <w:jc w:val="left"/>
    </w:pPr>
    <w:rPr>
      <w:rFonts w:ascii="Times New Roman" w:hAnsi="Times New Roman" w:eastAsia="宋体" w:cs="Times New Roman"/>
      <w:b/>
      <w:bCs/>
      <w:kern w:val="2"/>
      <w:sz w:val="21"/>
      <w:szCs w:val="24"/>
      <w:lang w:val="en-US" w:eastAsia="zh-CN" w:bidi="ar-SA"/>
    </w:rPr>
  </w:style>
  <w:style w:type="paragraph" w:customStyle="1" w:styleId="17">
    <w:name w:val="批注文字_44"/>
    <w:semiHidden/>
    <w:qFormat/>
    <w:uiPriority w:val="0"/>
    <w:pPr>
      <w:widowControl w:val="0"/>
      <w:jc w:val="left"/>
    </w:pPr>
    <w:rPr>
      <w:rFonts w:ascii="Times New Roman" w:hAnsi="Times New Roman" w:eastAsia="宋体" w:cs="Times New Roman"/>
      <w:kern w:val="2"/>
      <w:sz w:val="21"/>
      <w:szCs w:val="24"/>
      <w:lang w:val="en-US" w:eastAsia="zh-CN" w:bidi="ar-SA"/>
    </w:rPr>
  </w:style>
  <w:style w:type="paragraph" w:customStyle="1" w:styleId="18">
    <w:name w:val="正文_35"/>
    <w:next w:val="1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Default_4"/>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20">
    <w:name w:val="正文_36"/>
    <w:next w:val="2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Default_5"/>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22">
    <w:name w:val="正文_37"/>
    <w:next w:val="2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Default_6"/>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3704</Words>
  <Characters>3924</Characters>
  <Lines>0</Lines>
  <Paragraphs>0</Paragraphs>
  <TotalTime>8</TotalTime>
  <ScaleCrop>false</ScaleCrop>
  <LinksUpToDate>false</LinksUpToDate>
  <CharactersWithSpaces>3994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2025-03-18T06:31:00Z</dcterms:created>
  <dc:creator>Administrator</dc:creator>
  <cp:lastModifiedBy>Administrator</cp:lastModifiedBy>
  <dcterms:modified xsi:type="dcterms:W3CDTF">2025-04-03T02:00:49Z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eyJoZGlkIjoiNTcxYmFlM2RmNGFiZWExNjc4MGNmMjU4YjVkNjlhMTAiLCJ1c2VySWQiOiIxNDQ5MjE0ODE0In0=</vt:lpwstr>
  </property>
  <property fmtid="{D5CDD505-2E9C-101B-9397-08002B2CF9AE}" pid="4" name="ICV">
    <vt:lpwstr>CB616A2862F84E74A53753D1E479549A_12</vt:lpwstr>
  </property>
</Properties>
</file>