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440882-2025-01270</w:t>
      </w:r>
    </w:p>
    <w:p>
      <w:pPr>
        <w:pStyle w:val="null3"/>
        <w:jc w:val="center"/>
        <w:outlineLvl w:val="3"/>
      </w:pPr>
      <w:r>
        <w:rPr>
          <w:sz w:val="24"/>
          <w:b/>
        </w:rPr>
        <w:t>采购项目编号：</w:t>
      </w:r>
      <w:r>
        <w:rPr>
          <w:sz w:val="24"/>
          <w:b/>
        </w:rPr>
        <w:t>Z2025-10-024</w:t>
      </w:r>
    </w:p>
    <w:p>
      <w:pPr>
        <w:pStyle w:val="null3"/>
        <w:jc w:val="center"/>
        <w:outlineLvl w:val="3"/>
      </w:pPr>
      <w:r>
        <w:rPr>
          <w:sz w:val="24"/>
          <w:b/>
        </w:rPr>
        <w:t>项目名称：</w:t>
      </w:r>
      <w:r>
        <w:rPr>
          <w:sz w:val="24"/>
          <w:b/>
        </w:rPr>
        <w:t>雷州市殡仪馆告别中厅及骨灰楼设备设施采购项目</w:t>
      </w:r>
    </w:p>
    <w:p>
      <w:pPr>
        <w:pStyle w:val="null3"/>
        <w:jc w:val="center"/>
        <w:outlineLvl w:val="3"/>
      </w:pPr>
      <w:r>
        <w:rPr>
          <w:sz w:val="24"/>
          <w:b/>
        </w:rPr>
        <w:t>采购人：</w:t>
      </w:r>
      <w:r>
        <w:rPr>
          <w:sz w:val="24"/>
          <w:b/>
        </w:rPr>
        <w:t>雷州市殡仪馆</w:t>
      </w:r>
    </w:p>
    <w:p>
      <w:pPr>
        <w:pStyle w:val="null3"/>
        <w:jc w:val="center"/>
        <w:outlineLvl w:val="3"/>
      </w:pPr>
      <w:r>
        <w:rPr>
          <w:sz w:val="24"/>
          <w:b/>
        </w:rPr>
        <w:t>采购代理机构：</w:t>
      </w:r>
      <w:r>
        <w:rPr>
          <w:sz w:val="24"/>
          <w:b/>
        </w:rPr>
        <w:t>广东世天项目管理有限公司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广东世天项目管理有限公司</w:t>
      </w:r>
      <w:r>
        <w:rPr/>
        <w:t>受</w:t>
      </w:r>
      <w:r>
        <w:rPr/>
        <w:t>雷州市殡仪馆</w:t>
      </w:r>
      <w:r>
        <w:rPr/>
        <w:t>的委托，采用</w:t>
      </w:r>
      <w:r>
        <w:rPr/>
        <w:t>公开招标</w:t>
      </w:r>
      <w:r>
        <w:rPr/>
        <w:t>方式组织采购</w:t>
      </w:r>
      <w:r>
        <w:rPr/>
        <w:t>雷州市殡仪馆告别中厅及骨灰楼设备设施采购项目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雷州市殡仪馆告别中厅及骨灰楼设备设施采购项目</w:t>
      </w:r>
    </w:p>
    <w:p>
      <w:pPr>
        <w:pStyle w:val="null3"/>
        <w:ind w:firstLine="480"/>
      </w:pPr>
      <w:r>
        <w:rPr/>
        <w:t>采购计划编号：</w:t>
      </w:r>
      <w:r>
        <w:rPr/>
        <w:t>440882-2025-01270</w:t>
      </w:r>
    </w:p>
    <w:p>
      <w:pPr>
        <w:pStyle w:val="null3"/>
        <w:ind w:firstLine="480"/>
      </w:pPr>
      <w:r>
        <w:rPr/>
        <w:t>采购项目编号：</w:t>
      </w:r>
      <w:r>
        <w:rPr/>
        <w:t>Z2025-10-024</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采购包1(雷州市殡仪馆告别中厅及骨灰楼设备设施采购项目):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殡仪设备及用品</w:t>
            </w:r>
          </w:p>
        </w:tc>
        <w:tc>
          <w:tcPr>
            <w:tcW w:type="dxa" w:w="2052"/>
          </w:tcPr>
          <w:p>
            <w:pPr>
              <w:pStyle w:val="null3"/>
            </w:pPr>
            <w:r>
              <w:rPr/>
              <w:t>瞻仰台</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396,116.00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殡仪设备及用品</w:t>
            </w:r>
          </w:p>
        </w:tc>
        <w:tc>
          <w:tcPr>
            <w:tcW w:type="dxa" w:w="2052"/>
          </w:tcPr>
          <w:p>
            <w:pPr>
              <w:pStyle w:val="null3"/>
            </w:pPr>
            <w:r>
              <w:rPr/>
              <w:t>骨灰存放架</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1,203,884.00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合同履行期限：合同签订之日起30天内交付使用并通过验收。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投标截止日前6个月内任意1个月依法缴纳税收和社会保障资金的相关材料（如依法免税或不需要缴纳社会保障资金的，提供相应证明材料）或提供《湛江市政府采购供应商资格信用承诺函》（格式详见采购公告附件）。若供应商同时提供资格信用承诺函和证明材料的，资格审核时以证明材料为准。</w:t>
      </w:r>
    </w:p>
    <w:p>
      <w:pPr>
        <w:pStyle w:val="null3"/>
      </w:pPr>
      <w:r>
        <w:rPr/>
        <w:t>3）具有良好的商业信誉和健全的财务会计制度：提供2023年度或2024年度财务状况报告或基本开户行出具的资信证明（若注册成立不足一年的，提供本年度任意一个月的财务报表证明材料复印件）或提供《湛江市政府采购供应商资格信用承诺函》（格式详见采购公告附件）。若供应商同时提供资格信用承诺函和证明材料的，资格审核时以证明材料为准。</w:t>
      </w:r>
    </w:p>
    <w:p>
      <w:pPr>
        <w:pStyle w:val="null3"/>
      </w:pPr>
      <w:r>
        <w:rPr/>
        <w:t>4）履行合同所必需的设备和专业技术能力：填报设备及专业技术情况表（格式自拟）或提供承诺函（格式自拟）。</w:t>
      </w:r>
    </w:p>
    <w:p>
      <w:pPr>
        <w:pStyle w:val="null3"/>
      </w:pPr>
      <w:r>
        <w:rPr/>
        <w:t>5）参加采购活动前3年内，在经营活动中没有重大违法记录：参加采购活动前3年内，在经营活动中没有重大违法记录：提供《湛江市政府采购供应商资格信用承诺函》（格式详见采购公告附件）。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采购包1（雷州市殡仪馆告别中厅及骨灰楼设备设施采购项目）：</w:t>
      </w:r>
      <w:r>
        <w:rPr/>
        <w:t>参与的供应商（联合体）提供的货物全部由符合政策要求的中小企业制造</w:t>
      </w:r>
    </w:p>
    <w:p>
      <w:pPr>
        <w:pStyle w:val="null3"/>
        <w:outlineLvl w:val="3"/>
      </w:pPr>
      <w:r>
        <w:rPr>
          <w:sz w:val="24"/>
          <w:b/>
        </w:rPr>
        <w:t>3.本项目特定的资格要求：</w:t>
      </w:r>
    </w:p>
    <w:p>
      <w:pPr>
        <w:pStyle w:val="null3"/>
      </w:pPr>
      <w:r>
        <w:rPr/>
        <w:t>采购包1（雷州市殡仪馆告别中厅及骨灰楼设备设施采购项目）：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代理机构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雷州市殡仪馆</w:t>
      </w:r>
    </w:p>
    <w:p>
      <w:pPr>
        <w:pStyle w:val="null3"/>
        <w:ind w:firstLine="480"/>
      </w:pPr>
      <w:r>
        <w:rPr/>
        <w:t xml:space="preserve"> 地址：</w:t>
      </w:r>
      <w:r>
        <w:rPr/>
        <w:t>雷州市雷城镇广朝南122号</w:t>
      </w:r>
    </w:p>
    <w:p>
      <w:pPr>
        <w:pStyle w:val="null3"/>
        <w:ind w:firstLine="480"/>
      </w:pPr>
      <w:r>
        <w:rPr/>
        <w:t xml:space="preserve"> 联系方式：</w:t>
      </w:r>
      <w:r>
        <w:rPr/>
        <w:t>0759-8832969</w:t>
      </w:r>
    </w:p>
    <w:p>
      <w:pPr>
        <w:pStyle w:val="null3"/>
        <w:outlineLvl w:val="3"/>
      </w:pPr>
      <w:r>
        <w:rPr>
          <w:sz w:val="24"/>
          <w:b/>
        </w:rPr>
        <w:t xml:space="preserve"> 2.采购代理机构信息</w:t>
      </w:r>
    </w:p>
    <w:p>
      <w:pPr>
        <w:pStyle w:val="null3"/>
        <w:ind w:firstLine="480"/>
      </w:pPr>
      <w:r>
        <w:rPr/>
        <w:t xml:space="preserve"> 名称：</w:t>
      </w:r>
      <w:r>
        <w:rPr/>
        <w:t>广东世天项目管理有限公司</w:t>
      </w:r>
    </w:p>
    <w:p>
      <w:pPr>
        <w:pStyle w:val="null3"/>
        <w:ind w:firstLine="480"/>
      </w:pPr>
      <w:r>
        <w:rPr/>
        <w:t xml:space="preserve"> 地址：</w:t>
      </w:r>
      <w:r>
        <w:rPr/>
        <w:t>广东省湛江市赤坎区体育北路2号御海湾10幢1903号办公室</w:t>
      </w:r>
    </w:p>
    <w:p>
      <w:pPr>
        <w:pStyle w:val="null3"/>
        <w:ind w:firstLine="480"/>
      </w:pPr>
      <w:r>
        <w:rPr/>
        <w:t xml:space="preserve"> 联系方式：</w:t>
      </w:r>
      <w:r>
        <w:rPr/>
        <w:t>19126659397</w:t>
      </w:r>
    </w:p>
    <w:p>
      <w:pPr>
        <w:pStyle w:val="null3"/>
        <w:outlineLvl w:val="3"/>
      </w:pPr>
      <w:r>
        <w:rPr>
          <w:sz w:val="24"/>
          <w:b/>
        </w:rPr>
        <w:t xml:space="preserve"> 3.项目联系方式</w:t>
      </w:r>
    </w:p>
    <w:p>
      <w:pPr>
        <w:pStyle w:val="null3"/>
        <w:ind w:firstLine="480"/>
      </w:pPr>
      <w:r>
        <w:rPr/>
        <w:t xml:space="preserve"> 项目联系人：</w:t>
      </w:r>
      <w:r>
        <w:rPr/>
        <w:t>卓小姐</w:t>
      </w:r>
    </w:p>
    <w:p>
      <w:pPr>
        <w:pStyle w:val="null3"/>
        <w:ind w:firstLine="480"/>
      </w:pPr>
      <w:r>
        <w:rPr/>
        <w:t xml:space="preserve"> 电话：</w:t>
      </w:r>
      <w:r>
        <w:rPr/>
        <w:t>19126659397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广东世天项目管理有限公司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品目分类：</w:t>
      </w:r>
      <w:r>
        <w:rPr/>
        <w:t>殡仪设备及用品</w:t>
      </w:r>
      <w:r>
        <w:rPr/>
        <w:t xml:space="preserve">   </w:t>
      </w:r>
      <w:r>
        <w:rPr/>
        <w:t>A02400000</w:t>
      </w:r>
    </w:p>
    <w:p>
      <w:pPr>
        <w:pStyle w:val="null3"/>
      </w:pPr>
      <w:r>
        <w:rPr/>
        <w:t>本项目对应的中小微企业划分标准所属行业为：工业</w:t>
      </w:r>
    </w:p>
    <w:p>
      <w:pPr>
        <w:pStyle w:val="null3"/>
      </w:pPr>
      <w:r>
        <w:rPr/>
        <w:t>1.</w:t>
      </w:r>
      <w:r>
        <w:rPr/>
        <w:t>项目</w:t>
      </w:r>
      <w:r>
        <w:rPr/>
        <w:t>名称：</w:t>
      </w:r>
      <w:r>
        <w:rPr/>
        <w:t>雷州市殡仪馆告别中厅及骨灰楼设备设施采购项目</w:t>
      </w:r>
    </w:p>
    <w:p>
      <w:pPr>
        <w:pStyle w:val="null3"/>
        <w:jc w:val="both"/>
      </w:pPr>
      <w:r>
        <w:rPr>
          <w:sz w:val="21"/>
        </w:rPr>
        <w:t>2.</w:t>
      </w:r>
      <w:r>
        <w:rPr>
          <w:sz w:val="21"/>
        </w:rPr>
        <w:t>实施单位：</w:t>
      </w:r>
      <w:r>
        <w:rPr>
          <w:sz w:val="21"/>
        </w:rPr>
        <w:t>雷州市殡仪馆</w:t>
      </w:r>
    </w:p>
    <w:p>
      <w:pPr>
        <w:pStyle w:val="null3"/>
      </w:pPr>
      <w:r>
        <w:rPr/>
        <w:t>采购包1（雷州市殡仪馆告别中厅及骨灰楼设备设施采购项目）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合同签订之日起30天内交付使用并通过验收。</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第1期为(预付款)：支付比例30%，签订合同后，采购人支付合同总金额的30%；。</w:t>
            </w:r>
          </w:p>
          <w:p>
            <w:pPr>
              <w:pStyle w:val="null3"/>
            </w:pPr>
            <w:r>
              <w:rPr/>
              <w:t>第2期为(尾款)：支付比例70%，货物安装调试验收完毕后，采购人支付合同总金额的70%。 本项目的每笔款项以人民币方式转账支付，中标供应商凭以下资料办理支付手续： （1）合同； （2）验收合格报告（加盖采购人公章）； （3）中标供应商开具的正式发票。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1期：1.货物送至采购人指定地点并安装调试完毕后试运行5天组织验收； 2．符合中华人民共和国国家安全质量标准、环保标准或行业标准； 3．符合采购文件和响应承诺中采购人认可的合理最佳配置、参数及各项要求； 4．货物为原厂商未启封全新包装，具出厂合格证，序列号、包装箱号与出厂批号一致，并可追索查阅。所有随设备的附件必须齐全。 5．中标供应商应将关键主机设备的用户手册、保修手册、有关单证资料及配备件、随机工具等交付给采购人，使用操作及安全须知等重要资料应附有中文说明。 6．采购人组成验收小组按国家有关规定、规范及中标供应商的响应文件中承诺的内容进行验收，必要时邀请相关的第三方专业人员、机构或参与本次项目的其他报价供应商参与验收。因货物质量问题发生争议时，由本地质量技术监督部门鉴定。鉴定费先由中标供应商垫付。货物符合质量技术标准的，鉴定费由采购人承担；否则鉴定费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本项目报价应包含完成本次采购所有服务内容的费用，包含购置、安装、运输保险、装卸、培训辅导、质保期售后服务、全额含税发票、雇员费用、合同实施过程中应预见和不可预见费用等。2.供货要求（包装、保险及发运、保管要求）:（1）货物材料的包装必须是制造商原厂包装，其包装均应有良好的防湿、防锈、防潮、防雨、防腐及防碰撞的措施。凡由于包装不良造成的损失和由此产生的费用均由中标供应商承担。（2）中标供应商负责将货物运送到现场过程中的全部运输，包括装卸车、货物现场的搬运等。（3）各种货物必须提供装箱清单，按装箱清单验收货物。（4）货物在现场的保管由中标供应商负责，直至项目安装、验收完毕。（5）货物在安装验收合格前的保险由中标供应商负责，中标供应商负责其派出的现场服务人员人身意外保险。（6）货物至采购人指定的使用现场的包装、保险及发运等环节和费用均由中标供应商负责。3.项目实施要求: （1）货物安装实施工作必须由中标供应商负责，不准分包，并实行“三包”：包质量、包工期、包施工安全，必须是中标供应商自已的专业安装队伍承担工程安装，并由中标供应商直接进行项目全过程监管，承担项目实施全过程的相关人员和施工安全责任。 （2）中标供应商应提供安装调试工艺流程、质量控制程序和检验方法，处理关键点、难点的对策及措施，实施前须得到采购人批准方能施行。其内容应对所有货物的安装、调试及现场验收作出详尽安排和说明，并包括参与或派出人员人数、参与时间、责任和工作内容等。 （3）现场的管理。中标供应商在实施全过程中应服从采购人现场代表或监理代表的统一管理和监督检查，由于现场要依据部分场地项目分阶段进行，中标供应商进度应与采购人充分沟通好并达成一致，中标供应商因赶进度或野蛮施工等影响采购人生产工作的，所有损失由中标供应商承担，情节严重的采购人有权单方终止合同。 （4）安装现场工作和生活条件由中标供应商自行解决。 4.施工要求:（1）实施人员进馆必须统一穿戴劳保服装，特种作业人员还必须携带特种作业操作证，便于采购人安全管理人员和上级主管领导检查。 （2）施工区域、作业环境、操作设施设备、工具用具等必须认真检查，发现隐患，应即停止施工和检修，整改后方准施工。一经施工，就表示该中标供应商已确认施工场所、作业环境、设施设备、工具用具等符合安全要求和处于安全状态。中标供应商对施工过程中产生的后果自行负责。 （3）施工过程中产生的垃圾要按照采购人要求集中放置，不能影响采购人日常工作并保证定时清理。施工结束后，中标供应商应对施工现场彻底清理，做到工完、料尽、场地清。 （4）中标供应商在施工和作业中要文明施工，确保人员（包括采购人单位的工作人员和服务对象）、设施的安全和完好，如发生意外，采购人不承担责任和所产生的费用，由中标供应商自负。 （5）中标供应商要指定一名现场项目负责人与采购人对接、协调有关事宜。 5.售后服务及培训要求:售后服务要求 （1）质保期：项目交付完成并取得验收合格文件为准起1年。质保期内包括出现任何质量问题（人为破坏或自然灾害等不可抗力除外）和保养维护，均由中标供应商负责全免费（免全部工时费、材料费、管理费、财务费等等）更换或维修；质保期内设备因维修造成短期停用时，则质保期和免费维修期相应顺延。质保期内因不能排除的故障而影响工作的情况每发生一次，其质保期相应延长60天，保质期内因产品本身缺陷（非人为因素）造成各种故障应由中标供应商免费技术服务和维修。 （2）质保期满后，无论采购人是否另行选择维保供应商，中标供应商应及时优惠提供所需的设备配件。 （3）免费送货上门，免费安装调试合格。须派出有相应资格的技术工程师到现场负责设备安装调试，直至正常使用；采购人指定地点，现场技术培训，中标供应商实行培训计划，直至操作人员正常使用。 （4）提供标准电话技术支持（7×24小时）。免费质保期内维修人员接到维修通知1小时内响应，12小时内到达现场，24小时内处理完毕，除特殊情况外，故障排除时间不超过24小时，否则采购人有权直接委托第三方进行抢修，因此产生的费用，由中标供应商支付。 5.2培训要求： 中标供应商在质保期内应对采购人的操作人员、维修人员提供技术培训，使其能对设备进行日常操作和维护保养及能对一般故障进行维修。6．其他要求:（1）本项目基础设施必须满足所有设备保护设施。 （2）本项目基础设施必须满足降噪音的要求。 （3）本项目采用费用包干方式建设，供应商应根据项目要求和现场情况，详细列明项目所需的设备及材料购置，以及产品运输保险保管、项目安装调试、检测费用、试运行测试通过验收、培训、施工安装周期期间物价的调整等因素以及所有人工、管理、财务等所有费用。如一旦中标，在项目实施中出现任何遗漏，质保期内日常保养维护，均由中标供应商免费提供，采购人不再支付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殡仪设备及用品</w:t>
            </w:r>
          </w:p>
        </w:tc>
        <w:tc>
          <w:tcPr>
            <w:tcW w:type="dxa" w:w="831"/>
          </w:tcPr>
          <w:p>
            <w:pPr>
              <w:pStyle w:val="null3"/>
              <w:jc w:val="left"/>
            </w:pPr>
            <w:r>
              <w:rPr/>
              <w:t>瞻仰台</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396,116.00</w:t>
            </w:r>
          </w:p>
        </w:tc>
        <w:tc>
          <w:tcPr>
            <w:tcW w:type="dxa" w:w="831"/>
          </w:tcPr>
          <w:p>
            <w:pPr>
              <w:pStyle w:val="null3"/>
              <w:jc w:val="right"/>
            </w:pPr>
            <w:r>
              <w:rPr/>
              <w:t>396,116.00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殡仪设备及用品</w:t>
            </w:r>
          </w:p>
        </w:tc>
        <w:tc>
          <w:tcPr>
            <w:tcW w:type="dxa" w:w="831"/>
          </w:tcPr>
          <w:p>
            <w:pPr>
              <w:pStyle w:val="null3"/>
              <w:jc w:val="left"/>
            </w:pPr>
            <w:r>
              <w:rPr/>
              <w:t>骨灰存放架</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1,203,884.00</w:t>
            </w:r>
          </w:p>
        </w:tc>
        <w:tc>
          <w:tcPr>
            <w:tcW w:type="dxa" w:w="831"/>
          </w:tcPr>
          <w:p>
            <w:pPr>
              <w:pStyle w:val="null3"/>
              <w:jc w:val="right"/>
            </w:pPr>
            <w:r>
              <w:rPr/>
              <w:t>1,203,884.00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瞻仰台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248"/>
            </w:tblGrid>
            <w:tr>
              <w:tc>
                <w:tcPr>
                  <w:tcW w:type="dxa" w:w="5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一、设备配置清单</w:t>
                  </w:r>
                </w:p>
                <w:tbl>
                  <w:tblPr>
                    <w:tblBorders>
                      <w:top w:val="none" w:color="000000" w:sz="4"/>
                      <w:left w:val="none" w:color="000000" w:sz="4"/>
                      <w:bottom w:val="none" w:color="000000" w:sz="4"/>
                      <w:right w:val="none" w:color="000000" w:sz="4"/>
                      <w:insideH w:val="none"/>
                      <w:insideV w:val="none"/>
                    </w:tblBorders>
                  </w:tblPr>
                  <w:tblGrid>
                    <w:gridCol w:w="1176"/>
                    <w:gridCol w:w="316"/>
                    <w:gridCol w:w="2362"/>
                    <w:gridCol w:w="443"/>
                    <w:gridCol w:w="714"/>
                  </w:tblGrid>
                  <w:tr>
                    <w:tc>
                      <w:tcPr>
                        <w:tcW w:type="dxa" w:w="1176"/>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区域</w:t>
                        </w:r>
                      </w:p>
                    </w:tc>
                    <w:tc>
                      <w:tcPr>
                        <w:tcW w:type="dxa" w:w="316"/>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序号</w:t>
                        </w:r>
                      </w:p>
                    </w:tc>
                    <w:tc>
                      <w:tcPr>
                        <w:tcW w:type="dxa" w:w="2362"/>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产品名称</w:t>
                        </w:r>
                      </w:p>
                    </w:tc>
                    <w:tc>
                      <w:tcPr>
                        <w:tcW w:type="dxa" w:w="443"/>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数量</w:t>
                        </w:r>
                      </w:p>
                    </w:tc>
                    <w:tc>
                      <w:tcPr>
                        <w:tcW w:type="dxa" w:w="714"/>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单位</w:t>
                        </w:r>
                      </w:p>
                    </w:tc>
                  </w:tr>
                  <w:tr>
                    <w:tc>
                      <w:tcPr>
                        <w:tcW w:type="dxa" w:w="1176"/>
                        <w:vMerge w:val="restart"/>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悼念</w:t>
                        </w:r>
                        <w:r>
                          <w:rPr>
                            <w:sz w:val="21"/>
                          </w:rPr>
                          <w:t>中</w:t>
                        </w:r>
                        <w:r>
                          <w:rPr>
                            <w:sz w:val="21"/>
                          </w:rPr>
                          <w:t>厅</w:t>
                        </w: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实木瞻仰台（中厅）（</w:t>
                        </w:r>
                        <w:r>
                          <w:rPr>
                            <w:sz w:val="21"/>
                          </w:rPr>
                          <w:t>5.1*4米、双层台步、双层围栏）</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套</w:t>
                        </w:r>
                      </w:p>
                    </w:tc>
                  </w:tr>
                  <w:tr>
                    <w:tc>
                      <w:tcPr>
                        <w:tcW w:type="dxa" w:w="1176"/>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2</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实木主持台</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台</w:t>
                        </w:r>
                      </w:p>
                    </w:tc>
                  </w:tr>
                  <w:tr>
                    <w:tc>
                      <w:tcPr>
                        <w:tcW w:type="dxa" w:w="1176"/>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3</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实木供桌（子母）</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套</w:t>
                        </w:r>
                      </w:p>
                    </w:tc>
                  </w:tr>
                  <w:tr>
                    <w:tc>
                      <w:tcPr>
                        <w:tcW w:type="dxa" w:w="1176"/>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4</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实木瞻仰台专用对接车</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辆</w:t>
                        </w:r>
                      </w:p>
                    </w:tc>
                  </w:tr>
                  <w:tr>
                    <w:tc>
                      <w:tcPr>
                        <w:tcW w:type="dxa" w:w="1176"/>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5</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绢花花圈</w:t>
                        </w:r>
                        <w:r>
                          <w:rPr>
                            <w:sz w:val="21"/>
                          </w:rPr>
                          <w:t>（单层三角支架）</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100</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个</w:t>
                        </w:r>
                      </w:p>
                    </w:tc>
                  </w:tr>
                  <w:tr>
                    <w:tc>
                      <w:tcPr>
                        <w:tcW w:type="dxa" w:w="1176"/>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6</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相架</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个</w:t>
                        </w:r>
                      </w:p>
                    </w:tc>
                  </w:tr>
                  <w:tr>
                    <w:tc>
                      <w:tcPr>
                        <w:tcW w:type="dxa" w:w="1176"/>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7</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跪垫（</w:t>
                        </w:r>
                        <w:r>
                          <w:rPr>
                            <w:sz w:val="21"/>
                          </w:rPr>
                          <w:t>3个/对）</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对</w:t>
                        </w:r>
                      </w:p>
                    </w:tc>
                  </w:tr>
                  <w:tr>
                    <w:tc>
                      <w:tcPr>
                        <w:tcW w:type="dxa" w:w="1176"/>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8</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中</w:t>
                        </w:r>
                        <w:r>
                          <w:rPr>
                            <w:sz w:val="21"/>
                          </w:rPr>
                          <w:t>悼念厅</w:t>
                        </w:r>
                        <w:r>
                          <w:rPr>
                            <w:sz w:val="21"/>
                          </w:rPr>
                          <w:t>显示终端</w:t>
                        </w:r>
                        <w:r>
                          <w:rPr>
                            <w:sz w:val="21"/>
                          </w:rPr>
                          <w:t>1</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5.12</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w:t>
                        </w:r>
                      </w:p>
                    </w:tc>
                  </w:tr>
                  <w:tr>
                    <w:tc>
                      <w:tcPr>
                        <w:tcW w:type="dxa" w:w="1176"/>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9</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中</w:t>
                        </w:r>
                        <w:r>
                          <w:rPr>
                            <w:sz w:val="21"/>
                          </w:rPr>
                          <w:t>悼念厅</w:t>
                        </w:r>
                        <w:r>
                          <w:rPr>
                            <w:sz w:val="21"/>
                          </w:rPr>
                          <w:t>显示终端</w:t>
                        </w:r>
                        <w:r>
                          <w:rPr>
                            <w:sz w:val="21"/>
                          </w:rPr>
                          <w:t>2</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2.</w:t>
                        </w:r>
                        <w:r>
                          <w:rPr>
                            <w:sz w:val="21"/>
                          </w:rPr>
                          <w:t>7</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w:t>
                        </w:r>
                      </w:p>
                    </w:tc>
                  </w:tr>
                  <w:tr>
                    <w:tc>
                      <w:tcPr>
                        <w:tcW w:type="dxa" w:w="1176"/>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10</w:t>
                        </w:r>
                      </w:p>
                    </w:tc>
                    <w:tc>
                      <w:tcPr>
                        <w:tcW w:type="dxa" w:w="236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中</w:t>
                        </w:r>
                        <w:r>
                          <w:rPr>
                            <w:sz w:val="21"/>
                          </w:rPr>
                          <w:t>悼念厅</w:t>
                        </w:r>
                        <w:r>
                          <w:rPr>
                            <w:sz w:val="21"/>
                          </w:rPr>
                          <w:t>音响设备</w:t>
                        </w:r>
                      </w:p>
                    </w:tc>
                    <w:tc>
                      <w:tcPr>
                        <w:tcW w:type="dxa" w:w="443"/>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w:t>
                        </w:r>
                      </w:p>
                    </w:tc>
                    <w:tc>
                      <w:tcPr>
                        <w:tcW w:type="dxa" w:w="714"/>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套</w:t>
                        </w:r>
                      </w:p>
                    </w:tc>
                  </w:tr>
                </w:tbl>
                <w:p>
                  <w:pPr>
                    <w:pStyle w:val="null3"/>
                    <w:jc w:val="both"/>
                  </w:pPr>
                </w:p>
              </w:tc>
            </w:tr>
            <w:tr>
              <w:tc>
                <w:tcPr>
                  <w:tcW w:type="dxa" w:w="5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w:t>
                  </w:r>
                  <w:r>
                    <w:rPr>
                      <w:sz w:val="21"/>
                      <w:b/>
                    </w:rPr>
                    <w:t>）悼念中厅</w:t>
                  </w:r>
                </w:p>
                <w:p>
                  <w:pPr>
                    <w:pStyle w:val="null3"/>
                    <w:jc w:val="left"/>
                  </w:pPr>
                  <w:r>
                    <w:rPr>
                      <w:sz w:val="21"/>
                      <w:b/>
                    </w:rPr>
                    <w:t>1</w:t>
                  </w:r>
                  <w:r>
                    <w:rPr>
                      <w:sz w:val="21"/>
                      <w:b/>
                    </w:rPr>
                    <w:t>、智能型</w:t>
                  </w:r>
                  <w:r>
                    <w:rPr>
                      <w:sz w:val="21"/>
                      <w:b/>
                    </w:rPr>
                    <w:t>实木瞻仰台</w:t>
                  </w:r>
                  <w:r>
                    <w:rPr>
                      <w:sz w:val="21"/>
                      <w:b/>
                    </w:rPr>
                    <w:t>（</w:t>
                  </w:r>
                  <w:r>
                    <w:rPr>
                      <w:sz w:val="21"/>
                      <w:b/>
                    </w:rPr>
                    <w:t>中</w:t>
                  </w:r>
                  <w:r>
                    <w:rPr>
                      <w:sz w:val="21"/>
                      <w:b/>
                    </w:rPr>
                    <w:t>厅）</w:t>
                  </w:r>
                </w:p>
                <w:tbl>
                  <w:tblPr>
                    <w:tblBorders>
                      <w:top w:val="none" w:color="000000" w:sz="4"/>
                      <w:left w:val="none" w:color="000000" w:sz="4"/>
                      <w:bottom w:val="none" w:color="000000" w:sz="4"/>
                      <w:right w:val="none" w:color="000000" w:sz="4"/>
                      <w:insideH w:val="none"/>
                      <w:insideV w:val="none"/>
                    </w:tblBorders>
                  </w:tblPr>
                  <w:tblGrid>
                    <w:gridCol w:w="238"/>
                    <w:gridCol w:w="434"/>
                    <w:gridCol w:w="4342"/>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产品技术项目</w:t>
                        </w:r>
                      </w:p>
                    </w:tc>
                    <w:tc>
                      <w:tcPr>
                        <w:tcW w:type="dxa" w:w="4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产品技术规格、参数及要求</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L</w:t>
                        </w:r>
                        <w:r>
                          <w:rPr>
                            <w:sz w:val="21"/>
                          </w:rPr>
                          <w:t>51</w:t>
                        </w:r>
                        <w:r>
                          <w:rPr>
                            <w:sz w:val="21"/>
                          </w:rPr>
                          <w:t>00*W</w:t>
                        </w:r>
                        <w:r>
                          <w:rPr>
                            <w:sz w:val="21"/>
                          </w:rPr>
                          <w:t>4</w:t>
                        </w:r>
                        <w:r>
                          <w:rPr>
                            <w:sz w:val="21"/>
                          </w:rPr>
                          <w:t>000*H1</w:t>
                        </w:r>
                        <w:r>
                          <w:rPr>
                            <w:sz w:val="21"/>
                          </w:rPr>
                          <w:t>35</w:t>
                        </w:r>
                        <w:r>
                          <w:rPr>
                            <w:sz w:val="21"/>
                          </w:rPr>
                          <w:t>0</w:t>
                        </w:r>
                        <w:r>
                          <w:rPr>
                            <w:sz w:val="21"/>
                          </w:rPr>
                          <w:t>mm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实木材质</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w:t>
                        </w:r>
                        <w:r>
                          <w:rPr>
                            <w:sz w:val="21"/>
                          </w:rPr>
                          <w:t>红榉木</w:t>
                        </w:r>
                        <w:r>
                          <w:rPr>
                            <w:sz w:val="21"/>
                          </w:rPr>
                          <w:t>及榉木饰面</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图案</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四角采用榫头设计，造型特殊，二旁设有栏杆工艺，可盛放鲜花，栏杆边框雕有传统木雕工艺图案组成。正前方设有图案花板。</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开启模式</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采用全自动一键式遥控开启，可手推开启；</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棺椁</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外部材质采用</w:t>
                        </w:r>
                        <w:r>
                          <w:rPr>
                            <w:sz w:val="21"/>
                          </w:rPr>
                          <w:t>钛金面板（厚</w:t>
                        </w:r>
                        <w:r>
                          <w:rPr>
                            <w:sz w:val="21"/>
                          </w:rPr>
                          <w:t>度</w:t>
                        </w:r>
                        <w:r>
                          <w:rPr>
                            <w:sz w:val="21"/>
                          </w:rPr>
                          <w:t>≥</w:t>
                        </w:r>
                        <w:r>
                          <w:rPr>
                            <w:sz w:val="21"/>
                          </w:rPr>
                          <w:t>1.0</w:t>
                        </w:r>
                        <w:r>
                          <w:rPr>
                            <w:sz w:val="21"/>
                          </w:rPr>
                          <w:t>mm</w:t>
                        </w:r>
                        <w:r>
                          <w:rPr>
                            <w:sz w:val="21"/>
                          </w:rPr>
                          <w:t>）</w:t>
                        </w:r>
                        <w:r>
                          <w:rPr>
                            <w:sz w:val="21"/>
                          </w:rPr>
                          <w:t>，内部材质采用</w:t>
                        </w:r>
                        <w:r>
                          <w:rPr>
                            <w:sz w:val="21"/>
                          </w:rPr>
                          <w:t>经氧化防腐处理冰柜专用轧花铝板（厚度</w:t>
                        </w:r>
                        <w:r>
                          <w:rPr>
                            <w:sz w:val="21"/>
                          </w:rPr>
                          <w:t xml:space="preserve">≥0.8 </w:t>
                        </w:r>
                        <w:r>
                          <w:rPr>
                            <w:sz w:val="21"/>
                          </w:rPr>
                          <w:t>mm</w:t>
                        </w:r>
                        <w:r>
                          <w:rPr>
                            <w:sz w:val="21"/>
                          </w:rPr>
                          <w:t>），红檀木花板镶边。</w:t>
                        </w:r>
                      </w:p>
                      <w:p>
                        <w:pPr>
                          <w:pStyle w:val="null3"/>
                          <w:jc w:val="left"/>
                        </w:pPr>
                        <w:r>
                          <w:rPr>
                            <w:sz w:val="21"/>
                          </w:rPr>
                          <w:t>棺罩</w:t>
                        </w:r>
                        <w:r>
                          <w:rPr>
                            <w:sz w:val="21"/>
                          </w:rPr>
                          <w:t>采用双层</w:t>
                        </w:r>
                        <w:r>
                          <w:rPr>
                            <w:sz w:val="21"/>
                          </w:rPr>
                          <w:t>PC透明罩，厚度≥4mm，</w:t>
                        </w:r>
                        <w:r>
                          <w:rPr>
                            <w:sz w:val="21"/>
                          </w:rPr>
                          <w:t>可承受</w:t>
                        </w:r>
                        <w:r>
                          <w:rPr>
                            <w:sz w:val="21"/>
                          </w:rPr>
                          <w:t>≥</w:t>
                        </w:r>
                        <w:r>
                          <w:rPr>
                            <w:sz w:val="21"/>
                          </w:rPr>
                          <w:t>80Kg，采光性好</w:t>
                        </w:r>
                        <w:r>
                          <w:rPr>
                            <w:sz w:val="21"/>
                          </w:rPr>
                          <w:t>。</w:t>
                        </w:r>
                      </w:p>
                      <w:p>
                        <w:pPr>
                          <w:pStyle w:val="null3"/>
                          <w:jc w:val="left"/>
                        </w:pPr>
                        <w:r>
                          <w:rPr>
                            <w:sz w:val="21"/>
                          </w:rPr>
                          <w:t>四周装饰画：</w:t>
                        </w:r>
                        <w:r>
                          <w:rPr>
                            <w:sz w:val="21"/>
                          </w:rPr>
                          <w:t>采用度</w:t>
                        </w:r>
                        <w:r>
                          <w:rPr>
                            <w:sz w:val="21"/>
                          </w:rPr>
                          <w:t>≥3mm铝塑板浮雕彩印，立体感强、防水防潮、永不褪色。</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摆花台</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双层台步：</w:t>
                        </w:r>
                        <w:r>
                          <w:rPr>
                            <w:sz w:val="21"/>
                          </w:rPr>
                          <w:t>台面厚度</w:t>
                        </w:r>
                        <w:r>
                          <w:rPr>
                            <w:sz w:val="21"/>
                          </w:rPr>
                          <w:t>≥</w:t>
                        </w:r>
                        <w:r>
                          <w:rPr>
                            <w:sz w:val="21"/>
                          </w:rPr>
                          <w:t>14mm；</w:t>
                        </w:r>
                        <w:r>
                          <w:rPr>
                            <w:sz w:val="21"/>
                          </w:rPr>
                          <w:t>双层中华柱</w:t>
                        </w:r>
                        <w:r>
                          <w:rPr>
                            <w:sz w:val="21"/>
                          </w:rPr>
                          <w:t>围栏</w:t>
                        </w:r>
                        <w:r>
                          <w:rPr>
                            <w:sz w:val="21"/>
                          </w:rPr>
                          <w:t>：</w:t>
                        </w:r>
                        <w:r>
                          <w:rPr>
                            <w:sz w:val="21"/>
                          </w:rPr>
                          <w:t>花板厚度</w:t>
                        </w:r>
                        <w:r>
                          <w:rPr>
                            <w:sz w:val="21"/>
                          </w:rPr>
                          <w:t>≥</w:t>
                        </w:r>
                        <w:r>
                          <w:rPr>
                            <w:sz w:val="21"/>
                          </w:rPr>
                          <w:t>18mm</w:t>
                        </w:r>
                        <w:r>
                          <w:rPr>
                            <w:sz w:val="21"/>
                          </w:rPr>
                          <w:t>，</w:t>
                        </w:r>
                        <w:r>
                          <w:rPr>
                            <w:sz w:val="21"/>
                          </w:rPr>
                          <w:t>采用手工实木雕刻围栏，上面金色油漆镶嵌。</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蒸发器</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直冷式内</w:t>
                        </w:r>
                        <w:r>
                          <w:rPr>
                            <w:sz w:val="21"/>
                          </w:rPr>
                          <w:t>藏</w:t>
                        </w:r>
                        <w:r>
                          <w:rPr>
                            <w:sz w:val="21"/>
                          </w:rPr>
                          <w:t>紫铜盘管蒸发器，无焊点设计</w:t>
                        </w:r>
                        <w:r>
                          <w:rPr>
                            <w:sz w:val="21"/>
                          </w:rPr>
                          <w:t>。</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助力导轮</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工业耐磨尼轮</w:t>
                        </w:r>
                        <w:r>
                          <w:rPr>
                            <w:sz w:val="21"/>
                          </w:rPr>
                          <w:t>Φ30</w:t>
                        </w:r>
                        <w:r>
                          <w:rPr>
                            <w:sz w:val="21"/>
                          </w:rPr>
                          <w:t>*</w:t>
                        </w:r>
                        <w:r>
                          <w:rPr>
                            <w:sz w:val="21"/>
                          </w:rPr>
                          <w:t>30 （</w:t>
                        </w:r>
                        <w:r>
                          <w:rPr>
                            <w:sz w:val="21"/>
                          </w:rPr>
                          <w:t>mm</w:t>
                        </w:r>
                        <w:r>
                          <w:rPr>
                            <w:sz w:val="21"/>
                          </w:rPr>
                          <w:t>）</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冷凝器</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风冷式翅片紫铜盘管冷凝器</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保温层</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聚氨脂发泡料整体高压回温发泡，厚</w:t>
                        </w:r>
                        <w:r>
                          <w:rPr>
                            <w:sz w:val="21"/>
                          </w:rPr>
                          <w:t>度</w:t>
                        </w:r>
                        <w:r>
                          <w:rPr>
                            <w:sz w:val="21"/>
                          </w:rPr>
                          <w:t>≥</w:t>
                        </w:r>
                        <w:r>
                          <w:rPr>
                            <w:sz w:val="21"/>
                          </w:rPr>
                          <w:t>100mm 密度50 kg/m</w:t>
                        </w:r>
                        <w:r>
                          <w:rPr>
                            <w:sz w:val="21"/>
                            <w:b/>
                            <w:vertAlign w:val="superscript"/>
                          </w:rPr>
                          <w:t>3</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机组形式</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全封闭压缩机</w:t>
                        </w:r>
                        <w:r>
                          <w:rPr>
                            <w:sz w:val="21"/>
                          </w:rPr>
                          <w:t>（</w:t>
                        </w:r>
                        <w:r>
                          <w:rPr>
                            <w:sz w:val="21"/>
                          </w:rPr>
                          <w:t>2台）</w:t>
                        </w:r>
                      </w:p>
                      <w:p>
                        <w:pPr>
                          <w:pStyle w:val="null3"/>
                          <w:jc w:val="left"/>
                        </w:pPr>
                        <w:r>
                          <w:rPr>
                            <w:sz w:val="21"/>
                          </w:rPr>
                          <w:t>▲</w:t>
                        </w:r>
                        <w:r>
                          <w:rPr>
                            <w:sz w:val="21"/>
                          </w:rPr>
                          <w:t>加速寿命：最大负荷工况和最大压差工况运转，运转时间为</w:t>
                        </w:r>
                        <w:r>
                          <w:rPr>
                            <w:sz w:val="21"/>
                          </w:rPr>
                          <w:t>≥</w:t>
                        </w:r>
                        <w:r>
                          <w:rPr>
                            <w:sz w:val="21"/>
                          </w:rPr>
                          <w:t>1000h。（符合GB/T 10079-2018）)</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智能遥控器</w:t>
                        </w:r>
                      </w:p>
                      <w:p>
                        <w:pPr>
                          <w:pStyle w:val="null3"/>
                          <w:jc w:val="center"/>
                        </w:p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操作</w:t>
                        </w:r>
                        <w:r>
                          <w:rPr>
                            <w:sz w:val="21"/>
                          </w:rPr>
                          <w:t>控制</w:t>
                        </w:r>
                        <w:r>
                          <w:rPr>
                            <w:sz w:val="21"/>
                          </w:rPr>
                          <w:t>功能</w:t>
                        </w:r>
                        <w:r>
                          <w:rPr>
                            <w:sz w:val="21"/>
                          </w:rPr>
                          <w:t>：</w:t>
                        </w:r>
                      </w:p>
                      <w:p>
                        <w:pPr>
                          <w:pStyle w:val="null3"/>
                          <w:jc w:val="left"/>
                        </w:pPr>
                        <w:r>
                          <w:rPr>
                            <w:sz w:val="21"/>
                          </w:rPr>
                          <w:t>遥控器需支持开启或关闭瞻仰台</w:t>
                        </w:r>
                        <w:r>
                          <w:rPr>
                            <w:sz w:val="21"/>
                          </w:rPr>
                          <w:t>制冷系统</w:t>
                        </w:r>
                        <w:r>
                          <w:rPr>
                            <w:sz w:val="21"/>
                          </w:rPr>
                          <w:t>，</w:t>
                        </w:r>
                        <w:r>
                          <w:rPr>
                            <w:sz w:val="21"/>
                          </w:rPr>
                          <w:t>支持设置制冷温度，支持打开、关闭台步、暂停台步操作，支持瞻仰台二次升降操作</w:t>
                        </w:r>
                        <w:r>
                          <w:rPr>
                            <w:sz w:val="21"/>
                          </w:rPr>
                          <w:t>。</w:t>
                        </w:r>
                      </w:p>
                      <w:p>
                        <w:pPr>
                          <w:pStyle w:val="null3"/>
                          <w:jc w:val="left"/>
                        </w:pPr>
                        <w:r>
                          <w:rPr>
                            <w:sz w:val="21"/>
                          </w:rPr>
                          <w:t>2、</w:t>
                        </w:r>
                        <w:r>
                          <w:rPr>
                            <w:sz w:val="21"/>
                          </w:rPr>
                          <w:t>状态</w:t>
                        </w:r>
                        <w:r>
                          <w:rPr>
                            <w:sz w:val="21"/>
                          </w:rPr>
                          <w:t>指示</w:t>
                        </w:r>
                        <w:r>
                          <w:rPr>
                            <w:sz w:val="21"/>
                          </w:rPr>
                          <w:t>功能：</w:t>
                        </w:r>
                      </w:p>
                      <w:p>
                        <w:pPr>
                          <w:pStyle w:val="null3"/>
                          <w:jc w:val="left"/>
                        </w:pPr>
                        <w:r>
                          <w:rPr>
                            <w:sz w:val="21"/>
                          </w:rPr>
                          <w:t>支持在遥控器上显示瞻仰台设备的当前状态，如</w:t>
                        </w:r>
                        <w:r>
                          <w:rPr>
                            <w:sz w:val="21"/>
                          </w:rPr>
                          <w:t>遥控器电量、瞻仰台连接状态、实时温度、设备设置参数</w:t>
                        </w:r>
                        <w:r>
                          <w:rPr>
                            <w:sz w:val="21"/>
                          </w:rPr>
                          <w:t>、</w:t>
                        </w:r>
                        <w:r>
                          <w:rPr>
                            <w:sz w:val="21"/>
                          </w:rPr>
                          <w:t>制冷</w:t>
                        </w:r>
                        <w:r>
                          <w:rPr>
                            <w:sz w:val="21"/>
                          </w:rPr>
                          <w:t>状态、</w:t>
                        </w:r>
                        <w:r>
                          <w:rPr>
                            <w:sz w:val="21"/>
                          </w:rPr>
                          <w:t>工作模式、压缩机状态、风机状态、报警状态等</w:t>
                        </w:r>
                        <w:r>
                          <w:rPr>
                            <w:sz w:val="21"/>
                          </w:rPr>
                          <w:t>。</w:t>
                        </w:r>
                      </w:p>
                      <w:p>
                        <w:pPr>
                          <w:pStyle w:val="null3"/>
                          <w:jc w:val="left"/>
                        </w:pPr>
                        <w:r>
                          <w:rPr>
                            <w:sz w:val="21"/>
                          </w:rPr>
                          <w:t>3、</w:t>
                        </w:r>
                        <w:r>
                          <w:rPr>
                            <w:sz w:val="21"/>
                          </w:rPr>
                          <w:t>触摸屏</w:t>
                        </w:r>
                        <w:r>
                          <w:rPr>
                            <w:sz w:val="21"/>
                          </w:rPr>
                          <w:t>/按键操作：</w:t>
                        </w:r>
                      </w:p>
                      <w:p>
                        <w:pPr>
                          <w:pStyle w:val="null3"/>
                          <w:jc w:val="left"/>
                        </w:pPr>
                        <w:r>
                          <w:rPr>
                            <w:sz w:val="21"/>
                          </w:rPr>
                          <w:t>支持触摸屏</w:t>
                        </w:r>
                        <w:r>
                          <w:rPr>
                            <w:sz w:val="21"/>
                          </w:rPr>
                          <w:t>和</w:t>
                        </w:r>
                        <w:r>
                          <w:rPr>
                            <w:sz w:val="21"/>
                          </w:rPr>
                          <w:t>物理按键两种操作方式，</w:t>
                        </w:r>
                        <w:r>
                          <w:rPr>
                            <w:sz w:val="21"/>
                          </w:rPr>
                          <w:t>为</w:t>
                        </w:r>
                        <w:r>
                          <w:rPr>
                            <w:sz w:val="21"/>
                          </w:rPr>
                          <w:t>常见操作</w:t>
                        </w:r>
                        <w:r>
                          <w:rPr>
                            <w:sz w:val="21"/>
                          </w:rPr>
                          <w:t>提供</w:t>
                        </w:r>
                        <w:r>
                          <w:rPr>
                            <w:sz w:val="21"/>
                          </w:rPr>
                          <w:t>物理按键</w:t>
                        </w:r>
                        <w:r>
                          <w:rPr>
                            <w:sz w:val="21"/>
                          </w:rPr>
                          <w:t>和支持防误触机制。</w:t>
                        </w:r>
                      </w:p>
                      <w:p>
                        <w:pPr>
                          <w:pStyle w:val="null3"/>
                          <w:jc w:val="left"/>
                        </w:pPr>
                        <w:r>
                          <w:rPr>
                            <w:sz w:val="21"/>
                          </w:rPr>
                          <w:t>4、</w:t>
                        </w:r>
                        <w:r>
                          <w:rPr>
                            <w:sz w:val="21"/>
                          </w:rPr>
                          <w:t>无线连接支持：</w:t>
                        </w:r>
                      </w:p>
                      <w:p>
                        <w:pPr>
                          <w:pStyle w:val="null3"/>
                          <w:jc w:val="left"/>
                        </w:pPr>
                        <w:r>
                          <w:rPr>
                            <w:sz w:val="21"/>
                          </w:rPr>
                          <w:t>遥控器支持</w:t>
                        </w:r>
                        <w:r>
                          <w:rPr>
                            <w:sz w:val="21"/>
                          </w:rPr>
                          <w:t>Wi-Fi 或蓝牙等无线协议与瞻仰台设备连接，确保</w:t>
                        </w:r>
                        <w:r>
                          <w:rPr>
                            <w:sz w:val="21"/>
                          </w:rPr>
                          <w:t>3米内</w:t>
                        </w:r>
                        <w:r>
                          <w:rPr>
                            <w:sz w:val="21"/>
                          </w:rPr>
                          <w:t>无延迟控制。应具备</w:t>
                        </w:r>
                        <w:r>
                          <w:rPr>
                            <w:sz w:val="21"/>
                          </w:rPr>
                          <w:t>靠近</w:t>
                        </w:r>
                        <w:r>
                          <w:rPr>
                            <w:sz w:val="21"/>
                          </w:rPr>
                          <w:t>自动连接和恢复功能，以便设备重新启动</w:t>
                        </w:r>
                        <w:r>
                          <w:rPr>
                            <w:sz w:val="21"/>
                          </w:rPr>
                          <w:t>或靠近</w:t>
                        </w:r>
                        <w:r>
                          <w:rPr>
                            <w:sz w:val="21"/>
                          </w:rPr>
                          <w:t>后自动恢复连接。</w:t>
                        </w:r>
                        <w:r>
                          <w:rPr>
                            <w:sz w:val="21"/>
                          </w:rPr>
                          <w:t>支持多设备连接，支持一个遥控器匹配多台瞻仰台设备。</w:t>
                        </w:r>
                      </w:p>
                      <w:p>
                        <w:pPr>
                          <w:pStyle w:val="null3"/>
                          <w:jc w:val="left"/>
                        </w:pPr>
                        <w:r>
                          <w:rPr>
                            <w:sz w:val="21"/>
                          </w:rPr>
                          <w:t>5、</w:t>
                        </w:r>
                        <w:r>
                          <w:rPr>
                            <w:sz w:val="21"/>
                          </w:rPr>
                          <w:t>电池续航：</w:t>
                        </w:r>
                      </w:p>
                      <w:p>
                        <w:pPr>
                          <w:pStyle w:val="null3"/>
                          <w:jc w:val="left"/>
                        </w:pPr>
                        <w:r>
                          <w:rPr>
                            <w:sz w:val="21"/>
                          </w:rPr>
                          <w:t>遥控器应具备长时间的电池续航，</w:t>
                        </w:r>
                        <w:r>
                          <w:rPr>
                            <w:sz w:val="21"/>
                          </w:rPr>
                          <w:t>正常一天使用</w:t>
                        </w:r>
                        <w:r>
                          <w:rPr>
                            <w:sz w:val="21"/>
                          </w:rPr>
                          <w:t>10次操作瞻仰台，</w:t>
                        </w:r>
                        <w:r>
                          <w:rPr>
                            <w:sz w:val="21"/>
                          </w:rPr>
                          <w:t>能够支持</w:t>
                        </w:r>
                        <w:r>
                          <w:rPr>
                            <w:sz w:val="21"/>
                          </w:rPr>
                          <w:t>60天</w:t>
                        </w:r>
                        <w:r>
                          <w:rPr>
                            <w:sz w:val="21"/>
                          </w:rPr>
                          <w:t>的连续使用。</w:t>
                        </w:r>
                      </w:p>
                      <w:p>
                        <w:pPr>
                          <w:pStyle w:val="null3"/>
                          <w:jc w:val="left"/>
                        </w:pPr>
                        <w:r>
                          <w:rPr>
                            <w:sz w:val="21"/>
                          </w:rPr>
                          <w:t>确保常用操作可持续使用</w:t>
                        </w:r>
                        <w:r>
                          <w:rPr>
                            <w:sz w:val="21"/>
                          </w:rPr>
                          <w:t>7天</w:t>
                        </w:r>
                        <w:r>
                          <w:rPr>
                            <w:sz w:val="21"/>
                          </w:rPr>
                          <w:t>。支持</w:t>
                        </w:r>
                        <w:r>
                          <w:rPr>
                            <w:sz w:val="21"/>
                          </w:rPr>
                          <w:t>USB-C 快速充电，便于快速恢复电量。</w:t>
                        </w:r>
                      </w:p>
                      <w:p>
                        <w:pPr>
                          <w:pStyle w:val="null3"/>
                          <w:jc w:val="left"/>
                        </w:pPr>
                        <w:r>
                          <w:rPr>
                            <w:sz w:val="21"/>
                          </w:rPr>
                          <w:t>备注：</w:t>
                        </w:r>
                        <w:r>
                          <w:rPr>
                            <w:sz w:val="21"/>
                          </w:rPr>
                          <w:t>1个智能遥控器标配控制5台瞻仰台。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自动控温风扇</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根据环境温度变化自动控制散热风扇运行，保障设备有效散热效果。</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4</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功能特点</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整机采用</w:t>
                        </w:r>
                        <w:r>
                          <w:rPr>
                            <w:sz w:val="21"/>
                          </w:rPr>
                          <w:t>两</w:t>
                        </w:r>
                        <w:r>
                          <w:rPr>
                            <w:sz w:val="21"/>
                          </w:rPr>
                          <w:t>套独立的制冷系统和控制系统，可单机工作</w:t>
                        </w:r>
                        <w:r>
                          <w:rPr>
                            <w:sz w:val="21"/>
                          </w:rPr>
                          <w:t>/备用/双机同时工作</w:t>
                        </w:r>
                        <w:r>
                          <w:rPr>
                            <w:sz w:val="21"/>
                          </w:rPr>
                          <w:t>：</w:t>
                        </w:r>
                      </w:p>
                      <w:p>
                        <w:pPr>
                          <w:pStyle w:val="null3"/>
                          <w:jc w:val="left"/>
                        </w:pPr>
                        <w:r>
                          <w:rPr>
                            <w:sz w:val="21"/>
                          </w:rPr>
                          <w:t>模式一</w:t>
                        </w:r>
                        <w:r>
                          <w:rPr>
                            <w:sz w:val="21"/>
                          </w:rPr>
                          <w:t>：</w:t>
                        </w:r>
                        <w:r>
                          <w:rPr>
                            <w:sz w:val="21"/>
                          </w:rPr>
                          <w:t>功能开关在单机</w:t>
                        </w:r>
                        <w:r>
                          <w:rPr>
                            <w:sz w:val="21"/>
                          </w:rPr>
                          <w:t>/备用工作时，出现故障时</w:t>
                        </w:r>
                        <w:r>
                          <w:rPr>
                            <w:sz w:val="21"/>
                          </w:rPr>
                          <w:t>可</w:t>
                        </w:r>
                        <w:r>
                          <w:rPr>
                            <w:sz w:val="21"/>
                          </w:rPr>
                          <w:t>自动切换工作。</w:t>
                        </w:r>
                      </w:p>
                      <w:p>
                        <w:pPr>
                          <w:pStyle w:val="null3"/>
                          <w:jc w:val="left"/>
                        </w:pPr>
                        <w:r>
                          <w:rPr>
                            <w:sz w:val="21"/>
                          </w:rPr>
                          <w:t>模式二</w:t>
                        </w:r>
                        <w:r>
                          <w:rPr>
                            <w:sz w:val="21"/>
                          </w:rPr>
                          <w:t>：</w:t>
                        </w:r>
                        <w:r>
                          <w:rPr>
                            <w:sz w:val="21"/>
                          </w:rPr>
                          <w:t>功能开关在双机工作时，双系统同时工作。</w:t>
                        </w:r>
                        <w:r>
                          <w:rPr>
                            <w:sz w:val="21"/>
                          </w:rPr>
                          <w:t>（迅速降温，快速到达设定温度）</w:t>
                        </w:r>
                      </w:p>
                      <w:p>
                        <w:pPr>
                          <w:pStyle w:val="null3"/>
                          <w:jc w:val="left"/>
                        </w:pPr>
                        <w:r>
                          <w:rPr>
                            <w:sz w:val="21"/>
                          </w:rPr>
                          <w:t>模式三：可设置制冷机组切换时间，根据所设置的时间自动切换制冷机组。</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设备物联网系统</w:t>
                        </w: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设备控制：</w:t>
                        </w:r>
                      </w:p>
                      <w:p>
                        <w:pPr>
                          <w:pStyle w:val="null3"/>
                          <w:jc w:val="both"/>
                        </w:pPr>
                        <w:r>
                          <w:rPr>
                            <w:sz w:val="21"/>
                          </w:rPr>
                          <w:t>1、设备信息感知</w:t>
                        </w:r>
                      </w:p>
                      <w:p>
                        <w:pPr>
                          <w:pStyle w:val="null3"/>
                          <w:jc w:val="both"/>
                        </w:pPr>
                        <w:r>
                          <w:rPr>
                            <w:sz w:val="21"/>
                          </w:rPr>
                          <w:t>可</w:t>
                        </w:r>
                        <w:r>
                          <w:rPr>
                            <w:sz w:val="21"/>
                          </w:rPr>
                          <w:t>实时查询设备上下线时间、远程操作情况、设备制冷状态、机组运行情况、信息上报间隔、设备名称编号等设备信息。</w:t>
                        </w:r>
                      </w:p>
                      <w:p>
                        <w:pPr>
                          <w:pStyle w:val="null3"/>
                          <w:jc w:val="both"/>
                        </w:pPr>
                        <w:r>
                          <w:rPr>
                            <w:sz w:val="21"/>
                          </w:rPr>
                          <w:t>2、远程控制设备</w:t>
                        </w:r>
                      </w:p>
                      <w:p>
                        <w:pPr>
                          <w:pStyle w:val="null3"/>
                          <w:jc w:val="both"/>
                        </w:pPr>
                        <w:r>
                          <w:rPr>
                            <w:sz w:val="21"/>
                          </w:rPr>
                          <w:t>实时显示制冷</w:t>
                        </w:r>
                        <w:r>
                          <w:rPr>
                            <w:sz w:val="21"/>
                          </w:rPr>
                          <w:t>开机和停机</w:t>
                        </w:r>
                        <w:r>
                          <w:rPr>
                            <w:sz w:val="21"/>
                          </w:rPr>
                          <w:t>温度，使用电脑</w:t>
                        </w:r>
                        <w:r>
                          <w:rPr>
                            <w:sz w:val="21"/>
                          </w:rPr>
                          <w:t>web版或app移动端进行制冷设置。</w:t>
                        </w:r>
                      </w:p>
                      <w:p>
                        <w:pPr>
                          <w:pStyle w:val="null3"/>
                          <w:jc w:val="both"/>
                        </w:pPr>
                        <w:r>
                          <w:rPr>
                            <w:sz w:val="21"/>
                          </w:rPr>
                          <w:t>实时显示设备超温报警值，</w:t>
                        </w:r>
                        <w:r>
                          <w:rPr>
                            <w:sz w:val="21"/>
                          </w:rPr>
                          <w:t>可</w:t>
                        </w:r>
                        <w:r>
                          <w:rPr>
                            <w:sz w:val="21"/>
                          </w:rPr>
                          <w:t>远程设置。</w:t>
                        </w:r>
                      </w:p>
                      <w:p>
                        <w:pPr>
                          <w:pStyle w:val="null3"/>
                          <w:jc w:val="both"/>
                        </w:pPr>
                        <w:r>
                          <w:rPr>
                            <w:sz w:val="21"/>
                          </w:rPr>
                          <w:t>实时显示设备报警延时参数，通过远程设置报警延时。</w:t>
                        </w:r>
                      </w:p>
                      <w:p>
                        <w:pPr>
                          <w:pStyle w:val="null3"/>
                        </w:pPr>
                        <w:r>
                          <w:rPr>
                            <w:sz w:val="21"/>
                          </w:rPr>
                          <w:t>3、设备日志</w:t>
                        </w:r>
                      </w:p>
                      <w:p>
                        <w:pPr>
                          <w:pStyle w:val="null3"/>
                        </w:pPr>
                        <w:r>
                          <w:rPr>
                            <w:sz w:val="21"/>
                          </w:rPr>
                          <w:t>记录设备更改、设备更改前参数、设备更改后参数、更改时间以及操作人，可进行设备日志快速查询及结果导出。</w:t>
                        </w:r>
                      </w:p>
                      <w:p>
                        <w:pPr>
                          <w:pStyle w:val="null3"/>
                          <w:jc w:val="both"/>
                        </w:pPr>
                        <w:r>
                          <w:rPr>
                            <w:sz w:val="21"/>
                          </w:rPr>
                          <w:t>2）运行监控</w:t>
                        </w:r>
                      </w:p>
                      <w:p>
                        <w:pPr>
                          <w:pStyle w:val="null3"/>
                          <w:jc w:val="both"/>
                        </w:pPr>
                        <w:r>
                          <w:rPr>
                            <w:sz w:val="21"/>
                          </w:rPr>
                          <w:t>1、设备图形化展示</w:t>
                        </w:r>
                      </w:p>
                      <w:p>
                        <w:pPr>
                          <w:pStyle w:val="null3"/>
                          <w:jc w:val="both"/>
                        </w:pPr>
                        <w:r>
                          <w:rPr>
                            <w:sz w:val="21"/>
                          </w:rPr>
                          <w:t>设备实时</w:t>
                        </w:r>
                        <w:r>
                          <w:rPr>
                            <w:sz w:val="21"/>
                          </w:rPr>
                          <w:t>设备</w:t>
                        </w:r>
                        <w:r>
                          <w:rPr>
                            <w:sz w:val="21"/>
                          </w:rPr>
                          <w:t>状态信息，电脑</w:t>
                        </w:r>
                        <w:r>
                          <w:rPr>
                            <w:sz w:val="21"/>
                          </w:rPr>
                          <w:t>web版、IOS、Android客户端通过图形化展示设备名称、实时温度、风机、压缩机状态、A\B系统状态信息，仪表图展示设备在线数、离线数、关机数、在线率信息。</w:t>
                        </w:r>
                      </w:p>
                      <w:p>
                        <w:pPr>
                          <w:pStyle w:val="null3"/>
                          <w:jc w:val="both"/>
                        </w:pPr>
                        <w:r>
                          <w:rPr>
                            <w:sz w:val="21"/>
                          </w:rPr>
                          <w:t>2、根据温度变化展示设备状态和温度信息</w:t>
                        </w:r>
                      </w:p>
                      <w:p>
                        <w:pPr>
                          <w:pStyle w:val="null3"/>
                          <w:jc w:val="both"/>
                        </w:pPr>
                        <w:r>
                          <w:rPr>
                            <w:sz w:val="21"/>
                          </w:rPr>
                          <w:t>通过温度的实时变化，设备展示效果不同，分为超低温度、正常温度、预警温设备。</w:t>
                        </w:r>
                      </w:p>
                      <w:p>
                        <w:pPr>
                          <w:pStyle w:val="null3"/>
                          <w:jc w:val="both"/>
                        </w:pPr>
                        <w:r>
                          <w:rPr>
                            <w:sz w:val="21"/>
                          </w:rPr>
                          <w:t>3、自动刷新设备实时属性</w:t>
                        </w:r>
                      </w:p>
                      <w:p>
                        <w:pPr>
                          <w:pStyle w:val="null3"/>
                          <w:jc w:val="both"/>
                        </w:pPr>
                        <w:r>
                          <w:rPr>
                            <w:sz w:val="21"/>
                          </w:rPr>
                          <w:t>设备主动上报实时温度、制冷开机温度、制冷停机温度、超温报警值、温度超限报警延时、通电后首次温度超限报警延时，设备属性自动刷新、消息推送刷新。</w:t>
                        </w:r>
                      </w:p>
                      <w:p>
                        <w:pPr>
                          <w:pStyle w:val="null3"/>
                          <w:jc w:val="both"/>
                        </w:pPr>
                        <w:r>
                          <w:rPr>
                            <w:sz w:val="21"/>
                          </w:rPr>
                          <w:t>4、设备历史温度曲线图形化展示</w:t>
                        </w:r>
                      </w:p>
                      <w:p>
                        <w:pPr>
                          <w:pStyle w:val="null3"/>
                          <w:jc w:val="both"/>
                        </w:pPr>
                        <w:r>
                          <w:rPr>
                            <w:sz w:val="21"/>
                          </w:rPr>
                          <w:t>系统保留设备秒级的设备温度等数据，可通过</w:t>
                        </w:r>
                        <w:r>
                          <w:rPr>
                            <w:sz w:val="21"/>
                          </w:rPr>
                          <w:t>1小时、4小时、24小时、7天等筛选范围，提供设备真实温度变化曲线。</w:t>
                        </w:r>
                      </w:p>
                      <w:p>
                        <w:pPr>
                          <w:pStyle w:val="null3"/>
                          <w:jc w:val="both"/>
                        </w:pPr>
                        <w:r>
                          <w:rPr>
                            <w:sz w:val="21"/>
                          </w:rPr>
                          <w:t>3）智能报警</w:t>
                        </w:r>
                      </w:p>
                      <w:p>
                        <w:pPr>
                          <w:pStyle w:val="null3"/>
                          <w:jc w:val="both"/>
                        </w:pPr>
                        <w:r>
                          <w:rPr>
                            <w:sz w:val="21"/>
                          </w:rPr>
                          <w:t>1、设备离线报警</w:t>
                        </w:r>
                      </w:p>
                      <w:p>
                        <w:pPr>
                          <w:pStyle w:val="null3"/>
                          <w:jc w:val="both"/>
                        </w:pPr>
                        <w:r>
                          <w:rPr>
                            <w:sz w:val="21"/>
                          </w:rPr>
                          <w:t>设备失去和服务器连接时，服务器经过主动请求和判断，依然无法上线，则触发离线报警，报警方式支持短信推送、</w:t>
                        </w:r>
                        <w:r>
                          <w:rPr>
                            <w:sz w:val="21"/>
                          </w:rPr>
                          <w:t>app推送。</w:t>
                        </w:r>
                      </w:p>
                      <w:p>
                        <w:pPr>
                          <w:pStyle w:val="null3"/>
                          <w:jc w:val="both"/>
                        </w:pPr>
                        <w:r>
                          <w:rPr>
                            <w:sz w:val="21"/>
                          </w:rPr>
                          <w:t>2、设备无响应报警</w:t>
                        </w:r>
                      </w:p>
                      <w:p>
                        <w:pPr>
                          <w:pStyle w:val="null3"/>
                          <w:jc w:val="both"/>
                        </w:pPr>
                        <w:r>
                          <w:rPr>
                            <w:sz w:val="21"/>
                          </w:rPr>
                          <w:t>服务器向设备发送命令经过多次重试后设备无任何响应，则触发设备无响应报警，报警方式支持短信推送、</w:t>
                        </w:r>
                        <w:r>
                          <w:rPr>
                            <w:sz w:val="21"/>
                          </w:rPr>
                          <w:t>app推送。</w:t>
                        </w:r>
                      </w:p>
                      <w:p>
                        <w:pPr>
                          <w:pStyle w:val="null3"/>
                          <w:jc w:val="both"/>
                        </w:pPr>
                        <w:r>
                          <w:rPr>
                            <w:sz w:val="21"/>
                          </w:rPr>
                          <w:t>3、短信、APP报警和设置</w:t>
                        </w:r>
                      </w:p>
                      <w:p>
                        <w:pPr>
                          <w:pStyle w:val="null3"/>
                          <w:jc w:val="both"/>
                        </w:pPr>
                        <w:r>
                          <w:rPr>
                            <w:sz w:val="21"/>
                          </w:rPr>
                          <w:t>系统可根据不同的报警类型设置不同的接收人，支持按不同设备类型和设备报警类别来设置对应的处理人，并可以设置短信、</w:t>
                        </w:r>
                        <w:r>
                          <w:rPr>
                            <w:sz w:val="21"/>
                          </w:rPr>
                          <w:t>APP推送等方式将消息推送到运维人员。</w:t>
                        </w:r>
                      </w:p>
                      <w:p>
                        <w:pPr>
                          <w:pStyle w:val="null3"/>
                          <w:jc w:val="both"/>
                        </w:pPr>
                        <w:r>
                          <w:rPr>
                            <w:sz w:val="21"/>
                          </w:rPr>
                          <w:t>4、设备温度超限报警</w:t>
                        </w:r>
                      </w:p>
                      <w:p>
                        <w:pPr>
                          <w:pStyle w:val="null3"/>
                          <w:jc w:val="both"/>
                        </w:pPr>
                        <w:r>
                          <w:rPr>
                            <w:sz w:val="21"/>
                          </w:rPr>
                          <w:t>设备出现温度超限预定范围时，且在一定时间内设备无法回到正常范围温度，则触发设备温度超限报警，报警方式支持短信推送、</w:t>
                        </w:r>
                        <w:r>
                          <w:rPr>
                            <w:sz w:val="21"/>
                          </w:rPr>
                          <w:t>APP推送。</w:t>
                        </w:r>
                      </w:p>
                      <w:p>
                        <w:pPr>
                          <w:pStyle w:val="null3"/>
                          <w:jc w:val="both"/>
                        </w:pPr>
                        <w:r>
                          <w:rPr>
                            <w:sz w:val="21"/>
                          </w:rPr>
                          <w:t>5、设备温度传感器探头故障报警</w:t>
                        </w:r>
                      </w:p>
                      <w:p>
                        <w:pPr>
                          <w:pStyle w:val="null3"/>
                          <w:jc w:val="both"/>
                        </w:pPr>
                        <w:r>
                          <w:rPr>
                            <w:sz w:val="21"/>
                          </w:rPr>
                          <w:t>设备检测到温度异常、无法测量准确温度，则触发温度传感器探头故障报警，报警方式支持短信推送、</w:t>
                        </w:r>
                        <w:r>
                          <w:rPr>
                            <w:sz w:val="21"/>
                          </w:rPr>
                          <w:t>APP推送。</w:t>
                        </w:r>
                      </w:p>
                      <w:p>
                        <w:pPr>
                          <w:pStyle w:val="null3"/>
                          <w:jc w:val="both"/>
                        </w:pPr>
                        <w:r>
                          <w:rPr>
                            <w:sz w:val="21"/>
                          </w:rPr>
                          <w:t>6、历史报警</w:t>
                        </w:r>
                      </w:p>
                      <w:p>
                        <w:pPr>
                          <w:pStyle w:val="null3"/>
                        </w:pPr>
                        <w:r>
                          <w:rPr>
                            <w:sz w:val="21"/>
                          </w:rPr>
                          <w:t>可查看所有设备的历史报警记录，支持通过设备名称、报警状态快速。</w:t>
                        </w:r>
                      </w:p>
                      <w:p>
                        <w:pPr>
                          <w:pStyle w:val="null3"/>
                          <w:jc w:val="both"/>
                        </w:pPr>
                        <w:r>
                          <w:rPr>
                            <w:sz w:val="21"/>
                          </w:rPr>
                          <w:t>7、预警告警配置</w:t>
                        </w:r>
                      </w:p>
                      <w:p>
                        <w:pPr>
                          <w:pStyle w:val="null3"/>
                        </w:pPr>
                        <w:r>
                          <w:rPr>
                            <w:sz w:val="21"/>
                          </w:rPr>
                          <w:t>故障预警通知开关、延时设置、通知方式设置、接收人设置、发送频率设置、预警报警机制设置。</w:t>
                        </w:r>
                      </w:p>
                      <w:p>
                        <w:pPr>
                          <w:pStyle w:val="null3"/>
                          <w:jc w:val="both"/>
                        </w:pPr>
                        <w:r>
                          <w:rPr>
                            <w:sz w:val="21"/>
                          </w:rPr>
                          <w:t>4）大数据分析</w:t>
                        </w:r>
                      </w:p>
                      <w:p>
                        <w:pPr>
                          <w:pStyle w:val="null3"/>
                        </w:pPr>
                        <w:r>
                          <w:rPr>
                            <w:sz w:val="21"/>
                          </w:rPr>
                          <w:t>对设备进行能耗分析、故障分析、设备使用率、设备统计分析，并支持数据明细查询、数据导出。</w:t>
                        </w:r>
                      </w:p>
                      <w:p>
                        <w:pPr>
                          <w:pStyle w:val="null3"/>
                          <w:jc w:val="both"/>
                        </w:pPr>
                        <w:r>
                          <w:rPr>
                            <w:sz w:val="21"/>
                          </w:rPr>
                          <w:t>5）运行监控中心</w:t>
                        </w:r>
                      </w:p>
                      <w:p>
                        <w:pPr>
                          <w:pStyle w:val="null3"/>
                        </w:pPr>
                        <w:r>
                          <w:rPr>
                            <w:sz w:val="21"/>
                          </w:rPr>
                          <w:t>展示殡仪馆所有设备的运行状态，主要包含设备总数、设备当前使用率、设备状态统计、各类型设备实时组态图展示、最新报警信息显示、报警故障设备排行、故障类型排行等各维度的统计数据可视化展示，方便工作人员及时了解殡仪馆设备运行状态。</w:t>
                        </w:r>
                      </w:p>
                      <w:p>
                        <w:pPr>
                          <w:pStyle w:val="null3"/>
                          <w:jc w:val="both"/>
                        </w:pPr>
                        <w:r>
                          <w:rPr>
                            <w:sz w:val="21"/>
                          </w:rPr>
                          <w:t>6）运维保养</w:t>
                        </w:r>
                      </w:p>
                      <w:p>
                        <w:pPr>
                          <w:pStyle w:val="null3"/>
                        </w:pPr>
                        <w:r>
                          <w:rPr>
                            <w:sz w:val="21"/>
                          </w:rPr>
                          <w:t>对各类设备建立的日常保养、定期维修的任务管理，可减少设备故障率，极大程度地提高设备的使用寿命。</w:t>
                        </w:r>
                      </w:p>
                      <w:p>
                        <w:pPr>
                          <w:pStyle w:val="null3"/>
                          <w:jc w:val="both"/>
                        </w:pPr>
                        <w:r>
                          <w:rPr>
                            <w:sz w:val="21"/>
                          </w:rPr>
                          <w:t>1、保养计划管理</w:t>
                        </w:r>
                      </w:p>
                      <w:p>
                        <w:pPr>
                          <w:pStyle w:val="null3"/>
                        </w:pPr>
                        <w:r>
                          <w:rPr>
                            <w:sz w:val="21"/>
                          </w:rPr>
                          <w:t>制定设备日常保养、定期检验计划，可编辑及查询，支持按计划进行提醒工作人员进行保养，可查询待保养的设备明细信息、待保养设备统计。</w:t>
                        </w:r>
                      </w:p>
                      <w:p>
                        <w:pPr>
                          <w:pStyle w:val="null3"/>
                          <w:jc w:val="both"/>
                        </w:pPr>
                        <w:r>
                          <w:rPr>
                            <w:sz w:val="21"/>
                          </w:rPr>
                          <w:t>2、保养结果管理</w:t>
                        </w:r>
                      </w:p>
                      <w:p>
                        <w:pPr>
                          <w:pStyle w:val="null3"/>
                        </w:pPr>
                        <w:r>
                          <w:rPr>
                            <w:sz w:val="21"/>
                          </w:rPr>
                          <w:t>日常保养、定期检修结果录入及历史记录查询。</w:t>
                        </w:r>
                      </w:p>
                      <w:p>
                        <w:pPr>
                          <w:pStyle w:val="null3"/>
                          <w:jc w:val="both"/>
                        </w:pPr>
                        <w:r>
                          <w:rPr>
                            <w:sz w:val="21"/>
                          </w:rPr>
                          <w:t>7）系统管理</w:t>
                        </w:r>
                      </w:p>
                      <w:p>
                        <w:pPr>
                          <w:pStyle w:val="null3"/>
                        </w:pPr>
                        <w:r>
                          <w:rPr>
                            <w:sz w:val="21"/>
                          </w:rPr>
                          <w:t>可根据各个用户岗位角色、部门不同来灵活使用系统各个相应模块的权限。</w:t>
                        </w:r>
                      </w:p>
                      <w:p>
                        <w:pPr>
                          <w:pStyle w:val="null3"/>
                        </w:pPr>
                        <w:r>
                          <w:rPr>
                            <w:sz w:val="21"/>
                          </w:rPr>
                          <w:t>该系统支持电脑</w:t>
                        </w:r>
                        <w:r>
                          <w:rPr>
                            <w:sz w:val="21"/>
                          </w:rPr>
                          <w:t>web版、手机app版（iOS、Android）使用。支持和殡葬服务信息平台的数据对接。</w:t>
                        </w:r>
                      </w:p>
                      <w:p>
                        <w:pPr>
                          <w:pStyle w:val="null3"/>
                          <w:jc w:val="both"/>
                        </w:pPr>
                        <w:r>
                          <w:rPr>
                            <w:sz w:val="21"/>
                          </w:rPr>
                          <w:t>8</w:t>
                        </w:r>
                        <w:r>
                          <w:rPr>
                            <w:sz w:val="21"/>
                          </w:rPr>
                          <w:t>）瞻仰台边缘计算网关硬件功能参数</w:t>
                        </w:r>
                      </w:p>
                      <w:tbl>
                        <w:tblPr>
                          <w:tblBorders>
                            <w:top w:val="none" w:color="000000" w:sz="4"/>
                            <w:left w:val="none" w:color="000000" w:sz="4"/>
                            <w:bottom w:val="none" w:color="000000" w:sz="4"/>
                            <w:right w:val="none" w:color="000000" w:sz="4"/>
                            <w:insideH w:val="none"/>
                            <w:insideV w:val="none"/>
                          </w:tblBorders>
                        </w:tblPr>
                        <w:tblGrid>
                          <w:gridCol w:w="427"/>
                          <w:gridCol w:w="3689"/>
                        </w:tblGrid>
                        <w:tr>
                          <w:tc>
                            <w:tcPr>
                              <w:tcW w:type="dxa" w:w="4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设备参数</w:t>
                              </w:r>
                            </w:p>
                          </w:tc>
                          <w:tc>
                            <w:tcPr>
                              <w:tcW w:type="dxa" w:w="3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w:t>
                              </w:r>
                              <w:r>
                                <w:rPr>
                                  <w:sz w:val="21"/>
                                </w:rPr>
                                <w:t>MIPS MCU(32MB SRAM)和16MB Flash，基于Linux或eCos操作系统。</w:t>
                              </w:r>
                            </w:p>
                          </w:tc>
                        </w:tr>
                        <w:tr>
                          <w:tc>
                            <w:tcPr>
                              <w:tcW w:type="dxa" w:w="427"/>
                              <w:vMerge/>
                              <w:tcBorders>
                                <w:top w:val="singl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5模全网通LTE-TDD,LTE-FDD,WCDMA,TD-SCDMA,蜂窝网，即支持移动、联通3G/4G、电信4G网络，可选子型号支持特定网络。</w:t>
                              </w:r>
                            </w:p>
                          </w:tc>
                        </w:tr>
                        <w:tr>
                          <w:tc>
                            <w:tcPr>
                              <w:tcW w:type="dxa" w:w="427"/>
                              <w:vMerge/>
                              <w:tcBorders>
                                <w:top w:val="singl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RS485转3G/4G、Wi-Fi、以太网数据传输，串口速率最高460800bps。</w:t>
                              </w:r>
                            </w:p>
                          </w:tc>
                        </w:tr>
                        <w:tr>
                          <w:tc>
                            <w:tcPr>
                              <w:tcW w:type="dxa" w:w="427"/>
                              <w:vMerge/>
                              <w:tcBorders>
                                <w:top w:val="singl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10/100M以太网转3G/4G数据传输。</w:t>
                              </w:r>
                            </w:p>
                          </w:tc>
                        </w:tr>
                        <w:tr>
                          <w:tc>
                            <w:tcPr>
                              <w:tcW w:type="dxa" w:w="427"/>
                              <w:vMerge/>
                              <w:tcBorders>
                                <w:top w:val="singl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支持最多</w:t>
                              </w:r>
                              <w:r>
                                <w:rPr>
                                  <w:sz w:val="21"/>
                                </w:rPr>
                                <w:t>5路TCP/UDP连接，每路连接支持≥1400字节数据缓存。</w:t>
                              </w:r>
                            </w:p>
                          </w:tc>
                        </w:tr>
                        <w:tr>
                          <w:tc>
                            <w:tcPr>
                              <w:tcW w:type="dxa" w:w="427"/>
                              <w:vMerge/>
                              <w:tcBorders>
                                <w:top w:val="singl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支持无线工作</w:t>
                              </w:r>
                              <w:r>
                                <w:rPr>
                                  <w:sz w:val="21"/>
                                </w:rPr>
                                <w:t>STA/AP/AP+STA。</w:t>
                              </w:r>
                            </w:p>
                          </w:tc>
                        </w:tr>
                        <w:tr>
                          <w:tc>
                            <w:tcPr>
                              <w:tcW w:type="dxa" w:w="427"/>
                              <w:vMerge/>
                              <w:tcBorders>
                                <w:top w:val="singl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支持数据</w:t>
                              </w:r>
                              <w:r>
                                <w:rPr>
                                  <w:sz w:val="21"/>
                                </w:rPr>
                                <w:t>TLS/AES/DES3安全加密配置。</w:t>
                              </w:r>
                            </w:p>
                          </w:tc>
                        </w:tr>
                        <w:tr>
                          <w:tc>
                            <w:tcPr>
                              <w:tcW w:type="dxa" w:w="427"/>
                              <w:vMerge/>
                              <w:tcBorders>
                                <w:top w:val="singl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支持多种工作模式：网络透传模式、</w:t>
                              </w:r>
                              <w:r>
                                <w:rPr>
                                  <w:sz w:val="21"/>
                                </w:rPr>
                                <w:t>HTTP模式、MQTT等。</w:t>
                              </w:r>
                            </w:p>
                          </w:tc>
                        </w:tr>
                        <w:tr>
                          <w:tc>
                            <w:tcPr>
                              <w:tcW w:type="dxa" w:w="427"/>
                              <w:vMerge/>
                              <w:tcBorders>
                                <w:top w:val="singl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Modbus主站轮询功能。</w:t>
                              </w:r>
                            </w:p>
                          </w:tc>
                        </w:tr>
                        <w:tr>
                          <w:tc>
                            <w:tcPr>
                              <w:tcW w:type="dxa" w:w="427"/>
                              <w:vMerge/>
                              <w:tcBorders>
                                <w:top w:val="singl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Modbus TCP转Modbus RTU。</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软件功能</w:t>
                              </w: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实时检测底层设备是否正常运行，可触发设备无响应报警。</w:t>
                              </w:r>
                            </w:p>
                          </w:tc>
                        </w:tr>
                        <w:tr>
                          <w:tc>
                            <w:tcPr>
                              <w:tcW w:type="dxa" w:w="427"/>
                              <w:vMerge/>
                              <w:tcBorders>
                                <w:top w:val="non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毫秒级的数据获取和上报机制（实时上报设备库温、制冷开机温度、制冷停机温度、超温报警值、温度超限报警延时、通电后首次温度超限报警延时），可快速感知底层设备的变化。</w:t>
                              </w:r>
                            </w:p>
                          </w:tc>
                        </w:tr>
                        <w:tr>
                          <w:tc>
                            <w:tcPr>
                              <w:tcW w:type="dxa" w:w="427"/>
                              <w:vMerge/>
                              <w:tcBorders>
                                <w:top w:val="non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智能去重，自动去除底层设备上报的无效数据和重复状态。</w:t>
                              </w:r>
                            </w:p>
                          </w:tc>
                        </w:tr>
                        <w:tr>
                          <w:tc>
                            <w:tcPr>
                              <w:tcW w:type="dxa" w:w="427"/>
                              <w:vMerge/>
                              <w:tcBorders>
                                <w:top w:val="non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毫秒级向底层设备发送控制指令（可控制设备开关机，更改制冷开机温度、制冷停机温度、超温报警值、温度超限报警延时、通电后首次温度超限报警延时参数），指数衰减重试机制。</w:t>
                              </w:r>
                            </w:p>
                          </w:tc>
                        </w:tr>
                        <w:tr>
                          <w:tc>
                            <w:tcPr>
                              <w:tcW w:type="dxa" w:w="427"/>
                              <w:vMerge/>
                              <w:tcBorders>
                                <w:top w:val="non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实时检测网络状态，网络异常断开，设备重新连接网络。</w:t>
                              </w:r>
                            </w:p>
                          </w:tc>
                        </w:tr>
                        <w:tr>
                          <w:tc>
                            <w:tcPr>
                              <w:tcW w:type="dxa" w:w="427"/>
                              <w:vMerge/>
                              <w:tcBorders>
                                <w:top w:val="non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根据设备响应情况生成异常报告，自动上报到云平台。</w:t>
                              </w:r>
                            </w:p>
                          </w:tc>
                        </w:tr>
                        <w:tr>
                          <w:tc>
                            <w:tcPr>
                              <w:tcW w:type="dxa" w:w="427"/>
                              <w:vMerge/>
                              <w:tcBorders>
                                <w:top w:val="non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动态报警机制，根据底层设备响应情况决定报警的次数和频率。</w:t>
                              </w:r>
                            </w:p>
                          </w:tc>
                        </w:tr>
                        <w:tr>
                          <w:tc>
                            <w:tcPr>
                              <w:tcW w:type="dxa" w:w="427"/>
                              <w:vMerge/>
                              <w:tcBorders>
                                <w:top w:val="non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断</w:t>
                              </w:r>
                              <w:r>
                                <w:rPr>
                                  <w:sz w:val="21"/>
                                </w:rPr>
                                <w:t>电数据不丢失，重新通电后可获取</w:t>
                              </w:r>
                              <w:r>
                                <w:rPr>
                                  <w:sz w:val="21"/>
                                </w:rPr>
                                <w:t>数据</w:t>
                              </w:r>
                              <w:r>
                                <w:rPr>
                                  <w:sz w:val="21"/>
                                </w:rPr>
                                <w:t>。</w:t>
                              </w:r>
                            </w:p>
                          </w:tc>
                        </w:tr>
                        <w:tr>
                          <w:tc>
                            <w:tcPr>
                              <w:tcW w:type="dxa" w:w="427"/>
                              <w:vMerge/>
                              <w:tcBorders>
                                <w:top w:val="non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设备允许异常后，自动执行设备初始化并重新启动。</w:t>
                              </w:r>
                            </w:p>
                          </w:tc>
                        </w:tr>
                        <w:tr>
                          <w:tc>
                            <w:tcPr>
                              <w:tcW w:type="dxa" w:w="427"/>
                              <w:vMerge/>
                              <w:tcBorders>
                                <w:top w:val="none" w:color="000000" w:sz="4"/>
                                <w:left w:val="single" w:color="000000" w:sz="4"/>
                                <w:bottom w:val="single" w:color="000000" w:sz="4"/>
                                <w:right w:val="single" w:color="000000" w:sz="4"/>
                              </w:tcBorders>
                            </w:tcPr>
                            <w:p/>
                          </w:tc>
                          <w:tc>
                            <w:tcPr>
                              <w:tcW w:type="dxa" w:w="3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支持远程升级固件。</w:t>
                              </w:r>
                            </w:p>
                          </w:tc>
                        </w:tr>
                      </w:tbl>
                      <w:p>
                        <w:pPr>
                          <w:pStyle w:val="null3"/>
                          <w:jc w:val="left"/>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实木主持台</w:t>
                        </w:r>
                      </w:p>
                      <w:tbl>
                        <w:tblPr>
                          <w:tblBorders>
                            <w:top w:val="none" w:color="000000" w:sz="4"/>
                            <w:left w:val="none" w:color="000000" w:sz="4"/>
                            <w:bottom w:val="none" w:color="000000" w:sz="4"/>
                            <w:right w:val="none" w:color="000000" w:sz="4"/>
                            <w:insideH w:val="none"/>
                            <w:insideV w:val="none"/>
                          </w:tblBorders>
                        </w:tblPr>
                        <w:tblGrid>
                          <w:gridCol w:w="409"/>
                          <w:gridCol w:w="818"/>
                          <w:gridCol w:w="2888"/>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产品技术项目</w:t>
                              </w:r>
                            </w:p>
                          </w:tc>
                          <w:tc>
                            <w:tcPr>
                              <w:tcW w:type="dxa" w:w="2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产品技术规格、参数及要求</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2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L700*W600*H1150(mm)</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w:t>
                              </w:r>
                            </w:p>
                          </w:tc>
                          <w:tc>
                            <w:tcPr>
                              <w:tcW w:type="dxa" w:w="2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橡胶木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工艺</w:t>
                              </w:r>
                            </w:p>
                          </w:tc>
                          <w:tc>
                            <w:tcPr>
                              <w:tcW w:type="dxa" w:w="2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榫卯结构，采用传统手工雕刻图案。</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油漆</w:t>
                              </w:r>
                            </w:p>
                          </w:tc>
                          <w:tc>
                            <w:tcPr>
                              <w:tcW w:type="dxa" w:w="2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油漆采用五底三面油漆工艺，底色为红棕色。</w:t>
                              </w:r>
                            </w:p>
                          </w:tc>
                        </w:tr>
                      </w:tbl>
                      <w:p>
                        <w:pPr>
                          <w:pStyle w:val="null3"/>
                          <w:jc w:val="left"/>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实木供桌（子母）</w:t>
                        </w:r>
                      </w:p>
                      <w:tbl>
                        <w:tblPr>
                          <w:tblBorders>
                            <w:top w:val="none" w:color="000000" w:sz="4"/>
                            <w:left w:val="none" w:color="000000" w:sz="4"/>
                            <w:bottom w:val="none" w:color="000000" w:sz="4"/>
                            <w:right w:val="none" w:color="000000" w:sz="4"/>
                            <w:insideH w:val="none"/>
                            <w:insideV w:val="none"/>
                          </w:tblBorders>
                        </w:tblPr>
                        <w:tblGrid>
                          <w:gridCol w:w="602"/>
                          <w:gridCol w:w="803"/>
                          <w:gridCol w:w="2711"/>
                        </w:tblGrid>
                        <w:tr>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产品技术项目</w:t>
                              </w:r>
                            </w:p>
                          </w:tc>
                          <w:tc>
                            <w:tcPr>
                              <w:tcW w:type="dxa" w:w="2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产品技术规格、参数及要求</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大桌规格</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*宽*高：约1720*530*930mm</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小桌规格</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*宽*高：约1050*530*650mm</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橡胶木</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工艺</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榫卯结构，采用传统手工雕刻图案，角花镂空雕刻。</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油漆</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油漆采用五底三面油漆工艺，底色为红棕色。</w:t>
                              </w:r>
                            </w:p>
                          </w:tc>
                        </w:tr>
                      </w:tbl>
                      <w:p>
                        <w:pPr>
                          <w:pStyle w:val="null3"/>
                          <w:jc w:val="left"/>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实木瞻仰台专用对接车</w:t>
                        </w:r>
                      </w:p>
                      <w:tbl>
                        <w:tblPr>
                          <w:tblBorders>
                            <w:top w:val="none" w:color="000000" w:sz="4"/>
                            <w:left w:val="none" w:color="000000" w:sz="4"/>
                            <w:bottom w:val="none" w:color="000000" w:sz="4"/>
                            <w:right w:val="none" w:color="000000" w:sz="4"/>
                            <w:insideH w:val="none"/>
                            <w:insideV w:val="none"/>
                          </w:tblBorders>
                        </w:tblPr>
                        <w:tblGrid>
                          <w:gridCol w:w="457"/>
                          <w:gridCol w:w="881"/>
                          <w:gridCol w:w="2770"/>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产品技术项目</w:t>
                              </w:r>
                            </w:p>
                          </w:tc>
                          <w:tc>
                            <w:tcPr>
                              <w:tcW w:type="dxa" w:w="2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产品技术规格、参数及要求</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2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L2200</w:t>
                              </w:r>
                              <w:r>
                                <w:rPr>
                                  <w:sz w:val="21"/>
                                </w:rPr>
                                <w:t>*</w:t>
                              </w:r>
                              <w:r>
                                <w:rPr>
                                  <w:sz w:val="21"/>
                                </w:rPr>
                                <w:t>W650</w:t>
                              </w:r>
                              <w:r>
                                <w:rPr>
                                  <w:sz w:val="21"/>
                                </w:rPr>
                                <w:t>*</w:t>
                              </w:r>
                              <w:r>
                                <w:rPr>
                                  <w:sz w:val="21"/>
                                </w:rPr>
                                <w:t>H</w:t>
                              </w:r>
                              <w:r>
                                <w:rPr>
                                  <w:sz w:val="21"/>
                                </w:rPr>
                                <w:t>100</w:t>
                              </w:r>
                              <w:r>
                                <w:rPr>
                                  <w:sz w:val="21"/>
                                </w:rPr>
                                <w:t>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方管</w:t>
                              </w:r>
                            </w:p>
                          </w:tc>
                          <w:tc>
                            <w:tcPr>
                              <w:tcW w:type="dxa" w:w="2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201不锈钢，</w:t>
                              </w:r>
                              <w:r>
                                <w:rPr>
                                  <w:sz w:val="21"/>
                                </w:rPr>
                                <w:t>30*30</w:t>
                              </w:r>
                              <w:r>
                                <w:rPr>
                                  <w:sz w:val="21"/>
                                </w:rPr>
                                <w:t>mm</w:t>
                              </w:r>
                              <w:r>
                                <w:rPr>
                                  <w:sz w:val="21"/>
                                </w:rPr>
                                <w:t>（</w:t>
                              </w:r>
                              <w:r>
                                <w:rPr>
                                  <w:sz w:val="21"/>
                                </w:rPr>
                                <w:t>厚</w:t>
                              </w:r>
                              <w:r>
                                <w:rPr>
                                  <w:sz w:val="21"/>
                                </w:rPr>
                                <w:t>度</w:t>
                              </w:r>
                              <w:r>
                                <w:rPr>
                                  <w:sz w:val="21"/>
                                </w:rPr>
                                <w:t>≥</w:t>
                              </w:r>
                              <w:r>
                                <w:rPr>
                                  <w:sz w:val="21"/>
                                </w:rPr>
                                <w:t>1.0mm</w:t>
                              </w:r>
                              <w:r>
                                <w:rPr>
                                  <w:sz w:val="21"/>
                                </w:rPr>
                                <w:t>）</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车轮</w:t>
                              </w:r>
                            </w:p>
                          </w:tc>
                          <w:tc>
                            <w:tcPr>
                              <w:tcW w:type="dxa" w:w="2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3寸红枣轮，</w:t>
                              </w:r>
                              <w:r>
                                <w:rPr>
                                  <w:sz w:val="21"/>
                                </w:rPr>
                                <w:t>万</w:t>
                              </w:r>
                              <w:r>
                                <w:rPr>
                                  <w:sz w:val="21"/>
                                </w:rPr>
                                <w:t>向带刹</w:t>
                              </w:r>
                              <w:r>
                                <w:rPr>
                                  <w:sz w:val="21"/>
                                </w:rPr>
                                <w:t>4</w:t>
                              </w:r>
                              <w:r>
                                <w:rPr>
                                  <w:sz w:val="21"/>
                                </w:rPr>
                                <w:t>个</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w:t>
                              </w:r>
                            </w:p>
                          </w:tc>
                          <w:tc>
                            <w:tcPr>
                              <w:tcW w:type="dxa" w:w="2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w:t>
                              </w:r>
                              <w:r>
                                <w:rPr>
                                  <w:sz w:val="21"/>
                                </w:rPr>
                                <w:t>抬</w:t>
                              </w:r>
                              <w:r>
                                <w:rPr>
                                  <w:sz w:val="21"/>
                                </w:rPr>
                                <w:t>对接车</w:t>
                              </w:r>
                            </w:p>
                          </w:tc>
                        </w:tr>
                      </w:tbl>
                      <w:p>
                        <w:pPr>
                          <w:pStyle w:val="null3"/>
                          <w:jc w:val="left"/>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绢花花圈</w:t>
                        </w:r>
                        <w:r>
                          <w:rPr>
                            <w:sz w:val="21"/>
                            <w:b/>
                          </w:rPr>
                          <w:t>（单层三角支架）</w:t>
                        </w:r>
                      </w:p>
                      <w:tbl>
                        <w:tblPr>
                          <w:tblBorders>
                            <w:top w:val="none" w:color="000000" w:sz="4"/>
                            <w:left w:val="none" w:color="000000" w:sz="4"/>
                            <w:bottom w:val="none" w:color="000000" w:sz="4"/>
                            <w:right w:val="none" w:color="000000" w:sz="4"/>
                            <w:insideH w:val="none"/>
                            <w:insideV w:val="none"/>
                          </w:tblBorders>
                        </w:tblPr>
                        <w:tblGrid>
                          <w:gridCol w:w="464"/>
                          <w:gridCol w:w="813"/>
                          <w:gridCol w:w="2839"/>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产品技术项目</w:t>
                              </w:r>
                            </w:p>
                          </w:tc>
                          <w:tc>
                            <w:tcPr>
                              <w:tcW w:type="dxa" w:w="2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产品技术规格、参数及要求</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2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w:t>
                              </w:r>
                              <w:r>
                                <w:rPr>
                                  <w:sz w:val="21"/>
                                </w:rPr>
                                <w:t>1000MM</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w:t>
                              </w:r>
                            </w:p>
                          </w:tc>
                          <w:tc>
                            <w:tcPr>
                              <w:tcW w:type="dxa" w:w="2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三角支架，</w:t>
                              </w:r>
                              <w:r>
                                <w:rPr>
                                  <w:sz w:val="21"/>
                                </w:rPr>
                                <w:t>镀锌喷塑方管</w:t>
                              </w:r>
                              <w:r>
                                <w:rPr>
                                  <w:sz w:val="21"/>
                                </w:rPr>
                                <w:t>，</w:t>
                              </w:r>
                              <w:r>
                                <w:rPr>
                                  <w:sz w:val="21"/>
                                </w:rPr>
                                <w:t>绢花</w:t>
                              </w:r>
                            </w:p>
                          </w:tc>
                        </w:tr>
                      </w:tbl>
                      <w:p>
                        <w:pPr>
                          <w:pStyle w:val="null3"/>
                          <w:jc w:val="left"/>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相架</w:t>
                        </w:r>
                      </w:p>
                      <w:tbl>
                        <w:tblPr>
                          <w:tblBorders>
                            <w:top w:val="none" w:color="000000" w:sz="4"/>
                            <w:left w:val="none" w:color="000000" w:sz="4"/>
                            <w:bottom w:val="none" w:color="000000" w:sz="4"/>
                            <w:right w:val="none" w:color="000000" w:sz="4"/>
                            <w:insideH w:val="none"/>
                            <w:insideV w:val="none"/>
                          </w:tblBorders>
                        </w:tblPr>
                        <w:tblGrid>
                          <w:gridCol w:w="433"/>
                          <w:gridCol w:w="808"/>
                          <w:gridCol w:w="2883"/>
                        </w:tblGrid>
                        <w:tr>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产品技术项目</w:t>
                              </w:r>
                            </w:p>
                          </w:tc>
                          <w:tc>
                            <w:tcPr>
                              <w:tcW w:type="dxa" w:w="2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产品技术规格、参数及要求</w:t>
                              </w: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L200*W300mm</w:t>
                              </w: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镀钛金</w:t>
                              </w:r>
                              <w:r>
                                <w:rPr>
                                  <w:sz w:val="21"/>
                                </w:rPr>
                                <w:t xml:space="preserve">  </w:t>
                              </w:r>
                              <w:r>
                                <w:rPr>
                                  <w:sz w:val="21"/>
                                </w:rPr>
                                <w:t>约</w:t>
                              </w:r>
                              <w:r>
                                <w:rPr>
                                  <w:sz w:val="21"/>
                                </w:rPr>
                                <w:t>30*30方管</w:t>
                              </w:r>
                            </w:p>
                          </w:tc>
                        </w:tr>
                      </w:tbl>
                      <w:p>
                        <w:pPr>
                          <w:pStyle w:val="null3"/>
                          <w:jc w:val="left"/>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跪垫</w:t>
                        </w:r>
                      </w:p>
                      <w:tbl>
                        <w:tblPr>
                          <w:tblBorders>
                            <w:top w:val="none" w:color="000000" w:sz="4"/>
                            <w:left w:val="none" w:color="000000" w:sz="4"/>
                            <w:bottom w:val="none" w:color="000000" w:sz="4"/>
                            <w:right w:val="none" w:color="000000" w:sz="4"/>
                            <w:insideH w:val="none"/>
                            <w:insideV w:val="none"/>
                          </w:tblBorders>
                        </w:tblPr>
                        <w:tblGrid>
                          <w:gridCol w:w="439"/>
                          <w:gridCol w:w="780"/>
                          <w:gridCol w:w="2889"/>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产品技术项目</w:t>
                              </w:r>
                            </w:p>
                          </w:tc>
                          <w:tc>
                            <w:tcPr>
                              <w:tcW w:type="dxa" w:w="2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产品技术规格、参数及要求</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480*480mm   前高约2</w:t>
                              </w:r>
                              <w:r>
                                <w:rPr>
                                  <w:sz w:val="21"/>
                                </w:rPr>
                                <w:t>3</w:t>
                              </w:r>
                              <w:r>
                                <w:rPr>
                                  <w:sz w:val="21"/>
                                </w:rPr>
                                <w:t>0mm 后高约</w:t>
                              </w:r>
                              <w:r>
                                <w:rPr>
                                  <w:sz w:val="21"/>
                                </w:rPr>
                                <w:t>17</w:t>
                              </w:r>
                              <w:r>
                                <w:rPr>
                                  <w:sz w:val="21"/>
                                </w:rPr>
                                <w:t>0mm</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特点</w:t>
                              </w:r>
                            </w:p>
                          </w:tc>
                          <w:tc>
                            <w:tcPr>
                              <w:tcW w:type="dxa" w:w="2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莲花</w:t>
                              </w:r>
                            </w:p>
                          </w:tc>
                        </w:tr>
                      </w:tbl>
                      <w:p>
                        <w:pPr>
                          <w:pStyle w:val="null3"/>
                          <w:jc w:val="left"/>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中悼念厅显示终端</w:t>
                        </w:r>
                        <w:r>
                          <w:rPr>
                            <w:sz w:val="21"/>
                            <w:b/>
                          </w:rPr>
                          <w:t>1</w:t>
                        </w:r>
                      </w:p>
                      <w:p>
                        <w:pPr>
                          <w:pStyle w:val="null3"/>
                          <w:jc w:val="both"/>
                        </w:pPr>
                        <w:r>
                          <w:rPr>
                            <w:sz w:val="21"/>
                          </w:rPr>
                          <w:t>整屏分辨率：</w:t>
                        </w:r>
                        <w:r>
                          <w:rPr>
                            <w:sz w:val="21"/>
                          </w:rPr>
                          <w:t>≥</w:t>
                        </w:r>
                        <w:r>
                          <w:rPr>
                            <w:sz w:val="21"/>
                          </w:rPr>
                          <w:t>1280*640 Dots</w:t>
                        </w:r>
                        <w:r>
                          <w:br/>
                        </w:r>
                        <w:r>
                          <w:rPr>
                            <w:sz w:val="21"/>
                          </w:rPr>
                          <w:t>1.像素点间距：</w:t>
                        </w:r>
                        <w:r>
                          <w:rPr>
                            <w:sz w:val="21"/>
                          </w:rPr>
                          <w:t>≥</w:t>
                        </w:r>
                        <w:r>
                          <w:rPr>
                            <w:sz w:val="21"/>
                          </w:rPr>
                          <w:t xml:space="preserve"> </w:t>
                        </w:r>
                        <w:r>
                          <w:rPr>
                            <w:sz w:val="21"/>
                          </w:rPr>
                          <w:t>2.5mm</w:t>
                        </w:r>
                        <w:r>
                          <w:br/>
                        </w:r>
                        <w:r>
                          <w:rPr>
                            <w:sz w:val="21"/>
                          </w:rPr>
                          <w:t>2.像数中心距精确度：≤3%</w:t>
                        </w:r>
                        <w:r>
                          <w:br/>
                        </w:r>
                        <w:r>
                          <w:rPr>
                            <w:sz w:val="21"/>
                          </w:rPr>
                          <w:t>3.像素密度 ：</w:t>
                        </w:r>
                        <w:r>
                          <w:rPr>
                            <w:sz w:val="21"/>
                          </w:rPr>
                          <w:t>≥</w:t>
                        </w:r>
                        <w:r>
                          <w:rPr>
                            <w:sz w:val="21"/>
                          </w:rPr>
                          <w:t>160000点/m2</w:t>
                        </w:r>
                        <w:r>
                          <w:br/>
                        </w:r>
                        <w:r>
                          <w:rPr>
                            <w:sz w:val="21"/>
                          </w:rPr>
                          <w:t>4.单元大小：约320mm*160mm</w:t>
                        </w:r>
                        <w:r>
                          <w:br/>
                        </w:r>
                        <w:r>
                          <w:rPr>
                            <w:sz w:val="21"/>
                          </w:rPr>
                          <w:t>5.像素构成：1R1G1B</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中悼念厅</w:t>
                        </w:r>
                        <w:r>
                          <w:rPr>
                            <w:sz w:val="21"/>
                            <w:b/>
                          </w:rPr>
                          <w:t>显示终端</w:t>
                        </w:r>
                        <w:r>
                          <w:rPr>
                            <w:sz w:val="21"/>
                            <w:b/>
                          </w:rPr>
                          <w:t>2</w:t>
                        </w:r>
                      </w:p>
                      <w:p>
                        <w:pPr>
                          <w:pStyle w:val="null3"/>
                          <w:jc w:val="left"/>
                        </w:pPr>
                        <w:r>
                          <w:rPr>
                            <w:sz w:val="21"/>
                          </w:rPr>
                          <w:t>1</w:t>
                        </w:r>
                        <w:r>
                          <w:rPr>
                            <w:sz w:val="21"/>
                          </w:rPr>
                          <w:t>、</w:t>
                        </w:r>
                        <w:r>
                          <w:rPr>
                            <w:sz w:val="21"/>
                          </w:rPr>
                          <w:t>单元板尺寸：长</w:t>
                        </w:r>
                        <w:r>
                          <w:rPr>
                            <w:sz w:val="21"/>
                          </w:rPr>
                          <w:t>×</w:t>
                        </w:r>
                        <w:r>
                          <w:rPr>
                            <w:sz w:val="21"/>
                          </w:rPr>
                          <w:t>宽为：</w:t>
                        </w:r>
                        <w:r>
                          <w:rPr>
                            <w:sz w:val="21"/>
                          </w:rPr>
                          <w:t>320mm× 160mm</w:t>
                        </w:r>
                        <w:r>
                          <w:br/>
                        </w:r>
                        <w:r>
                          <w:rPr>
                            <w:sz w:val="21"/>
                          </w:rPr>
                          <w:t>2</w:t>
                        </w:r>
                        <w:r>
                          <w:rPr>
                            <w:sz w:val="21"/>
                          </w:rPr>
                          <w:t>、单元板解析度：</w:t>
                        </w:r>
                        <w:r>
                          <w:rPr>
                            <w:sz w:val="21"/>
                          </w:rPr>
                          <w:t>32</w:t>
                        </w:r>
                        <w:r>
                          <w:rPr>
                            <w:sz w:val="21"/>
                          </w:rPr>
                          <w:t>（行）</w:t>
                        </w:r>
                        <w:r>
                          <w:rPr>
                            <w:sz w:val="21"/>
                          </w:rPr>
                          <w:t>×16</w:t>
                        </w:r>
                        <w:r>
                          <w:rPr>
                            <w:sz w:val="21"/>
                          </w:rPr>
                          <w:t>（列）＝</w:t>
                        </w:r>
                        <w:r>
                          <w:rPr>
                            <w:sz w:val="21"/>
                          </w:rPr>
                          <w:t>512</w:t>
                        </w:r>
                        <w:r>
                          <w:rPr>
                            <w:sz w:val="21"/>
                          </w:rPr>
                          <w:t>（像素）</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中</w:t>
                        </w:r>
                        <w:r>
                          <w:rPr>
                            <w:sz w:val="21"/>
                            <w:b/>
                          </w:rPr>
                          <w:t>悼念厅音响设备</w:t>
                        </w:r>
                      </w:p>
                      <w:p>
                        <w:pPr>
                          <w:pStyle w:val="null3"/>
                          <w:spacing w:after="120"/>
                          <w:jc w:val="both"/>
                        </w:pPr>
                        <w:r>
                          <w:rPr>
                            <w:sz w:val="21"/>
                          </w:rPr>
                          <w:t>音响</w:t>
                        </w:r>
                        <w:r>
                          <w:rPr>
                            <w:sz w:val="21"/>
                          </w:rPr>
                          <w:t>4只：尺寸:长*宽*高 52*28*30CM、</w:t>
                        </w:r>
                        <w:r>
                          <w:rPr>
                            <w:sz w:val="21"/>
                          </w:rPr>
                          <w:t>功放</w:t>
                        </w:r>
                        <w:r>
                          <w:rPr>
                            <w:sz w:val="21"/>
                          </w:rPr>
                          <w:t>2台、一拖二无线话筒1套、机柜1台、音响吊架2付、音响线2卷</w:t>
                        </w:r>
                      </w:p>
                    </w:tc>
                  </w:tr>
                </w:tbl>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骨灰存放架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149"/>
            </w:tblGrid>
            <w:tr>
              <w:tc>
                <w:tcPr>
                  <w:tcW w:type="dxa" w:w="5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w:t>
                  </w:r>
                  <w:r>
                    <w:rPr>
                      <w:sz w:val="21"/>
                      <w:b/>
                    </w:rPr>
                    <w:t>、设备配置清单</w:t>
                  </w:r>
                </w:p>
                <w:tbl>
                  <w:tblPr>
                    <w:tblBorders>
                      <w:top w:val="none" w:color="000000" w:sz="4"/>
                      <w:left w:val="none" w:color="000000" w:sz="4"/>
                      <w:bottom w:val="none" w:color="000000" w:sz="4"/>
                      <w:right w:val="none" w:color="000000" w:sz="4"/>
                      <w:insideH w:val="none"/>
                      <w:insideV w:val="none"/>
                    </w:tblBorders>
                  </w:tblPr>
                  <w:tblGrid>
                    <w:gridCol w:w="498"/>
                    <w:gridCol w:w="399"/>
                    <w:gridCol w:w="2937"/>
                    <w:gridCol w:w="552"/>
                    <w:gridCol w:w="545"/>
                  </w:tblGrid>
                  <w:tr>
                    <w:tc>
                      <w:tcPr>
                        <w:tcW w:type="dxa" w:w="498"/>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区域</w:t>
                        </w:r>
                      </w:p>
                    </w:tc>
                    <w:tc>
                      <w:tcPr>
                        <w:tcW w:type="dxa" w:w="399"/>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序号</w:t>
                        </w:r>
                      </w:p>
                    </w:tc>
                    <w:tc>
                      <w:tcPr>
                        <w:tcW w:type="dxa" w:w="2937"/>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产品名称</w:t>
                        </w:r>
                      </w:p>
                    </w:tc>
                    <w:tc>
                      <w:tcPr>
                        <w:tcW w:type="dxa" w:w="552"/>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数量</w:t>
                        </w:r>
                      </w:p>
                    </w:tc>
                    <w:tc>
                      <w:tcPr>
                        <w:tcW w:type="dxa" w:w="545"/>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b/>
                          </w:rPr>
                          <w:t>单位</w:t>
                        </w:r>
                      </w:p>
                    </w:tc>
                  </w:tr>
                  <w:tr>
                    <w:tc>
                      <w:tcPr>
                        <w:tcW w:type="dxa" w:w="498"/>
                        <w:vMerge w:val="restart"/>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both"/>
                        </w:pPr>
                        <w:r>
                          <w:rPr>
                            <w:sz w:val="21"/>
                          </w:rPr>
                          <w:t>骨灰楼</w:t>
                        </w:r>
                      </w:p>
                    </w:tc>
                    <w:tc>
                      <w:tcPr>
                        <w:tcW w:type="dxa" w:w="39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1</w:t>
                        </w:r>
                      </w:p>
                    </w:tc>
                    <w:tc>
                      <w:tcPr>
                        <w:tcW w:type="dxa" w:w="2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铝合金骨灰存放架</w:t>
                        </w:r>
                        <w:r>
                          <w:rPr>
                            <w:sz w:val="21"/>
                          </w:rPr>
                          <w:t>单穴</w:t>
                        </w:r>
                      </w:p>
                    </w:tc>
                    <w:tc>
                      <w:tcPr>
                        <w:tcW w:type="dxa" w:w="55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2"/>
                          </w:rPr>
                          <w:t>1800</w:t>
                        </w:r>
                      </w:p>
                    </w:tc>
                    <w:tc>
                      <w:tcPr>
                        <w:tcW w:type="dxa" w:w="5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门</w:t>
                        </w:r>
                      </w:p>
                    </w:tc>
                  </w:tr>
                  <w:tr>
                    <w:tc>
                      <w:tcPr>
                        <w:tcW w:type="dxa" w:w="49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2</w:t>
                        </w:r>
                      </w:p>
                    </w:tc>
                    <w:tc>
                      <w:tcPr>
                        <w:tcW w:type="dxa" w:w="2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铝合金木棺存放架</w:t>
                        </w:r>
                      </w:p>
                    </w:tc>
                    <w:tc>
                      <w:tcPr>
                        <w:tcW w:type="dxa" w:w="55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2"/>
                          </w:rPr>
                          <w:t>490</w:t>
                        </w:r>
                      </w:p>
                    </w:tc>
                    <w:tc>
                      <w:tcPr>
                        <w:tcW w:type="dxa" w:w="5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门</w:t>
                        </w:r>
                      </w:p>
                    </w:tc>
                  </w:tr>
                  <w:tr>
                    <w:tc>
                      <w:tcPr>
                        <w:tcW w:type="dxa" w:w="49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3</w:t>
                        </w:r>
                      </w:p>
                    </w:tc>
                    <w:tc>
                      <w:tcPr>
                        <w:tcW w:type="dxa" w:w="2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铝合金骨灰存放架</w:t>
                        </w:r>
                        <w:r>
                          <w:rPr>
                            <w:sz w:val="21"/>
                          </w:rPr>
                          <w:t>双穴</w:t>
                        </w:r>
                        <w:r>
                          <w:rPr>
                            <w:sz w:val="21"/>
                          </w:rPr>
                          <w:t>（带隔板）</w:t>
                        </w:r>
                      </w:p>
                    </w:tc>
                    <w:tc>
                      <w:tcPr>
                        <w:tcW w:type="dxa" w:w="55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2"/>
                          </w:rPr>
                          <w:t>98</w:t>
                        </w:r>
                      </w:p>
                    </w:tc>
                    <w:tc>
                      <w:tcPr>
                        <w:tcW w:type="dxa" w:w="5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门</w:t>
                        </w:r>
                      </w:p>
                    </w:tc>
                  </w:tr>
                  <w:tr>
                    <w:tc>
                      <w:tcPr>
                        <w:tcW w:type="dxa" w:w="49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4</w:t>
                        </w:r>
                      </w:p>
                    </w:tc>
                    <w:tc>
                      <w:tcPr>
                        <w:tcW w:type="dxa" w:w="2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铝合金骨灰存放架</w:t>
                        </w:r>
                        <w:r>
                          <w:rPr>
                            <w:sz w:val="21"/>
                          </w:rPr>
                          <w:t>坛子</w:t>
                        </w:r>
                      </w:p>
                    </w:tc>
                    <w:tc>
                      <w:tcPr>
                        <w:tcW w:type="dxa" w:w="55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2"/>
                          </w:rPr>
                          <w:t>300</w:t>
                        </w:r>
                      </w:p>
                    </w:tc>
                    <w:tc>
                      <w:tcPr>
                        <w:tcW w:type="dxa" w:w="5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门</w:t>
                        </w:r>
                      </w:p>
                    </w:tc>
                  </w:tr>
                  <w:tr>
                    <w:tc>
                      <w:tcPr>
                        <w:tcW w:type="dxa" w:w="49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5</w:t>
                        </w:r>
                      </w:p>
                    </w:tc>
                    <w:tc>
                      <w:tcPr>
                        <w:tcW w:type="dxa" w:w="2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双面侧板</w:t>
                        </w:r>
                      </w:p>
                    </w:tc>
                    <w:tc>
                      <w:tcPr>
                        <w:tcW w:type="dxa" w:w="55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2"/>
                          </w:rPr>
                          <w:t>46</w:t>
                        </w:r>
                      </w:p>
                    </w:tc>
                    <w:tc>
                      <w:tcPr>
                        <w:tcW w:type="dxa" w:w="5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块</w:t>
                        </w:r>
                      </w:p>
                    </w:tc>
                  </w:tr>
                  <w:tr>
                    <w:tc>
                      <w:tcPr>
                        <w:tcW w:type="dxa" w:w="49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6</w:t>
                        </w:r>
                      </w:p>
                    </w:tc>
                    <w:tc>
                      <w:tcPr>
                        <w:tcW w:type="dxa" w:w="2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单面侧板</w:t>
                        </w:r>
                      </w:p>
                    </w:tc>
                    <w:tc>
                      <w:tcPr>
                        <w:tcW w:type="dxa" w:w="55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2"/>
                          </w:rPr>
                          <w:t>2</w:t>
                        </w:r>
                      </w:p>
                    </w:tc>
                    <w:tc>
                      <w:tcPr>
                        <w:tcW w:type="dxa" w:w="5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块</w:t>
                        </w:r>
                      </w:p>
                    </w:tc>
                  </w:tr>
                  <w:tr>
                    <w:tc>
                      <w:tcPr>
                        <w:tcW w:type="dxa" w:w="49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7</w:t>
                        </w:r>
                      </w:p>
                    </w:tc>
                    <w:tc>
                      <w:tcPr>
                        <w:tcW w:type="dxa" w:w="2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封板</w:t>
                        </w:r>
                      </w:p>
                    </w:tc>
                    <w:tc>
                      <w:tcPr>
                        <w:tcW w:type="dxa" w:w="55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2"/>
                          </w:rPr>
                          <w:t>4</w:t>
                        </w:r>
                      </w:p>
                    </w:tc>
                    <w:tc>
                      <w:tcPr>
                        <w:tcW w:type="dxa" w:w="5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块</w:t>
                        </w:r>
                      </w:p>
                    </w:tc>
                  </w:tr>
                  <w:tr>
                    <w:tc>
                      <w:tcPr>
                        <w:tcW w:type="dxa" w:w="49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1"/>
                          </w:rPr>
                          <w:t>8</w:t>
                        </w:r>
                      </w:p>
                    </w:tc>
                    <w:tc>
                      <w:tcPr>
                        <w:tcW w:type="dxa" w:w="29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七步云梯</w:t>
                        </w:r>
                      </w:p>
                    </w:tc>
                    <w:tc>
                      <w:tcPr>
                        <w:tcW w:type="dxa" w:w="552"/>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2"/>
                          </w:rPr>
                          <w:t>2</w:t>
                        </w:r>
                      </w:p>
                    </w:tc>
                    <w:tc>
                      <w:tcPr>
                        <w:tcW w:type="dxa" w:w="54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辆</w:t>
                        </w:r>
                      </w:p>
                    </w:tc>
                  </w:tr>
                </w:tbl>
                <w:p>
                  <w:pPr>
                    <w:pStyle w:val="null3"/>
                    <w:jc w:val="both"/>
                  </w:pPr>
                </w:p>
              </w:tc>
            </w:tr>
            <w:tr>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r>
                    <w:rPr>
                      <w:sz w:val="21"/>
                      <w:b/>
                    </w:rPr>
                    <w:t>、箱体规格：</w:t>
                  </w:r>
                </w:p>
                <w:p>
                  <w:pPr>
                    <w:pStyle w:val="null3"/>
                    <w:jc w:val="both"/>
                  </w:pPr>
                  <w:r>
                    <w:rPr>
                      <w:sz w:val="21"/>
                    </w:rPr>
                    <w:t>单穴存放架内径尺寸：</w:t>
                  </w:r>
                  <w:r>
                    <w:rPr>
                      <w:sz w:val="21"/>
                    </w:rPr>
                    <w:t>W420*D400*H330mm</w:t>
                  </w:r>
                  <w:r>
                    <w:rPr>
                      <w:sz w:val="21"/>
                    </w:rPr>
                    <w:t>（±</w:t>
                  </w:r>
                  <w:r>
                    <w:rPr>
                      <w:sz w:val="21"/>
                    </w:rPr>
                    <w:t>5mm</w:t>
                  </w:r>
                  <w:r>
                    <w:rPr>
                      <w:sz w:val="21"/>
                    </w:rPr>
                    <w:t>）</w:t>
                  </w:r>
                </w:p>
                <w:p>
                  <w:pPr>
                    <w:pStyle w:val="null3"/>
                    <w:jc w:val="both"/>
                  </w:pPr>
                  <w:r>
                    <w:rPr>
                      <w:sz w:val="21"/>
                    </w:rPr>
                    <w:t>坛子内径尺寸：</w:t>
                  </w:r>
                  <w:r>
                    <w:rPr>
                      <w:sz w:val="21"/>
                    </w:rPr>
                    <w:t>W420*D400*H630mm</w:t>
                  </w:r>
                  <w:r>
                    <w:rPr>
                      <w:sz w:val="21"/>
                    </w:rPr>
                    <w:t>（±</w:t>
                  </w:r>
                  <w:r>
                    <w:rPr>
                      <w:sz w:val="21"/>
                    </w:rPr>
                    <w:t>5mm</w:t>
                  </w:r>
                  <w:r>
                    <w:rPr>
                      <w:sz w:val="21"/>
                    </w:rPr>
                    <w:t>）</w:t>
                  </w:r>
                </w:p>
                <w:p>
                  <w:pPr>
                    <w:pStyle w:val="null3"/>
                    <w:jc w:val="both"/>
                  </w:pPr>
                  <w:r>
                    <w:rPr>
                      <w:sz w:val="21"/>
                    </w:rPr>
                    <w:t>木棺存放架内径尺寸：</w:t>
                  </w:r>
                  <w:r>
                    <w:rPr>
                      <w:sz w:val="21"/>
                    </w:rPr>
                    <w:t>W800*D400*H330mm</w:t>
                  </w:r>
                  <w:r>
                    <w:rPr>
                      <w:sz w:val="21"/>
                    </w:rPr>
                    <w:t>（±</w:t>
                  </w:r>
                  <w:r>
                    <w:rPr>
                      <w:sz w:val="21"/>
                    </w:rPr>
                    <w:t>5mm</w:t>
                  </w:r>
                  <w:r>
                    <w:rPr>
                      <w:sz w:val="21"/>
                    </w:rPr>
                    <w:t>）</w:t>
                  </w:r>
                </w:p>
                <w:p>
                  <w:pPr>
                    <w:pStyle w:val="null3"/>
                    <w:jc w:val="both"/>
                  </w:pPr>
                  <w:r>
                    <w:rPr>
                      <w:sz w:val="21"/>
                    </w:rPr>
                    <w:t>双穴（带隔板）存放架内径尺寸：</w:t>
                  </w:r>
                  <w:r>
                    <w:rPr>
                      <w:sz w:val="21"/>
                    </w:rPr>
                    <w:t>W</w:t>
                  </w:r>
                  <w:r>
                    <w:rPr>
                      <w:sz w:val="21"/>
                    </w:rPr>
                    <w:t>（</w:t>
                  </w:r>
                  <w:r>
                    <w:rPr>
                      <w:sz w:val="21"/>
                    </w:rPr>
                    <w:t>420*2</w:t>
                  </w:r>
                  <w:r>
                    <w:rPr>
                      <w:sz w:val="21"/>
                    </w:rPr>
                    <w:t>）</w:t>
                  </w:r>
                  <w:r>
                    <w:rPr>
                      <w:sz w:val="21"/>
                    </w:rPr>
                    <w:t>*D400*H330mm</w:t>
                  </w:r>
                  <w:r>
                    <w:rPr>
                      <w:sz w:val="21"/>
                    </w:rPr>
                    <w:t>（±</w:t>
                  </w:r>
                  <w:r>
                    <w:rPr>
                      <w:sz w:val="21"/>
                    </w:rPr>
                    <w:t>5mm</w:t>
                  </w:r>
                  <w:r>
                    <w:rPr>
                      <w:sz w:val="21"/>
                    </w:rPr>
                    <w:t>）</w:t>
                  </w:r>
                </w:p>
              </w:tc>
            </w:tr>
            <w:tr>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3</w:t>
                  </w:r>
                  <w:r>
                    <w:rPr>
                      <w:sz w:val="21"/>
                      <w:b/>
                    </w:rPr>
                    <w:t>、</w:t>
                  </w:r>
                  <w:r>
                    <w:rPr>
                      <w:sz w:val="21"/>
                      <w:b/>
                    </w:rPr>
                    <w:t>箱体结构：</w:t>
                  </w:r>
                </w:p>
                <w:p>
                  <w:pPr>
                    <w:pStyle w:val="null3"/>
                    <w:jc w:val="both"/>
                  </w:pPr>
                  <w:r>
                    <w:rPr>
                      <w:sz w:val="21"/>
                    </w:rPr>
                    <w:t>采用框架式组合工艺（即：横、竖梁、顶檐、底座采用具有一定柔韧性材料的连接件紧密连接），箱体框架承重力</w:t>
                  </w:r>
                  <w:r>
                    <w:rPr>
                      <w:sz w:val="21"/>
                    </w:rPr>
                    <w:t>≥1000kg，箱体</w:t>
                  </w:r>
                  <w:r>
                    <w:rPr>
                      <w:sz w:val="21"/>
                    </w:rPr>
                    <w:t>外部</w:t>
                  </w:r>
                  <w:r>
                    <w:rPr>
                      <w:sz w:val="21"/>
                    </w:rPr>
                    <w:t>本身不外露任何连接螺杆。</w:t>
                  </w:r>
                </w:p>
              </w:tc>
            </w:tr>
            <w:tr>
              <w:tc>
                <w:tcPr>
                  <w:tcW w:type="dxa" w:w="5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w:t>
                  </w:r>
                  <w:r>
                    <w:rPr>
                      <w:sz w:val="21"/>
                      <w:b/>
                    </w:rPr>
                    <w:t>、主要部件、配件参数</w:t>
                  </w:r>
                </w:p>
                <w:tbl>
                  <w:tblPr>
                    <w:tblBorders>
                      <w:top w:val="none" w:color="000000" w:sz="4"/>
                      <w:left w:val="none" w:color="000000" w:sz="4"/>
                      <w:bottom w:val="none" w:color="000000" w:sz="4"/>
                      <w:right w:val="none" w:color="000000" w:sz="4"/>
                      <w:insideH w:val="none"/>
                      <w:insideV w:val="none"/>
                    </w:tblBorders>
                  </w:tblPr>
                  <w:tblGrid>
                    <w:gridCol w:w="294"/>
                    <w:gridCol w:w="274"/>
                    <w:gridCol w:w="470"/>
                    <w:gridCol w:w="1022"/>
                    <w:gridCol w:w="910"/>
                    <w:gridCol w:w="1961"/>
                  </w:tblGrid>
                  <w:tr>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4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部件名称</w:t>
                        </w:r>
                      </w:p>
                    </w:tc>
                    <w:tc>
                      <w:tcPr>
                        <w:tcW w:type="dxa" w:w="1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材质</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9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详细说明</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箱体上下板</w:t>
                        </w:r>
                      </w:p>
                    </w:tc>
                    <w:tc>
                      <w:tcPr>
                        <w:tcW w:type="dxa" w:w="10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铝塑复合板</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实心板厚度</w:t>
                        </w:r>
                        <w:r>
                          <w:rPr>
                            <w:sz w:val="21"/>
                          </w:rPr>
                          <w:t>≥3.8mm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上下板与横梁紧密连接，</w:t>
                        </w:r>
                        <w:r>
                          <w:rPr>
                            <w:sz w:val="21"/>
                          </w:rPr>
                          <w:t>刚性</w:t>
                        </w:r>
                        <w:r>
                          <w:rPr>
                            <w:sz w:val="21"/>
                          </w:rPr>
                          <w:t>好</w:t>
                        </w:r>
                        <w:r>
                          <w:rPr>
                            <w:sz w:val="21"/>
                          </w:rPr>
                          <w:t>，</w:t>
                        </w:r>
                        <w:r>
                          <w:rPr>
                            <w:sz w:val="21"/>
                          </w:rPr>
                          <w:t>稳定性强，</w:t>
                        </w:r>
                        <w:r>
                          <w:rPr>
                            <w:sz w:val="21"/>
                          </w:rPr>
                          <w:t>可</w:t>
                        </w:r>
                        <w:r>
                          <w:rPr>
                            <w:sz w:val="21"/>
                          </w:rPr>
                          <w:t>增加承重力</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箱体左右立板</w:t>
                        </w:r>
                      </w:p>
                    </w:tc>
                    <w:tc>
                      <w:tcPr>
                        <w:tcW w:type="dxa" w:w="1022"/>
                        <w:vMerge/>
                        <w:tcBorders>
                          <w:top w:val="none" w:color="000000" w:sz="4"/>
                          <w:left w:val="none" w:color="000000" w:sz="4"/>
                          <w:bottom w:val="single" w:color="000000" w:sz="4"/>
                          <w:right w:val="single" w:color="000000" w:sz="4"/>
                        </w:tcBorders>
                      </w:tc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实心板厚度</w:t>
                        </w:r>
                        <w:r>
                          <w:rPr>
                            <w:sz w:val="21"/>
                          </w:rPr>
                          <w:t>≥3.8mm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左右立板与竖梁紧密连接，</w:t>
                        </w:r>
                        <w:r>
                          <w:rPr>
                            <w:sz w:val="21"/>
                          </w:rPr>
                          <w:t>刚性</w:t>
                        </w:r>
                        <w:r>
                          <w:rPr>
                            <w:sz w:val="21"/>
                          </w:rPr>
                          <w:t>好</w:t>
                        </w:r>
                        <w:r>
                          <w:rPr>
                            <w:sz w:val="21"/>
                          </w:rPr>
                          <w:t>，</w:t>
                        </w:r>
                        <w:r>
                          <w:rPr>
                            <w:sz w:val="21"/>
                          </w:rPr>
                          <w:t>可</w:t>
                        </w:r>
                        <w:r>
                          <w:rPr>
                            <w:sz w:val="21"/>
                          </w:rPr>
                          <w:t>增加承重力</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箱体后板</w:t>
                        </w:r>
                      </w:p>
                    </w:tc>
                    <w:tc>
                      <w:tcPr>
                        <w:tcW w:type="dxa" w:w="1022"/>
                        <w:vMerge/>
                        <w:tcBorders>
                          <w:top w:val="none" w:color="000000" w:sz="4"/>
                          <w:left w:val="none" w:color="000000" w:sz="4"/>
                          <w:bottom w:val="single" w:color="000000" w:sz="4"/>
                          <w:right w:val="single" w:color="000000" w:sz="4"/>
                        </w:tcBorders>
                      </w:tc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实心板厚度</w:t>
                        </w:r>
                        <w:r>
                          <w:rPr>
                            <w:sz w:val="21"/>
                          </w:rPr>
                          <w:t>≥3.8mm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后板与横、竖梁紧密连接，</w:t>
                        </w:r>
                        <w:r>
                          <w:rPr>
                            <w:sz w:val="21"/>
                          </w:rPr>
                          <w:t>刚性</w:t>
                        </w:r>
                        <w:r>
                          <w:rPr>
                            <w:sz w:val="21"/>
                          </w:rPr>
                          <w:t>好</w:t>
                        </w:r>
                        <w:r>
                          <w:rPr>
                            <w:sz w:val="21"/>
                          </w:rPr>
                          <w:t>，</w:t>
                        </w:r>
                        <w:r>
                          <w:rPr>
                            <w:sz w:val="21"/>
                          </w:rPr>
                          <w:t>稳定性强，</w:t>
                        </w:r>
                        <w:r>
                          <w:rPr>
                            <w:sz w:val="21"/>
                          </w:rPr>
                          <w:t>可</w:t>
                        </w:r>
                        <w:r>
                          <w:rPr>
                            <w:sz w:val="21"/>
                          </w:rPr>
                          <w:t>增加承重力</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门框</w:t>
                        </w:r>
                      </w:p>
                    </w:tc>
                    <w:tc>
                      <w:tcPr>
                        <w:tcW w:type="dxa" w:w="102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6063（国标）铝合金</w:t>
                        </w:r>
                        <w:r>
                          <w:rPr>
                            <w:sz w:val="21"/>
                          </w:rPr>
                          <w:t>（</w:t>
                        </w:r>
                        <w:r>
                          <w:rPr>
                            <w:sz w:val="21"/>
                          </w:rPr>
                          <w:t>▲</w:t>
                        </w:r>
                        <w:r>
                          <w:rPr>
                            <w:sz w:val="21"/>
                          </w:rPr>
                          <w:t>1、</w:t>
                        </w:r>
                        <w:r>
                          <w:rPr>
                            <w:sz w:val="21"/>
                          </w:rPr>
                          <w:t>耐盐溶液腐蚀性（浸泡</w:t>
                        </w:r>
                        <w:r>
                          <w:rPr>
                            <w:sz w:val="21"/>
                          </w:rPr>
                          <w:t>500h</w:t>
                        </w:r>
                        <w:r>
                          <w:rPr>
                            <w:sz w:val="21"/>
                          </w:rPr>
                          <w:t>）保护等级</w:t>
                        </w:r>
                        <w:r>
                          <w:rPr>
                            <w:sz w:val="21"/>
                          </w:rPr>
                          <w:t>≥</w:t>
                        </w:r>
                        <w:r>
                          <w:rPr>
                            <w:sz w:val="21"/>
                          </w:rPr>
                          <w:t>9级。</w:t>
                        </w:r>
                      </w:p>
                      <w:p>
                        <w:pPr>
                          <w:pStyle w:val="null3"/>
                          <w:jc w:val="center"/>
                        </w:pPr>
                        <w:r>
                          <w:rPr>
                            <w:sz w:val="21"/>
                          </w:rPr>
                          <w:t>▲</w:t>
                        </w:r>
                        <w:r>
                          <w:rPr>
                            <w:sz w:val="21"/>
                          </w:rPr>
                          <w:t>2、室温纵向拉伸试验：规定非比例延伸强度（Rp0.2）≥110N/㎜</w:t>
                        </w:r>
                        <w:r>
                          <w:rPr>
                            <w:sz w:val="21"/>
                            <w:vertAlign w:val="superscript"/>
                          </w:rPr>
                          <w:t>2</w:t>
                        </w:r>
                        <w:r>
                          <w:rPr>
                            <w:sz w:val="21"/>
                          </w:rPr>
                          <w:t>）</w:t>
                        </w:r>
                      </w:p>
                      <w:p>
                        <w:pPr>
                          <w:pStyle w:val="null3"/>
                          <w:jc w:val="center"/>
                        </w:p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壁厚</w:t>
                        </w:r>
                        <w:r>
                          <w:rPr>
                            <w:sz w:val="21"/>
                          </w:rPr>
                          <w:t>≥</w:t>
                        </w:r>
                        <w:r>
                          <w:rPr>
                            <w:sz w:val="21"/>
                          </w:rPr>
                          <w:t>0.7</w:t>
                        </w:r>
                        <w:r>
                          <w:rPr>
                            <w:sz w:val="21"/>
                          </w:rPr>
                          <w:t>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有轻质高强度，耐腐蚀，表面采用阳极氧化处理。</w:t>
                        </w:r>
                      </w:p>
                      <w:p>
                        <w:pPr>
                          <w:pStyle w:val="null3"/>
                          <w:jc w:val="both"/>
                        </w:pPr>
                        <w:r>
                          <w:rPr>
                            <w:sz w:val="21"/>
                          </w:rPr>
                          <w:t>开启方式：单穴侧开式，双穴下翻式。</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横、竖梁</w:t>
                        </w:r>
                      </w:p>
                    </w:tc>
                    <w:tc>
                      <w:tcPr>
                        <w:tcW w:type="dxa" w:w="1022"/>
                        <w:vMerge/>
                        <w:tcBorders>
                          <w:top w:val="none" w:color="000000" w:sz="4"/>
                          <w:left w:val="none" w:color="000000" w:sz="4"/>
                          <w:bottom w:val="none" w:color="000000" w:sz="4"/>
                          <w:right w:val="single" w:color="000000" w:sz="4"/>
                        </w:tcBorders>
                      </w:tc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25</w:t>
                        </w:r>
                        <w:r>
                          <w:rPr>
                            <w:sz w:val="21"/>
                          </w:rPr>
                          <w:t>mm</w:t>
                        </w:r>
                        <w:r>
                          <w:rPr>
                            <w:sz w:val="21"/>
                          </w:rPr>
                          <w:t>*16</w:t>
                        </w:r>
                        <w:r>
                          <w:rPr>
                            <w:sz w:val="21"/>
                          </w:rPr>
                          <w:t>mm</w:t>
                        </w:r>
                        <w:r>
                          <w:rPr>
                            <w:sz w:val="21"/>
                          </w:rPr>
                          <w:t>，壁厚</w:t>
                        </w:r>
                        <w:r>
                          <w:rPr>
                            <w:sz w:val="21"/>
                          </w:rPr>
                          <w:t>≥</w:t>
                        </w:r>
                        <w:r>
                          <w:rPr>
                            <w:sz w:val="21"/>
                          </w:rPr>
                          <w:t>0.7</w:t>
                        </w:r>
                        <w:r>
                          <w:rPr>
                            <w:sz w:val="21"/>
                          </w:rPr>
                          <w:t>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有轻质高强度，耐腐蚀，表面采用阳极氧化处理。</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顶檐</w:t>
                        </w:r>
                      </w:p>
                    </w:tc>
                    <w:tc>
                      <w:tcPr>
                        <w:tcW w:type="dxa" w:w="1022"/>
                        <w:vMerge/>
                        <w:tcBorders>
                          <w:top w:val="none" w:color="000000" w:sz="4"/>
                          <w:left w:val="none" w:color="000000" w:sz="4"/>
                          <w:bottom w:val="none" w:color="000000" w:sz="4"/>
                          <w:right w:val="single" w:color="000000" w:sz="4"/>
                        </w:tcBorders>
                      </w:tc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高度</w:t>
                        </w:r>
                        <w:r>
                          <w:rPr>
                            <w:sz w:val="21"/>
                          </w:rPr>
                          <w:t>约</w:t>
                        </w:r>
                        <w:r>
                          <w:rPr>
                            <w:sz w:val="21"/>
                          </w:rPr>
                          <w:t>60mm、壁厚≥1.0mm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有轻质高强度，耐腐蚀，表面采用阳极氧化处理。</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底座</w:t>
                        </w:r>
                      </w:p>
                    </w:tc>
                    <w:tc>
                      <w:tcPr>
                        <w:tcW w:type="dxa" w:w="1022"/>
                        <w:vMerge/>
                        <w:tcBorders>
                          <w:top w:val="none" w:color="000000" w:sz="4"/>
                          <w:left w:val="none" w:color="000000" w:sz="4"/>
                          <w:bottom w:val="none" w:color="000000" w:sz="4"/>
                          <w:right w:val="single" w:color="000000" w:sz="4"/>
                        </w:tcBorders>
                      </w:tc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高度</w:t>
                        </w:r>
                        <w:r>
                          <w:rPr>
                            <w:sz w:val="21"/>
                          </w:rPr>
                          <w:t>约</w:t>
                        </w:r>
                        <w:r>
                          <w:rPr>
                            <w:sz w:val="21"/>
                          </w:rPr>
                          <w:t>120mm、壁厚≥1.2mm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有轻质高强度，耐腐蚀，表面采用阳极氧化处理。</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架体</w:t>
                        </w:r>
                        <w:r>
                          <w:rPr>
                            <w:sz w:val="21"/>
                          </w:rPr>
                          <w:t>立柱</w:t>
                        </w:r>
                      </w:p>
                    </w:tc>
                    <w:tc>
                      <w:tcPr>
                        <w:tcW w:type="dxa" w:w="1022"/>
                        <w:vMerge/>
                        <w:tcBorders>
                          <w:top w:val="none" w:color="000000" w:sz="4"/>
                          <w:left w:val="none" w:color="000000" w:sz="4"/>
                          <w:bottom w:val="none" w:color="000000" w:sz="4"/>
                          <w:right w:val="single" w:color="000000" w:sz="4"/>
                        </w:tcBorders>
                      </w:tc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宽</w:t>
                        </w:r>
                        <w:r>
                          <w:rPr>
                            <w:sz w:val="21"/>
                          </w:rPr>
                          <w:t>约</w:t>
                        </w:r>
                        <w:r>
                          <w:rPr>
                            <w:sz w:val="21"/>
                          </w:rPr>
                          <w:t>64mm、壁厚≥1.0mm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有轻质高强度，耐腐蚀，表面采用阳极氧化处理。</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门板装饰</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铝塑复合板</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实心板厚度</w:t>
                        </w:r>
                        <w:r>
                          <w:rPr>
                            <w:sz w:val="21"/>
                          </w:rPr>
                          <w:t>≥2.9mm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耐腐蚀性</w:t>
                        </w:r>
                        <w:r>
                          <w:rPr>
                            <w:sz w:val="21"/>
                          </w:rPr>
                          <w:t>，</w:t>
                        </w:r>
                        <w:r>
                          <w:rPr>
                            <w:sz w:val="21"/>
                          </w:rPr>
                          <w:t>符合国家殡葬文化特性。</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箱体连接件</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ABS</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具有高抗冲击性，承受物理压力大，耐久、耐磨。</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顶檐连接件</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ABS</w:t>
                        </w:r>
                        <w:r>
                          <w:rPr>
                            <w:sz w:val="21"/>
                          </w:rPr>
                          <w:t>（</w:t>
                        </w:r>
                        <w:r>
                          <w:rPr>
                            <w:sz w:val="21"/>
                          </w:rPr>
                          <w:t>▲密度：≥</w:t>
                        </w:r>
                        <w:r>
                          <w:rPr>
                            <w:sz w:val="21"/>
                          </w:rPr>
                          <w:t>1</w:t>
                        </w:r>
                        <w:r>
                          <w:rPr>
                            <w:sz w:val="21"/>
                          </w:rPr>
                          <w:t>g/cm</w:t>
                        </w:r>
                        <w:r>
                          <w:rPr>
                            <w:sz w:val="21"/>
                            <w:vertAlign w:val="superscript"/>
                          </w:rPr>
                          <w:t>3</w:t>
                        </w:r>
                        <w:r>
                          <w:rPr>
                            <w:sz w:val="21"/>
                          </w:rPr>
                          <w:t>）</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具有高抗冲击性，承受物理压力大，耐久、耐磨。</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底座连接件</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ABS</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具有高抗冲击性，承受物理压力大，耐久、耐磨。</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架体</w:t>
                        </w:r>
                        <w:r>
                          <w:rPr>
                            <w:sz w:val="21"/>
                          </w:rPr>
                          <w:t>封板、</w:t>
                        </w:r>
                        <w:r>
                          <w:rPr>
                            <w:sz w:val="21"/>
                          </w:rPr>
                          <w:t>侧板</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铝塑复合板</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实心板厚度</w:t>
                        </w:r>
                        <w:r>
                          <w:rPr>
                            <w:sz w:val="21"/>
                          </w:rPr>
                          <w:t>≥2.9mm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450"/>
                          <w:jc w:val="both"/>
                        </w:pPr>
                        <w:r>
                          <w:rPr>
                            <w:sz w:val="21"/>
                          </w:rPr>
                          <w:t>耐腐蚀性</w:t>
                        </w:r>
                        <w:r>
                          <w:rPr>
                            <w:sz w:val="21"/>
                          </w:rPr>
                          <w:t>，</w:t>
                        </w:r>
                        <w:r>
                          <w:rPr>
                            <w:sz w:val="21"/>
                          </w:rPr>
                          <w:t>符合国家殡葬文化特性。</w:t>
                        </w:r>
                      </w:p>
                    </w:tc>
                  </w:tr>
                  <w:tr>
                    <w:tc>
                      <w:tcPr>
                        <w:tcW w:type="dxa" w:w="2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门连接</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铆钉</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优质铝材</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M2.4</w:t>
                        </w:r>
                      </w:p>
                    </w:tc>
                    <w:tc>
                      <w:tcPr>
                        <w:tcW w:type="dxa" w:w="19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箱体与门面板采用铆钉锁紧方式连接。</w:t>
                        </w:r>
                      </w:p>
                    </w:tc>
                  </w:tr>
                  <w:tr>
                    <w:tc>
                      <w:tcPr>
                        <w:tcW w:type="dxa" w:w="29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拉杆</w:t>
                        </w:r>
                        <w:r>
                          <w:rPr>
                            <w:sz w:val="21"/>
                          </w:rPr>
                          <w:t>(仅适用于双穴)</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采用高强度合金钢具有良好的机械性能和耐腐蚀性。</w:t>
                        </w:r>
                      </w:p>
                    </w:tc>
                  </w:tr>
                  <w:tr>
                    <w:tc>
                      <w:tcPr>
                        <w:tcW w:type="dxa" w:w="29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合页</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25*22mm，厚度</w:t>
                        </w:r>
                        <w:r>
                          <w:rPr>
                            <w:sz w:val="21"/>
                          </w:rPr>
                          <w:t>约</w:t>
                        </w:r>
                        <w:r>
                          <w:rPr>
                            <w:sz w:val="21"/>
                          </w:rPr>
                          <w:t>1.0mm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防腐、结实耐用，稳定性强。</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门锁</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优质锁心</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约</w:t>
                        </w:r>
                        <w:r>
                          <w:rPr>
                            <w:sz w:val="21"/>
                          </w:rPr>
                          <w:t>11.6mm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开锁方式（一对一）、带管理钥匙</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号码牌</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双色板</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L60*W17mm</w:t>
                        </w:r>
                      </w:p>
                    </w:tc>
                    <w:tc>
                      <w:tcPr>
                        <w:tcW w:type="dxa" w:w="1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抽拉式，</w:t>
                        </w:r>
                        <w:r>
                          <w:rPr>
                            <w:sz w:val="21"/>
                          </w:rPr>
                          <w:t>雕刻机雕刻、字迹清晰</w:t>
                        </w:r>
                        <w:r>
                          <w:rPr>
                            <w:sz w:val="21"/>
                          </w:rPr>
                          <w:t>。</w:t>
                        </w:r>
                      </w:p>
                    </w:tc>
                  </w:tr>
                </w:tbl>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1.采购代理机构：本项目是指广东世天项目管理有限公司，负责整个采购活动的组织，依法负责编制和发布招标文件，对招标文件拥有最终的解释权，不以任何身份出任评标委员会成员。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雷州市殡仪馆</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招标代理服务费收费采用差额定率累进法计算方式。参照中华人民共和国国家发展计划委员会颁发的发改价格2011534号文规定的“货物类”计算。 （2)招标代理服务费的缴纳形式： a.向采购代理机构直接缴纳招标代理服务费。可用支票、汇票、电汇等付款方式； b.招标代理服务费付至： 收款人名称：广东世天项目管理有限公司 开户银行：招商银行股份有限公司湛江分行营业部 账 号：7599 0050 7110 201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广东世天项目管理有限公司</w:t>
      </w:r>
      <w:r>
        <w:rPr/>
        <w:t>代收。具体操作要求详见</w:t>
      </w:r>
      <w:r>
        <w:rPr/>
        <w:t>广东世天项目管理有限公司</w:t>
      </w:r>
      <w:r>
        <w:rPr/>
        <w:t>有关指引，递交事宜请自行咨询</w:t>
      </w:r>
      <w:r>
        <w:rPr/>
        <w:t>广东世天项目管理有限公司</w:t>
      </w:r>
      <w:r>
        <w:rPr/>
        <w:t>；请各投标人在投标文件递交截止时间前按须知前附表规定的金额递交至</w:t>
      </w:r>
      <w:r>
        <w:rPr/>
        <w:t>广东世天项目管理有限公司</w:t>
      </w:r>
      <w:r>
        <w:rPr/>
        <w:t>，到账情况以开标时</w:t>
      </w:r>
      <w:r>
        <w:rPr/>
        <w:t>广东世天项目管理有限公司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卓小姐</w:t>
      </w:r>
    </w:p>
    <w:p>
      <w:pPr>
        <w:pStyle w:val="null3"/>
        <w:ind w:firstLine="480"/>
      </w:pPr>
      <w:r>
        <w:rPr/>
        <w:t>电话：</w:t>
      </w:r>
      <w:r>
        <w:rPr/>
        <w:t>19126659397</w:t>
      </w:r>
    </w:p>
    <w:p>
      <w:pPr>
        <w:pStyle w:val="null3"/>
        <w:ind w:firstLine="480"/>
      </w:pPr>
      <w:r>
        <w:rPr/>
        <w:t>传真：</w:t>
      </w:r>
      <w:r>
        <w:rPr/>
        <w:t>/</w:t>
      </w:r>
    </w:p>
    <w:p>
      <w:pPr>
        <w:pStyle w:val="null3"/>
        <w:ind w:firstLine="480"/>
      </w:pPr>
      <w:r>
        <w:rPr/>
        <w:t>邮箱：</w:t>
      </w:r>
      <w:r>
        <w:rPr/>
        <w:t>gdstxmgl@126.com</w:t>
      </w:r>
    </w:p>
    <w:p>
      <w:pPr>
        <w:pStyle w:val="null3"/>
        <w:ind w:firstLine="480"/>
      </w:pPr>
      <w:r>
        <w:rPr/>
        <w:t>地址：</w:t>
      </w:r>
      <w:r>
        <w:rPr/>
        <w:t>广东省湛江市赤坎区体育北路2号御海湾10栋1903号</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政府采购监督管理机构名称：雷州市财政局政府采购监管股</w:t>
      </w:r>
    </w:p>
    <w:p>
      <w:pPr>
        <w:pStyle w:val="null3"/>
      </w:pPr>
      <w:r>
        <w:rPr/>
        <w:t>地 址：雷州市雷北大道21号</w:t>
      </w:r>
    </w:p>
    <w:p>
      <w:pPr>
        <w:pStyle w:val="null3"/>
      </w:pPr>
      <w:r>
        <w:rPr/>
        <w:t>电 话：0759-8339869</w:t>
      </w:r>
    </w:p>
    <w:p>
      <w:pPr>
        <w:pStyle w:val="null3"/>
      </w:pPr>
      <w:r>
        <w:rPr/>
        <w:t>邮 编：524000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雷州市殡仪馆告别中厅及骨灰楼设备设施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广东世天项目管理有限公司</w:t>
      </w:r>
      <w:r>
        <w:rPr/>
        <w:t>统一对外发布。</w:t>
      </w:r>
    </w:p>
    <w:p>
      <w:pPr>
        <w:pStyle w:val="null3"/>
        <w:ind w:firstLine="480"/>
      </w:pPr>
      <w:r>
        <w:rPr/>
        <w:t>（2）对</w:t>
      </w:r>
      <w:r>
        <w:rPr/>
        <w:t>广东世天项目管理有限公司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采购包1（雷州市殡仪馆告别中厅及骨灰楼设备设施采购项目）：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采购包1（雷州市殡仪馆告别中厅及骨灰楼设备设施采购项目）：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投标截止日前6个月内任意1个月依法缴纳税收和社会保障资金的相关材料（如依法免税或不需要缴纳社会保障资金的，提供相应证明材料）或提供《湛江市政府采购供应商资格信用承诺函》（格式详见采购公告附件）。若供应商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若注册成立不足一年的，提供本年度任意一个月的财务报表证明材料复印件）或提供《湛江市政府采购供应商资格信用承诺函》（格式详见采购公告附件）。若供应商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填报设备及专业技术情况表（格式自拟）或提供承诺函（格式自拟）。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参加采购活动前3年内，在经营活动中没有重大违法记录：提供《湛江市政府采购供应商资格信用承诺函》（格式详见采购公告附件）。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代理机构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r>
        <w:rPr/>
        <w:t>采购包1（雷州市殡仪馆告别中厅及骨灰楼设备设施采购项目）：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投标函已提交，且投标有效期符合招标文件规定。</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按招标文件规定签署、盖章。</w:t>
            </w:r>
          </w:p>
        </w:tc>
      </w:tr>
      <w:tr>
        <w:tc>
          <w:tcPr>
            <w:tcW w:type="dxa" w:w="890"/>
          </w:tcPr>
          <w:p>
            <w:pPr>
              <w:pStyle w:val="null3"/>
            </w:pPr>
            <w:r>
              <w:rPr/>
              <w:t>3</w:t>
            </w:r>
          </w:p>
        </w:tc>
        <w:tc>
          <w:tcPr>
            <w:tcW w:type="dxa" w:w="3178"/>
          </w:tcPr>
          <w:p>
            <w:pPr>
              <w:pStyle w:val="null3"/>
            </w:pPr>
            <w:r>
              <w:rPr/>
              <w:t>法定代表人/负责人资格证明 书及授权委托书</w:t>
            </w:r>
          </w:p>
        </w:tc>
        <w:tc>
          <w:tcPr>
            <w:tcW w:type="dxa" w:w="4238"/>
          </w:tcPr>
          <w:p>
            <w:pPr>
              <w:pStyle w:val="null3"/>
            </w:pPr>
            <w:r>
              <w:rPr/>
              <w:t>投标文件具有有效的法定代表人/负责人资格证明书、法人/负责人身份证复印件及授权委托书、授权人身份证复印件。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投标报价是固定价且是唯一的，投标报价未超过采购预算的。</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采购包1(雷州市殡仪馆告别中厅及骨灰楼设备设施采购项目):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对招标文件技术参数、技术要求的响应程度 (21.0分)</w:t>
            </w:r>
          </w:p>
        </w:tc>
        <w:tc>
          <w:tcPr>
            <w:tcW w:type="dxa" w:w="5076"/>
          </w:tcPr>
          <w:p>
            <w:pPr>
              <w:pStyle w:val="null3"/>
              <w:jc w:val="left"/>
            </w:pPr>
            <w:r>
              <w:rPr/>
              <w:t>根据所投产品参数进行评审：标注“▲”号条款的技术参数每无偏离或正偏离一条得3分，本项最高得21分。 注：投标人应对上述技术参数逐条响应，招标文件技术参数中标注“▲”号条款的应具有CMA标识或CNAS标识的检验（测）报告扫描件，并提供检验（测）报告查询网址作为评审依据。如采购需求无明确要求提供证明材料，则以投标人提供的《技术和服务要求响应表》为准，不按要求提供或提供不符合的视为负偏离。</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根据投标人提供的项目实施要求方案综合评审： 1、有项目实施方案，完全满足且优于项目需求，得10分； 2、有项目实施方案，满足项目需求，得5分； 3、有项目实施方案，不能完全满足项目需求，得1分； 4、未提供不得分。</w:t>
            </w:r>
          </w:p>
        </w:tc>
      </w:tr>
      <w:tr>
        <w:tc>
          <w:tcPr>
            <w:tcW w:type="dxa" w:w="922"/>
            <w:gridSpan w:val="2"/>
            <w:vMerge/>
          </w:tcPr>
          <w:p/>
        </w:tc>
        <w:tc>
          <w:tcPr>
            <w:tcW w:type="dxa" w:w="2307"/>
          </w:tcPr>
          <w:p>
            <w:pPr>
              <w:pStyle w:val="null3"/>
              <w:jc w:val="left"/>
            </w:pPr>
            <w:r>
              <w:rPr/>
              <w:t>瞻仰台设备技术分析方案 (10.0分)</w:t>
            </w:r>
          </w:p>
        </w:tc>
        <w:tc>
          <w:tcPr>
            <w:tcW w:type="dxa" w:w="5076"/>
          </w:tcPr>
          <w:p>
            <w:pPr>
              <w:pStyle w:val="null3"/>
              <w:jc w:val="left"/>
            </w:pPr>
            <w:r>
              <w:rPr/>
              <w:t>根据投标人须提供的瞻仰台设备技术分析方案综合评审： 1有瞻仰台设备技术分析方案，完全满足且优于项目需求，得10分； 2、有瞻仰台设备技术分析方案，满足项目需求，得5分； 3、有瞻仰台设备技术分析方案，不能完全满足项目需求，得1分； 4、未提供不得分。</w:t>
            </w:r>
          </w:p>
        </w:tc>
      </w:tr>
      <w:tr>
        <w:tc>
          <w:tcPr>
            <w:tcW w:type="dxa" w:w="922"/>
            <w:gridSpan w:val="2"/>
            <w:vMerge/>
          </w:tcPr>
          <w:p/>
        </w:tc>
        <w:tc>
          <w:tcPr>
            <w:tcW w:type="dxa" w:w="2307"/>
          </w:tcPr>
          <w:p>
            <w:pPr>
              <w:pStyle w:val="null3"/>
              <w:jc w:val="left"/>
            </w:pPr>
            <w:r>
              <w:rPr/>
              <w:t>安装调试方案 (7.0分)</w:t>
            </w:r>
          </w:p>
        </w:tc>
        <w:tc>
          <w:tcPr>
            <w:tcW w:type="dxa" w:w="5076"/>
          </w:tcPr>
          <w:p>
            <w:pPr>
              <w:pStyle w:val="null3"/>
              <w:jc w:val="left"/>
            </w:pPr>
            <w:r>
              <w:rPr/>
              <w:t>根据投标人提供的安装调试方案综合评审： 1、有安装调试方案，完全满足且优于项目需求，得7分； 2、有安装调试方案，满足项目需求，得4分； 3、有安装调试方案，不能完全满足项目需求，得1分； 4、未提供不得分。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根据投标人提供的培训方案综合评审： 1、有培训方案，完全满足且优于项目需求，得7分； 2、有培训方案，满足项目需求，得4分； 3、有培训方案，不能完全满足项目需求，得1分；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(4.0分)</w:t>
            </w:r>
          </w:p>
        </w:tc>
        <w:tc>
          <w:tcPr>
            <w:tcW w:type="dxa" w:w="5076"/>
          </w:tcPr>
          <w:p>
            <w:pPr>
              <w:pStyle w:val="null3"/>
              <w:jc w:val="left"/>
            </w:pPr>
            <w:r>
              <w:rPr/>
              <w:t>2022年1月1日至今供应商承担过同类项目业绩，每提供一个得 2分，最高4分。 注:提供合同（协议）关键页（至少同时包括双方盖章、合同金额、签约时间、采购内容）扫描件并加盖投标人公章。</w:t>
            </w:r>
          </w:p>
        </w:tc>
      </w:tr>
      <w:tr>
        <w:tc>
          <w:tcPr>
            <w:tcW w:type="dxa" w:w="922"/>
            <w:gridSpan w:val="2"/>
            <w:vMerge/>
          </w:tcPr>
          <w:p/>
        </w:tc>
        <w:tc>
          <w:tcPr>
            <w:tcW w:type="dxa" w:w="2307"/>
          </w:tcPr>
          <w:p>
            <w:pPr>
              <w:pStyle w:val="null3"/>
              <w:jc w:val="left"/>
            </w:pPr>
            <w:r>
              <w:rPr/>
              <w:t>投入的技术人员 (4.0分)</w:t>
            </w:r>
          </w:p>
        </w:tc>
        <w:tc>
          <w:tcPr>
            <w:tcW w:type="dxa" w:w="5076"/>
          </w:tcPr>
          <w:p>
            <w:pPr>
              <w:pStyle w:val="null3"/>
              <w:jc w:val="left"/>
            </w:pPr>
            <w:r>
              <w:rPr/>
              <w:t>1、拟投入本项目的施工人员具有高级或以上机电安装工程师证的得2分；具有中级机电安装工程师证的得1分；其他的不得分。 2、拟投入本项目的施工人员具有高级或以上环保设备工程师证的得2分；具有中级环保设备工程师证的得1分；其他的不得分。 注：投标人须提供的资质证书及身份证原件的扫描件（加盖公章）为准，并附以上人员投标截止日前3个月任意一个月的社保缴费证明原件的扫描件（加盖公章），不提供不得分。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根据投标人提供的售后服务方案综合评审： 1、有售后服务方案，完全满足且优于项目需求，得7分； 2、有售后服务方案，满足项目需求，得4分； 3、有售后服务方案，不能完全满足项目需求，得1分； 4、未提供不得分。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center"/>
      </w:pPr>
      <w:r>
        <w:rPr/>
        <w:t xml:space="preserve"> </w:t>
      </w:r>
    </w:p>
    <w:p>
      <w:pPr>
        <w:pStyle w:val="null3"/>
        <w:spacing w:before="0" w:after="0"/>
        <w:ind w:left="0" w:right="0"/>
        <w:jc w:val="center"/>
      </w:pPr>
      <w:r>
        <w:rPr>
          <w:u w:val="single"/>
        </w:rPr>
        <w:t>（具体以最终签订的为准）</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ind w:firstLine="404"/>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left="1095"/>
        <w:jc w:val="both"/>
      </w:pPr>
      <w:r>
        <w:rPr>
          <w:sz w:val="21"/>
          <w:b/>
        </w:rPr>
        <w:t>一、货物内容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77"/>
        <w:gridCol w:w="3947"/>
        <w:gridCol w:w="777"/>
        <w:gridCol w:w="528"/>
        <w:gridCol w:w="528"/>
        <w:gridCol w:w="865"/>
        <w:gridCol w:w="865"/>
      </w:tblGrid>
      <w:tr>
        <w:tc>
          <w:tcPr>
            <w:tcW w:type="dxa" w:w="777"/>
            <w:tcBorders>
              <w:top w:val="single" w:color="CCCCCC" w:sz="4"/>
              <w:left w:val="single" w:color="CCCCCC" w:sz="4"/>
              <w:bottom w:val="single" w:color="CCCCCC" w:sz="4"/>
              <w:right w:val="single" w:color="CCCCCC" w:sz="4"/>
            </w:tcBorders>
            <w:tcMar>
              <w:top w:type="dxa" w:w="30"/>
              <w:left w:type="dxa" w:w="60"/>
              <w:bottom w:type="dxa" w:w="30"/>
              <w:right w:type="dxa" w:w="60"/>
            </w:tcMar>
            <w:vAlign w:val="top"/>
          </w:tcPr>
          <w:p>
            <w:pPr>
              <w:pStyle w:val="null3"/>
              <w:jc w:val="both"/>
            </w:pPr>
            <w:r>
              <w:rPr>
                <w:sz w:val="21"/>
              </w:rPr>
              <w:t>名称</w:t>
            </w:r>
          </w:p>
        </w:tc>
        <w:tc>
          <w:tcPr>
            <w:tcW w:type="dxa" w:w="3947"/>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1"/>
              </w:rPr>
              <w:t>品牌、规格、标准</w:t>
            </w:r>
            <w:r>
              <w:rPr>
                <w:sz w:val="21"/>
              </w:rPr>
              <w:t>/</w:t>
            </w:r>
            <w:r>
              <w:rPr>
                <w:sz w:val="21"/>
              </w:rPr>
              <w:t>主要服务内容</w:t>
            </w:r>
          </w:p>
        </w:tc>
        <w:tc>
          <w:tcPr>
            <w:tcW w:type="dxa" w:w="777"/>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both"/>
            </w:pPr>
            <w:r>
              <w:rPr>
                <w:sz w:val="21"/>
              </w:rPr>
              <w:t>产地</w:t>
            </w:r>
          </w:p>
        </w:tc>
        <w:tc>
          <w:tcPr>
            <w:tcW w:type="dxa" w:w="528"/>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spacing w:before="150" w:after="150"/>
              <w:jc w:val="center"/>
            </w:pPr>
            <w:r>
              <w:rPr>
                <w:sz w:val="21"/>
              </w:rPr>
              <w:t>数量</w:t>
            </w:r>
          </w:p>
        </w:tc>
        <w:tc>
          <w:tcPr>
            <w:tcW w:type="dxa" w:w="528"/>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1"/>
              </w:rPr>
              <w:t>单位</w:t>
            </w:r>
          </w:p>
        </w:tc>
        <w:tc>
          <w:tcPr>
            <w:tcW w:type="dxa" w:w="865"/>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1"/>
              </w:rPr>
              <w:t>单价</w:t>
            </w:r>
          </w:p>
          <w:p>
            <w:pPr>
              <w:pStyle w:val="null3"/>
              <w:jc w:val="center"/>
            </w:pPr>
            <w:r>
              <w:rPr>
                <w:sz w:val="21"/>
              </w:rPr>
              <w:t>（元）</w:t>
            </w:r>
          </w:p>
        </w:tc>
        <w:tc>
          <w:tcPr>
            <w:tcW w:type="dxa" w:w="865"/>
            <w:tcBorders>
              <w:top w:val="single" w:color="CCCCCC" w:sz="4"/>
              <w:left w:val="single" w:color="000000" w:sz="4"/>
              <w:bottom w:val="single" w:color="CCCCCC" w:sz="4"/>
              <w:right w:val="single" w:color="CCCCCC" w:sz="4"/>
            </w:tcBorders>
            <w:tcMar>
              <w:top w:type="dxa" w:w="30"/>
              <w:left w:type="dxa" w:w="75"/>
              <w:bottom w:type="dxa" w:w="30"/>
              <w:right w:type="dxa" w:w="60"/>
            </w:tcMar>
            <w:vAlign w:val="top"/>
          </w:tcPr>
          <w:p>
            <w:pPr>
              <w:pStyle w:val="null3"/>
              <w:jc w:val="center"/>
            </w:pPr>
            <w:r>
              <w:rPr>
                <w:sz w:val="21"/>
              </w:rPr>
              <w:t>金额</w:t>
            </w:r>
          </w:p>
          <w:p>
            <w:pPr>
              <w:pStyle w:val="null3"/>
              <w:jc w:val="center"/>
            </w:pPr>
            <w:r>
              <w:rPr>
                <w:sz w:val="21"/>
              </w:rPr>
              <w:t>（元）</w:t>
            </w:r>
          </w:p>
        </w:tc>
      </w:tr>
      <w:tr>
        <w:tc>
          <w:tcPr>
            <w:tcW w:type="dxa" w:w="777"/>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21"/>
              </w:rPr>
              <w:t xml:space="preserve"> </w:t>
            </w:r>
            <w:r>
              <w:rPr>
                <w:sz w:val="21"/>
              </w:rPr>
              <w:t>**</w:t>
            </w:r>
          </w:p>
        </w:tc>
        <w:tc>
          <w:tcPr>
            <w:tcW w:type="dxa" w:w="394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c>
          <w:tcPr>
            <w:tcW w:type="dxa" w:w="77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 xml:space="preserve"> </w:t>
            </w:r>
            <w:r>
              <w:rPr>
                <w:sz w:val="21"/>
              </w:rPr>
              <w:t>**</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p>
        </w:tc>
      </w:tr>
      <w:tr>
        <w:tc>
          <w:tcPr>
            <w:tcW w:type="dxa" w:w="777"/>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394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7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77"/>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394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7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77"/>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394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7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77"/>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jc w:val="center"/>
            </w:pPr>
            <w:r>
              <w:rPr>
                <w:sz w:val="19"/>
              </w:rPr>
              <w:t xml:space="preserve"> </w:t>
            </w:r>
          </w:p>
        </w:tc>
        <w:tc>
          <w:tcPr>
            <w:tcW w:type="dxa" w:w="394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777"/>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528"/>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19"/>
              </w:rPr>
              <w:t xml:space="preserve"> </w:t>
            </w:r>
          </w:p>
        </w:tc>
      </w:tr>
      <w:tr>
        <w:tc>
          <w:tcPr>
            <w:tcW w:type="dxa" w:w="7422"/>
            <w:gridSpan w:val="6"/>
            <w:tcBorders>
              <w:top w:val="single" w:color="000000" w:sz="4"/>
              <w:left w:val="single" w:color="CCCCCC" w:sz="4"/>
              <w:bottom w:val="single" w:color="CCCCCC" w:sz="4"/>
              <w:right w:val="single" w:color="CCCCCC" w:sz="4"/>
            </w:tcBorders>
            <w:tcMar>
              <w:top w:type="dxa" w:w="45"/>
              <w:left w:type="dxa" w:w="60"/>
              <w:bottom w:type="dxa" w:w="30"/>
              <w:right w:type="dxa" w:w="60"/>
            </w:tcMar>
            <w:vAlign w:val="top"/>
          </w:tcPr>
          <w:p>
            <w:pPr>
              <w:pStyle w:val="null3"/>
              <w:spacing w:before="150" w:after="150"/>
              <w:jc w:val="center"/>
            </w:pPr>
            <w:r>
              <w:rPr>
                <w:sz w:val="21"/>
              </w:rPr>
              <w:t>合计：人民币大写：</w:t>
            </w:r>
            <w:r>
              <w:rPr>
                <w:sz w:val="21"/>
              </w:rPr>
              <w:t>**</w:t>
            </w:r>
            <w:r>
              <w:rPr>
                <w:sz w:val="21"/>
              </w:rPr>
              <w:t>元整</w:t>
            </w:r>
          </w:p>
        </w:tc>
        <w:tc>
          <w:tcPr>
            <w:tcW w:type="dxa" w:w="865"/>
            <w:tcBorders>
              <w:top w:val="single" w:color="000000" w:sz="4"/>
              <w:left w:val="single" w:color="000000" w:sz="4"/>
              <w:bottom w:val="single" w:color="CCCCCC" w:sz="4"/>
              <w:right w:val="single" w:color="CCCCCC" w:sz="4"/>
            </w:tcBorders>
            <w:tcMar>
              <w:top w:type="dxa" w:w="45"/>
              <w:left w:type="dxa" w:w="75"/>
              <w:bottom w:type="dxa" w:w="30"/>
              <w:right w:type="dxa" w:w="60"/>
            </w:tcMar>
            <w:vAlign w:val="top"/>
          </w:tcPr>
          <w:p>
            <w:pPr>
              <w:pStyle w:val="null3"/>
              <w:jc w:val="center"/>
            </w:pPr>
            <w:r>
              <w:rPr>
                <w:sz w:val="21"/>
              </w:rPr>
              <w:t>￥：</w:t>
            </w:r>
            <w:r>
              <w:rPr>
                <w:sz w:val="21"/>
              </w:rPr>
              <w:t>**</w:t>
            </w:r>
          </w:p>
        </w:tc>
      </w:tr>
      <w:tr>
        <w:tc>
          <w:tcPr>
            <w:tcW w:type="dxa" w:w="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39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7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5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c>
          <w:tcPr>
            <w:tcW w:type="dxa" w:w="8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jc w:val="both"/>
      </w:pPr>
      <w:r>
        <w:rPr/>
        <w:t xml:space="preserve"> </w:t>
      </w:r>
    </w:p>
    <w:p>
      <w:pPr>
        <w:pStyle w:val="null3"/>
        <w:ind w:firstLine="400"/>
        <w:jc w:val="both"/>
      </w:pPr>
      <w:r>
        <w:rPr>
          <w:sz w:val="21"/>
          <w:color w:val="222222"/>
        </w:rPr>
        <w:t>合同总额包括乙方设计、安装、随机零配件、标配工具、运输保险、调试、培训、质保期服务、各项税费及合同实施过程中不可预见费用等。</w:t>
      </w:r>
    </w:p>
    <w:p>
      <w:pPr>
        <w:pStyle w:val="null3"/>
        <w:ind w:firstLine="540"/>
        <w:jc w:val="both"/>
      </w:pPr>
      <w:r>
        <w:rPr>
          <w:sz w:val="21"/>
          <w:color w:val="222222"/>
        </w:rPr>
        <w:t>注：货物名称内容必须与投标文件中货物名称内容一致。</w:t>
      </w:r>
    </w:p>
    <w:p>
      <w:pPr>
        <w:pStyle w:val="null3"/>
        <w:ind w:firstLine="542"/>
        <w:jc w:val="both"/>
      </w:pPr>
      <w:r>
        <w:rPr>
          <w:sz w:val="21"/>
          <w:b/>
          <w:color w:val="222222"/>
        </w:rPr>
        <w:t>二、</w:t>
      </w:r>
      <w:r>
        <w:rPr/>
        <w:t xml:space="preserve"> </w:t>
      </w:r>
      <w:r>
        <w:rPr>
          <w:sz w:val="21"/>
          <w:b/>
          <w:color w:val="222222"/>
        </w:rPr>
        <w:t>合同金额</w:t>
      </w:r>
    </w:p>
    <w:p>
      <w:pPr>
        <w:pStyle w:val="null3"/>
        <w:ind w:firstLine="540"/>
        <w:jc w:val="both"/>
      </w:pPr>
      <w:r>
        <w:rPr>
          <w:sz w:val="21"/>
          <w:color w:val="222222"/>
        </w:rPr>
        <w:t>合同金额为（大写）：</w:t>
      </w:r>
      <w:r>
        <w:rPr>
          <w:sz w:val="21"/>
          <w:color w:val="222222"/>
        </w:rPr>
        <w:t>_________________</w:t>
      </w:r>
      <w:r>
        <w:rPr>
          <w:sz w:val="21"/>
          <w:color w:val="222222"/>
        </w:rPr>
        <w:t>元（￥</w:t>
      </w:r>
      <w:r>
        <w:rPr>
          <w:sz w:val="21"/>
          <w:color w:val="222222"/>
        </w:rPr>
        <w:t>_______________</w:t>
      </w:r>
      <w:r>
        <w:rPr>
          <w:sz w:val="21"/>
          <w:color w:val="222222"/>
        </w:rPr>
        <w:t>元）人民币。</w:t>
      </w:r>
    </w:p>
    <w:p>
      <w:pPr>
        <w:pStyle w:val="null3"/>
        <w:ind w:firstLine="542"/>
        <w:jc w:val="both"/>
      </w:pPr>
      <w:r>
        <w:rPr>
          <w:sz w:val="21"/>
          <w:b/>
          <w:color w:val="222222"/>
        </w:rPr>
        <w:t>三、</w:t>
      </w:r>
      <w:r>
        <w:rPr/>
        <w:t xml:space="preserve"> </w:t>
      </w:r>
      <w:r>
        <w:rPr>
          <w:sz w:val="21"/>
          <w:b/>
          <w:color w:val="222222"/>
        </w:rPr>
        <w:t>设备要求</w:t>
      </w:r>
    </w:p>
    <w:p>
      <w:pPr>
        <w:pStyle w:val="null3"/>
        <w:ind w:firstLine="540"/>
        <w:jc w:val="both"/>
      </w:pPr>
      <w:r>
        <w:rPr>
          <w:sz w:val="21"/>
          <w:color w:val="222222"/>
        </w:rPr>
        <w:t>1.</w:t>
      </w:r>
      <w:r>
        <w:rPr>
          <w:sz w:val="21"/>
          <w:color w:val="222222"/>
        </w:rPr>
        <w:t>货物为原制造商制造的全新产品，整机无污染，无侵权行为、表面无划损、无任何缺陷隐患，在中国境内可依常规安全合法使用。</w:t>
      </w:r>
    </w:p>
    <w:p>
      <w:pPr>
        <w:pStyle w:val="null3"/>
        <w:ind w:firstLine="540"/>
        <w:jc w:val="both"/>
      </w:pPr>
      <w:r>
        <w:rPr>
          <w:sz w:val="21"/>
          <w:color w:val="222222"/>
        </w:rPr>
        <w:t>2.</w:t>
      </w:r>
      <w:r>
        <w:rPr>
          <w:sz w:val="21"/>
          <w:color w:val="222222"/>
        </w:rPr>
        <w:t>货物为原厂商未启封全新包装，具出厂合格证，序列号、包装箱号与出厂批号一致，并可追索查阅。</w:t>
      </w:r>
    </w:p>
    <w:p>
      <w:pPr>
        <w:pStyle w:val="null3"/>
        <w:ind w:firstLine="540"/>
        <w:jc w:val="both"/>
      </w:pPr>
      <w:r>
        <w:rPr>
          <w:sz w:val="21"/>
          <w:color w:val="222222"/>
        </w:rPr>
        <w:t>3.</w:t>
      </w:r>
      <w:r>
        <w:rPr>
          <w:sz w:val="21"/>
          <w:color w:val="222222"/>
        </w:rPr>
        <w:t>乙方应将关键主机设备的用户手册、保修手册、有关单证资料及配备件、随机工具等交付给甲方，使用操作及安全须知等重要资料应附有中文说明。</w:t>
      </w:r>
    </w:p>
    <w:p>
      <w:pPr>
        <w:pStyle w:val="null3"/>
        <w:ind w:firstLine="540"/>
        <w:jc w:val="both"/>
      </w:pPr>
      <w:r>
        <w:rPr>
          <w:sz w:val="21"/>
          <w:color w:val="222222"/>
        </w:rPr>
        <w:t>4.</w:t>
      </w:r>
      <w:r>
        <w:rPr>
          <w:sz w:val="21"/>
          <w:color w:val="222222"/>
        </w:rPr>
        <w:t>乙方所投的货物不侵犯任何第三方的专利、商标或版权。否则，乙方须承担对第三方的专利或版权的侵权责任并承担因此而发生的所有费用。</w:t>
      </w:r>
    </w:p>
    <w:p>
      <w:pPr>
        <w:pStyle w:val="null3"/>
        <w:ind w:firstLine="540"/>
        <w:jc w:val="both"/>
      </w:pPr>
      <w:r>
        <w:rPr>
          <w:sz w:val="21"/>
          <w:color w:val="222222"/>
        </w:rPr>
        <w:t>5.</w:t>
      </w:r>
      <w:r>
        <w:rPr>
          <w:sz w:val="21"/>
          <w:color w:val="222222"/>
        </w:rPr>
        <w:t>货物的生产日期至交付甲方时，时间不得长于</w:t>
      </w:r>
      <w:r>
        <w:rPr>
          <w:sz w:val="21"/>
          <w:color w:val="222222"/>
        </w:rPr>
        <w:t>12</w:t>
      </w:r>
      <w:r>
        <w:rPr>
          <w:sz w:val="21"/>
          <w:color w:val="222222"/>
        </w:rPr>
        <w:t>个月。</w:t>
      </w:r>
    </w:p>
    <w:p>
      <w:pPr>
        <w:pStyle w:val="null3"/>
        <w:ind w:firstLine="540"/>
        <w:jc w:val="both"/>
      </w:pPr>
      <w:r>
        <w:rPr>
          <w:sz w:val="21"/>
          <w:color w:val="222222"/>
        </w:rPr>
        <w:t>6.</w:t>
      </w:r>
      <w:r>
        <w:rPr>
          <w:sz w:val="21"/>
          <w:color w:val="222222"/>
        </w:rPr>
        <w:t>乙方所投货物须向甲方开放设备数据端口，接入医院信息系统联机费由乙方负责。</w:t>
      </w:r>
    </w:p>
    <w:p>
      <w:pPr>
        <w:pStyle w:val="null3"/>
        <w:ind w:firstLine="542"/>
        <w:jc w:val="both"/>
      </w:pPr>
      <w:r>
        <w:rPr>
          <w:sz w:val="21"/>
          <w:b/>
          <w:color w:val="222222"/>
        </w:rPr>
        <w:t>四、</w:t>
      </w:r>
      <w:r>
        <w:rPr/>
        <w:t xml:space="preserve"> </w:t>
      </w:r>
      <w:r>
        <w:rPr>
          <w:sz w:val="21"/>
          <w:b/>
          <w:color w:val="222222"/>
        </w:rPr>
        <w:t>交货期、交货方式及交货地点</w:t>
      </w:r>
    </w:p>
    <w:p>
      <w:pPr>
        <w:pStyle w:val="null3"/>
        <w:ind w:firstLine="540"/>
        <w:jc w:val="both"/>
      </w:pPr>
      <w:r>
        <w:rPr>
          <w:sz w:val="21"/>
          <w:color w:val="222222"/>
        </w:rPr>
        <w:t>1.</w:t>
      </w:r>
      <w:r>
        <w:rPr>
          <w:sz w:val="21"/>
          <w:color w:val="222222"/>
        </w:rPr>
        <w:t>交货期：</w:t>
      </w:r>
    </w:p>
    <w:p>
      <w:pPr>
        <w:pStyle w:val="null3"/>
        <w:ind w:firstLine="540"/>
        <w:jc w:val="both"/>
      </w:pPr>
      <w:r>
        <w:rPr>
          <w:sz w:val="21"/>
          <w:color w:val="222222"/>
        </w:rPr>
        <w:t>2.</w:t>
      </w:r>
      <w:r>
        <w:rPr>
          <w:sz w:val="21"/>
          <w:color w:val="222222"/>
        </w:rPr>
        <w:t>交货方式：</w:t>
      </w:r>
    </w:p>
    <w:p>
      <w:pPr>
        <w:pStyle w:val="null3"/>
        <w:ind w:firstLine="540"/>
        <w:jc w:val="both"/>
      </w:pPr>
      <w:r>
        <w:rPr>
          <w:sz w:val="21"/>
          <w:color w:val="222222"/>
        </w:rPr>
        <w:t xml:space="preserve"> </w:t>
      </w:r>
      <w:r>
        <w:rPr>
          <w:sz w:val="21"/>
          <w:color w:val="222222"/>
        </w:rPr>
        <w:t>3.</w:t>
      </w:r>
      <w:r>
        <w:rPr>
          <w:sz w:val="21"/>
          <w:color w:val="222222"/>
        </w:rPr>
        <w:t>交货地点：</w:t>
      </w:r>
    </w:p>
    <w:p>
      <w:pPr>
        <w:pStyle w:val="null3"/>
        <w:jc w:val="both"/>
      </w:pPr>
      <w:r>
        <w:rPr>
          <w:sz w:val="21"/>
          <w:b/>
          <w:color w:val="222222"/>
        </w:rPr>
        <w:t xml:space="preserve">     五、</w:t>
      </w:r>
      <w:r>
        <w:rPr/>
        <w:t xml:space="preserve"> </w:t>
      </w:r>
      <w:r>
        <w:rPr>
          <w:sz w:val="21"/>
          <w:b/>
          <w:color w:val="222222"/>
        </w:rPr>
        <w:t>付款方式</w:t>
      </w:r>
    </w:p>
    <w:p>
      <w:pPr>
        <w:pStyle w:val="null3"/>
        <w:ind w:firstLine="540"/>
        <w:jc w:val="both"/>
      </w:pPr>
      <w:r>
        <w:rPr>
          <w:sz w:val="21"/>
          <w:color w:val="222222"/>
        </w:rPr>
        <w:t>由甲方按下列程序付款：</w:t>
      </w:r>
    </w:p>
    <w:p>
      <w:pPr>
        <w:pStyle w:val="null3"/>
        <w:ind w:firstLine="540"/>
        <w:jc w:val="both"/>
      </w:pPr>
      <w:r>
        <w:rPr>
          <w:sz w:val="21"/>
          <w:color w:val="222222"/>
        </w:rPr>
        <w:t>按需求执行。</w:t>
      </w:r>
    </w:p>
    <w:p>
      <w:pPr>
        <w:pStyle w:val="null3"/>
        <w:jc w:val="both"/>
      </w:pPr>
      <w:r>
        <w:rPr>
          <w:sz w:val="21"/>
          <w:b/>
          <w:color w:val="222222"/>
        </w:rPr>
        <w:t xml:space="preserve">     六、交货要求：</w:t>
      </w:r>
    </w:p>
    <w:p>
      <w:pPr>
        <w:pStyle w:val="null3"/>
        <w:ind w:firstLine="540"/>
        <w:jc w:val="both"/>
      </w:pPr>
      <w:r>
        <w:rPr>
          <w:sz w:val="21"/>
          <w:color w:val="222222"/>
        </w:rPr>
        <w:t>1.</w:t>
      </w:r>
      <w:r>
        <w:rPr>
          <w:sz w:val="21"/>
          <w:color w:val="222222"/>
        </w:rPr>
        <w:t>甲方不代收物流快递，所有货物都必须由乙方专人送达，甲方不代收快递传送货物。设备拆箱、安装时乙方与厂家工程师均应在场。</w:t>
      </w:r>
    </w:p>
    <w:p>
      <w:pPr>
        <w:pStyle w:val="null3"/>
        <w:ind w:firstLine="540"/>
        <w:jc w:val="both"/>
      </w:pPr>
      <w:r>
        <w:rPr>
          <w:sz w:val="21"/>
          <w:color w:val="222222"/>
        </w:rPr>
        <w:t>2.</w:t>
      </w:r>
      <w:r>
        <w:rPr>
          <w:sz w:val="21"/>
          <w:color w:val="222222"/>
        </w:rPr>
        <w:t>货物包装均应有良好的防湿、防锈、防潮、防雨、防腐及防碰撞的措施。凡由于包装不良造成的损失和由此产生的费用均由乙方承担。要求使用国际通用的标准包装，适合于长途运输，外包装到货时完好无损。</w:t>
      </w:r>
    </w:p>
    <w:p>
      <w:pPr>
        <w:pStyle w:val="null3"/>
        <w:ind w:firstLine="540"/>
        <w:jc w:val="both"/>
      </w:pPr>
      <w:r>
        <w:rPr>
          <w:sz w:val="21"/>
          <w:color w:val="222222"/>
        </w:rPr>
        <w:t>3.</w:t>
      </w:r>
      <w:r>
        <w:rPr>
          <w:sz w:val="21"/>
          <w:color w:val="222222"/>
        </w:rPr>
        <w:t>保险要求：供货、运输、装卸、调试及验收等过程中的一切安全及保险等事项由乙方自行负责。</w:t>
      </w:r>
    </w:p>
    <w:p>
      <w:pPr>
        <w:pStyle w:val="null3"/>
        <w:ind w:firstLine="540"/>
        <w:jc w:val="both"/>
      </w:pPr>
      <w:r>
        <w:rPr>
          <w:sz w:val="21"/>
          <w:color w:val="222222"/>
        </w:rPr>
        <w:t>4.</w:t>
      </w:r>
      <w:r>
        <w:rPr>
          <w:sz w:val="21"/>
          <w:color w:val="222222"/>
        </w:rPr>
        <w:t>设备到现场后，甲方只提供设备库存场所，乙方需做好防盗措施和风雨保护措施，设备的日常保管由乙方负责。</w:t>
      </w:r>
    </w:p>
    <w:p>
      <w:pPr>
        <w:pStyle w:val="null3"/>
        <w:ind w:firstLine="540"/>
        <w:jc w:val="both"/>
      </w:pPr>
      <w:r>
        <w:rPr>
          <w:sz w:val="21"/>
          <w:color w:val="222222"/>
        </w:rPr>
        <w:t>5.</w:t>
      </w:r>
      <w:r>
        <w:rPr>
          <w:sz w:val="21"/>
          <w:color w:val="222222"/>
        </w:rPr>
        <w:t>设备在交付甲方使用前，应采取措施进行成品保护，保护不力造成损失的，由乙方负责赔偿。</w:t>
      </w:r>
    </w:p>
    <w:p>
      <w:pPr>
        <w:pStyle w:val="null3"/>
        <w:ind w:firstLine="540"/>
        <w:jc w:val="both"/>
      </w:pPr>
      <w:r>
        <w:rPr>
          <w:sz w:val="21"/>
          <w:color w:val="222222"/>
        </w:rPr>
        <w:t>6.</w:t>
      </w:r>
      <w:r>
        <w:rPr>
          <w:sz w:val="21"/>
          <w:color w:val="222222"/>
        </w:rPr>
        <w:t>乙方须派员进行到货验收。若发现任何损坏及质量问题，乙方应负责更换零件，并妥善处理至甲方满意，此工作所发生的费用应由乙方自行承担。开箱后，乙方应对其全部产品、零件、配件、用户许可证书、资料等造册登记，并与装箱单对比，如有出入应立即书面记录，由乙方解决，如影响安装则按合同有关条款处理，登记册作为验收文档之一。</w:t>
      </w:r>
    </w:p>
    <w:p>
      <w:pPr>
        <w:pStyle w:val="null3"/>
        <w:jc w:val="both"/>
      </w:pPr>
      <w:r>
        <w:rPr>
          <w:sz w:val="21"/>
          <w:b/>
          <w:color w:val="222222"/>
        </w:rPr>
        <w:t xml:space="preserve">     七、质保期及售后服务要求</w:t>
      </w:r>
    </w:p>
    <w:p>
      <w:pPr>
        <w:pStyle w:val="null3"/>
        <w:ind w:firstLine="540"/>
        <w:jc w:val="both"/>
      </w:pPr>
      <w:r>
        <w:rPr>
          <w:sz w:val="21"/>
          <w:color w:val="000000"/>
        </w:rPr>
        <w:t>（</w:t>
      </w:r>
      <w:r>
        <w:rPr>
          <w:sz w:val="21"/>
          <w:color w:val="000000"/>
        </w:rPr>
        <w:t>1</w:t>
      </w:r>
      <w:r>
        <w:rPr>
          <w:sz w:val="21"/>
          <w:color w:val="000000"/>
        </w:rPr>
        <w:t>）</w:t>
      </w:r>
      <w:r>
        <w:rPr>
          <w:sz w:val="21"/>
          <w:color w:val="000000"/>
        </w:rPr>
        <w:t>质保期：项目交付完成并取得验收合格文件为准起</w:t>
      </w:r>
      <w:r>
        <w:rPr>
          <w:sz w:val="21"/>
          <w:color w:val="000000"/>
        </w:rPr>
        <w:t>1</w:t>
      </w:r>
      <w:r>
        <w:rPr>
          <w:sz w:val="21"/>
          <w:color w:val="000000"/>
        </w:rPr>
        <w:t>年。质保期内包括出现任何质量问题（人为破坏或自然灾害等不可抗力除外）和保养维护，均由</w:t>
      </w:r>
      <w:r>
        <w:rPr>
          <w:sz w:val="21"/>
          <w:color w:val="000000"/>
        </w:rPr>
        <w:t>乙方</w:t>
      </w:r>
      <w:r>
        <w:rPr>
          <w:sz w:val="21"/>
          <w:color w:val="000000"/>
        </w:rPr>
        <w:t>负责全免费（免全部工时费、材料费、管理费、财务费等等）更换或维修；质保期内设备因维修造成短期停用时，则质保期和免费维修期相应顺延。质保期内因不能排除的故障而影响工作的情况每发生一次，其质保期相应延长</w:t>
      </w:r>
      <w:r>
        <w:rPr>
          <w:sz w:val="21"/>
          <w:color w:val="000000"/>
        </w:rPr>
        <w:t>60</w:t>
      </w:r>
      <w:r>
        <w:rPr>
          <w:sz w:val="21"/>
          <w:color w:val="000000"/>
        </w:rPr>
        <w:t>天，保质期内因产品本身缺陷（非人为因素）造成各种故障应由</w:t>
      </w:r>
      <w:r>
        <w:rPr>
          <w:sz w:val="21"/>
          <w:color w:val="000000"/>
        </w:rPr>
        <w:t>乙方</w:t>
      </w:r>
      <w:r>
        <w:rPr>
          <w:sz w:val="21"/>
          <w:color w:val="000000"/>
        </w:rPr>
        <w:t>免费技术服务和维修。</w:t>
      </w:r>
    </w:p>
    <w:p>
      <w:pPr>
        <w:pStyle w:val="null3"/>
        <w:ind w:firstLine="540"/>
        <w:jc w:val="both"/>
      </w:pPr>
      <w:r>
        <w:rPr>
          <w:sz w:val="21"/>
          <w:color w:val="000000"/>
        </w:rPr>
        <w:t>（</w:t>
      </w:r>
      <w:r>
        <w:rPr>
          <w:sz w:val="21"/>
          <w:color w:val="000000"/>
        </w:rPr>
        <w:t>2</w:t>
      </w:r>
      <w:r>
        <w:rPr>
          <w:sz w:val="21"/>
          <w:color w:val="000000"/>
        </w:rPr>
        <w:t>）质保期满后，无论</w:t>
      </w:r>
      <w:r>
        <w:rPr>
          <w:sz w:val="21"/>
          <w:color w:val="000000"/>
        </w:rPr>
        <w:t>甲方</w:t>
      </w:r>
      <w:r>
        <w:rPr>
          <w:sz w:val="21"/>
          <w:color w:val="000000"/>
        </w:rPr>
        <w:t>是否另行选择维保供应商，</w:t>
      </w:r>
      <w:r>
        <w:rPr>
          <w:sz w:val="21"/>
          <w:color w:val="000000"/>
        </w:rPr>
        <w:t>乙方</w:t>
      </w:r>
      <w:r>
        <w:rPr>
          <w:sz w:val="21"/>
          <w:color w:val="000000"/>
        </w:rPr>
        <w:t>应及时优惠提供所需的设备配件。</w:t>
      </w:r>
    </w:p>
    <w:p>
      <w:pPr>
        <w:pStyle w:val="null3"/>
        <w:ind w:firstLine="540"/>
        <w:jc w:val="both"/>
      </w:pPr>
      <w:r>
        <w:rPr>
          <w:sz w:val="21"/>
          <w:color w:val="000000"/>
        </w:rPr>
        <w:t>（</w:t>
      </w:r>
      <w:r>
        <w:rPr>
          <w:sz w:val="21"/>
          <w:color w:val="000000"/>
        </w:rPr>
        <w:t>3</w:t>
      </w:r>
      <w:r>
        <w:rPr>
          <w:sz w:val="21"/>
          <w:color w:val="000000"/>
        </w:rPr>
        <w:t>）免费送货上门，免费安装调试合格。须派出有相应资格的技术工程师到现场负责设备安装调试，直至正常使用；</w:t>
      </w:r>
      <w:r>
        <w:rPr>
          <w:sz w:val="21"/>
          <w:color w:val="000000"/>
        </w:rPr>
        <w:t>甲方</w:t>
      </w:r>
      <w:r>
        <w:rPr>
          <w:sz w:val="21"/>
          <w:color w:val="000000"/>
        </w:rPr>
        <w:t>指定地点，现场技术培训，</w:t>
      </w:r>
      <w:r>
        <w:rPr>
          <w:sz w:val="21"/>
          <w:color w:val="000000"/>
        </w:rPr>
        <w:t>乙方</w:t>
      </w:r>
      <w:r>
        <w:rPr>
          <w:sz w:val="21"/>
          <w:color w:val="000000"/>
        </w:rPr>
        <w:t>实行培训计划，直至操作人员正常使用。</w:t>
      </w:r>
    </w:p>
    <w:p>
      <w:pPr>
        <w:pStyle w:val="null3"/>
        <w:ind w:firstLine="540"/>
        <w:jc w:val="both"/>
      </w:pPr>
      <w:r>
        <w:rPr>
          <w:sz w:val="21"/>
          <w:color w:val="000000"/>
        </w:rPr>
        <w:t>（</w:t>
      </w:r>
      <w:r>
        <w:rPr>
          <w:sz w:val="21"/>
          <w:color w:val="000000"/>
        </w:rPr>
        <w:t>4</w:t>
      </w:r>
      <w:r>
        <w:rPr>
          <w:sz w:val="21"/>
          <w:color w:val="000000"/>
        </w:rPr>
        <w:t>）提供标准电话技术支持（</w:t>
      </w:r>
      <w:r>
        <w:rPr>
          <w:sz w:val="21"/>
          <w:color w:val="000000"/>
        </w:rPr>
        <w:t>7</w:t>
      </w:r>
      <w:r>
        <w:rPr>
          <w:sz w:val="21"/>
          <w:color w:val="000000"/>
        </w:rPr>
        <w:t>×</w:t>
      </w:r>
      <w:r>
        <w:rPr>
          <w:sz w:val="21"/>
          <w:color w:val="000000"/>
        </w:rPr>
        <w:t>24</w:t>
      </w:r>
      <w:r>
        <w:rPr>
          <w:sz w:val="21"/>
          <w:color w:val="000000"/>
        </w:rPr>
        <w:t>小时）。免费质保期内维修人员接到维修通知</w:t>
      </w:r>
      <w:r>
        <w:rPr>
          <w:sz w:val="21"/>
          <w:color w:val="000000"/>
        </w:rPr>
        <w:t>1</w:t>
      </w:r>
      <w:r>
        <w:rPr>
          <w:sz w:val="21"/>
          <w:color w:val="000000"/>
        </w:rPr>
        <w:t>小时内响应，</w:t>
      </w:r>
      <w:r>
        <w:rPr>
          <w:sz w:val="21"/>
          <w:color w:val="000000"/>
        </w:rPr>
        <w:t>12</w:t>
      </w:r>
      <w:r>
        <w:rPr>
          <w:sz w:val="21"/>
          <w:color w:val="000000"/>
        </w:rPr>
        <w:t>小时内到达现场，</w:t>
      </w:r>
      <w:r>
        <w:rPr>
          <w:sz w:val="21"/>
          <w:color w:val="000000"/>
        </w:rPr>
        <w:t>24</w:t>
      </w:r>
      <w:r>
        <w:rPr>
          <w:sz w:val="21"/>
          <w:color w:val="000000"/>
        </w:rPr>
        <w:t>小时内处理完毕，除特殊情况外，故障排除时间不超过</w:t>
      </w:r>
      <w:r>
        <w:rPr>
          <w:sz w:val="21"/>
          <w:color w:val="000000"/>
        </w:rPr>
        <w:t>24</w:t>
      </w:r>
      <w:r>
        <w:rPr>
          <w:sz w:val="21"/>
          <w:color w:val="000000"/>
        </w:rPr>
        <w:t>小时，否则</w:t>
      </w:r>
      <w:r>
        <w:rPr>
          <w:sz w:val="21"/>
          <w:color w:val="000000"/>
        </w:rPr>
        <w:t>甲方</w:t>
      </w:r>
      <w:r>
        <w:rPr>
          <w:sz w:val="21"/>
          <w:color w:val="000000"/>
        </w:rPr>
        <w:t>有权直接委托第三方进行抢修，因此产生的费用，由</w:t>
      </w:r>
      <w:r>
        <w:rPr>
          <w:sz w:val="21"/>
          <w:color w:val="000000"/>
        </w:rPr>
        <w:t>乙方</w:t>
      </w:r>
      <w:r>
        <w:rPr>
          <w:sz w:val="21"/>
          <w:color w:val="000000"/>
        </w:rPr>
        <w:t>支付。</w:t>
      </w:r>
      <w:r>
        <w:rPr/>
        <w:t xml:space="preserve"> </w:t>
      </w:r>
    </w:p>
    <w:p>
      <w:pPr>
        <w:pStyle w:val="null3"/>
        <w:jc w:val="both"/>
      </w:pPr>
      <w:r>
        <w:rPr>
          <w:sz w:val="21"/>
          <w:b/>
          <w:color w:val="000000"/>
        </w:rPr>
        <w:t xml:space="preserve">     八、安装与调试</w:t>
      </w:r>
    </w:p>
    <w:p>
      <w:pPr>
        <w:pStyle w:val="null3"/>
        <w:ind w:firstLine="540"/>
        <w:jc w:val="both"/>
      </w:pPr>
      <w:r>
        <w:rPr>
          <w:sz w:val="21"/>
          <w:color w:val="000000"/>
        </w:rPr>
        <w:t>（</w:t>
      </w:r>
      <w:r>
        <w:rPr>
          <w:sz w:val="21"/>
          <w:color w:val="000000"/>
        </w:rPr>
        <w:t>1</w:t>
      </w:r>
      <w:r>
        <w:rPr>
          <w:sz w:val="21"/>
          <w:color w:val="000000"/>
        </w:rPr>
        <w:t>）货物安装实施工作必须由</w:t>
      </w:r>
      <w:r>
        <w:rPr>
          <w:sz w:val="21"/>
          <w:color w:val="000000"/>
        </w:rPr>
        <w:t>乙方</w:t>
      </w:r>
      <w:r>
        <w:rPr>
          <w:sz w:val="21"/>
          <w:color w:val="000000"/>
        </w:rPr>
        <w:t>负责，不准分包，并实行</w:t>
      </w:r>
      <w:r>
        <w:rPr>
          <w:sz w:val="21"/>
          <w:color w:val="000000"/>
        </w:rPr>
        <w:t>“三包”：包质量、包工期、包施工安全，必须是</w:t>
      </w:r>
      <w:r>
        <w:rPr>
          <w:sz w:val="21"/>
          <w:color w:val="000000"/>
        </w:rPr>
        <w:t>乙方</w:t>
      </w:r>
      <w:r>
        <w:rPr>
          <w:sz w:val="21"/>
          <w:color w:val="000000"/>
        </w:rPr>
        <w:t>自已的专业安装队伍承担工程安装，并由</w:t>
      </w:r>
      <w:r>
        <w:rPr>
          <w:sz w:val="21"/>
          <w:color w:val="000000"/>
        </w:rPr>
        <w:t>乙方</w:t>
      </w:r>
      <w:r>
        <w:rPr>
          <w:sz w:val="21"/>
          <w:color w:val="000000"/>
        </w:rPr>
        <w:t>直接进行项目全过程监管，承担项目实施全过程的相关人员和施工安全责任。</w:t>
      </w:r>
    </w:p>
    <w:p>
      <w:pPr>
        <w:pStyle w:val="null3"/>
        <w:ind w:firstLine="540"/>
        <w:jc w:val="both"/>
      </w:pPr>
      <w:r>
        <w:rPr>
          <w:sz w:val="21"/>
          <w:color w:val="000000"/>
        </w:rPr>
        <w:t>（</w:t>
      </w:r>
      <w:r>
        <w:rPr>
          <w:sz w:val="21"/>
          <w:color w:val="000000"/>
        </w:rPr>
        <w:t>2</w:t>
      </w:r>
      <w:r>
        <w:rPr>
          <w:sz w:val="21"/>
          <w:color w:val="000000"/>
        </w:rPr>
        <w:t>）</w:t>
      </w:r>
      <w:r>
        <w:rPr>
          <w:sz w:val="21"/>
          <w:color w:val="000000"/>
        </w:rPr>
        <w:t>乙方</w:t>
      </w:r>
      <w:r>
        <w:rPr>
          <w:sz w:val="21"/>
          <w:color w:val="000000"/>
        </w:rPr>
        <w:t>应提供安装调试工艺流程、质量控制程序和检验方法，处理关键点、难点的对策及措施，实施前须得到</w:t>
      </w:r>
      <w:r>
        <w:rPr>
          <w:sz w:val="21"/>
          <w:color w:val="000000"/>
        </w:rPr>
        <w:t>甲方</w:t>
      </w:r>
      <w:r>
        <w:rPr>
          <w:sz w:val="21"/>
          <w:color w:val="000000"/>
        </w:rPr>
        <w:t>批准方能施行。其内容应对所有货物的安装、调试及现场验收作出详尽安排和说明，并包括参与或派出人员人数、参与时间、责任和工作内容等。</w:t>
      </w:r>
    </w:p>
    <w:p>
      <w:pPr>
        <w:pStyle w:val="null3"/>
        <w:ind w:firstLine="420"/>
        <w:jc w:val="both"/>
      </w:pPr>
      <w:r>
        <w:rPr>
          <w:sz w:val="21"/>
          <w:color w:val="000000"/>
        </w:rPr>
        <w:t>（</w:t>
      </w:r>
      <w:r>
        <w:rPr>
          <w:sz w:val="21"/>
          <w:color w:val="000000"/>
        </w:rPr>
        <w:t>3</w:t>
      </w:r>
      <w:r>
        <w:rPr>
          <w:sz w:val="21"/>
          <w:color w:val="000000"/>
        </w:rPr>
        <w:t>）现场的管理。</w:t>
      </w:r>
      <w:r>
        <w:rPr>
          <w:sz w:val="21"/>
          <w:color w:val="000000"/>
        </w:rPr>
        <w:t>乙方</w:t>
      </w:r>
      <w:r>
        <w:rPr>
          <w:sz w:val="21"/>
          <w:color w:val="000000"/>
        </w:rPr>
        <w:t>在实施全过程中应服从</w:t>
      </w:r>
      <w:r>
        <w:rPr>
          <w:sz w:val="21"/>
          <w:color w:val="000000"/>
        </w:rPr>
        <w:t>甲方</w:t>
      </w:r>
      <w:r>
        <w:rPr>
          <w:sz w:val="21"/>
          <w:color w:val="000000"/>
        </w:rPr>
        <w:t>现场代表或监理代表的统一管理和监督检查，由于现场要依据部分场地项目分阶段进行，</w:t>
      </w:r>
      <w:r>
        <w:rPr>
          <w:sz w:val="21"/>
          <w:color w:val="000000"/>
        </w:rPr>
        <w:t>乙方</w:t>
      </w:r>
      <w:r>
        <w:rPr>
          <w:sz w:val="21"/>
          <w:color w:val="000000"/>
        </w:rPr>
        <w:t>进度应与</w:t>
      </w:r>
      <w:r>
        <w:rPr>
          <w:sz w:val="21"/>
          <w:color w:val="000000"/>
        </w:rPr>
        <w:t>甲方</w:t>
      </w:r>
      <w:r>
        <w:rPr>
          <w:sz w:val="21"/>
          <w:color w:val="000000"/>
        </w:rPr>
        <w:t>充分沟通好并达成一致，</w:t>
      </w:r>
      <w:r>
        <w:rPr>
          <w:sz w:val="21"/>
          <w:color w:val="000000"/>
        </w:rPr>
        <w:t>乙方</w:t>
      </w:r>
      <w:r>
        <w:rPr>
          <w:sz w:val="21"/>
          <w:color w:val="000000"/>
        </w:rPr>
        <w:t>因赶进度或野蛮施工等影响</w:t>
      </w:r>
      <w:r>
        <w:rPr>
          <w:sz w:val="21"/>
          <w:color w:val="000000"/>
        </w:rPr>
        <w:t>甲方</w:t>
      </w:r>
      <w:r>
        <w:rPr>
          <w:sz w:val="21"/>
          <w:color w:val="000000"/>
        </w:rPr>
        <w:t>生产工作的，所有损失由</w:t>
      </w:r>
      <w:r>
        <w:rPr>
          <w:sz w:val="21"/>
          <w:color w:val="000000"/>
        </w:rPr>
        <w:t>乙方</w:t>
      </w:r>
      <w:r>
        <w:rPr>
          <w:sz w:val="21"/>
          <w:color w:val="000000"/>
        </w:rPr>
        <w:t>承担，情节严重的</w:t>
      </w:r>
      <w:r>
        <w:rPr>
          <w:sz w:val="21"/>
          <w:color w:val="000000"/>
        </w:rPr>
        <w:t>甲</w:t>
      </w:r>
      <w:r>
        <w:rPr>
          <w:sz w:val="21"/>
          <w:color w:val="000000"/>
        </w:rPr>
        <w:t>方有权单方终止合同。</w:t>
      </w:r>
    </w:p>
    <w:p>
      <w:pPr>
        <w:pStyle w:val="null3"/>
        <w:ind w:firstLine="420"/>
        <w:jc w:val="both"/>
      </w:pPr>
      <w:r>
        <w:rPr>
          <w:sz w:val="21"/>
          <w:color w:val="000000"/>
        </w:rPr>
        <w:t>（</w:t>
      </w:r>
      <w:r>
        <w:rPr>
          <w:sz w:val="21"/>
          <w:color w:val="000000"/>
        </w:rPr>
        <w:t>4</w:t>
      </w:r>
      <w:r>
        <w:rPr>
          <w:sz w:val="21"/>
          <w:color w:val="000000"/>
        </w:rPr>
        <w:t>）安装现场工作和生活条件由</w:t>
      </w:r>
      <w:r>
        <w:rPr>
          <w:sz w:val="21"/>
          <w:color w:val="000000"/>
        </w:rPr>
        <w:t>乙方</w:t>
      </w:r>
      <w:r>
        <w:rPr>
          <w:sz w:val="21"/>
          <w:color w:val="000000"/>
        </w:rPr>
        <w:t>自行解决。</w:t>
      </w:r>
    </w:p>
    <w:p>
      <w:pPr>
        <w:pStyle w:val="null3"/>
        <w:ind w:firstLine="540"/>
        <w:jc w:val="both"/>
      </w:pPr>
      <w:r>
        <w:rPr>
          <w:sz w:val="21"/>
          <w:b/>
          <w:color w:val="000000"/>
        </w:rPr>
        <w:t>九、培训要求</w:t>
      </w:r>
    </w:p>
    <w:p>
      <w:pPr>
        <w:pStyle w:val="null3"/>
        <w:ind w:firstLine="540"/>
        <w:jc w:val="both"/>
      </w:pPr>
      <w:r>
        <w:rPr>
          <w:sz w:val="21"/>
          <w:color w:val="000000"/>
        </w:rPr>
        <w:t>乙方</w:t>
      </w:r>
      <w:r>
        <w:rPr>
          <w:sz w:val="21"/>
          <w:color w:val="000000"/>
        </w:rPr>
        <w:t>在质保期内应对</w:t>
      </w:r>
      <w:r>
        <w:rPr>
          <w:sz w:val="21"/>
          <w:color w:val="000000"/>
        </w:rPr>
        <w:t>甲方</w:t>
      </w:r>
      <w:r>
        <w:rPr>
          <w:sz w:val="21"/>
          <w:color w:val="000000"/>
        </w:rPr>
        <w:t>的操作人员、维修人员提供技术培训，使</w:t>
      </w:r>
      <w:r>
        <w:rPr>
          <w:sz w:val="21"/>
          <w:color w:val="222222"/>
        </w:rPr>
        <w:t>其能对设备进行日常操作和维护保养及能对一般故障进行维修。</w:t>
      </w:r>
    </w:p>
    <w:p>
      <w:pPr>
        <w:pStyle w:val="null3"/>
        <w:ind w:firstLine="540"/>
        <w:jc w:val="both"/>
      </w:pPr>
      <w:r>
        <w:rPr>
          <w:sz w:val="21"/>
          <w:b/>
          <w:color w:val="222222"/>
        </w:rPr>
        <w:t>十、验收：</w:t>
      </w:r>
    </w:p>
    <w:p>
      <w:pPr>
        <w:pStyle w:val="null3"/>
        <w:ind w:firstLine="540"/>
        <w:jc w:val="both"/>
      </w:pPr>
      <w:r>
        <w:rPr>
          <w:sz w:val="21"/>
          <w:color w:val="222222"/>
        </w:rPr>
        <w:t>1.</w:t>
      </w:r>
      <w:r>
        <w:rPr>
          <w:sz w:val="21"/>
          <w:color w:val="222222"/>
        </w:rPr>
        <w:t>货物送至</w:t>
      </w:r>
      <w:r>
        <w:rPr>
          <w:sz w:val="21"/>
          <w:color w:val="222222"/>
        </w:rPr>
        <w:t>甲方</w:t>
      </w:r>
      <w:r>
        <w:rPr>
          <w:sz w:val="21"/>
          <w:color w:val="222222"/>
        </w:rPr>
        <w:t>指定地点并安装调试完毕后试运行</w:t>
      </w:r>
      <w:r>
        <w:rPr>
          <w:sz w:val="21"/>
          <w:color w:val="222222"/>
        </w:rPr>
        <w:t>5</w:t>
      </w:r>
      <w:r>
        <w:rPr>
          <w:sz w:val="21"/>
          <w:color w:val="222222"/>
        </w:rPr>
        <w:t>天组织验收；</w:t>
      </w:r>
    </w:p>
    <w:p>
      <w:pPr>
        <w:pStyle w:val="null3"/>
        <w:ind w:firstLine="540"/>
        <w:jc w:val="both"/>
      </w:pPr>
      <w:r>
        <w:rPr>
          <w:sz w:val="21"/>
          <w:color w:val="222222"/>
        </w:rPr>
        <w:t>2</w:t>
      </w:r>
      <w:r>
        <w:rPr>
          <w:sz w:val="21"/>
          <w:color w:val="222222"/>
        </w:rPr>
        <w:t>．符合中华人民共和国国家安全质量标准、环保标准或行业标准；</w:t>
      </w:r>
    </w:p>
    <w:p>
      <w:pPr>
        <w:pStyle w:val="null3"/>
        <w:ind w:firstLine="540"/>
        <w:jc w:val="both"/>
      </w:pPr>
      <w:r>
        <w:rPr>
          <w:sz w:val="21"/>
          <w:color w:val="222222"/>
        </w:rPr>
        <w:t>3</w:t>
      </w:r>
      <w:r>
        <w:rPr>
          <w:sz w:val="21"/>
          <w:color w:val="222222"/>
        </w:rPr>
        <w:t>．符合采购文件和响应承诺中</w:t>
      </w:r>
      <w:r>
        <w:rPr>
          <w:sz w:val="21"/>
          <w:color w:val="222222"/>
        </w:rPr>
        <w:t>甲方</w:t>
      </w:r>
      <w:r>
        <w:rPr>
          <w:sz w:val="21"/>
          <w:color w:val="222222"/>
        </w:rPr>
        <w:t>认可的合理最佳配置、参数及各项要求；</w:t>
      </w:r>
    </w:p>
    <w:p>
      <w:pPr>
        <w:pStyle w:val="null3"/>
        <w:ind w:firstLine="540"/>
        <w:jc w:val="both"/>
      </w:pPr>
      <w:r>
        <w:rPr>
          <w:sz w:val="21"/>
          <w:color w:val="222222"/>
        </w:rPr>
        <w:t>4</w:t>
      </w:r>
      <w:r>
        <w:rPr>
          <w:sz w:val="21"/>
          <w:color w:val="222222"/>
        </w:rPr>
        <w:t>．货物为原厂商未启封全新包装，具出厂合格证，序列号、包装箱号与出厂批号一致，并可追索查阅。所有随设备的附件必须齐全。</w:t>
      </w:r>
    </w:p>
    <w:p>
      <w:pPr>
        <w:pStyle w:val="null3"/>
        <w:ind w:firstLine="540"/>
        <w:jc w:val="both"/>
      </w:pPr>
      <w:r>
        <w:rPr>
          <w:sz w:val="21"/>
          <w:color w:val="222222"/>
        </w:rPr>
        <w:t>5</w:t>
      </w:r>
      <w:r>
        <w:rPr>
          <w:sz w:val="21"/>
          <w:color w:val="222222"/>
        </w:rPr>
        <w:t>．</w:t>
      </w:r>
      <w:r>
        <w:rPr>
          <w:sz w:val="21"/>
          <w:color w:val="222222"/>
        </w:rPr>
        <w:t>乙方</w:t>
      </w:r>
      <w:r>
        <w:rPr>
          <w:sz w:val="21"/>
          <w:color w:val="222222"/>
        </w:rPr>
        <w:t>应将关键主机设备的用户手册、保修手册、有关单证资料及配备件、随机工具等交付给</w:t>
      </w:r>
      <w:r>
        <w:rPr>
          <w:sz w:val="21"/>
          <w:color w:val="222222"/>
        </w:rPr>
        <w:t>甲方</w:t>
      </w:r>
      <w:r>
        <w:rPr>
          <w:sz w:val="21"/>
          <w:color w:val="222222"/>
        </w:rPr>
        <w:t>，使用操作及安全须知等重要资料应附有中文说明。</w:t>
      </w:r>
    </w:p>
    <w:p>
      <w:pPr>
        <w:pStyle w:val="null3"/>
        <w:ind w:firstLine="540"/>
        <w:jc w:val="both"/>
      </w:pPr>
      <w:r>
        <w:rPr>
          <w:sz w:val="21"/>
          <w:color w:val="222222"/>
        </w:rPr>
        <w:t>6</w:t>
      </w:r>
      <w:r>
        <w:rPr>
          <w:sz w:val="21"/>
          <w:color w:val="222222"/>
        </w:rPr>
        <w:t>．</w:t>
      </w:r>
      <w:r>
        <w:rPr>
          <w:sz w:val="21"/>
          <w:color w:val="222222"/>
        </w:rPr>
        <w:t>甲方</w:t>
      </w:r>
      <w:r>
        <w:rPr>
          <w:sz w:val="21"/>
          <w:color w:val="222222"/>
        </w:rPr>
        <w:t>组成验收小组按国家有关规定、规范及</w:t>
      </w:r>
      <w:r>
        <w:rPr>
          <w:sz w:val="21"/>
          <w:color w:val="222222"/>
        </w:rPr>
        <w:t>乙方</w:t>
      </w:r>
      <w:r>
        <w:rPr>
          <w:sz w:val="21"/>
          <w:color w:val="222222"/>
        </w:rPr>
        <w:t>的响应文件中承诺的内容进行验收，必要时邀请相关的第三方专业人员、机构或参与本次项目的其他报价供应商参与验收。因货物质量问题发生争议时，由本地质量技术监督部门鉴定。鉴定费先由</w:t>
      </w:r>
      <w:r>
        <w:rPr>
          <w:sz w:val="21"/>
          <w:color w:val="222222"/>
        </w:rPr>
        <w:t>乙方</w:t>
      </w:r>
      <w:r>
        <w:rPr>
          <w:sz w:val="21"/>
          <w:color w:val="222222"/>
        </w:rPr>
        <w:t>垫付。货物符合质量技术标准的，鉴定费由</w:t>
      </w:r>
      <w:r>
        <w:rPr>
          <w:sz w:val="21"/>
          <w:color w:val="222222"/>
        </w:rPr>
        <w:t>甲方</w:t>
      </w:r>
      <w:r>
        <w:rPr>
          <w:sz w:val="21"/>
          <w:color w:val="222222"/>
        </w:rPr>
        <w:t>承担；否则鉴定费由</w:t>
      </w:r>
      <w:r>
        <w:rPr>
          <w:sz w:val="21"/>
          <w:color w:val="222222"/>
        </w:rPr>
        <w:t>乙方</w:t>
      </w:r>
      <w:r>
        <w:rPr>
          <w:sz w:val="21"/>
          <w:color w:val="222222"/>
        </w:rPr>
        <w:t>承担</w:t>
      </w:r>
      <w:r>
        <w:rPr>
          <w:sz w:val="21"/>
          <w:color w:val="222222"/>
        </w:rPr>
        <w:t>。</w:t>
      </w:r>
    </w:p>
    <w:p>
      <w:pPr>
        <w:pStyle w:val="null3"/>
        <w:ind w:firstLine="542"/>
        <w:jc w:val="both"/>
      </w:pPr>
      <w:r>
        <w:rPr>
          <w:sz w:val="21"/>
          <w:b/>
          <w:color w:val="222222"/>
        </w:rPr>
        <w:t>十一、实施要求：</w:t>
      </w:r>
    </w:p>
    <w:p>
      <w:pPr>
        <w:pStyle w:val="null3"/>
        <w:ind w:firstLine="420"/>
        <w:jc w:val="both"/>
      </w:pPr>
      <w:r>
        <w:rPr>
          <w:sz w:val="21"/>
          <w:color w:val="222222"/>
        </w:rPr>
        <w:t>（</w:t>
      </w:r>
      <w:r>
        <w:rPr>
          <w:sz w:val="21"/>
          <w:color w:val="222222"/>
        </w:rPr>
        <w:t>1</w:t>
      </w:r>
      <w:r>
        <w:rPr>
          <w:sz w:val="21"/>
          <w:color w:val="222222"/>
        </w:rPr>
        <w:t>）实施人员进馆必须统一穿戴劳保服装，特种作业人员还必须携带特种作业操作证，便于</w:t>
      </w:r>
      <w:r>
        <w:rPr>
          <w:sz w:val="21"/>
          <w:color w:val="222222"/>
        </w:rPr>
        <w:t>乙方</w:t>
      </w:r>
      <w:r>
        <w:rPr>
          <w:sz w:val="21"/>
          <w:color w:val="222222"/>
        </w:rPr>
        <w:t>安全管理人员和上级主管领导检查。</w:t>
      </w:r>
    </w:p>
    <w:p>
      <w:pPr>
        <w:pStyle w:val="null3"/>
        <w:ind w:firstLine="420"/>
        <w:jc w:val="both"/>
      </w:pPr>
      <w:r>
        <w:rPr>
          <w:sz w:val="21"/>
          <w:color w:val="222222"/>
        </w:rPr>
        <w:t>（</w:t>
      </w:r>
      <w:r>
        <w:rPr>
          <w:sz w:val="21"/>
          <w:color w:val="222222"/>
        </w:rPr>
        <w:t>2</w:t>
      </w:r>
      <w:r>
        <w:rPr>
          <w:sz w:val="21"/>
          <w:color w:val="222222"/>
        </w:rPr>
        <w:t>）施工区域、作业环境、操作设施设备、工具用具等必须认真检查，发现隐患，应即停止施工和检修，整改后方准施工。一经施工，就表示该</w:t>
      </w:r>
      <w:r>
        <w:rPr>
          <w:sz w:val="21"/>
          <w:color w:val="222222"/>
        </w:rPr>
        <w:t>乙方</w:t>
      </w:r>
      <w:r>
        <w:rPr>
          <w:sz w:val="21"/>
          <w:color w:val="222222"/>
        </w:rPr>
        <w:t>已确认施工场所、作业环境、设施设备、工具用具等符合安全要求和处于安全状态。</w:t>
      </w:r>
      <w:r>
        <w:rPr>
          <w:sz w:val="21"/>
          <w:color w:val="222222"/>
        </w:rPr>
        <w:t>乙方</w:t>
      </w:r>
      <w:r>
        <w:rPr>
          <w:sz w:val="21"/>
          <w:color w:val="222222"/>
        </w:rPr>
        <w:t>对施工过程中产生的后果自行负责。</w:t>
      </w:r>
    </w:p>
    <w:p>
      <w:pPr>
        <w:pStyle w:val="null3"/>
        <w:ind w:firstLine="420"/>
        <w:jc w:val="both"/>
      </w:pPr>
      <w:r>
        <w:rPr>
          <w:sz w:val="21"/>
          <w:color w:val="222222"/>
        </w:rPr>
        <w:t>（</w:t>
      </w:r>
      <w:r>
        <w:rPr>
          <w:sz w:val="21"/>
          <w:color w:val="222222"/>
        </w:rPr>
        <w:t>3</w:t>
      </w:r>
      <w:r>
        <w:rPr>
          <w:sz w:val="21"/>
          <w:color w:val="222222"/>
        </w:rPr>
        <w:t>）施工过程中产生的垃圾要按照</w:t>
      </w:r>
      <w:r>
        <w:rPr>
          <w:sz w:val="21"/>
          <w:color w:val="222222"/>
        </w:rPr>
        <w:t>甲方</w:t>
      </w:r>
      <w:r>
        <w:rPr>
          <w:sz w:val="21"/>
          <w:color w:val="222222"/>
        </w:rPr>
        <w:t>要求集中放置，不能影响</w:t>
      </w:r>
      <w:r>
        <w:rPr>
          <w:sz w:val="21"/>
          <w:color w:val="222222"/>
        </w:rPr>
        <w:t>甲方</w:t>
      </w:r>
      <w:r>
        <w:rPr>
          <w:sz w:val="21"/>
          <w:color w:val="222222"/>
        </w:rPr>
        <w:t>日常工作并保证定时清理。施工结束后，</w:t>
      </w:r>
      <w:r>
        <w:rPr>
          <w:sz w:val="21"/>
          <w:color w:val="222222"/>
        </w:rPr>
        <w:t>乙方</w:t>
      </w:r>
      <w:r>
        <w:rPr>
          <w:sz w:val="21"/>
          <w:color w:val="222222"/>
        </w:rPr>
        <w:t>应对施工现场彻底清理，做到工完、料尽、场地清。</w:t>
      </w:r>
    </w:p>
    <w:p>
      <w:pPr>
        <w:pStyle w:val="null3"/>
        <w:ind w:firstLine="420"/>
        <w:jc w:val="both"/>
      </w:pPr>
      <w:r>
        <w:rPr>
          <w:sz w:val="21"/>
          <w:color w:val="222222"/>
        </w:rPr>
        <w:t>（</w:t>
      </w:r>
      <w:r>
        <w:rPr>
          <w:sz w:val="21"/>
          <w:color w:val="222222"/>
        </w:rPr>
        <w:t>4</w:t>
      </w:r>
      <w:r>
        <w:rPr>
          <w:sz w:val="21"/>
          <w:color w:val="222222"/>
        </w:rPr>
        <w:t>）</w:t>
      </w:r>
      <w:r>
        <w:rPr>
          <w:sz w:val="21"/>
          <w:color w:val="222222"/>
        </w:rPr>
        <w:t>乙方</w:t>
      </w:r>
      <w:r>
        <w:rPr>
          <w:sz w:val="21"/>
          <w:color w:val="222222"/>
        </w:rPr>
        <w:t>在施工和作业中要文明施工，确保人员（包括</w:t>
      </w:r>
      <w:r>
        <w:rPr>
          <w:sz w:val="21"/>
          <w:color w:val="222222"/>
        </w:rPr>
        <w:t>甲方</w:t>
      </w:r>
      <w:r>
        <w:rPr>
          <w:sz w:val="21"/>
          <w:color w:val="222222"/>
        </w:rPr>
        <w:t>单位的工作人员和服务对象）、设施的安全和完好，如发生意外，</w:t>
      </w:r>
      <w:r>
        <w:rPr>
          <w:sz w:val="21"/>
          <w:color w:val="222222"/>
        </w:rPr>
        <w:t>甲方</w:t>
      </w:r>
      <w:r>
        <w:rPr>
          <w:sz w:val="21"/>
          <w:color w:val="222222"/>
        </w:rPr>
        <w:t>不承担责任和所产生的费用，由</w:t>
      </w:r>
      <w:r>
        <w:rPr>
          <w:sz w:val="21"/>
          <w:color w:val="222222"/>
        </w:rPr>
        <w:t>乙方</w:t>
      </w:r>
      <w:r>
        <w:rPr>
          <w:sz w:val="21"/>
          <w:color w:val="222222"/>
        </w:rPr>
        <w:t>自负。</w:t>
      </w:r>
    </w:p>
    <w:p>
      <w:pPr>
        <w:pStyle w:val="null3"/>
        <w:ind w:firstLine="420"/>
        <w:jc w:val="both"/>
      </w:pPr>
      <w:r>
        <w:rPr>
          <w:sz w:val="21"/>
          <w:color w:val="222222"/>
        </w:rPr>
        <w:t>（</w:t>
      </w:r>
      <w:r>
        <w:rPr>
          <w:sz w:val="21"/>
          <w:color w:val="222222"/>
        </w:rPr>
        <w:t>5</w:t>
      </w:r>
      <w:r>
        <w:rPr>
          <w:sz w:val="21"/>
          <w:color w:val="222222"/>
        </w:rPr>
        <w:t>）</w:t>
      </w:r>
      <w:r>
        <w:rPr>
          <w:sz w:val="21"/>
          <w:color w:val="222222"/>
        </w:rPr>
        <w:t>乙方</w:t>
      </w:r>
      <w:r>
        <w:rPr>
          <w:sz w:val="21"/>
          <w:color w:val="222222"/>
        </w:rPr>
        <w:t>要指定一名现场项目负责人与</w:t>
      </w:r>
      <w:r>
        <w:rPr>
          <w:sz w:val="21"/>
          <w:color w:val="222222"/>
        </w:rPr>
        <w:t>甲方</w:t>
      </w:r>
      <w:r>
        <w:rPr>
          <w:sz w:val="21"/>
          <w:color w:val="222222"/>
        </w:rPr>
        <w:t>对接、协调有关事宜。</w:t>
      </w:r>
    </w:p>
    <w:p>
      <w:pPr>
        <w:pStyle w:val="null3"/>
        <w:ind w:firstLine="542"/>
        <w:jc w:val="both"/>
      </w:pPr>
      <w:r>
        <w:rPr>
          <w:sz w:val="21"/>
          <w:b/>
          <w:color w:val="222222"/>
        </w:rPr>
        <w:t>十二、</w:t>
      </w:r>
      <w:r>
        <w:rPr/>
        <w:t xml:space="preserve"> </w:t>
      </w:r>
      <w:r>
        <w:rPr>
          <w:sz w:val="21"/>
          <w:b/>
          <w:color w:val="222222"/>
        </w:rPr>
        <w:t>违约责任与赔偿损失</w:t>
      </w:r>
    </w:p>
    <w:p>
      <w:pPr>
        <w:pStyle w:val="null3"/>
        <w:ind w:firstLine="540"/>
        <w:jc w:val="both"/>
      </w:pPr>
      <w:r>
        <w:rPr>
          <w:sz w:val="21"/>
          <w:color w:val="222222"/>
        </w:rPr>
        <w:t>1</w:t>
      </w:r>
      <w:r>
        <w:rPr>
          <w:sz w:val="21"/>
          <w:color w:val="222222"/>
        </w:rPr>
        <w:t>、乙方逾期交付全部设备材料，每逾期一天按合同总价的</w:t>
      </w:r>
      <w:r>
        <w:rPr>
          <w:sz w:val="21"/>
          <w:color w:val="222222"/>
        </w:rPr>
        <w:t>3</w:t>
      </w:r>
      <w:r>
        <w:rPr>
          <w:sz w:val="21"/>
          <w:color w:val="222222"/>
        </w:rPr>
        <w:t>‰支付违约金给甲方；逾期超过</w:t>
      </w:r>
      <w:r>
        <w:rPr>
          <w:sz w:val="21"/>
          <w:color w:val="222222"/>
        </w:rPr>
        <w:t>30</w:t>
      </w:r>
      <w:r>
        <w:rPr>
          <w:sz w:val="21"/>
          <w:color w:val="222222"/>
        </w:rPr>
        <w:t>天仍不能全部交付完毕，则视为乙方不能交付，甲方有权单方面解除合同，乙方退还甲方已支付的全部款项，并支付合同总价</w:t>
      </w:r>
      <w:r>
        <w:rPr>
          <w:sz w:val="21"/>
          <w:color w:val="222222"/>
        </w:rPr>
        <w:t>10%</w:t>
      </w:r>
      <w:r>
        <w:rPr>
          <w:sz w:val="21"/>
          <w:color w:val="222222"/>
        </w:rPr>
        <w:t>的违约金，违约金不足以补偿甲方造成的损失，甲方有权进一步向乙方提出索赔。</w:t>
      </w:r>
    </w:p>
    <w:p>
      <w:pPr>
        <w:pStyle w:val="null3"/>
        <w:ind w:firstLine="540"/>
        <w:jc w:val="both"/>
      </w:pPr>
      <w:r>
        <w:rPr>
          <w:sz w:val="21"/>
          <w:color w:val="222222"/>
        </w:rPr>
        <w:t>2</w:t>
      </w:r>
      <w:r>
        <w:rPr>
          <w:sz w:val="21"/>
          <w:color w:val="222222"/>
        </w:rPr>
        <w:t>、乙方交付的设备项目未能一次性通过甲方组织的验收，甲方同意乙方予以更换整改，更换整改期间不予延期，逾期交付按前款约定承担违约责任；乙方经两次整改后仍不能通过甲方组织的验收的，或逾期</w:t>
      </w:r>
      <w:r>
        <w:rPr>
          <w:sz w:val="21"/>
          <w:color w:val="222222"/>
        </w:rPr>
        <w:t>30</w:t>
      </w:r>
      <w:r>
        <w:rPr>
          <w:sz w:val="21"/>
          <w:color w:val="222222"/>
        </w:rPr>
        <w:t>天仍不能通过验收的，视同乙方不能履行合同，甲方有权单方面解除合同，乙方退还甲方已支付的全部款项，并支付合同总价</w:t>
      </w:r>
      <w:r>
        <w:rPr>
          <w:sz w:val="21"/>
          <w:color w:val="222222"/>
        </w:rPr>
        <w:t>10%</w:t>
      </w:r>
      <w:r>
        <w:rPr>
          <w:sz w:val="21"/>
          <w:color w:val="222222"/>
        </w:rPr>
        <w:t>的违约金，违约金不足以补偿甲方因乙方违约造成的损失，甲方有权进一步向乙方提出索赔。</w:t>
      </w:r>
    </w:p>
    <w:p>
      <w:pPr>
        <w:pStyle w:val="null3"/>
        <w:ind w:firstLine="540"/>
        <w:jc w:val="both"/>
      </w:pPr>
      <w:r>
        <w:rPr>
          <w:sz w:val="21"/>
          <w:color w:val="222222"/>
        </w:rPr>
        <w:t>3</w:t>
      </w:r>
      <w:r>
        <w:rPr>
          <w:sz w:val="21"/>
          <w:color w:val="222222"/>
        </w:rPr>
        <w:t>、乙方不按其投标文件关于售后服务承诺条款及保证提供售后服务的，应当承担违约责任，甲方可以根据乙方违约情况，每次要求乙方支付违约金</w:t>
      </w:r>
      <w:r>
        <w:rPr>
          <w:sz w:val="21"/>
          <w:color w:val="222222"/>
        </w:rPr>
        <w:t>5000</w:t>
      </w:r>
      <w:r>
        <w:rPr>
          <w:sz w:val="21"/>
          <w:color w:val="222222"/>
        </w:rPr>
        <w:t>元</w:t>
      </w:r>
      <w:r>
        <w:rPr>
          <w:sz w:val="21"/>
          <w:color w:val="222222"/>
        </w:rPr>
        <w:t>-10000</w:t>
      </w:r>
      <w:r>
        <w:rPr>
          <w:sz w:val="21"/>
          <w:color w:val="222222"/>
        </w:rPr>
        <w:t>元。</w:t>
      </w:r>
    </w:p>
    <w:p>
      <w:pPr>
        <w:pStyle w:val="null3"/>
        <w:ind w:firstLine="542"/>
        <w:jc w:val="both"/>
      </w:pPr>
      <w:r>
        <w:rPr>
          <w:sz w:val="21"/>
          <w:b/>
          <w:color w:val="222222"/>
        </w:rPr>
        <w:t>十三、</w:t>
      </w:r>
      <w:r>
        <w:rPr/>
        <w:t xml:space="preserve"> </w:t>
      </w:r>
      <w:r>
        <w:rPr>
          <w:sz w:val="21"/>
          <w:b/>
          <w:color w:val="222222"/>
        </w:rPr>
        <w:t>争议的解决</w:t>
      </w:r>
    </w:p>
    <w:p>
      <w:pPr>
        <w:pStyle w:val="null3"/>
        <w:ind w:firstLine="540"/>
        <w:jc w:val="left"/>
      </w:pPr>
      <w:r>
        <w:rPr>
          <w:sz w:val="21"/>
          <w:color w:val="222222"/>
        </w:rPr>
        <w:t>合同执行过程中发生的任何争议，如双方不能通过友好协商解决，按相关法律法规处理。</w:t>
      </w:r>
    </w:p>
    <w:p>
      <w:pPr>
        <w:pStyle w:val="null3"/>
        <w:ind w:firstLine="542"/>
        <w:jc w:val="both"/>
      </w:pPr>
      <w:r>
        <w:rPr>
          <w:sz w:val="21"/>
          <w:b/>
          <w:color w:val="222222"/>
        </w:rPr>
        <w:t>十四、不可抗力</w:t>
      </w:r>
    </w:p>
    <w:p>
      <w:pPr>
        <w:pStyle w:val="null3"/>
        <w:ind w:firstLine="540"/>
        <w:jc w:val="both"/>
      </w:pPr>
      <w:r>
        <w:rPr>
          <w:sz w:val="21"/>
          <w:color w:val="222222"/>
        </w:rPr>
        <w:t>1.</w:t>
      </w:r>
      <w:r>
        <w:rPr>
          <w:sz w:val="21"/>
          <w:color w:val="222222"/>
        </w:rPr>
        <w:t>任何一方由于不可抗力原因不能履行合同时，应在不可抗力事件结束后</w:t>
      </w:r>
      <w:r>
        <w:rPr>
          <w:sz w:val="21"/>
          <w:color w:val="222222"/>
        </w:rPr>
        <w:t>1</w:t>
      </w:r>
      <w:r>
        <w:rPr>
          <w:sz w:val="21"/>
          <w:color w:val="222222"/>
        </w:rPr>
        <w:t>日内向对方通报，以减轻可能给对方造成的损失，在取得有关机构的不可抗力证明或双方谅解确认后，允许延期履行或修订合同，并根据情况可部分或全部免于承担违约责任。</w:t>
      </w:r>
    </w:p>
    <w:p>
      <w:pPr>
        <w:pStyle w:val="null3"/>
        <w:ind w:firstLine="542"/>
        <w:jc w:val="both"/>
      </w:pPr>
      <w:r>
        <w:rPr>
          <w:sz w:val="21"/>
          <w:b/>
          <w:color w:val="222222"/>
        </w:rPr>
        <w:t>十五、税费</w:t>
      </w:r>
    </w:p>
    <w:p>
      <w:pPr>
        <w:pStyle w:val="null3"/>
        <w:ind w:firstLine="540"/>
        <w:jc w:val="both"/>
      </w:pPr>
      <w:r>
        <w:rPr>
          <w:sz w:val="21"/>
          <w:color w:val="222222"/>
        </w:rPr>
        <w:t>1.</w:t>
      </w:r>
      <w:r>
        <w:rPr>
          <w:sz w:val="21"/>
          <w:color w:val="222222"/>
        </w:rPr>
        <w:t>在中国境内、外发生的与本合同执行有关的一切税费均由乙方负担。</w:t>
      </w:r>
    </w:p>
    <w:p>
      <w:pPr>
        <w:pStyle w:val="null3"/>
        <w:ind w:firstLine="542"/>
        <w:jc w:val="both"/>
      </w:pPr>
      <w:r>
        <w:rPr>
          <w:sz w:val="21"/>
          <w:b/>
          <w:color w:val="222222"/>
        </w:rPr>
        <w:t>十六、</w:t>
      </w:r>
      <w:r>
        <w:rPr/>
        <w:t xml:space="preserve"> </w:t>
      </w:r>
      <w:r>
        <w:rPr>
          <w:sz w:val="21"/>
          <w:b/>
          <w:color w:val="222222"/>
        </w:rPr>
        <w:t>其它</w:t>
      </w:r>
    </w:p>
    <w:p>
      <w:pPr>
        <w:pStyle w:val="null3"/>
        <w:ind w:firstLine="540"/>
        <w:jc w:val="both"/>
      </w:pPr>
      <w:r>
        <w:rPr>
          <w:sz w:val="21"/>
          <w:color w:val="222222"/>
        </w:rPr>
        <w:t>1.</w:t>
      </w:r>
      <w:r>
        <w:rPr>
          <w:sz w:val="21"/>
          <w:color w:val="222222"/>
        </w:rPr>
        <w:t>本合同所有附件、招标文件、投标文件、中标通知书均为合同的有效组成部分，与本合同具有同等法律效力。</w:t>
      </w:r>
    </w:p>
    <w:p>
      <w:pPr>
        <w:pStyle w:val="null3"/>
        <w:ind w:firstLine="540"/>
        <w:jc w:val="both"/>
      </w:pPr>
      <w:r>
        <w:rPr>
          <w:sz w:val="21"/>
          <w:color w:val="222222"/>
        </w:rPr>
        <w:t>2.</w:t>
      </w:r>
      <w:r>
        <w:rPr>
          <w:sz w:val="21"/>
          <w:color w:val="222222"/>
        </w:rPr>
        <w:t>在执行本合同的过程中，所有经双方签署确认的文件（包括会议纪要、补充协议、往来信函）即成为本合同的有效组成部分。</w:t>
      </w:r>
    </w:p>
    <w:p>
      <w:pPr>
        <w:pStyle w:val="null3"/>
        <w:ind w:firstLine="540"/>
        <w:jc w:val="both"/>
      </w:pPr>
      <w:r>
        <w:rPr>
          <w:sz w:val="21"/>
          <w:color w:val="222222"/>
        </w:rPr>
        <w:t>3.</w:t>
      </w:r>
      <w:r>
        <w:rPr>
          <w:sz w:val="21"/>
          <w:color w:val="222222"/>
        </w:rPr>
        <w:t>如一方地址、电话、传真号码有变更，应在变更当日内书面通知对方，否则，应承担相应责任。</w:t>
      </w:r>
    </w:p>
    <w:p>
      <w:pPr>
        <w:pStyle w:val="null3"/>
        <w:ind w:firstLine="540"/>
        <w:jc w:val="both"/>
      </w:pPr>
      <w:r>
        <w:rPr>
          <w:sz w:val="21"/>
          <w:color w:val="222222"/>
        </w:rPr>
        <w:t>4.</w:t>
      </w:r>
      <w:r>
        <w:rPr>
          <w:sz w:val="21"/>
          <w:color w:val="222222"/>
        </w:rPr>
        <w:t>除甲方事先书面同意外，乙方不得部分或全部转让其应履行的合同项下的义务。</w:t>
      </w:r>
    </w:p>
    <w:p>
      <w:pPr>
        <w:pStyle w:val="null3"/>
        <w:ind w:firstLine="542"/>
        <w:jc w:val="both"/>
      </w:pPr>
      <w:r>
        <w:rPr>
          <w:sz w:val="21"/>
          <w:b/>
          <w:color w:val="222222"/>
        </w:rPr>
        <w:t>十七、合同生效</w:t>
      </w:r>
    </w:p>
    <w:p>
      <w:pPr>
        <w:pStyle w:val="null3"/>
        <w:ind w:firstLine="540"/>
        <w:jc w:val="both"/>
      </w:pPr>
      <w:r>
        <w:rPr>
          <w:sz w:val="21"/>
          <w:color w:val="222222"/>
        </w:rPr>
        <w:t>1.</w:t>
      </w:r>
      <w:r>
        <w:rPr>
          <w:sz w:val="21"/>
          <w:color w:val="222222"/>
        </w:rPr>
        <w:t>本合同在甲乙双方法人代表或其授权代表签字盖章后生效。</w:t>
      </w:r>
    </w:p>
    <w:p>
      <w:pPr>
        <w:pStyle w:val="null3"/>
        <w:ind w:firstLine="540"/>
        <w:jc w:val="both"/>
      </w:pPr>
      <w:r>
        <w:rPr>
          <w:sz w:val="21"/>
          <w:color w:val="222222"/>
        </w:rPr>
        <w:t>2.</w:t>
      </w:r>
      <w:r>
        <w:rPr>
          <w:sz w:val="21"/>
          <w:color w:val="222222"/>
        </w:rPr>
        <w:t>合同一式</w:t>
      </w:r>
      <w:r>
        <w:rPr>
          <w:u w:val="single"/>
        </w:rPr>
        <w:t xml:space="preserve">    </w:t>
      </w:r>
      <w:r>
        <w:rPr>
          <w:sz w:val="21"/>
          <w:color w:val="222222"/>
        </w:rPr>
        <w:t>份。</w:t>
      </w:r>
    </w:p>
    <w:p>
      <w:pPr>
        <w:pStyle w:val="null3"/>
        <w:jc w:val="both"/>
      </w:pPr>
      <w:r>
        <w:rPr/>
        <w:t xml:space="preserve"> </w:t>
      </w:r>
    </w:p>
    <w:p>
      <w:pPr>
        <w:pStyle w:val="null3"/>
        <w:jc w:val="both"/>
      </w:pPr>
      <w:r>
        <w:rPr/>
        <w:t xml:space="preserve"> </w:t>
      </w:r>
    </w:p>
    <w:p>
      <w:pPr>
        <w:pStyle w:val="null3"/>
        <w:jc w:val="both"/>
      </w:pPr>
      <w:r>
        <w:rPr>
          <w:sz w:val="21"/>
          <w:b/>
        </w:rPr>
        <w:t>甲方（盖章）：乙方（盖章）：</w:t>
      </w:r>
    </w:p>
    <w:p>
      <w:pPr>
        <w:pStyle w:val="null3"/>
        <w:jc w:val="both"/>
      </w:pPr>
      <w:r>
        <w:rPr>
          <w:sz w:val="21"/>
          <w:b/>
        </w:rPr>
        <w:t>代表：代表：</w:t>
      </w:r>
    </w:p>
    <w:p>
      <w:pPr>
        <w:pStyle w:val="null3"/>
        <w:jc w:val="both"/>
      </w:pPr>
      <w:r>
        <w:rPr>
          <w:sz w:val="21"/>
        </w:rPr>
        <w:t>签订地点：</w:t>
      </w:r>
    </w:p>
    <w:p>
      <w:pPr>
        <w:pStyle w:val="null3"/>
        <w:jc w:val="both"/>
      </w:pPr>
      <w:r>
        <w:rPr>
          <w:sz w:val="21"/>
        </w:rPr>
        <w:t>签订日期：　　　年　　月　　日签订日期：　　　年　　月　　日</w:t>
      </w:r>
    </w:p>
    <w:p>
      <w:pPr>
        <w:pStyle w:val="null3"/>
        <w:jc w:val="both"/>
      </w:pPr>
      <w:r>
        <w:rPr>
          <w:sz w:val="21"/>
        </w:rPr>
        <w:t>开户名称：</w:t>
      </w:r>
    </w:p>
    <w:p>
      <w:pPr>
        <w:pStyle w:val="null3"/>
        <w:jc w:val="both"/>
      </w:pPr>
      <w:r>
        <w:rPr>
          <w:sz w:val="21"/>
        </w:rPr>
        <w:t>银行帐号：</w:t>
      </w:r>
    </w:p>
    <w:p>
      <w:pPr>
        <w:pStyle w:val="null3"/>
        <w:jc w:val="both"/>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440882-2025-01270</w:t>
      </w:r>
    </w:p>
    <w:p>
      <w:pPr>
        <w:pStyle w:val="null3"/>
        <w:jc w:val="center"/>
        <w:outlineLvl w:val="3"/>
      </w:pPr>
      <w:r>
        <w:rPr>
          <w:sz w:val="24"/>
          <w:b/>
        </w:rPr>
        <w:t>采购项目编号：</w:t>
      </w:r>
      <w:r>
        <w:rPr>
          <w:sz w:val="24"/>
          <w:b/>
        </w:rPr>
        <w:t>Z2025-10-024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广东世天项目管理有限公司</w:t>
      </w:r>
    </w:p>
    <w:p>
      <w:pPr>
        <w:pStyle w:val="null3"/>
        <w:ind w:firstLine="480"/>
      </w:pPr>
      <w:r>
        <w:rPr/>
        <w:t xml:space="preserve"> 你方组织的</w:t>
      </w:r>
      <w:r>
        <w:rPr>
          <w:u w:val="single"/>
        </w:rPr>
        <w:t>“</w:t>
      </w:r>
      <w:r>
        <w:rPr>
          <w:u w:val="single"/>
        </w:rPr>
        <w:t>雷州市殡仪馆告别中厅及骨灰楼设备设施采购项目</w:t>
      </w:r>
      <w:r>
        <w:rPr>
          <w:u w:val="single"/>
        </w:rPr>
        <w:t>”</w:t>
      </w:r>
      <w:r>
        <w:rPr/>
        <w:t>项目的招标[采购项目编号为：</w:t>
      </w:r>
      <w:r>
        <w:rPr>
          <w:u w:val="single"/>
        </w:rPr>
        <w:t>Z2025-10-024</w:t>
      </w:r>
      <w:r>
        <w:rPr/>
        <w:t>]，我方愿参与投标。</w:t>
      </w:r>
    </w:p>
    <w:p>
      <w:pPr>
        <w:pStyle w:val="null3"/>
        <w:ind w:firstLine="480"/>
      </w:pPr>
      <w:r>
        <w:rPr/>
        <w:t>我方确认收到贵方提供的</w:t>
      </w:r>
      <w:r>
        <w:rPr>
          <w:u w:val="single"/>
        </w:rPr>
        <w:t>“</w:t>
      </w:r>
      <w:r>
        <w:rPr>
          <w:u w:val="single"/>
        </w:rPr>
        <w:t>雷州市殡仪馆告别中厅及骨灰楼设备设施采购项目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广东世天项目管理有限公司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雷州市殡仪馆告别中厅及骨灰楼设备设施采购项目</w:t>
      </w:r>
      <w:r>
        <w:rPr/>
        <w:t>”项目采购[采购项目编号为</w:t>
      </w:r>
      <w:r>
        <w:rPr/>
        <w:t>Z2025-10-024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雷州市殡仪馆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广东世天项目管理有限公司</w:t>
      </w:r>
    </w:p>
    <w:p>
      <w:pPr>
        <w:pStyle w:val="null3"/>
        <w:ind w:firstLine="480"/>
      </w:pPr>
      <w:r>
        <w:rPr/>
        <w:t xml:space="preserve"> 如果我方在贵采购代理机构组织的</w:t>
      </w:r>
      <w:r>
        <w:rPr/>
        <w:t>雷州市殡仪馆告别中厅及骨灰楼设备设施采购项目</w:t>
      </w:r>
      <w:r>
        <w:rPr/>
        <w:t>招标中获中标（采购项目编号：</w:t>
      </w:r>
      <w:r>
        <w:rPr/>
        <w:t>Z2025-10-024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广东世天项目管理有限公司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广东世天项目管理有限公司</w:t>
      </w:r>
    </w:p>
    <w:p>
      <w:pPr>
        <w:pStyle w:val="null3"/>
        <w:ind w:firstLine="480"/>
      </w:pPr>
      <w:r>
        <w:rPr/>
        <w:t>我单位已登记并准备参与“</w:t>
      </w:r>
      <w:r>
        <w:rPr/>
        <w:t>雷州市殡仪馆告别中厅及骨灰楼设备设施采购项目</w:t>
      </w:r>
      <w:r>
        <w:rPr/>
        <w:t>”项目（采购项目编号：</w:t>
      </w:r>
      <w:r>
        <w:rPr/>
        <w:t>Z2025-10-024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