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版本号：N510781202500003820250314001</w:t>
      </w:r>
    </w:p>
    <w:p>
      <w:pPr>
        <w:pStyle w:val="null3"/>
        <w:jc w:val="left"/>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HIS系统、临床业务系统及电子病历系统升级</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N5107812025000038</w:t>
      </w:r>
    </w:p>
    <w:p>
      <w:pPr>
        <w:pStyle w:val="null3"/>
        <w:jc w:val="left"/>
        <w:outlineLvl w:val="2"/>
      </w:pPr>
      <w:r>
        <w:rPr>
          <w:rFonts w:ascii="仿宋_GB2312" w:hAnsi="仿宋_GB2312" w:cs="仿宋_GB2312" w:eastAsia="仿宋_GB2312"/>
          <w:sz w:val="28"/>
          <w:b/>
        </w:rPr>
        <w:t>江油市第二人民医院</w:t>
      </w:r>
    </w:p>
    <w:p>
      <w:pPr>
        <w:pStyle w:val="null3"/>
        <w:jc w:val="center"/>
        <w:outlineLvl w:val="2"/>
      </w:pPr>
      <w:r>
        <w:rPr>
          <w:rFonts w:ascii="仿宋_GB2312" w:hAnsi="仿宋_GB2312" w:cs="仿宋_GB2312" w:eastAsia="仿宋_GB2312"/>
          <w:sz w:val="28"/>
          <w:b/>
        </w:rPr>
        <w:t>四川久安工程管理有限公司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ind w:firstLine="480"/>
        <w:jc w:val="left"/>
      </w:pPr>
      <w:r>
        <w:rPr>
          <w:rFonts w:ascii="仿宋_GB2312" w:hAnsi="仿宋_GB2312" w:cs="仿宋_GB2312" w:eastAsia="仿宋_GB2312"/>
        </w:rPr>
        <w:t>四川久安工程管理有限公司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江油市第二人民医院</w:t>
      </w:r>
      <w:r>
        <w:rPr>
          <w:rFonts w:ascii="仿宋_GB2312" w:hAnsi="仿宋_GB2312" w:cs="仿宋_GB2312" w:eastAsia="仿宋_GB2312"/>
        </w:rPr>
        <w:t xml:space="preserve"> 委托，拟对 </w:t>
      </w:r>
      <w:r>
        <w:rPr>
          <w:rFonts w:ascii="仿宋_GB2312" w:hAnsi="仿宋_GB2312" w:cs="仿宋_GB2312" w:eastAsia="仿宋_GB2312"/>
        </w:rPr>
        <w:t>HIS系统、临床业务系统及电子病历系统升级</w:t>
      </w:r>
      <w:r>
        <w:rPr>
          <w:rFonts w:ascii="仿宋_GB2312" w:hAnsi="仿宋_GB2312" w:cs="仿宋_GB2312" w:eastAsia="仿宋_GB2312"/>
        </w:rPr>
        <w:t xml:space="preserve"> 采用单一来源采购方式进行采购，兹邀请你单位参加该项目的单一来源协商。本项目为四川省</w:t>
      </w:r>
      <w:r>
        <w:rPr>
          <w:rFonts w:ascii="仿宋_GB2312" w:hAnsi="仿宋_GB2312" w:cs="仿宋_GB2312" w:eastAsia="仿宋_GB2312"/>
        </w:rPr>
        <w:t>绵阳市江油市</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N5107812025000038</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HIS系统、临床业务系统及电子病历系统升级</w:t>
      </w:r>
    </w:p>
    <w:p>
      <w:pPr>
        <w:pStyle w:val="null3"/>
        <w:outlineLvl w:val="2"/>
      </w:pPr>
      <w:r>
        <w:rPr>
          <w:rFonts w:ascii="仿宋_GB2312" w:hAnsi="仿宋_GB2312" w:cs="仿宋_GB2312" w:eastAsia="仿宋_GB2312"/>
          <w:sz w:val="28"/>
          <w:b/>
        </w:rPr>
        <w:t>1.3.采购项目简介</w:t>
      </w:r>
    </w:p>
    <w:p>
      <w:pPr>
        <w:pStyle w:val="null3"/>
        <w:ind w:firstLine="480"/>
        <w:jc w:val="left"/>
      </w:pPr>
      <w:r>
        <w:rPr>
          <w:rFonts w:ascii="仿宋_GB2312" w:hAnsi="仿宋_GB2312" w:cs="仿宋_GB2312" w:eastAsia="仿宋_GB2312"/>
        </w:rPr>
        <w:t>HIS系统、临床业务系统及电子病历系统升级</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以书面形式邀请唯一供应商参与单一来源协商。</w:t>
      </w:r>
    </w:p>
    <w:p>
      <w:pPr>
        <w:pStyle w:val="null3"/>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jc w:val="left"/>
      </w:pPr>
      <w:r>
        <w:rPr>
          <w:rFonts w:ascii="仿宋_GB2312" w:hAnsi="仿宋_GB2312" w:cs="仿宋_GB2312" w:eastAsia="仿宋_GB2312"/>
        </w:rPr>
        <w:t>采购包1：无。</w:t>
      </w:r>
    </w:p>
    <w:p>
      <w:pPr>
        <w:pStyle w:val="null3"/>
        <w:ind w:firstLine="480"/>
      </w:pPr>
      <w:r>
        <w:rPr>
          <w:rFonts w:ascii="仿宋_GB2312" w:hAnsi="仿宋_GB2312" w:cs="仿宋_GB2312" w:eastAsia="仿宋_GB2312"/>
        </w:rPr>
        <w:t>三、本项目的特定资格要求：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1.6.电子化采购相关事项</w:t>
      </w:r>
    </w:p>
    <w:p>
      <w:pPr>
        <w:pStyle w:val="null3"/>
        <w:ind w:firstLine="480"/>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采购文件，编制、签章、加密并提交响应文件，参加开启、解密响应文件和电子评审，签订采购合同等。</w:t>
      </w:r>
    </w:p>
    <w:p>
      <w:pPr>
        <w:pStyle w:val="null3"/>
        <w:ind w:firstLine="480"/>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四、采购平台技术支持：</w:t>
      </w:r>
    </w:p>
    <w:p>
      <w:pPr>
        <w:pStyle w:val="null3"/>
        <w:ind w:firstLine="480"/>
      </w:pPr>
      <w:r>
        <w:rPr>
          <w:rFonts w:ascii="仿宋_GB2312" w:hAnsi="仿宋_GB2312" w:cs="仿宋_GB2312" w:eastAsia="仿宋_GB2312"/>
        </w:rPr>
        <w:t>在线客服：通过四川政府采购网-在线客服进行咨询</w:t>
      </w:r>
    </w:p>
    <w:p>
      <w:pPr>
        <w:pStyle w:val="null3"/>
        <w:ind w:firstLine="480"/>
      </w:pPr>
      <w:r>
        <w:rPr>
          <w:rFonts w:ascii="仿宋_GB2312" w:hAnsi="仿宋_GB2312" w:cs="仿宋_GB2312" w:eastAsia="仿宋_GB2312"/>
        </w:rPr>
        <w:t>400服务电话：4001600900</w:t>
      </w:r>
    </w:p>
    <w:p>
      <w:pPr>
        <w:pStyle w:val="null3"/>
        <w:ind w:firstLine="480"/>
      </w:pPr>
      <w:r>
        <w:rPr>
          <w:rFonts w:ascii="仿宋_GB2312" w:hAnsi="仿宋_GB2312" w:cs="仿宋_GB2312" w:eastAsia="仿宋_GB2312"/>
        </w:rPr>
        <w:t>CA及签章服务：通过四川政府采购网-办事指南进行查询</w:t>
      </w:r>
    </w:p>
    <w:p>
      <w:pPr>
        <w:pStyle w:val="null3"/>
        <w:outlineLvl w:val="2"/>
      </w:pPr>
      <w:r>
        <w:rPr>
          <w:rFonts w:ascii="仿宋_GB2312" w:hAnsi="仿宋_GB2312" w:cs="仿宋_GB2312" w:eastAsia="仿宋_GB2312"/>
          <w:sz w:val="28"/>
          <w:b/>
        </w:rPr>
        <w:t>1.7.单一来源采购文件获取时间、方式及地址：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二、采购人或者代理机构应当在单一来源采购文件获取时间开始前，将本项目电子单一来源采购文件上传至交易系统，向供应商免费提供，供应商通过交易系统获取单一来源采购文件。供应商成功获取单一来源采购文件后，将收到已获取单一来源采购文件的回执单。未按规定获取单一来源采购文件的供应商，不得参与本次采购活动，不得对单一来源采购文件提起质疑。</w:t>
      </w:r>
    </w:p>
    <w:p>
      <w:pPr>
        <w:pStyle w:val="null3"/>
        <w:ind w:firstLine="480"/>
      </w:pPr>
      <w:r>
        <w:rPr>
          <w:rFonts w:ascii="仿宋_GB2312" w:hAnsi="仿宋_GB2312" w:cs="仿宋_GB2312" w:eastAsia="仿宋_GB2312"/>
        </w:rPr>
        <w:t>注：获取的采购文件由正文和附件组成，正文部分包括pdf、word两种格式版本，如内容有不一致的，以pdf格式内容为准。</w:t>
      </w:r>
    </w:p>
    <w:p>
      <w:pPr>
        <w:pStyle w:val="null3"/>
        <w:outlineLvl w:val="2"/>
      </w:pPr>
      <w:r>
        <w:rPr>
          <w:rFonts w:ascii="仿宋_GB2312" w:hAnsi="仿宋_GB2312" w:cs="仿宋_GB2312" w:eastAsia="仿宋_GB2312"/>
          <w:sz w:val="28"/>
          <w:b/>
        </w:rPr>
        <w:t>1.8.提交响应文件截止时间及开启时间、方式、地点</w:t>
      </w:r>
    </w:p>
    <w:p>
      <w:pPr>
        <w:pStyle w:val="null3"/>
        <w:ind w:firstLine="480"/>
      </w:pPr>
      <w:r>
        <w:rPr>
          <w:rFonts w:ascii="仿宋_GB2312" w:hAnsi="仿宋_GB2312" w:cs="仿宋_GB2312" w:eastAsia="仿宋_GB2312"/>
        </w:rPr>
        <w:t>一、提交响应文件截止时间及开启时间：详见邀请书。</w:t>
      </w:r>
    </w:p>
    <w:p>
      <w:pPr>
        <w:pStyle w:val="null3"/>
        <w:ind w:firstLine="480"/>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pPr>
      <w:r>
        <w:rPr>
          <w:rFonts w:ascii="仿宋_GB2312" w:hAnsi="仿宋_GB2312" w:cs="仿宋_GB2312" w:eastAsia="仿宋_GB2312"/>
        </w:rPr>
        <w:t>三、本项目采取网上开启，采购人或者代理机构通过交易系统“开标/开启大厅”组织在线开启。</w:t>
      </w:r>
    </w:p>
    <w:p>
      <w:pPr>
        <w:pStyle w:val="null3"/>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1.10.联系方式</w:t>
      </w:r>
    </w:p>
    <w:p>
      <w:pPr>
        <w:pStyle w:val="null3"/>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江油市第二人民医院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江油市聚慧路31号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赵添</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0816-3264711</w:t>
      </w:r>
    </w:p>
    <w:p>
      <w:pPr>
        <w:pStyle w:val="null3"/>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四川久安工程管理有限公司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四川省绵阳市科创园区园艺街20号C301室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罗茜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0816-2779007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采购包1：760,000.00元</w:t>
            </w:r>
          </w:p>
          <w:p>
            <w:pPr>
              <w:pStyle w:val="null3"/>
              <w:jc w:val="left"/>
            </w:pPr>
            <w:r>
              <w:rPr>
                <w:rFonts w:ascii="仿宋_GB2312" w:hAnsi="仿宋_GB2312" w:cs="仿宋_GB2312" w:eastAsia="仿宋_GB2312"/>
              </w:rPr>
              <w:t xml:space="preserve"> 供应商报价不得超过采购文件中规定的预算金额，采购人可以在采购预算内合理设定最高限价，供应商报价不得超过最高限价，最高限价详见第三章。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是否接受联合体</w:t>
            </w:r>
          </w:p>
          <w:p>
            <w:pPr>
              <w:pStyle w:val="null3"/>
              <w:jc w:val="left"/>
            </w:pPr>
            <w:r>
              <w:rPr>
                <w:rFonts w:ascii="仿宋_GB2312" w:hAnsi="仿宋_GB2312" w:cs="仿宋_GB2312" w:eastAsia="仿宋_GB2312"/>
              </w:rPr>
              <w:t xml:space="preserve"> ★</w:t>
            </w:r>
          </w:p>
        </w:tc>
        <w:tc>
          <w:tcPr>
            <w:tcW w:type="dxa" w:w="5004"/>
          </w:tcPr>
          <w:p>
            <w:pPr>
              <w:pStyle w:val="null3"/>
              <w:jc w:val="left"/>
            </w:pPr>
            <w:r>
              <w:rPr>
                <w:rFonts w:ascii="仿宋_GB2312" w:hAnsi="仿宋_GB2312" w:cs="仿宋_GB2312" w:eastAsia="仿宋_GB2312"/>
              </w:rPr>
              <w:t>本项目不接受联合体</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 ★</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p>
            <w:pPr>
              <w:pStyle w:val="null3"/>
              <w:jc w:val="left"/>
            </w:pPr>
            <w:r>
              <w:rPr>
                <w:rFonts w:ascii="仿宋_GB2312" w:hAnsi="仿宋_GB2312" w:cs="仿宋_GB2312" w:eastAsia="仿宋_GB2312"/>
              </w:rPr>
              <w:t xml:space="preserve"> ★</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代理服务费收费标准：参照【计价格[2002]1980号】文件标准金额执行,由中标（成交）供应商在领取中标（成交）通知书之前一次性支付给乙方。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本采购文件中“★”要求为实质性要求。供应商应当按照第五章评审程序中的符合性审查规定，在响应文件中进行实质性响应，否则作无效响应处理。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本采购文件所称的“以上”、“以下”、“内”、“以内”、“不少于”包括本数；所称的“不足”、“低于”、“超过”不包括本数。</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jc w:val="left"/>
      </w:pPr>
      <w:r>
        <w:rPr>
          <w:rFonts w:ascii="仿宋_GB2312" w:hAnsi="仿宋_GB2312" w:cs="仿宋_GB2312" w:eastAsia="仿宋_GB2312"/>
        </w:rPr>
        <w:t xml:space="preserve">二、本采购文件由 </w:t>
      </w:r>
      <w:r>
        <w:rPr>
          <w:rFonts w:ascii="仿宋_GB2312" w:hAnsi="仿宋_GB2312" w:cs="仿宋_GB2312" w:eastAsia="仿宋_GB2312"/>
        </w:rPr>
        <w:t>江油市第二人民医院</w:t>
      </w:r>
      <w:r>
        <w:rPr>
          <w:rFonts w:ascii="仿宋_GB2312" w:hAnsi="仿宋_GB2312" w:cs="仿宋_GB2312" w:eastAsia="仿宋_GB2312"/>
        </w:rPr>
        <w:t xml:space="preserve"> 和 </w:t>
      </w:r>
      <w:r>
        <w:rPr>
          <w:rFonts w:ascii="仿宋_GB2312" w:hAnsi="仿宋_GB2312" w:cs="仿宋_GB2312" w:eastAsia="仿宋_GB2312"/>
        </w:rPr>
        <w:t>四川久安工程管理有限公司</w:t>
      </w:r>
      <w:r>
        <w:rPr>
          <w:rFonts w:ascii="仿宋_GB2312" w:hAnsi="仿宋_GB2312" w:cs="仿宋_GB2312" w:eastAsia="仿宋_GB2312"/>
        </w:rPr>
        <w:t xml:space="preserve"> 负责解释。</w:t>
      </w:r>
    </w:p>
    <w:p>
      <w:pPr>
        <w:pStyle w:val="null3"/>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一、“采购人”是指依法进行政府采购的国家机关、事业单位、团体组织。本次协商的采购人是 </w:t>
      </w:r>
      <w:r>
        <w:rPr>
          <w:rFonts w:ascii="仿宋_GB2312" w:hAnsi="仿宋_GB2312" w:cs="仿宋_GB2312" w:eastAsia="仿宋_GB2312"/>
        </w:rPr>
        <w:t>江油市第二人民医院</w:t>
      </w:r>
      <w:r>
        <w:rPr>
          <w:rFonts w:ascii="仿宋_GB2312" w:hAnsi="仿宋_GB2312" w:cs="仿宋_GB2312" w:eastAsia="仿宋_GB2312"/>
        </w:rPr>
        <w:t xml:space="preserve"> 。</w:t>
      </w:r>
    </w:p>
    <w:p>
      <w:pPr>
        <w:pStyle w:val="null3"/>
        <w:ind w:firstLine="480"/>
      </w:pPr>
      <w:r>
        <w:rPr>
          <w:rFonts w:ascii="仿宋_GB2312" w:hAnsi="仿宋_GB2312" w:cs="仿宋_GB2312" w:eastAsia="仿宋_GB2312"/>
        </w:rPr>
        <w:t>二、“供应商”是指按照采购邀请书规定获取采购文件，参加采购活动的法人、其他组织或者自然人。</w:t>
      </w:r>
    </w:p>
    <w:p>
      <w:pPr>
        <w:pStyle w:val="null3"/>
        <w:ind w:firstLine="480"/>
        <w:jc w:val="left"/>
      </w:pPr>
      <w:r>
        <w:rPr>
          <w:rFonts w:ascii="仿宋_GB2312" w:hAnsi="仿宋_GB2312" w:cs="仿宋_GB2312" w:eastAsia="仿宋_GB2312"/>
        </w:rPr>
        <w:t>三、“代理机构”是指集中采购机构和从事采购代理业务的社会中介机构。本项目的代理机构是</w:t>
      </w:r>
      <w:r>
        <w:rPr>
          <w:rFonts w:ascii="仿宋_GB2312" w:hAnsi="仿宋_GB2312" w:cs="仿宋_GB2312" w:eastAsia="仿宋_GB2312"/>
        </w:rPr>
        <w:t>四川久安工程管理有限公司</w:t>
      </w:r>
      <w:r>
        <w:rPr>
          <w:rFonts w:ascii="仿宋_GB2312" w:hAnsi="仿宋_GB2312" w:cs="仿宋_GB2312" w:eastAsia="仿宋_GB2312"/>
        </w:rPr>
        <w:t xml:space="preserve"> 。</w:t>
      </w:r>
    </w:p>
    <w:p>
      <w:pPr>
        <w:pStyle w:val="null3"/>
        <w:ind w:firstLine="480"/>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pPr>
      <w:r>
        <w:rPr>
          <w:rFonts w:ascii="仿宋_GB2312" w:hAnsi="仿宋_GB2312" w:cs="仿宋_GB2312" w:eastAsia="仿宋_GB2312"/>
        </w:rPr>
        <w:t>五、“电子评审”是指协商小组开展资格审查、符合性审查、协商、确定供应商成交、出具协商情况记录等活动。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采购文件由采购人、代理机构编制，是项目采购活动开展的基本依据，主要包括以下内容：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pPr>
      <w:r>
        <w:rPr>
          <w:rFonts w:ascii="仿宋_GB2312" w:hAnsi="仿宋_GB2312" w:cs="仿宋_GB2312" w:eastAsia="仿宋_GB2312"/>
        </w:rPr>
        <w:t>四、协商过程中可实质性变动的内容；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七、拟签订采购合同文本。</w:t>
      </w:r>
    </w:p>
    <w:p>
      <w:pPr>
        <w:pStyle w:val="null3"/>
        <w:outlineLvl w:val="3"/>
      </w:pPr>
      <w:r>
        <w:rPr>
          <w:rFonts w:ascii="仿宋_GB2312" w:hAnsi="仿宋_GB2312" w:cs="仿宋_GB2312" w:eastAsia="仿宋_GB2312"/>
          <w:sz w:val="24"/>
          <w:b/>
        </w:rPr>
        <w:t>2.3.2.采购文件的澄清或者修改</w:t>
      </w:r>
    </w:p>
    <w:p>
      <w:pPr>
        <w:pStyle w:val="null3"/>
        <w:ind w:firstLine="480"/>
      </w:pPr>
      <w:r>
        <w:rPr>
          <w:rFonts w:ascii="仿宋_GB2312" w:hAnsi="仿宋_GB2312" w:cs="仿宋_GB2312" w:eastAsia="仿宋_GB2312"/>
        </w:rPr>
        <w:t>一、提交首次响应文件截止之日前，采购人或者代理机构可以对已发出的采购文件进行必要的澄清或者修改。</w:t>
      </w:r>
    </w:p>
    <w:p>
      <w:pPr>
        <w:pStyle w:val="null3"/>
        <w:ind w:firstLine="480"/>
      </w:pPr>
      <w:r>
        <w:rPr>
          <w:rFonts w:ascii="仿宋_GB2312" w:hAnsi="仿宋_GB2312" w:cs="仿宋_GB2312" w:eastAsia="仿宋_GB2312"/>
        </w:rPr>
        <w:t>二、澄清或者修改的内容为采购文件的组成部分，采购人或者代理机构将在交易系统发送更正信息，并将更正后的采购文件上传至交易系统。更正内容可能影响响应文件编制的，采购人或者代理机构应当在提交首次响应文件截止之日3个工作日前，通过交易系统向已获取采购文件的供应商发送更正信息，不足3个工作日的，应当顺延提交首次响应文件截止之日。</w:t>
      </w:r>
    </w:p>
    <w:p>
      <w:pPr>
        <w:pStyle w:val="null3"/>
        <w:ind w:firstLine="480"/>
        <w:jc w:val="left"/>
      </w:pPr>
      <w:r>
        <w:rPr>
          <w:rFonts w:ascii="仿宋_GB2312" w:hAnsi="仿宋_GB2312" w:cs="仿宋_GB2312" w:eastAsia="仿宋_GB2312"/>
        </w:rPr>
        <w:t>三、供应商根据更正信息要求，下载更正后的采购文件，进行响应文件编制。</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一、供应商提交的响应文件以及供应商与协商小组在协商过程中的所有来往书面文件原则上使用中文。响应文件中如附有外文资料，要对应翻译成中文并附在相关外文资料后面，未翻译的外文资料，协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三、如使用供应商所不拥有的知识产权，则在报价中必须包括合法使用该知识产权的相关费用。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按照采购文件第五章评审办法规定进行价格修正的，修正后的报价经供应商加盖电子印章确认后产生约束力。未在规定时间内确认的，视同供应商不确认，作无效响应处理。</w:t>
      </w:r>
    </w:p>
    <w:p>
      <w:pPr>
        <w:pStyle w:val="null3"/>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一、供应商应当按照采购文件规定编制响应文件，采购文件第六章对响应文件格式有要求的，按照格式要求编制响应文件，没有格式要求的，由供应商自行编写。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未按采购文件和采购平台操作规范编制、确认、加密、盖章和提交的响应文件，将被拒绝接收。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outlineLvl w:val="3"/>
      </w:pPr>
      <w:r>
        <w:rPr>
          <w:rFonts w:ascii="仿宋_GB2312" w:hAnsi="仿宋_GB2312" w:cs="仿宋_GB2312" w:eastAsia="仿宋_GB2312"/>
          <w:sz w:val="24"/>
          <w:b/>
        </w:rPr>
        <w:t>2.4.8.响应文件的补充、修改、撤回 ★</w:t>
      </w:r>
    </w:p>
    <w:p>
      <w:pPr>
        <w:pStyle w:val="null3"/>
        <w:ind w:firstLine="480"/>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2.5.开启、评审和确定供应商成交</w:t>
      </w:r>
    </w:p>
    <w:p>
      <w:pPr>
        <w:pStyle w:val="null3"/>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提交响应文件截止时间后，成功提交响应文件的供应商符合采购文件规定数量的，代理机构将启动响应文件解密程序，解密时间为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outlineLvl w:val="3"/>
      </w:pPr>
      <w:r>
        <w:rPr>
          <w:rFonts w:ascii="仿宋_GB2312" w:hAnsi="仿宋_GB2312" w:cs="仿宋_GB2312" w:eastAsia="仿宋_GB2312"/>
          <w:sz w:val="24"/>
          <w:b/>
        </w:rPr>
        <w:t>2.5.3.评审</w:t>
      </w:r>
    </w:p>
    <w:p>
      <w:pPr>
        <w:pStyle w:val="null3"/>
        <w:ind w:firstLine="480"/>
      </w:pPr>
      <w:r>
        <w:rPr>
          <w:rFonts w:ascii="仿宋_GB2312" w:hAnsi="仿宋_GB2312" w:cs="仿宋_GB2312" w:eastAsia="仿宋_GB2312"/>
        </w:rPr>
        <w:t>详见采购文件第五章。</w:t>
      </w:r>
    </w:p>
    <w:p>
      <w:pPr>
        <w:pStyle w:val="null3"/>
        <w:outlineLvl w:val="3"/>
      </w:pPr>
      <w:r>
        <w:rPr>
          <w:rFonts w:ascii="仿宋_GB2312" w:hAnsi="仿宋_GB2312" w:cs="仿宋_GB2312" w:eastAsia="仿宋_GB2312"/>
          <w:sz w:val="24"/>
          <w:b/>
        </w:rPr>
        <w:t>2.5.4.成交通知书</w:t>
      </w:r>
    </w:p>
    <w:p>
      <w:pPr>
        <w:pStyle w:val="null3"/>
        <w:ind w:firstLine="480"/>
      </w:pPr>
      <w:r>
        <w:rPr>
          <w:rFonts w:ascii="仿宋_GB2312" w:hAnsi="仿宋_GB2312" w:cs="仿宋_GB2312" w:eastAsia="仿宋_GB2312"/>
        </w:rPr>
        <w:t>一、协商小组确认供应商成交后，代理机构在四川政府采购网发布成交结果公告、通过交易系统发出成交通知书，成交供应商通过交易系统获取成交通知书。</w:t>
      </w:r>
    </w:p>
    <w:p>
      <w:pPr>
        <w:pStyle w:val="null3"/>
        <w:ind w:firstLine="480"/>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outlineLvl w:val="2"/>
      </w:pPr>
      <w:r>
        <w:rPr>
          <w:rFonts w:ascii="仿宋_GB2312" w:hAnsi="仿宋_GB2312" w:cs="仿宋_GB2312" w:eastAsia="仿宋_GB2312"/>
          <w:sz w:val="28"/>
          <w:b/>
        </w:rPr>
        <w:t>2.6.合同签订、备案、履行及验收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pPr>
      <w:r>
        <w:rPr>
          <w:rFonts w:ascii="仿宋_GB2312" w:hAnsi="仿宋_GB2312" w:cs="仿宋_GB2312" w:eastAsia="仿宋_GB2312"/>
        </w:rPr>
        <w:t>二、采购人和成交供应商签订的书面合同不得对采购文件确定的事项以及成交供应商的响应文件作实质性修改，采购人不得向成交供应商提出任何不合理的要求作为签订合同的条件。</w:t>
      </w:r>
    </w:p>
    <w:p>
      <w:pPr>
        <w:pStyle w:val="null3"/>
        <w:ind w:firstLine="480"/>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outlineLvl w:val="3"/>
      </w:pPr>
      <w:r>
        <w:rPr>
          <w:rFonts w:ascii="仿宋_GB2312" w:hAnsi="仿宋_GB2312" w:cs="仿宋_GB2312" w:eastAsia="仿宋_GB2312"/>
          <w:sz w:val="24"/>
          <w:b/>
        </w:rPr>
        <w:t>2.6.3.合同分包和转包★</w:t>
      </w:r>
    </w:p>
    <w:p>
      <w:pPr>
        <w:pStyle w:val="null3"/>
        <w:outlineLvl w:val="3"/>
      </w:pPr>
      <w:r>
        <w:rPr>
          <w:rFonts w:ascii="仿宋_GB2312" w:hAnsi="仿宋_GB2312" w:cs="仿宋_GB2312" w:eastAsia="仿宋_GB2312"/>
          <w:sz w:val="24"/>
          <w:b/>
        </w:rPr>
        <w:t>2.6.3.1.合同分包</w:t>
      </w:r>
    </w:p>
    <w:p>
      <w:pPr>
        <w:pStyle w:val="null3"/>
        <w:ind w:firstLine="480"/>
        <w:jc w:val="left"/>
      </w:pPr>
      <w:r>
        <w:rPr>
          <w:rFonts w:ascii="仿宋_GB2312" w:hAnsi="仿宋_GB2312" w:cs="仿宋_GB2312" w:eastAsia="仿宋_GB2312"/>
        </w:rPr>
        <w:t>本项目不允许合同分包。</w:t>
      </w:r>
    </w:p>
    <w:p>
      <w:pPr>
        <w:pStyle w:val="null3"/>
        <w:outlineLvl w:val="3"/>
      </w:pPr>
      <w:r>
        <w:rPr>
          <w:rFonts w:ascii="仿宋_GB2312" w:hAnsi="仿宋_GB2312" w:cs="仿宋_GB2312" w:eastAsia="仿宋_GB2312"/>
          <w:sz w:val="24"/>
          <w:b/>
        </w:rPr>
        <w:t>2.6.3.2.合同转包</w:t>
      </w:r>
    </w:p>
    <w:p>
      <w:pPr>
        <w:pStyle w:val="null3"/>
        <w:ind w:firstLine="480"/>
      </w:pPr>
      <w:r>
        <w:rPr>
          <w:rFonts w:ascii="仿宋_GB2312" w:hAnsi="仿宋_GB2312" w:cs="仿宋_GB2312" w:eastAsia="仿宋_GB2312"/>
        </w:rPr>
        <w:t>一、严禁成交供应商将本项目合同转包。</w:t>
      </w:r>
    </w:p>
    <w:p>
      <w:pPr>
        <w:pStyle w:val="null3"/>
        <w:ind w:firstLine="480"/>
      </w:pPr>
      <w:r>
        <w:rPr>
          <w:rFonts w:ascii="仿宋_GB2312" w:hAnsi="仿宋_GB2312" w:cs="仿宋_GB2312" w:eastAsia="仿宋_GB2312"/>
        </w:rPr>
        <w:t>二、成交供应商将合同转包的，将依法追究法律责任。</w:t>
      </w:r>
    </w:p>
    <w:p>
      <w:pPr>
        <w:pStyle w:val="null3"/>
        <w:outlineLvl w:val="3"/>
      </w:pPr>
      <w:r>
        <w:rPr>
          <w:rFonts w:ascii="仿宋_GB2312" w:hAnsi="仿宋_GB2312" w:cs="仿宋_GB2312" w:eastAsia="仿宋_GB2312"/>
          <w:sz w:val="24"/>
          <w:b/>
        </w:rPr>
        <w:t>2.6.4.采购人增加合同标的的权利</w:t>
      </w:r>
    </w:p>
    <w:p>
      <w:pPr>
        <w:pStyle w:val="null3"/>
        <w:ind w:firstLine="480"/>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outlineLvl w:val="3"/>
      </w:pPr>
      <w:r>
        <w:rPr>
          <w:rFonts w:ascii="仿宋_GB2312" w:hAnsi="仿宋_GB2312" w:cs="仿宋_GB2312" w:eastAsia="仿宋_GB2312"/>
          <w:sz w:val="24"/>
          <w:b/>
        </w:rPr>
        <w:t>2.6.5.履行合同</w:t>
      </w:r>
    </w:p>
    <w:p>
      <w:pPr>
        <w:pStyle w:val="null3"/>
        <w:ind w:firstLine="480"/>
      </w:pPr>
      <w:r>
        <w:rPr>
          <w:rFonts w:ascii="仿宋_GB2312" w:hAnsi="仿宋_GB2312" w:cs="仿宋_GB2312" w:eastAsia="仿宋_GB2312"/>
        </w:rPr>
        <w:t>一、采购人与成交供应商应当根据合同的约定依法履行合同义务。</w:t>
      </w:r>
    </w:p>
    <w:p>
      <w:pPr>
        <w:pStyle w:val="null3"/>
        <w:ind w:firstLine="480"/>
      </w:pPr>
      <w:r>
        <w:rPr>
          <w:rFonts w:ascii="仿宋_GB2312" w:hAnsi="仿宋_GB2312" w:cs="仿宋_GB2312" w:eastAsia="仿宋_GB2312"/>
        </w:rPr>
        <w:t>二、政府采购合同的履行、违约责任和解决争议的方法等适用《中华人民共和国民法典》。</w:t>
      </w:r>
    </w:p>
    <w:p>
      <w:pPr>
        <w:pStyle w:val="null3"/>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本项目所有升级完成后</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合同约定为准</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合同约定为准</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合同约定为准</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合同约定为准</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合同约定为准</w:t>
      </w:r>
    </w:p>
    <w:p>
      <w:pPr>
        <w:pStyle w:val="null3"/>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pPr>
      <w:r>
        <w:rPr>
          <w:rFonts w:ascii="仿宋_GB2312" w:hAnsi="仿宋_GB2312" w:cs="仿宋_GB2312" w:eastAsia="仿宋_GB2312"/>
        </w:rPr>
        <w:t>供应商参加协商不得有下列情形：</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二、与采购人或者代理机构恶意串通；</w:t>
      </w:r>
    </w:p>
    <w:p>
      <w:pPr>
        <w:pStyle w:val="null3"/>
        <w:ind w:firstLine="480"/>
      </w:pPr>
      <w:r>
        <w:rPr>
          <w:rFonts w:ascii="仿宋_GB2312" w:hAnsi="仿宋_GB2312" w:cs="仿宋_GB2312" w:eastAsia="仿宋_GB2312"/>
        </w:rPr>
        <w:t>三、向采购人或者代理机构、协商小组成员行贿或者提供其他不正当利益；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前述一至三条情形之一的，作无效响应处理。成交供应商有前述一至三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根据委托代理协议约定，供应商对采购文件中采购需求的询问、质疑由 </w:t>
      </w:r>
      <w:r>
        <w:rPr>
          <w:rFonts w:ascii="仿宋_GB2312" w:hAnsi="仿宋_GB2312" w:cs="仿宋_GB2312" w:eastAsia="仿宋_GB2312"/>
        </w:rPr>
        <w:t>江油市第二人民医院</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四川久安工程管理有限公司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四川久安工程管理有限公司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联系人：廖丽华</w:t>
      </w:r>
    </w:p>
    <w:p>
      <w:pPr>
        <w:pStyle w:val="null3"/>
        <w:jc w:val="left"/>
      </w:pPr>
      <w:r>
        <w:rPr>
          <w:rFonts w:ascii="仿宋_GB2312" w:hAnsi="仿宋_GB2312" w:cs="仿宋_GB2312" w:eastAsia="仿宋_GB2312"/>
        </w:rPr>
        <w:t>联系电话：016-2777626</w:t>
      </w:r>
    </w:p>
    <w:p>
      <w:pPr>
        <w:pStyle w:val="null3"/>
        <w:jc w:val="left"/>
      </w:pPr>
      <w:r>
        <w:rPr>
          <w:rFonts w:ascii="仿宋_GB2312" w:hAnsi="仿宋_GB2312" w:cs="仿宋_GB2312" w:eastAsia="仿宋_GB2312"/>
        </w:rPr>
        <w:t>地址：绵阳市科创园园艺街20号3号楼C301</w:t>
      </w:r>
    </w:p>
    <w:p>
      <w:pPr>
        <w:pStyle w:val="null3"/>
        <w:jc w:val="left"/>
      </w:pPr>
      <w:r>
        <w:rPr>
          <w:rFonts w:ascii="仿宋_GB2312" w:hAnsi="仿宋_GB2312" w:cs="仿宋_GB2312" w:eastAsia="仿宋_GB2312"/>
        </w:rPr>
        <w:t>邮编：621000</w:t>
      </w:r>
    </w:p>
    <w:p>
      <w:pPr>
        <w:pStyle w:val="null3"/>
        <w:ind w:firstLine="480"/>
      </w:pPr>
      <w:r>
        <w:rPr>
          <w:rFonts w:ascii="仿宋_GB2312" w:hAnsi="仿宋_GB2312" w:cs="仿宋_GB2312" w:eastAsia="仿宋_GB2312"/>
        </w:rPr>
        <w:t>三、供应商提出询问，应当明确询问事项，如以书面形式提出的，应由供应商签字并加盖公章。</w:t>
      </w:r>
    </w:p>
    <w:p>
      <w:pPr>
        <w:pStyle w:val="null3"/>
        <w:ind w:firstLine="480"/>
      </w:pPr>
      <w:r>
        <w:rPr>
          <w:rFonts w:ascii="仿宋_GB2312" w:hAnsi="仿宋_GB2312" w:cs="仿宋_GB2312" w:eastAsia="仿宋_GB2312"/>
        </w:rPr>
        <w:t>四、供应商认为采购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（三）对成交结果提出质疑的，为成交结果公告期限届满之日。</w:t>
      </w:r>
    </w:p>
    <w:p>
      <w:pPr>
        <w:pStyle w:val="null3"/>
        <w:ind w:firstLine="480"/>
      </w:pPr>
      <w:r>
        <w:rPr>
          <w:rFonts w:ascii="仿宋_GB2312" w:hAnsi="仿宋_GB2312" w:cs="仿宋_GB2312" w:eastAsia="仿宋_GB2312"/>
        </w:rPr>
        <w:t>五、供应商通过书面形式线下向采购人或者代理机构提交质疑资料。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（一）质疑函正本1份（政府采购供应商质疑函范本可在四川政府采购网下载专区下载）；</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（五）针对质疑事项必要的证明材料（针对采购文件提出的质疑，需提交从交易系统获取的采购文件回执单）。</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采购人或者代理机构应当在采购文件中明确线下样品评审规则和方式，不得对供应商实行差别待遇或者歧视性待遇。样品评审应当全过程录音录像，形成书面评审记录上传至交易系统。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760,000.00</w:t>
      </w:r>
    </w:p>
    <w:p>
      <w:pPr>
        <w:pStyle w:val="null3"/>
        <w:jc w:val="left"/>
      </w:pPr>
      <w:r>
        <w:rPr>
          <w:rFonts w:ascii="仿宋_GB2312" w:hAnsi="仿宋_GB2312" w:cs="仿宋_GB2312" w:eastAsia="仿宋_GB2312"/>
        </w:rPr>
        <w:t>采购包最高限价（元）: 760,000.00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C16020300 软件集成实施服务</w:t>
            </w:r>
          </w:p>
        </w:tc>
        <w:tc>
          <w:tcPr>
            <w:tcW w:type="dxa" w:w="821"/>
          </w:tcPr>
          <w:p>
            <w:pPr>
              <w:pStyle w:val="null3"/>
              <w:jc w:val="left"/>
            </w:pPr>
            <w:r>
              <w:rPr>
                <w:rFonts w:ascii="仿宋_GB2312" w:hAnsi="仿宋_GB2312" w:cs="仿宋_GB2312" w:eastAsia="仿宋_GB2312"/>
              </w:rPr>
              <w:t>HIS系统升级</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120,000.00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C16020300 软件集成实施服务</w:t>
            </w:r>
          </w:p>
        </w:tc>
        <w:tc>
          <w:tcPr>
            <w:tcW w:type="dxa" w:w="821"/>
          </w:tcPr>
          <w:p>
            <w:pPr>
              <w:pStyle w:val="null3"/>
              <w:jc w:val="left"/>
            </w:pPr>
            <w:r>
              <w:rPr>
                <w:rFonts w:ascii="仿宋_GB2312" w:hAnsi="仿宋_GB2312" w:cs="仿宋_GB2312" w:eastAsia="仿宋_GB2312"/>
              </w:rPr>
              <w:t>临床业务系统升级</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290,000.00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C16020300 软件集成实施服务</w:t>
            </w:r>
          </w:p>
        </w:tc>
        <w:tc>
          <w:tcPr>
            <w:tcW w:type="dxa" w:w="821"/>
          </w:tcPr>
          <w:p>
            <w:pPr>
              <w:pStyle w:val="null3"/>
              <w:jc w:val="left"/>
            </w:pPr>
            <w:r>
              <w:rPr>
                <w:rFonts w:ascii="仿宋_GB2312" w:hAnsi="仿宋_GB2312" w:cs="仿宋_GB2312" w:eastAsia="仿宋_GB2312"/>
              </w:rPr>
              <w:t>电子病历系统升级</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350,000.00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HIS系统升级</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临床业务系统升级</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290,000.00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电子病历系统升级</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350,000.00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标的名称：HIS系统升级</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tbl>
            <w:tblPr>
              <w:tblInd w:type="dxa" w:w="135"/>
              <w:tblBorders>
                <w:top w:val="none" w:color="000000" w:sz="4"/>
                <w:left w:val="none" w:color="000000" w:sz="4"/>
                <w:bottom w:val="none" w:color="000000" w:sz="4"/>
                <w:right w:val="none" w:color="000000" w:sz="4"/>
                <w:insideH w:val="none"/>
                <w:insideV w:val="none"/>
              </w:tblBorders>
            </w:tblPr>
            <w:tblGrid>
              <w:gridCol w:w="616"/>
              <w:gridCol w:w="1232"/>
              <w:gridCol w:w="1791"/>
              <w:gridCol w:w="1847"/>
            </w:tblGrid>
            <w:tr>
              <w:tc>
                <w:tcPr>
                  <w:tcW w:type="dxa" w:w="61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rPr>
                    <w:t>系统类别</w:t>
                  </w:r>
                </w:p>
              </w:tc>
              <w:tc>
                <w:tcPr>
                  <w:tcW w:type="dxa" w:w="1232"/>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rPr>
                    <w:t>系统</w:t>
                  </w:r>
                </w:p>
              </w:tc>
              <w:tc>
                <w:tcPr>
                  <w:tcW w:type="dxa" w:w="1791"/>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rPr>
                    <w:t>功能模块</w:t>
                  </w:r>
                </w:p>
              </w:tc>
              <w:tc>
                <w:tcPr>
                  <w:tcW w:type="dxa" w:w="1847"/>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rPr>
                    <w:t>功能模块明细</w:t>
                  </w:r>
                </w:p>
              </w:tc>
            </w:tr>
            <w:tr>
              <w:tc>
                <w:tcPr>
                  <w:tcW w:type="dxa" w:w="6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HIS</w:t>
                  </w:r>
                  <w:r>
                    <w:rPr>
                      <w:rFonts w:ascii="仿宋_GB2312" w:hAnsi="仿宋_GB2312" w:cs="仿宋_GB2312" w:eastAsia="仿宋_GB2312"/>
                      <w:sz w:val="24"/>
                    </w:rPr>
                    <w:t>系统升级</w:t>
                  </w: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门急诊挂号管理系统</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患者基本信息登记</w:t>
                  </w:r>
                </w:p>
              </w:tc>
              <w:tc>
                <w:tcPr>
                  <w:tcW w:type="dxa" w:w="18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患者基本信息登记</w:t>
                  </w:r>
                </w:p>
              </w:tc>
            </w:tr>
            <w:tr>
              <w:tc>
                <w:tcPr>
                  <w:tcW w:type="dxa" w:w="616"/>
                  <w:vMerge/>
                  <w:tcBorders>
                    <w:top w:val="none" w:color="000000" w:sz="4"/>
                    <w:left w:val="single" w:color="000000" w:sz="4"/>
                    <w:bottom w:val="single" w:color="000000" w:sz="4"/>
                    <w:right w:val="single" w:color="000000" w:sz="4"/>
                  </w:tcBorders>
                </w:tcP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门急诊挂号管理系统</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门急诊挂号</w:t>
                  </w:r>
                </w:p>
              </w:tc>
              <w:tc>
                <w:tcPr>
                  <w:tcW w:type="dxa" w:w="18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门急诊挂号</w:t>
                  </w:r>
                </w:p>
              </w:tc>
            </w:tr>
            <w:tr>
              <w:tc>
                <w:tcPr>
                  <w:tcW w:type="dxa" w:w="616"/>
                  <w:vMerge/>
                  <w:tcBorders>
                    <w:top w:val="none" w:color="000000" w:sz="4"/>
                    <w:left w:val="single" w:color="000000" w:sz="4"/>
                    <w:bottom w:val="single" w:color="000000" w:sz="4"/>
                    <w:right w:val="single" w:color="000000" w:sz="4"/>
                  </w:tcBorders>
                </w:tcP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门急诊收费管理系统</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门急诊收费</w:t>
                  </w:r>
                </w:p>
              </w:tc>
              <w:tc>
                <w:tcPr>
                  <w:tcW w:type="dxa" w:w="18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门急诊收费</w:t>
                  </w:r>
                </w:p>
              </w:tc>
            </w:tr>
            <w:tr>
              <w:tc>
                <w:tcPr>
                  <w:tcW w:type="dxa" w:w="616"/>
                  <w:vMerge/>
                  <w:tcBorders>
                    <w:top w:val="none" w:color="000000" w:sz="4"/>
                    <w:left w:val="single" w:color="000000" w:sz="4"/>
                    <w:bottom w:val="single" w:color="000000" w:sz="4"/>
                    <w:right w:val="single" w:color="000000" w:sz="4"/>
                  </w:tcBorders>
                </w:tcP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门急诊收费管理系统</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医技收费</w:t>
                  </w:r>
                </w:p>
              </w:tc>
              <w:tc>
                <w:tcPr>
                  <w:tcW w:type="dxa" w:w="18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医技收费</w:t>
                  </w:r>
                </w:p>
              </w:tc>
            </w:tr>
            <w:tr>
              <w:tc>
                <w:tcPr>
                  <w:tcW w:type="dxa" w:w="616"/>
                  <w:vMerge/>
                  <w:tcBorders>
                    <w:top w:val="none" w:color="000000" w:sz="4"/>
                    <w:left w:val="single" w:color="000000" w:sz="4"/>
                    <w:bottom w:val="single" w:color="000000" w:sz="4"/>
                    <w:right w:val="single" w:color="000000" w:sz="4"/>
                  </w:tcBorders>
                </w:tcP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出入院管理系统</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入院管理/出院结算管理</w:t>
                  </w:r>
                </w:p>
              </w:tc>
              <w:tc>
                <w:tcPr>
                  <w:tcW w:type="dxa" w:w="18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入院管理/出院结算管理</w:t>
                  </w:r>
                </w:p>
              </w:tc>
            </w:tr>
            <w:tr>
              <w:tc>
                <w:tcPr>
                  <w:tcW w:type="dxa" w:w="616"/>
                  <w:vMerge/>
                  <w:tcBorders>
                    <w:top w:val="none" w:color="000000" w:sz="4"/>
                    <w:left w:val="single" w:color="000000" w:sz="4"/>
                    <w:bottom w:val="single" w:color="000000" w:sz="4"/>
                    <w:right w:val="single" w:color="000000" w:sz="4"/>
                  </w:tcBorders>
                </w:tcP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药库管理系统</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药品字典及价格管理/库存管理</w:t>
                  </w:r>
                </w:p>
              </w:tc>
              <w:tc>
                <w:tcPr>
                  <w:tcW w:type="dxa" w:w="18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药品字典及价格管理/库存管理</w:t>
                  </w:r>
                </w:p>
              </w:tc>
            </w:tr>
            <w:tr>
              <w:tc>
                <w:tcPr>
                  <w:tcW w:type="dxa" w:w="616"/>
                  <w:vMerge/>
                  <w:tcBorders>
                    <w:top w:val="none" w:color="000000" w:sz="4"/>
                    <w:left w:val="single" w:color="000000" w:sz="4"/>
                    <w:bottom w:val="single" w:color="000000" w:sz="4"/>
                    <w:right w:val="single" w:color="000000" w:sz="4"/>
                  </w:tcBorders>
                </w:tcP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门诊药房管理系统</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门诊药房库存管理/门急诊发药配药</w:t>
                  </w:r>
                </w:p>
              </w:tc>
              <w:tc>
                <w:tcPr>
                  <w:tcW w:type="dxa" w:w="18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门诊药房库存管理/门急诊发药配药</w:t>
                  </w:r>
                </w:p>
              </w:tc>
            </w:tr>
            <w:tr>
              <w:tc>
                <w:tcPr>
                  <w:tcW w:type="dxa" w:w="616"/>
                  <w:vMerge/>
                  <w:tcBorders>
                    <w:top w:val="none" w:color="000000" w:sz="4"/>
                    <w:left w:val="single" w:color="000000" w:sz="4"/>
                    <w:bottom w:val="single" w:color="000000" w:sz="4"/>
                    <w:right w:val="single" w:color="000000" w:sz="4"/>
                  </w:tcBorders>
                </w:tcP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住院药房管理系统</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住院药房库存管理/住院发药摆药</w:t>
                  </w:r>
                </w:p>
              </w:tc>
              <w:tc>
                <w:tcPr>
                  <w:tcW w:type="dxa" w:w="18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住院药房库存管理/住院发药摆药</w:t>
                  </w:r>
                </w:p>
              </w:tc>
            </w:tr>
            <w:tr>
              <w:tc>
                <w:tcPr>
                  <w:tcW w:type="dxa" w:w="616"/>
                  <w:vMerge/>
                  <w:tcBorders>
                    <w:top w:val="none" w:color="000000" w:sz="4"/>
                    <w:left w:val="single" w:color="000000" w:sz="4"/>
                    <w:bottom w:val="single" w:color="000000" w:sz="4"/>
                    <w:right w:val="single" w:color="000000" w:sz="4"/>
                  </w:tcBorders>
                </w:tcP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HIS</w:t>
                  </w:r>
                  <w:r>
                    <w:rPr>
                      <w:rFonts w:ascii="仿宋_GB2312" w:hAnsi="仿宋_GB2312" w:cs="仿宋_GB2312" w:eastAsia="仿宋_GB2312"/>
                      <w:sz w:val="24"/>
                    </w:rPr>
                    <w:t>集成信息调阅</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HIS</w:t>
                  </w:r>
                  <w:r>
                    <w:rPr>
                      <w:rFonts w:ascii="仿宋_GB2312" w:hAnsi="仿宋_GB2312" w:cs="仿宋_GB2312" w:eastAsia="仿宋_GB2312"/>
                      <w:sz w:val="24"/>
                    </w:rPr>
                    <w:t>集成信息调阅</w:t>
                  </w:r>
                </w:p>
              </w:tc>
              <w:tc>
                <w:tcPr>
                  <w:tcW w:type="dxa" w:w="18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HIS</w:t>
                  </w:r>
                  <w:r>
                    <w:rPr>
                      <w:rFonts w:ascii="仿宋_GB2312" w:hAnsi="仿宋_GB2312" w:cs="仿宋_GB2312" w:eastAsia="仿宋_GB2312"/>
                      <w:sz w:val="24"/>
                    </w:rPr>
                    <w:t>集成信息调阅</w:t>
                  </w:r>
                </w:p>
              </w:tc>
            </w:tr>
            <w:tr>
              <w:tc>
                <w:tcPr>
                  <w:tcW w:type="dxa" w:w="616"/>
                  <w:vMerge/>
                  <w:tcBorders>
                    <w:top w:val="none" w:color="000000" w:sz="4"/>
                    <w:left w:val="single" w:color="000000" w:sz="4"/>
                    <w:bottom w:val="single" w:color="000000" w:sz="4"/>
                    <w:right w:val="single" w:color="000000" w:sz="4"/>
                  </w:tcBorders>
                </w:tcPr>
                <w:p/>
              </w:tc>
              <w:tc>
                <w:tcPr>
                  <w:tcW w:type="dxa" w:w="12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配置管理系统</w:t>
                  </w:r>
                </w:p>
              </w:tc>
              <w:tc>
                <w:tcPr>
                  <w:tcW w:type="dxa" w:w="17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系统配置</w:t>
                  </w:r>
                </w:p>
              </w:tc>
              <w:tc>
                <w:tcPr>
                  <w:tcW w:type="dxa" w:w="184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系统配置</w:t>
                  </w:r>
                </w:p>
              </w:tc>
            </w:tr>
          </w:tbl>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sz w:val="24"/>
              </w:rPr>
              <w:t>（1）预约排班增加排班复制、隔周排班功能。</w:t>
            </w:r>
          </w:p>
          <w:p>
            <w:pPr>
              <w:pStyle w:val="null3"/>
              <w:jc w:val="both"/>
            </w:pPr>
            <w:r>
              <w:rPr>
                <w:rFonts w:ascii="仿宋_GB2312" w:hAnsi="仿宋_GB2312" w:cs="仿宋_GB2312" w:eastAsia="仿宋_GB2312"/>
                <w:sz w:val="24"/>
              </w:rPr>
              <w:t>（2）补记账、凭证修改、出院结算支持费用医保审批功能。</w:t>
            </w:r>
          </w:p>
          <w:p>
            <w:pPr>
              <w:pStyle w:val="null3"/>
              <w:jc w:val="both"/>
            </w:pPr>
            <w:r>
              <w:rPr>
                <w:rFonts w:ascii="仿宋_GB2312" w:hAnsi="仿宋_GB2312" w:cs="仿宋_GB2312" w:eastAsia="仿宋_GB2312"/>
                <w:sz w:val="24"/>
              </w:rPr>
              <w:t>（3）基本信息登记、基本信息维护地址信息支持多层格式化维护。</w:t>
            </w:r>
          </w:p>
          <w:p>
            <w:pPr>
              <w:pStyle w:val="null3"/>
              <w:jc w:val="both"/>
            </w:pPr>
            <w:r>
              <w:rPr>
                <w:rFonts w:ascii="仿宋_GB2312" w:hAnsi="仿宋_GB2312" w:cs="仿宋_GB2312" w:eastAsia="仿宋_GB2312"/>
                <w:sz w:val="24"/>
              </w:rPr>
              <w:t>（4）打印模板统一配置功能，可配置打印格式、调用模板名称、按IP配置默认打印机、不同院区可调用部分不同模板。</w:t>
            </w:r>
          </w:p>
          <w:p>
            <w:pPr>
              <w:pStyle w:val="null3"/>
              <w:jc w:val="both"/>
            </w:pPr>
            <w:r>
              <w:rPr>
                <w:rFonts w:ascii="仿宋_GB2312" w:hAnsi="仿宋_GB2312" w:cs="仿宋_GB2312" w:eastAsia="仿宋_GB2312"/>
                <w:sz w:val="24"/>
              </w:rPr>
              <w:t>（5）支持预约排班审批功能。</w:t>
            </w:r>
          </w:p>
          <w:p>
            <w:pPr>
              <w:pStyle w:val="null3"/>
              <w:jc w:val="both"/>
            </w:pPr>
            <w:r>
              <w:rPr>
                <w:rFonts w:ascii="仿宋_GB2312" w:hAnsi="仿宋_GB2312" w:cs="仿宋_GB2312" w:eastAsia="仿宋_GB2312"/>
                <w:sz w:val="24"/>
              </w:rPr>
              <w:t>（6）患者多处方集中打印方式，实现可分开和集中打印。</w:t>
            </w:r>
          </w:p>
          <w:p>
            <w:pPr>
              <w:pStyle w:val="null3"/>
              <w:jc w:val="both"/>
            </w:pPr>
            <w:r>
              <w:rPr>
                <w:rFonts w:ascii="仿宋_GB2312" w:hAnsi="仿宋_GB2312" w:cs="仿宋_GB2312" w:eastAsia="仿宋_GB2312"/>
                <w:sz w:val="24"/>
              </w:rPr>
              <w:t>（7）支持维护药品带量考核品种维护。</w:t>
            </w:r>
          </w:p>
          <w:p>
            <w:pPr>
              <w:pStyle w:val="null3"/>
              <w:jc w:val="both"/>
            </w:pPr>
            <w:r>
              <w:rPr>
                <w:rFonts w:ascii="仿宋_GB2312" w:hAnsi="仿宋_GB2312" w:cs="仿宋_GB2312" w:eastAsia="仿宋_GB2312"/>
                <w:sz w:val="24"/>
              </w:rPr>
              <w:t>（8）支持专项药品维护。</w:t>
            </w:r>
          </w:p>
          <w:p>
            <w:pPr>
              <w:pStyle w:val="null3"/>
              <w:jc w:val="both"/>
            </w:pPr>
            <w:r>
              <w:rPr>
                <w:rFonts w:ascii="仿宋_GB2312" w:hAnsi="仿宋_GB2312" w:cs="仿宋_GB2312" w:eastAsia="仿宋_GB2312"/>
                <w:sz w:val="24"/>
              </w:rPr>
              <w:t>（9）支持维护药品上市许可持有人。</w:t>
            </w:r>
          </w:p>
          <w:p>
            <w:pPr>
              <w:pStyle w:val="null3"/>
              <w:jc w:val="both"/>
            </w:pPr>
            <w:r>
              <w:rPr>
                <w:rFonts w:ascii="仿宋_GB2312" w:hAnsi="仿宋_GB2312" w:cs="仿宋_GB2312" w:eastAsia="仿宋_GB2312"/>
                <w:sz w:val="24"/>
              </w:rPr>
              <w:t>（10）支持药品单位可设置多个拆零或整包装单位。</w:t>
            </w:r>
          </w:p>
          <w:p>
            <w:pPr>
              <w:pStyle w:val="null3"/>
              <w:jc w:val="both"/>
            </w:pPr>
            <w:r>
              <w:rPr>
                <w:rFonts w:ascii="仿宋_GB2312" w:hAnsi="仿宋_GB2312" w:cs="仿宋_GB2312" w:eastAsia="仿宋_GB2312"/>
                <w:sz w:val="24"/>
              </w:rPr>
              <w:t>（11）科室禁用药品设置。</w:t>
            </w:r>
          </w:p>
          <w:p>
            <w:pPr>
              <w:pStyle w:val="null3"/>
              <w:jc w:val="both"/>
            </w:pPr>
            <w:r>
              <w:rPr>
                <w:rFonts w:ascii="仿宋_GB2312" w:hAnsi="仿宋_GB2312" w:cs="仿宋_GB2312" w:eastAsia="仿宋_GB2312"/>
                <w:sz w:val="24"/>
              </w:rPr>
              <w:t>（12）支持住院草药发药分方处理。</w:t>
            </w:r>
          </w:p>
          <w:p>
            <w:pPr>
              <w:pStyle w:val="null3"/>
              <w:jc w:val="both"/>
            </w:pPr>
            <w:r>
              <w:rPr>
                <w:rFonts w:ascii="仿宋_GB2312" w:hAnsi="仿宋_GB2312" w:cs="仿宋_GB2312" w:eastAsia="仿宋_GB2312"/>
                <w:sz w:val="24"/>
              </w:rPr>
              <w:t>（13）住院发药时收取制膏费、药袋费逻辑。</w:t>
            </w:r>
          </w:p>
          <w:p>
            <w:pPr>
              <w:pStyle w:val="null3"/>
              <w:jc w:val="both"/>
            </w:pPr>
            <w:r>
              <w:rPr>
                <w:rFonts w:ascii="仿宋_GB2312" w:hAnsi="仿宋_GB2312" w:cs="仿宋_GB2312" w:eastAsia="仿宋_GB2312"/>
                <w:sz w:val="24"/>
              </w:rPr>
              <w:t>（14）对部分查询内容可以进行导出。</w:t>
            </w:r>
          </w:p>
          <w:p>
            <w:pPr>
              <w:pStyle w:val="null3"/>
              <w:jc w:val="both"/>
            </w:pPr>
            <w:r>
              <w:rPr>
                <w:rFonts w:ascii="仿宋_GB2312" w:hAnsi="仿宋_GB2312" w:cs="仿宋_GB2312" w:eastAsia="仿宋_GB2312"/>
                <w:sz w:val="24"/>
              </w:rPr>
              <w:t>（15）支持操作留痕迹（记录停诊，排班，恢复等数据）。</w:t>
            </w:r>
          </w:p>
          <w:p>
            <w:pPr>
              <w:pStyle w:val="null3"/>
              <w:jc w:val="both"/>
            </w:pPr>
            <w:r>
              <w:rPr>
                <w:rFonts w:ascii="仿宋_GB2312" w:hAnsi="仿宋_GB2312" w:cs="仿宋_GB2312" w:eastAsia="仿宋_GB2312"/>
                <w:sz w:val="24"/>
              </w:rPr>
              <w:t>（16）支持调整预约查看权限（本科室或全院）。</w:t>
            </w:r>
          </w:p>
          <w:p>
            <w:pPr>
              <w:pStyle w:val="null3"/>
              <w:jc w:val="both"/>
            </w:pPr>
            <w:r>
              <w:rPr>
                <w:rFonts w:ascii="仿宋_GB2312" w:hAnsi="仿宋_GB2312" w:cs="仿宋_GB2312" w:eastAsia="仿宋_GB2312"/>
                <w:sz w:val="24"/>
              </w:rPr>
              <w:t>（17）药房药品支持不同来源时或选中时，颜色的区分。</w:t>
            </w:r>
          </w:p>
          <w:p>
            <w:pPr>
              <w:pStyle w:val="null3"/>
              <w:jc w:val="both"/>
            </w:pPr>
            <w:r>
              <w:rPr>
                <w:rFonts w:ascii="仿宋_GB2312" w:hAnsi="仿宋_GB2312" w:cs="仿宋_GB2312" w:eastAsia="仿宋_GB2312"/>
                <w:sz w:val="24"/>
              </w:rPr>
              <w:t>（18）门诊发药可按照药品剂型进行分开发药。</w:t>
            </w:r>
          </w:p>
          <w:p>
            <w:pPr>
              <w:pStyle w:val="null3"/>
              <w:jc w:val="both"/>
            </w:pPr>
            <w:r>
              <w:rPr>
                <w:rFonts w:ascii="仿宋_GB2312" w:hAnsi="仿宋_GB2312" w:cs="仿宋_GB2312" w:eastAsia="仿宋_GB2312"/>
                <w:sz w:val="24"/>
              </w:rPr>
              <w:t>（19）住院发药可按照类型进行汇总领药。</w:t>
            </w:r>
          </w:p>
          <w:p>
            <w:pPr>
              <w:pStyle w:val="null3"/>
              <w:jc w:val="both"/>
            </w:pPr>
            <w:r>
              <w:rPr>
                <w:rFonts w:ascii="仿宋_GB2312" w:hAnsi="仿宋_GB2312" w:cs="仿宋_GB2312" w:eastAsia="仿宋_GB2312"/>
                <w:sz w:val="24"/>
              </w:rPr>
              <w:t>（20）预约黑名单：黑名单的原因可配置，可管理，查询，可同步到互联网接口。</w:t>
            </w:r>
          </w:p>
          <w:p>
            <w:pPr>
              <w:pStyle w:val="null3"/>
              <w:jc w:val="both"/>
            </w:pPr>
            <w:r>
              <w:rPr>
                <w:rFonts w:ascii="仿宋_GB2312" w:hAnsi="仿宋_GB2312" w:cs="仿宋_GB2312" w:eastAsia="仿宋_GB2312"/>
                <w:sz w:val="24"/>
              </w:rPr>
              <w:t>（21）其他联系人支持三级地址填写。门诊住院都增加联系人三级地址填写，满足病案填写规范。</w:t>
            </w:r>
          </w:p>
          <w:p>
            <w:pPr>
              <w:pStyle w:val="null3"/>
              <w:jc w:val="both"/>
            </w:pPr>
            <w:r>
              <w:rPr>
                <w:rFonts w:ascii="仿宋_GB2312" w:hAnsi="仿宋_GB2312" w:cs="仿宋_GB2312" w:eastAsia="仿宋_GB2312"/>
                <w:sz w:val="24"/>
              </w:rPr>
              <w:t>（22）支持根据年龄判断联系人信息是否必填。适用场景:多少岁以下儿童必须填写联系人信息。</w:t>
            </w:r>
          </w:p>
          <w:p>
            <w:pPr>
              <w:pStyle w:val="null3"/>
              <w:jc w:val="both"/>
            </w:pPr>
            <w:r>
              <w:rPr>
                <w:rFonts w:ascii="仿宋_GB2312" w:hAnsi="仿宋_GB2312" w:cs="仿宋_GB2312" w:eastAsia="仿宋_GB2312"/>
                <w:sz w:val="24"/>
              </w:rPr>
              <w:t>（23）界面动态设计功能，可设置界面显示项，控件位置，光标跳转顺序。去除不需要控件，贴合操作员日常习惯。</w:t>
            </w:r>
          </w:p>
          <w:p>
            <w:pPr>
              <w:pStyle w:val="null3"/>
              <w:jc w:val="both"/>
            </w:pPr>
            <w:r>
              <w:rPr>
                <w:rFonts w:ascii="仿宋_GB2312" w:hAnsi="仿宋_GB2312" w:cs="仿宋_GB2312" w:eastAsia="仿宋_GB2312"/>
                <w:sz w:val="24"/>
              </w:rPr>
              <w:t>（24）支持65岁以上老人挂号，按科室、医生进行诊察费减免。如某些科室65岁以上老人可优惠，某些科室不优惠。完善老年人挂号优惠规则。</w:t>
            </w:r>
          </w:p>
          <w:p>
            <w:pPr>
              <w:pStyle w:val="null3"/>
              <w:jc w:val="both"/>
            </w:pPr>
            <w:r>
              <w:rPr>
                <w:rFonts w:ascii="仿宋_GB2312" w:hAnsi="仿宋_GB2312" w:cs="仿宋_GB2312" w:eastAsia="仿宋_GB2312"/>
                <w:sz w:val="24"/>
              </w:rPr>
              <w:t>（25）支持收银时现金和非现金混合支付。适用患者某种支付方式余额不足的情况。</w:t>
            </w:r>
          </w:p>
          <w:p>
            <w:pPr>
              <w:pStyle w:val="null3"/>
              <w:jc w:val="both"/>
            </w:pPr>
            <w:r>
              <w:rPr>
                <w:rFonts w:ascii="仿宋_GB2312" w:hAnsi="仿宋_GB2312" w:cs="仿宋_GB2312" w:eastAsia="仿宋_GB2312"/>
                <w:sz w:val="24"/>
              </w:rPr>
              <w:t>（26）退费后如果患者存在未收费的处方，给出提示跳转收费界面自动加载待缴费处方。</w:t>
            </w:r>
          </w:p>
          <w:p>
            <w:pPr>
              <w:pStyle w:val="null3"/>
              <w:jc w:val="both"/>
            </w:pPr>
            <w:r>
              <w:rPr>
                <w:rFonts w:ascii="仿宋_GB2312" w:hAnsi="仿宋_GB2312" w:cs="仿宋_GB2312" w:eastAsia="仿宋_GB2312"/>
                <w:sz w:val="24"/>
              </w:rPr>
              <w:t>（27）开立处方途径较多，如门诊医生站、急诊医生站、医技、输液室。可按照场景配置退费是否必须走退费申请流程。</w:t>
            </w:r>
          </w:p>
          <w:p>
            <w:pPr>
              <w:pStyle w:val="null3"/>
              <w:jc w:val="both"/>
            </w:pPr>
            <w:r>
              <w:rPr>
                <w:rFonts w:ascii="仿宋_GB2312" w:hAnsi="仿宋_GB2312" w:cs="仿宋_GB2312" w:eastAsia="仿宋_GB2312"/>
                <w:sz w:val="24"/>
              </w:rPr>
              <w:t>（28）多处项目管理界面对控件进行了分类，界面更加简洁，提升易用性。</w:t>
            </w:r>
          </w:p>
        </w:tc>
      </w:tr>
    </w:tbl>
    <w:p>
      <w:pPr>
        <w:pStyle w:val="null3"/>
        <w:jc w:val="left"/>
      </w:pPr>
      <w:r>
        <w:rPr>
          <w:rFonts w:ascii="仿宋_GB2312" w:hAnsi="仿宋_GB2312" w:cs="仿宋_GB2312" w:eastAsia="仿宋_GB2312"/>
        </w:rPr>
        <w:t>标的名称：临床业务系统升级</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tbl>
            <w:tblPr>
              <w:tblInd w:type="dxa" w:w="255"/>
              <w:tblBorders>
                <w:top w:val="none" w:color="000000" w:sz="4"/>
                <w:left w:val="none" w:color="000000" w:sz="4"/>
                <w:bottom w:val="none" w:color="000000" w:sz="4"/>
                <w:right w:val="none" w:color="000000" w:sz="4"/>
                <w:insideH w:val="none"/>
                <w:insideV w:val="none"/>
              </w:tblBorders>
            </w:tblPr>
            <w:tblGrid>
              <w:gridCol w:w="543"/>
              <w:gridCol w:w="1465"/>
              <w:gridCol w:w="1465"/>
              <w:gridCol w:w="1845"/>
            </w:tblGrid>
            <w:tr>
              <w:tc>
                <w:tcPr>
                  <w:tcW w:type="dxa" w:w="54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rPr>
                    <w:t>系统类别</w:t>
                  </w:r>
                </w:p>
              </w:tc>
              <w:tc>
                <w:tcPr>
                  <w:tcW w:type="dxa" w:w="1465"/>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rPr>
                    <w:t>系统</w:t>
                  </w:r>
                </w:p>
              </w:tc>
              <w:tc>
                <w:tcPr>
                  <w:tcW w:type="dxa" w:w="1465"/>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rPr>
                    <w:t>功能模块</w:t>
                  </w:r>
                </w:p>
              </w:tc>
              <w:tc>
                <w:tcPr>
                  <w:tcW w:type="dxa" w:w="1845"/>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rPr>
                    <w:t>功能模块明细</w:t>
                  </w:r>
                </w:p>
              </w:tc>
            </w:tr>
            <w:tr>
              <w:tc>
                <w:tcPr>
                  <w:tcW w:type="dxa" w:w="5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临床业务系统升级</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门诊医生工作站系统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门诊诊疗管理</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门诊患者基本信息管理</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门诊医生工作站系统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门诊处方管理</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门诊处方处置规则&amp;门诊处方和处置&amp;门诊协定方管理</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门诊医生工作站系统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门诊处方管理</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门诊特病处方管理</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门诊医生工作站系统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门诊申请单管理</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门诊检验申请单</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门诊医生工作站系统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门诊申请单管理</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门诊检查申请单</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门诊医生工作站系统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门诊申请单管理</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门诊检验报告调阅</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门诊医生工作站系统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门诊申请单管理</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门诊检查报告查阅</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门诊医生工作站系统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门诊单据管理</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门诊病假单管理</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门诊医生工作站系统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门诊单据管理</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住院证管理</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住院医生工作站系统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住院诊疗管理</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住院患者基本信息管理</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住院医生工作站系统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住院医嘱管理</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住院医嘱管理&amp;医嘱处置规则管理</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住院医生工作站系统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住院医嘱管理</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住院医生术中医嘱录入</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住院医生工作站系统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住院申请单管理</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住院检验电子申请单</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住院医生工作站系统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住院申请单管理</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住院检查电子申请单</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住院医生工作站系统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住院申请单管理</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住院检验报告调阅</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住院医生工作站系统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住院申请单管理</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住院检查报告调阅</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住院医生工作站系统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住院申请单管理</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输血申请及审核</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住院护士工作站系统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住院护士工作站</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住院患者入出转</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住院护士工作站系统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住院护士工作站</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住院床位管理</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住院护士工作站系统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住院护士工作站</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住院患者费用处理</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住院护士工作站系统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住院护士工作站</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护士站医嘱管理</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住院护士工作站系统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住院护士工作站</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住院护士排班</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临床路径管理系统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临床路径管理系统</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临床路径管理系统</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抗菌药物管理系统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抗菌药物规则设置</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抗菌药物规则设置</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抗菌药物管理系统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抗菌药物联合用药控制</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抗菌药物联合用药控制</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抗菌药物管理系统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抗菌药物三级管理</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抗菌药物三级管理</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抗菌药物管理系统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围手术期预防性抗菌药物管理</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围手术期预防性抗菌药物管理</w:t>
                  </w:r>
                </w:p>
              </w:tc>
            </w:tr>
          </w:tbl>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both"/>
            </w:pPr>
            <w:r>
              <w:rPr>
                <w:rFonts w:ascii="仿宋_GB2312" w:hAnsi="仿宋_GB2312" w:cs="仿宋_GB2312" w:eastAsia="仿宋_GB2312"/>
                <w:sz w:val="24"/>
                <w:b/>
              </w:rPr>
              <w:t>门诊医生工作站系统：</w:t>
            </w:r>
          </w:p>
          <w:p>
            <w:pPr>
              <w:pStyle w:val="null3"/>
              <w:jc w:val="both"/>
            </w:pPr>
            <w:r>
              <w:rPr>
                <w:rFonts w:ascii="仿宋_GB2312" w:hAnsi="仿宋_GB2312" w:cs="仿宋_GB2312" w:eastAsia="仿宋_GB2312"/>
                <w:sz w:val="24"/>
              </w:rPr>
              <w:t>（1）整体框架：基于诊疗场景将系统架构、UI体系双重重构，使系统界面更美观，操作更便捷快速，布局上更符合用户的使用习惯并具有良好的扩展性</w:t>
            </w:r>
          </w:p>
          <w:p>
            <w:pPr>
              <w:pStyle w:val="null3"/>
              <w:jc w:val="both"/>
            </w:pPr>
            <w:r>
              <w:rPr>
                <w:rFonts w:ascii="仿宋_GB2312" w:hAnsi="仿宋_GB2312" w:cs="仿宋_GB2312" w:eastAsia="仿宋_GB2312"/>
                <w:sz w:val="24"/>
              </w:rPr>
              <w:t>（2）可配置架构：整体菜单支持平铺按钮、下拉组按钮，可根据使用频次自由自合配置</w:t>
            </w:r>
          </w:p>
          <w:p>
            <w:pPr>
              <w:pStyle w:val="null3"/>
              <w:jc w:val="both"/>
            </w:pPr>
            <w:r>
              <w:rPr>
                <w:rFonts w:ascii="仿宋_GB2312" w:hAnsi="仿宋_GB2312" w:cs="仿宋_GB2312" w:eastAsia="仿宋_GB2312"/>
                <w:sz w:val="24"/>
              </w:rPr>
              <w:t>（3）患者定位检索：更简单直接，检索框区域支持叫号、刷卡、病人列表选择进行患者定位</w:t>
            </w:r>
          </w:p>
          <w:p>
            <w:pPr>
              <w:pStyle w:val="null3"/>
              <w:jc w:val="both"/>
            </w:pPr>
            <w:r>
              <w:rPr>
                <w:rFonts w:ascii="仿宋_GB2312" w:hAnsi="仿宋_GB2312" w:cs="仿宋_GB2312" w:eastAsia="仿宋_GB2312"/>
                <w:sz w:val="24"/>
              </w:rPr>
              <w:t>（4）患者信息展示区域：支持按块状患者信息进行拓展展示；支持儿科信息、生育、特病、精神领药人等原触发标识类信息进行块状拓展展示。</w:t>
            </w:r>
          </w:p>
          <w:p>
            <w:pPr>
              <w:pStyle w:val="null3"/>
              <w:jc w:val="both"/>
            </w:pPr>
            <w:r>
              <w:rPr>
                <w:rFonts w:ascii="仿宋_GB2312" w:hAnsi="仿宋_GB2312" w:cs="仿宋_GB2312" w:eastAsia="仿宋_GB2312"/>
                <w:sz w:val="24"/>
              </w:rPr>
              <w:t>（5）信息功能区域：支持诊疗信息全局可视化预览。</w:t>
            </w:r>
          </w:p>
          <w:p>
            <w:pPr>
              <w:pStyle w:val="null3"/>
              <w:jc w:val="both"/>
            </w:pPr>
            <w:r>
              <w:rPr>
                <w:rFonts w:ascii="仿宋_GB2312" w:hAnsi="仿宋_GB2312" w:cs="仿宋_GB2312" w:eastAsia="仿宋_GB2312"/>
                <w:sz w:val="24"/>
              </w:rPr>
              <w:t>（6）处置信息展示与操作区域：预览与编辑功能分离，有效展示对处置的各种标识、状态展示拓展性。</w:t>
            </w:r>
          </w:p>
          <w:p>
            <w:pPr>
              <w:pStyle w:val="null3"/>
              <w:jc w:val="both"/>
            </w:pPr>
            <w:r>
              <w:rPr>
                <w:rFonts w:ascii="仿宋_GB2312" w:hAnsi="仿宋_GB2312" w:cs="仿宋_GB2312" w:eastAsia="仿宋_GB2312"/>
                <w:sz w:val="24"/>
              </w:rPr>
              <w:t>（7）协定方：支持药品与申请单自由组合形成规范治疗的协定方，从资料维护和门诊引用上为医生提供便捷操作；支持协定方共享，可分享给其他科室使用；支持草药保密方设置</w:t>
            </w:r>
          </w:p>
          <w:p>
            <w:pPr>
              <w:pStyle w:val="null3"/>
              <w:jc w:val="both"/>
            </w:pPr>
            <w:r>
              <w:rPr>
                <w:rFonts w:ascii="仿宋_GB2312" w:hAnsi="仿宋_GB2312" w:cs="仿宋_GB2312" w:eastAsia="仿宋_GB2312"/>
                <w:sz w:val="24"/>
              </w:rPr>
              <w:t>（8）处方联动优化：代煎方式直接配置联动收费项目；代煎方式按草药明细的种数、增量配置联动收费项目；代煎方式按草药明细的重量、增量配置联动收费项目；代煎方式按适用草药配置联动收费项目</w:t>
            </w:r>
          </w:p>
          <w:p>
            <w:pPr>
              <w:pStyle w:val="null3"/>
              <w:jc w:val="both"/>
            </w:pPr>
            <w:r>
              <w:rPr>
                <w:rFonts w:ascii="仿宋_GB2312" w:hAnsi="仿宋_GB2312" w:cs="仿宋_GB2312" w:eastAsia="仿宋_GB2312"/>
                <w:sz w:val="24"/>
              </w:rPr>
              <w:t>（9）诊断：常用诊断按使用率降序排序，历史诊断和本次诊断快速引用，助力医生快速书写诊断</w:t>
            </w:r>
          </w:p>
          <w:p>
            <w:pPr>
              <w:pStyle w:val="null3"/>
              <w:jc w:val="both"/>
            </w:pPr>
            <w:r>
              <w:rPr>
                <w:rFonts w:ascii="仿宋_GB2312" w:hAnsi="仿宋_GB2312" w:cs="仿宋_GB2312" w:eastAsia="仿宋_GB2312"/>
                <w:sz w:val="24"/>
                <w:b/>
              </w:rPr>
              <w:t>住院医生工作站系统：</w:t>
            </w:r>
          </w:p>
          <w:p>
            <w:pPr>
              <w:pStyle w:val="null3"/>
              <w:jc w:val="both"/>
            </w:pPr>
            <w:r>
              <w:rPr>
                <w:rFonts w:ascii="仿宋_GB2312" w:hAnsi="仿宋_GB2312" w:cs="仿宋_GB2312" w:eastAsia="仿宋_GB2312"/>
                <w:sz w:val="24"/>
              </w:rPr>
              <w:t>（1）登录界面：支持展示医疗机构、医生贯标码，满足医保检查需要。支持医院Logo、名称、皮肤自定义 ，满足医院个性化需要。</w:t>
            </w:r>
          </w:p>
          <w:p>
            <w:pPr>
              <w:pStyle w:val="null3"/>
              <w:jc w:val="both"/>
            </w:pPr>
            <w:r>
              <w:rPr>
                <w:rFonts w:ascii="仿宋_GB2312" w:hAnsi="仿宋_GB2312" w:cs="仿宋_GB2312" w:eastAsia="仿宋_GB2312"/>
                <w:sz w:val="24"/>
              </w:rPr>
              <w:t>（2）床位卡：支持流转患者多维度筛选，界定更清晰；快速定位患者，方便医生诊疗。支持卡片/列表模式管理，患者重点信息、医生关注数据醒目标识。支持直接开医嘱或者直接写病历，减少无效操作，让医生更加清晰操作路径。</w:t>
            </w:r>
          </w:p>
          <w:p>
            <w:pPr>
              <w:pStyle w:val="null3"/>
              <w:jc w:val="both"/>
            </w:pPr>
            <w:r>
              <w:rPr>
                <w:rFonts w:ascii="仿宋_GB2312" w:hAnsi="仿宋_GB2312" w:cs="仿宋_GB2312" w:eastAsia="仿宋_GB2312"/>
                <w:sz w:val="24"/>
              </w:rPr>
              <w:t>（3）消息管理：实时提醒接收到的消息，并展示消息的数量。消息管理集成了会诊消息、病历待办事项、病历整改通知等。消息按类别分别显示并计数。点击消息支持快速打开并定位，支持快速处理消息。</w:t>
            </w:r>
          </w:p>
          <w:p>
            <w:pPr>
              <w:pStyle w:val="null3"/>
              <w:jc w:val="both"/>
            </w:pPr>
            <w:r>
              <w:rPr>
                <w:rFonts w:ascii="仿宋_GB2312" w:hAnsi="仿宋_GB2312" w:cs="仿宋_GB2312" w:eastAsia="仿宋_GB2312"/>
                <w:sz w:val="24"/>
              </w:rPr>
              <w:t>（4）医嘱管理：诊疗信息分病人列表、核心诊疗、辅助诊疗、业务处置四大区域，全局可视化预览，无需频繁切换页面。病人列表--快速切换病人，自动收缩，界面资源配置更合理。核心诊疗--诊疗信息展示更全面、重点信息合理布局。辅助诊疗--医院按需配置常用功能，自定义排序。业务处置--汇聚所有类型医嘱，取代不同页签切换录入医嘱，全部医嘱，统一发送，简化诊疗操作。</w:t>
            </w:r>
          </w:p>
          <w:p>
            <w:pPr>
              <w:pStyle w:val="null3"/>
              <w:jc w:val="both"/>
            </w:pPr>
            <w:r>
              <w:rPr>
                <w:rFonts w:ascii="仿宋_GB2312" w:hAnsi="仿宋_GB2312" w:cs="仿宋_GB2312" w:eastAsia="仿宋_GB2312"/>
                <w:sz w:val="24"/>
              </w:rPr>
              <w:t>（5）医嘱录入：药品价表、库存实时获取。医生只关注录入药品，选择药品后依据规则自动匹配药房。</w:t>
            </w:r>
          </w:p>
          <w:p>
            <w:pPr>
              <w:pStyle w:val="null3"/>
              <w:jc w:val="both"/>
            </w:pPr>
            <w:r>
              <w:rPr>
                <w:rFonts w:ascii="仿宋_GB2312" w:hAnsi="仿宋_GB2312" w:cs="仿宋_GB2312" w:eastAsia="仿宋_GB2312"/>
                <w:sz w:val="24"/>
              </w:rPr>
              <w:t>（6）医嘱展示：清晰呈现医嘱流转环节状态，让医生实时了解医嘱状态。采用图标标识，弃用老产品字体颜色标识方式，解决多重属性无法区分显示问题，例如“文字”“高危药”“自备”“补录”等。</w:t>
            </w:r>
          </w:p>
          <w:p>
            <w:pPr>
              <w:pStyle w:val="null3"/>
              <w:jc w:val="both"/>
            </w:pPr>
            <w:r>
              <w:rPr>
                <w:rFonts w:ascii="仿宋_GB2312" w:hAnsi="仿宋_GB2312" w:cs="仿宋_GB2312" w:eastAsia="仿宋_GB2312"/>
                <w:sz w:val="24"/>
              </w:rPr>
              <w:t>（7）患者信息：患者信息包含基本信息、健康状况、就诊信息、费用信息等，展示更清晰全面。信息修改增加权限管控，支持设置基本信息修改范围。</w:t>
            </w:r>
          </w:p>
          <w:p>
            <w:pPr>
              <w:pStyle w:val="null3"/>
              <w:jc w:val="both"/>
            </w:pPr>
            <w:r>
              <w:rPr>
                <w:rFonts w:ascii="仿宋_GB2312" w:hAnsi="仿宋_GB2312" w:cs="仿宋_GB2312" w:eastAsia="仿宋_GB2312"/>
                <w:sz w:val="24"/>
              </w:rPr>
              <w:t>（8）住院诊断：修改信息实现全院共通。不同类型诊断同一屏切换，方便医生快速查找、录入和复制。科室常用诊断按使用率降序排序，历史诊断和本次诊断快速引用，助力医生快速书写诊断。</w:t>
            </w:r>
          </w:p>
          <w:p>
            <w:pPr>
              <w:pStyle w:val="null3"/>
              <w:jc w:val="both"/>
            </w:pPr>
            <w:r>
              <w:rPr>
                <w:rFonts w:ascii="仿宋_GB2312" w:hAnsi="仿宋_GB2312" w:cs="仿宋_GB2312" w:eastAsia="仿宋_GB2312"/>
                <w:sz w:val="24"/>
              </w:rPr>
              <w:t>（9）输血管理：按照输血标准规范设计，开单信息全面清晰。输血前检查归类到输血申请单中，方便医生选择录入，含输血前八项、血型鉴定。事前、事中、事后控制，事前校验患者输血同意书书写情况；事中进行输血审核审批；事后提醒书写用血记录。</w:t>
            </w:r>
          </w:p>
          <w:p>
            <w:pPr>
              <w:pStyle w:val="null3"/>
              <w:jc w:val="both"/>
            </w:pPr>
            <w:r>
              <w:rPr>
                <w:rFonts w:ascii="仿宋_GB2312" w:hAnsi="仿宋_GB2312" w:cs="仿宋_GB2312" w:eastAsia="仿宋_GB2312"/>
                <w:sz w:val="24"/>
                <w:b/>
              </w:rPr>
              <w:t>住院护士工作站系统：</w:t>
            </w:r>
          </w:p>
          <w:p>
            <w:pPr>
              <w:pStyle w:val="null3"/>
              <w:jc w:val="both"/>
            </w:pPr>
            <w:r>
              <w:rPr>
                <w:rFonts w:ascii="仿宋_GB2312" w:hAnsi="仿宋_GB2312" w:cs="仿宋_GB2312" w:eastAsia="仿宋_GB2312"/>
                <w:sz w:val="24"/>
              </w:rPr>
              <w:t>（1）界面布局：菜单在左侧可自动收缩，给操作和书写更大空间。</w:t>
            </w:r>
          </w:p>
          <w:p>
            <w:pPr>
              <w:pStyle w:val="null3"/>
              <w:jc w:val="both"/>
            </w:pPr>
            <w:r>
              <w:rPr>
                <w:rFonts w:ascii="仿宋_GB2312" w:hAnsi="仿宋_GB2312" w:cs="仿宋_GB2312" w:eastAsia="仿宋_GB2312"/>
                <w:sz w:val="24"/>
              </w:rPr>
              <w:t>（2）菜单布局：按照菜单的使用场景、应用频次排序。支持菜单模糊检索。</w:t>
            </w:r>
          </w:p>
          <w:p>
            <w:pPr>
              <w:pStyle w:val="null3"/>
              <w:jc w:val="both"/>
            </w:pPr>
            <w:r>
              <w:rPr>
                <w:rFonts w:ascii="仿宋_GB2312" w:hAnsi="仿宋_GB2312" w:cs="仿宋_GB2312" w:eastAsia="仿宋_GB2312"/>
                <w:sz w:val="24"/>
              </w:rPr>
              <w:t>（3）床位卡：简化信息，突出重点，增加管床医生、责任护士，次重要信息移至“患者详情”中。床位卡标识更清晰，重新设计患者标识，并增加颜色区分重要程度，更简洁、清晰。重新整理查询条件，区分频次和重点，分类收纳更便捷。突出护士关注的患者，展示PC 、PDA端均可设置并同步。</w:t>
            </w:r>
          </w:p>
          <w:p>
            <w:pPr>
              <w:pStyle w:val="null3"/>
              <w:jc w:val="both"/>
            </w:pPr>
            <w:r>
              <w:rPr>
                <w:rFonts w:ascii="仿宋_GB2312" w:hAnsi="仿宋_GB2312" w:cs="仿宋_GB2312" w:eastAsia="仿宋_GB2312"/>
                <w:sz w:val="24"/>
                <w:b/>
              </w:rPr>
              <w:t>临床路径管理系统：</w:t>
            </w:r>
          </w:p>
          <w:p>
            <w:pPr>
              <w:pStyle w:val="null3"/>
              <w:jc w:val="both"/>
            </w:pPr>
            <w:r>
              <w:rPr>
                <w:rFonts w:ascii="仿宋_GB2312" w:hAnsi="仿宋_GB2312" w:cs="仿宋_GB2312" w:eastAsia="仿宋_GB2312"/>
                <w:sz w:val="24"/>
              </w:rPr>
              <w:t>（1）强制评估--根据入院主诊断判定符合入径清单，符合条件需要强制评估，提高入径率。</w:t>
            </w:r>
          </w:p>
          <w:p>
            <w:pPr>
              <w:pStyle w:val="null3"/>
              <w:jc w:val="both"/>
            </w:pPr>
            <w:r>
              <w:rPr>
                <w:rFonts w:ascii="仿宋_GB2312" w:hAnsi="仿宋_GB2312" w:cs="仿宋_GB2312" w:eastAsia="仿宋_GB2312"/>
                <w:sz w:val="24"/>
              </w:rPr>
              <w:t>（2）一体化集成--入径评估信息一体化集成，展示可选路径列表、对应路径图及诊疗方案、入径&amp;除外评估。（3）智能匹配--入径前已录入路径项目，提醒医生，进行确认，降低变异率。</w:t>
            </w:r>
          </w:p>
          <w:p>
            <w:pPr>
              <w:pStyle w:val="null3"/>
              <w:jc w:val="both"/>
            </w:pPr>
            <w:r>
              <w:rPr>
                <w:rFonts w:ascii="仿宋_GB2312" w:hAnsi="仿宋_GB2312" w:cs="仿宋_GB2312" w:eastAsia="仿宋_GB2312"/>
                <w:sz w:val="24"/>
              </w:rPr>
              <w:t>（3）扩展渠道--路径执行、医嘱录入选择的项目，只要在路径疗程中，均算作路径执行。</w:t>
            </w:r>
          </w:p>
          <w:p>
            <w:pPr>
              <w:pStyle w:val="null3"/>
              <w:jc w:val="both"/>
            </w:pPr>
            <w:r>
              <w:rPr>
                <w:rFonts w:ascii="仿宋_GB2312" w:hAnsi="仿宋_GB2312" w:cs="仿宋_GB2312" w:eastAsia="仿宋_GB2312"/>
                <w:sz w:val="24"/>
              </w:rPr>
              <w:t>（4）诊疗互换--支持药品库存不足或停用时，可按同规格/同临床、可替换项目包中药品进行替换，降低变异率。</w:t>
            </w:r>
          </w:p>
          <w:p>
            <w:pPr>
              <w:pStyle w:val="null3"/>
              <w:jc w:val="both"/>
            </w:pPr>
            <w:r>
              <w:rPr>
                <w:rFonts w:ascii="仿宋_GB2312" w:hAnsi="仿宋_GB2312" w:cs="仿宋_GB2312" w:eastAsia="仿宋_GB2312"/>
                <w:sz w:val="24"/>
              </w:rPr>
              <w:t>（5）智能推荐--路径执行，通过疗程的评估，实现系统智能推荐，进入分支疗程或退出路径。</w:t>
            </w:r>
          </w:p>
          <w:p>
            <w:pPr>
              <w:pStyle w:val="null3"/>
              <w:jc w:val="both"/>
            </w:pPr>
            <w:r>
              <w:rPr>
                <w:rFonts w:ascii="仿宋_GB2312" w:hAnsi="仿宋_GB2312" w:cs="仿宋_GB2312" w:eastAsia="仿宋_GB2312"/>
                <w:sz w:val="24"/>
              </w:rPr>
              <w:t>（6）事前预警--超期变异提醒,提前至选择病人时提醒，超期信息提前知晓，为降低超期变异提供抓手。分级分类--变异原因分级分类，从新增医嘱、必选未做、执行周期、退出路径4个维度记录变异。</w:t>
            </w:r>
          </w:p>
          <w:p>
            <w:pPr>
              <w:pStyle w:val="null3"/>
              <w:jc w:val="both"/>
            </w:pPr>
            <w:r>
              <w:rPr>
                <w:rFonts w:ascii="仿宋_GB2312" w:hAnsi="仿宋_GB2312" w:cs="仿宋_GB2312" w:eastAsia="仿宋_GB2312"/>
                <w:sz w:val="24"/>
              </w:rPr>
              <w:t>（7）辅助决策--路径多维度统计，可按科室、路径查询变异，为管理者调整路径提供辅助决策。</w:t>
            </w:r>
          </w:p>
          <w:p>
            <w:pPr>
              <w:pStyle w:val="null3"/>
              <w:jc w:val="both"/>
            </w:pPr>
            <w:r>
              <w:rPr>
                <w:rFonts w:ascii="仿宋_GB2312" w:hAnsi="仿宋_GB2312" w:cs="仿宋_GB2312" w:eastAsia="仿宋_GB2312"/>
                <w:sz w:val="24"/>
                <w:b/>
              </w:rPr>
              <w:t>抗菌药物管理系统：</w:t>
            </w:r>
          </w:p>
          <w:p>
            <w:pPr>
              <w:pStyle w:val="null3"/>
              <w:jc w:val="both"/>
            </w:pPr>
            <w:r>
              <w:rPr>
                <w:rFonts w:ascii="仿宋_GB2312" w:hAnsi="仿宋_GB2312" w:cs="仿宋_GB2312" w:eastAsia="仿宋_GB2312"/>
                <w:sz w:val="24"/>
              </w:rPr>
              <w:t>（1）三级管控：保留三级管控功能，针对越级和特殊级抗菌药物允许临时使用一次，长期走审批流程。</w:t>
            </w:r>
          </w:p>
          <w:p>
            <w:pPr>
              <w:pStyle w:val="null3"/>
              <w:jc w:val="both"/>
            </w:pPr>
            <w:r>
              <w:rPr>
                <w:rFonts w:ascii="仿宋_GB2312" w:hAnsi="仿宋_GB2312" w:cs="仿宋_GB2312" w:eastAsia="仿宋_GB2312"/>
                <w:sz w:val="24"/>
              </w:rPr>
              <w:t>（2）自定义审批：支持自定义设置不同的抗菌药物审批流程、审核人员、审核班次，如：药师参与特殊级审批。</w:t>
            </w:r>
          </w:p>
          <w:p>
            <w:pPr>
              <w:pStyle w:val="null3"/>
              <w:jc w:val="both"/>
            </w:pPr>
            <w:r>
              <w:rPr>
                <w:rFonts w:ascii="仿宋_GB2312" w:hAnsi="仿宋_GB2312" w:cs="仿宋_GB2312" w:eastAsia="仿宋_GB2312"/>
                <w:sz w:val="24"/>
              </w:rPr>
              <w:t>（3）延长评估：支持抗菌药物用药到期后，自动提示医生进行延长用药评估，降低抗菌药物超期使用率</w:t>
            </w:r>
          </w:p>
        </w:tc>
      </w:tr>
    </w:tbl>
    <w:p>
      <w:pPr>
        <w:pStyle w:val="null3"/>
        <w:jc w:val="left"/>
      </w:pPr>
      <w:r>
        <w:rPr>
          <w:rFonts w:ascii="仿宋_GB2312" w:hAnsi="仿宋_GB2312" w:cs="仿宋_GB2312" w:eastAsia="仿宋_GB2312"/>
        </w:rPr>
        <w:t>标的名称：电子病历系统升级</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tbl>
            <w:tblPr>
              <w:tblInd w:type="dxa" w:w="255"/>
              <w:tblBorders>
                <w:top w:val="none" w:color="000000" w:sz="4"/>
                <w:left w:val="none" w:color="000000" w:sz="4"/>
                <w:bottom w:val="none" w:color="000000" w:sz="4"/>
                <w:right w:val="none" w:color="000000" w:sz="4"/>
                <w:insideH w:val="none"/>
                <w:insideV w:val="none"/>
              </w:tblBorders>
            </w:tblPr>
            <w:tblGrid>
              <w:gridCol w:w="543"/>
              <w:gridCol w:w="1465"/>
              <w:gridCol w:w="1465"/>
              <w:gridCol w:w="1845"/>
            </w:tblGrid>
            <w:tr>
              <w:tc>
                <w:tcPr>
                  <w:tcW w:type="dxa" w:w="54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rPr>
                    <w:t>系统类别</w:t>
                  </w:r>
                </w:p>
              </w:tc>
              <w:tc>
                <w:tcPr>
                  <w:tcW w:type="dxa" w:w="1465"/>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rPr>
                    <w:t>系统</w:t>
                  </w:r>
                </w:p>
              </w:tc>
              <w:tc>
                <w:tcPr>
                  <w:tcW w:type="dxa" w:w="1465"/>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rPr>
                    <w:t>功能模块</w:t>
                  </w:r>
                </w:p>
              </w:tc>
              <w:tc>
                <w:tcPr>
                  <w:tcW w:type="dxa" w:w="1845"/>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b/>
                    </w:rPr>
                    <w:t>功能模块明细</w:t>
                  </w:r>
                </w:p>
              </w:tc>
            </w:tr>
            <w:tr>
              <w:tc>
                <w:tcPr>
                  <w:tcW w:type="dxa" w:w="5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住院电子病历信息系统升级</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住院电子病历信息系统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住院病历录入</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住院病历录入</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住院电子病历信息系统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住院病历书写助手</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住院病历书写助手</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住院电子病历信息系统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住院病案首页录入</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住院病案首页录入</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住院电子病历信息系统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住院病历授权管理</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住院病历授权管理</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住院电子病历信息系统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住院病历模板管理</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住院病历模板管理</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住院电子病历信息系统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住院病历质控管理</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住院病历质控管理</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住院电子病历信息系统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住院病历数据查询</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住院病历数据查询</w:t>
                  </w:r>
                </w:p>
              </w:tc>
            </w:tr>
            <w:tr>
              <w:tc>
                <w:tcPr>
                  <w:tcW w:type="dxa" w:w="5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护理病历信息系统升级</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护理病历信息系统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护理文书录入</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护理文书录入</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护理病历信息系统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生命体征管理</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生命体征管理</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护理病历信息系统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护理文书查询统计分析</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护理文书查询统计分析</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护理病历信息系统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护理病历阅改</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护理病历阅改</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护理病历信息系统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护理计划</w:t>
                  </w:r>
                </w:p>
              </w:tc>
              <w:tc>
                <w:tcPr>
                  <w:tcW w:type="dxa" w:w="184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24"/>
                    </w:rPr>
                    <w:t>护理计划管理&amp;护理计划联动规则管理&amp;护理计划统计分析</w:t>
                  </w:r>
                </w:p>
              </w:tc>
            </w:tr>
            <w:tr>
              <w:tc>
                <w:tcPr>
                  <w:tcW w:type="dxa" w:w="5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门诊电子病历信息系统升级</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门诊电子病历信息系统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门诊病历录入</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门诊病历录入</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门诊电子病历信息系统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门诊病历书写助手</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门诊病历书写助手</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门诊电子病历信息系统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门诊病历模板管理</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门诊病历模板管理</w:t>
                  </w:r>
                </w:p>
              </w:tc>
            </w:tr>
            <w:tr>
              <w:tc>
                <w:tcPr>
                  <w:tcW w:type="dxa" w:w="543"/>
                  <w:vMerge/>
                  <w:tcBorders>
                    <w:top w:val="none" w:color="000000" w:sz="4"/>
                    <w:left w:val="single" w:color="000000" w:sz="4"/>
                    <w:bottom w:val="single" w:color="000000" w:sz="4"/>
                    <w:right w:val="single" w:color="000000" w:sz="4"/>
                  </w:tcBorders>
                </w:tcP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门诊电子病历信息系统</w:t>
                  </w:r>
                </w:p>
              </w:tc>
              <w:tc>
                <w:tcPr>
                  <w:tcW w:type="dxa" w:w="14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门诊病历查询与统计</w:t>
                  </w:r>
                </w:p>
              </w:tc>
              <w:tc>
                <w:tcPr>
                  <w:tcW w:type="dxa" w:w="1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门诊病历查询与统计</w:t>
                  </w:r>
                </w:p>
              </w:tc>
            </w:tr>
          </w:tbl>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both"/>
            </w:pPr>
            <w:r>
              <w:rPr>
                <w:rFonts w:ascii="仿宋_GB2312" w:hAnsi="仿宋_GB2312" w:cs="仿宋_GB2312" w:eastAsia="仿宋_GB2312"/>
                <w:sz w:val="24"/>
                <w:b/>
              </w:rPr>
              <w:t>住院电子病历信息系统升级：</w:t>
            </w:r>
          </w:p>
          <w:p>
            <w:pPr>
              <w:pStyle w:val="null3"/>
              <w:jc w:val="both"/>
            </w:pPr>
            <w:r>
              <w:rPr>
                <w:rFonts w:ascii="仿宋_GB2312" w:hAnsi="仿宋_GB2312" w:cs="仿宋_GB2312" w:eastAsia="仿宋_GB2312"/>
                <w:sz w:val="24"/>
              </w:rPr>
              <w:t>（1）病历书写：提供集成的辅助病历书写快捷入口，辅助医生快速完成病历书写工作。</w:t>
            </w:r>
          </w:p>
          <w:p>
            <w:pPr>
              <w:pStyle w:val="null3"/>
              <w:jc w:val="both"/>
            </w:pPr>
            <w:r>
              <w:rPr>
                <w:rFonts w:ascii="仿宋_GB2312" w:hAnsi="仿宋_GB2312" w:cs="仿宋_GB2312" w:eastAsia="仿宋_GB2312"/>
                <w:sz w:val="24"/>
              </w:rPr>
              <w:t>（2）病案首页：所见即所得，录入和打印是同一个页面，业务上继承所有首页功能。</w:t>
            </w:r>
          </w:p>
          <w:p>
            <w:pPr>
              <w:pStyle w:val="null3"/>
              <w:jc w:val="both"/>
            </w:pPr>
            <w:r>
              <w:rPr>
                <w:rFonts w:ascii="仿宋_GB2312" w:hAnsi="仿宋_GB2312" w:cs="仿宋_GB2312" w:eastAsia="仿宋_GB2312"/>
                <w:sz w:val="24"/>
              </w:rPr>
              <w:t>（3）病历质控：待办事项--关注医生病历书写情况及病历质量情况，支持对所有患者质控问题查看，快速定位。</w:t>
            </w:r>
          </w:p>
          <w:p>
            <w:pPr>
              <w:pStyle w:val="null3"/>
              <w:jc w:val="both"/>
            </w:pPr>
            <w:r>
              <w:rPr>
                <w:rFonts w:ascii="仿宋_GB2312" w:hAnsi="仿宋_GB2312" w:cs="仿宋_GB2312" w:eastAsia="仿宋_GB2312"/>
                <w:sz w:val="24"/>
              </w:rPr>
              <w:t>（4）病历质控：数据校验--病历书写过程中实时校验提醒，精准定位。</w:t>
            </w:r>
          </w:p>
          <w:p>
            <w:pPr>
              <w:pStyle w:val="null3"/>
              <w:jc w:val="both"/>
            </w:pPr>
            <w:r>
              <w:rPr>
                <w:rFonts w:ascii="仿宋_GB2312" w:hAnsi="仿宋_GB2312" w:cs="仿宋_GB2312" w:eastAsia="仿宋_GB2312"/>
                <w:sz w:val="24"/>
              </w:rPr>
              <w:t>（5）病历质控：质控助手--快速查看患者质控消息、时限消息提醒、查看抽查问题、定位问题、审阅记录。三级阅改--按医生权限控制病历书写权限，创建者拥有编辑器修改权，审核者拥有审核修改权。</w:t>
            </w:r>
          </w:p>
          <w:p>
            <w:pPr>
              <w:pStyle w:val="null3"/>
              <w:jc w:val="both"/>
            </w:pPr>
            <w:r>
              <w:rPr>
                <w:rFonts w:ascii="仿宋_GB2312" w:hAnsi="仿宋_GB2312" w:cs="仿宋_GB2312" w:eastAsia="仿宋_GB2312"/>
                <w:sz w:val="24"/>
              </w:rPr>
              <w:t>（6）病历质控：阅改留痕--首次提交后，全流程修改保留痕迹记录，痕迹模式下不同的类型展示，并提供鼠标悬浮显示痕迹属性。</w:t>
            </w:r>
          </w:p>
          <w:p>
            <w:pPr>
              <w:pStyle w:val="null3"/>
              <w:jc w:val="both"/>
            </w:pPr>
            <w:r>
              <w:rPr>
                <w:rFonts w:ascii="仿宋_GB2312" w:hAnsi="仿宋_GB2312" w:cs="仿宋_GB2312" w:eastAsia="仿宋_GB2312"/>
                <w:sz w:val="24"/>
              </w:rPr>
              <w:t>（7）病历质控：环节质控--运行病历从发现缺陷、提交缺陷、医生答复到最终审核缺陷形成闭环。时限控制--到时提醒、超时锁定、申请解锁、审核申请，最终病历解锁，过程全记录。</w:t>
            </w:r>
          </w:p>
          <w:p>
            <w:pPr>
              <w:pStyle w:val="null3"/>
              <w:jc w:val="both"/>
            </w:pPr>
            <w:r>
              <w:rPr>
                <w:rFonts w:ascii="仿宋_GB2312" w:hAnsi="仿宋_GB2312" w:cs="仿宋_GB2312" w:eastAsia="仿宋_GB2312"/>
                <w:sz w:val="24"/>
              </w:rPr>
              <w:t>（8）病历质控：终末质控--科室对归档病历进行终末评分，形成科室级别的质控评分。院级整改--支持院级权限管理者，对运行病历质控抽查，发送问题整改单，追踪整改过程。</w:t>
            </w:r>
          </w:p>
          <w:p>
            <w:pPr>
              <w:pStyle w:val="null3"/>
              <w:jc w:val="both"/>
            </w:pPr>
            <w:r>
              <w:rPr>
                <w:rFonts w:ascii="仿宋_GB2312" w:hAnsi="仿宋_GB2312" w:cs="仿宋_GB2312" w:eastAsia="仿宋_GB2312"/>
                <w:sz w:val="24"/>
              </w:rPr>
              <w:t>（9）病历质控：院级评分--支持对归档病历进行质控评分，实时查看扣分情况，统计最终质控数据。</w:t>
            </w:r>
          </w:p>
          <w:p>
            <w:pPr>
              <w:pStyle w:val="null3"/>
              <w:jc w:val="both"/>
            </w:pPr>
            <w:r>
              <w:rPr>
                <w:rFonts w:ascii="仿宋_GB2312" w:hAnsi="仿宋_GB2312" w:cs="仿宋_GB2312" w:eastAsia="仿宋_GB2312"/>
                <w:sz w:val="24"/>
              </w:rPr>
              <w:t>（10）病历质控：质控标准--依据医院维护的符合四川省病历评分标准的评分规则，支持自动评分与手动评分相结合。</w:t>
            </w:r>
          </w:p>
          <w:p>
            <w:pPr>
              <w:pStyle w:val="null3"/>
              <w:jc w:val="both"/>
            </w:pPr>
            <w:r>
              <w:rPr>
                <w:rFonts w:ascii="仿宋_GB2312" w:hAnsi="仿宋_GB2312" w:cs="仿宋_GB2312" w:eastAsia="仿宋_GB2312"/>
                <w:sz w:val="24"/>
              </w:rPr>
              <w:t>（11）支持病人跨科协作管理。</w:t>
            </w:r>
          </w:p>
          <w:p>
            <w:pPr>
              <w:pStyle w:val="null3"/>
              <w:jc w:val="both"/>
            </w:pPr>
            <w:r>
              <w:rPr>
                <w:rFonts w:ascii="仿宋_GB2312" w:hAnsi="仿宋_GB2312" w:cs="仿宋_GB2312" w:eastAsia="仿宋_GB2312"/>
                <w:sz w:val="24"/>
                <w:b/>
              </w:rPr>
              <w:t>护理病历信息系统升级：</w:t>
            </w:r>
          </w:p>
          <w:p>
            <w:pPr>
              <w:pStyle w:val="null3"/>
              <w:jc w:val="both"/>
            </w:pPr>
            <w:r>
              <w:rPr>
                <w:rFonts w:ascii="仿宋_GB2312" w:hAnsi="仿宋_GB2312" w:cs="仿宋_GB2312" w:eastAsia="仿宋_GB2312"/>
                <w:sz w:val="24"/>
              </w:rPr>
              <w:t>（1）体征概览：将体温单从护理文书中拆分出来，独立成体征管理模块，更贴合临床使用场景。增加体征概览，包括2部分“异常体征信息、体征测量计划”，方便护士快速了解科室患者的体征情况。</w:t>
            </w:r>
          </w:p>
          <w:p>
            <w:pPr>
              <w:pStyle w:val="null3"/>
              <w:jc w:val="both"/>
            </w:pPr>
            <w:r>
              <w:rPr>
                <w:rFonts w:ascii="仿宋_GB2312" w:hAnsi="仿宋_GB2312" w:cs="仿宋_GB2312" w:eastAsia="仿宋_GB2312"/>
                <w:sz w:val="24"/>
              </w:rPr>
              <w:t>（2）体温单预览和录入：直接展示体温单绘图界面，右侧可快速修改数据。书写支持任意时间点，由系统自动计算体温，脉搏，呼吸等体征值绘制在哪个标准时间点。支持单独查看患者的上下标事件，并可快速新增、编辑。</w:t>
            </w:r>
          </w:p>
          <w:p>
            <w:pPr>
              <w:pStyle w:val="null3"/>
              <w:jc w:val="both"/>
            </w:pPr>
            <w:r>
              <w:rPr>
                <w:rFonts w:ascii="仿宋_GB2312" w:hAnsi="仿宋_GB2312" w:cs="仿宋_GB2312" w:eastAsia="仿宋_GB2312"/>
                <w:sz w:val="24"/>
              </w:rPr>
              <w:t>（3）体温单数据元标准化：体温单数据元标准化，通过勾选、排序可快速完成模板的设置。所见即所得，无需二次维护打印模板。录入界面数据元标准化，通过勾选、拖动快速完成元素确认、界面布局</w:t>
            </w:r>
          </w:p>
          <w:p>
            <w:pPr>
              <w:pStyle w:val="null3"/>
              <w:jc w:val="both"/>
            </w:pPr>
            <w:r>
              <w:rPr>
                <w:rFonts w:ascii="仿宋_GB2312" w:hAnsi="仿宋_GB2312" w:cs="仿宋_GB2312" w:eastAsia="仿宋_GB2312"/>
                <w:sz w:val="24"/>
              </w:rPr>
              <w:t>（4）参数设置：参数设置可视化，结合预置数据模型，参数设置效果可实时查看。参数根据体温单模板分类，并支持模糊检索，查找、设置更方便。</w:t>
            </w:r>
          </w:p>
          <w:p>
            <w:pPr>
              <w:pStyle w:val="null3"/>
              <w:jc w:val="both"/>
            </w:pPr>
            <w:r>
              <w:rPr>
                <w:rFonts w:ascii="仿宋_GB2312" w:hAnsi="仿宋_GB2312" w:cs="仿宋_GB2312" w:eastAsia="仿宋_GB2312"/>
                <w:sz w:val="24"/>
              </w:rPr>
              <w:t>（5）体征批量录入：录入界面的字段可配置，满足不同科室、医院的临床使用习惯。深化批量录入场景，减少无效的病人标识、查看趋势图等。</w:t>
            </w:r>
          </w:p>
          <w:p>
            <w:pPr>
              <w:pStyle w:val="null3"/>
              <w:jc w:val="both"/>
            </w:pPr>
            <w:r>
              <w:rPr>
                <w:rFonts w:ascii="仿宋_GB2312" w:hAnsi="仿宋_GB2312" w:cs="仿宋_GB2312" w:eastAsia="仿宋_GB2312"/>
                <w:sz w:val="24"/>
              </w:rPr>
              <w:t>（6）体征测量计划规则：从护理计划设置中拆分出来，去除不必要的概念，提高易设置性，降低学习成本。增加父子测量规则、特殊执行的设置，能满足复杂的测量规则的设置。</w:t>
            </w:r>
          </w:p>
          <w:p>
            <w:pPr>
              <w:pStyle w:val="null3"/>
              <w:jc w:val="both"/>
            </w:pPr>
            <w:r>
              <w:rPr>
                <w:rFonts w:ascii="仿宋_GB2312" w:hAnsi="仿宋_GB2312" w:cs="仿宋_GB2312" w:eastAsia="仿宋_GB2312"/>
                <w:sz w:val="24"/>
              </w:rPr>
              <w:t>（7）文档式病历：效率提升，录入和打印效果一体化，无需二次维护打印模板。增强模板基础功能，可联动打开风险评估、引用体征数据等。</w:t>
            </w:r>
          </w:p>
          <w:p>
            <w:pPr>
              <w:pStyle w:val="null3"/>
              <w:jc w:val="both"/>
            </w:pPr>
            <w:r>
              <w:rPr>
                <w:rFonts w:ascii="仿宋_GB2312" w:hAnsi="仿宋_GB2312" w:cs="仿宋_GB2312" w:eastAsia="仿宋_GB2312"/>
                <w:sz w:val="24"/>
              </w:rPr>
              <w:t>（8）风险评估病历：保留护理评估、护理文书2处入口，评估标准和数据存储统一。病历样式多样，支持横表、竖表、混合表单，并且无需二次维护打印模板。简化设置并去除多余逻辑，分步骤引导式配置。</w:t>
            </w:r>
          </w:p>
          <w:p>
            <w:pPr>
              <w:pStyle w:val="null3"/>
              <w:jc w:val="both"/>
            </w:pPr>
            <w:r>
              <w:rPr>
                <w:rFonts w:ascii="仿宋_GB2312" w:hAnsi="仿宋_GB2312" w:cs="仿宋_GB2312" w:eastAsia="仿宋_GB2312"/>
                <w:sz w:val="24"/>
              </w:rPr>
              <w:t>（9）表格式病历维护：模板维护交互优化，将字段设置、空白列设置、定制面板、热区等部分界面集成，减少页面跳转、切换。前置需要在DEV中设置的常用属性，并给予默认值，减少设置和修改。打印模板自动生成，细节手动微调即可，提高模板维护效率。</w:t>
            </w:r>
          </w:p>
          <w:p>
            <w:pPr>
              <w:pStyle w:val="null3"/>
              <w:jc w:val="both"/>
            </w:pPr>
            <w:r>
              <w:rPr>
                <w:rFonts w:ascii="仿宋_GB2312" w:hAnsi="仿宋_GB2312" w:cs="仿宋_GB2312" w:eastAsia="仿宋_GB2312"/>
                <w:sz w:val="24"/>
              </w:rPr>
              <w:t>（10）病历书写助手：统一数据引用的入口，强化数据引用功能的一致性。提高引用数据的效率，一次打开，可多处引用并完成编辑。</w:t>
            </w:r>
          </w:p>
          <w:p>
            <w:pPr>
              <w:pStyle w:val="null3"/>
              <w:jc w:val="both"/>
            </w:pPr>
            <w:r>
              <w:rPr>
                <w:rFonts w:ascii="仿宋_GB2312" w:hAnsi="仿宋_GB2312" w:cs="仿宋_GB2312" w:eastAsia="仿宋_GB2312"/>
                <w:sz w:val="24"/>
              </w:rPr>
              <w:t>（11）系统设置：增加系统设置的“首页”，按业务主线分类，关键词提示查找。主页和内页菜单支持全局检索，可快速查找和跳转。</w:t>
            </w:r>
          </w:p>
          <w:p>
            <w:pPr>
              <w:pStyle w:val="null3"/>
              <w:jc w:val="both"/>
            </w:pPr>
            <w:r>
              <w:rPr>
                <w:rFonts w:ascii="仿宋_GB2312" w:hAnsi="仿宋_GB2312" w:cs="仿宋_GB2312" w:eastAsia="仿宋_GB2312"/>
                <w:sz w:val="24"/>
                <w:b/>
              </w:rPr>
              <w:t>门诊电子病历信息系统升级：</w:t>
            </w:r>
          </w:p>
          <w:p>
            <w:pPr>
              <w:pStyle w:val="null3"/>
              <w:jc w:val="both"/>
            </w:pPr>
            <w:r>
              <w:rPr>
                <w:rFonts w:ascii="仿宋_GB2312" w:hAnsi="仿宋_GB2312" w:cs="仿宋_GB2312" w:eastAsia="仿宋_GB2312"/>
                <w:sz w:val="24"/>
              </w:rPr>
              <w:t>（1）门诊病历录入具备快捷创建初诊病历、复诊病历功能。</w:t>
            </w:r>
          </w:p>
          <w:p>
            <w:pPr>
              <w:pStyle w:val="null3"/>
              <w:jc w:val="both"/>
            </w:pPr>
            <w:r>
              <w:rPr>
                <w:rFonts w:ascii="仿宋_GB2312" w:hAnsi="仿宋_GB2312" w:cs="仿宋_GB2312" w:eastAsia="仿宋_GB2312"/>
                <w:sz w:val="24"/>
              </w:rPr>
              <w:t>（2）门诊病历录入具备专科病历特殊样式展示功能，包括：产科妊娠图、胎心图、眼科眼压图、口腔牙位图。</w:t>
            </w:r>
          </w:p>
          <w:p>
            <w:pPr>
              <w:pStyle w:val="null3"/>
              <w:jc w:val="both"/>
            </w:pPr>
            <w:r>
              <w:rPr>
                <w:rFonts w:ascii="仿宋_GB2312" w:hAnsi="仿宋_GB2312" w:cs="仿宋_GB2312" w:eastAsia="仿宋_GB2312"/>
                <w:sz w:val="24"/>
              </w:rPr>
              <w:t>（3）门诊病历打印具备病历本、普通纸张两种打印模式功能。</w:t>
            </w:r>
          </w:p>
          <w:p>
            <w:pPr>
              <w:pStyle w:val="null3"/>
              <w:jc w:val="both"/>
            </w:pPr>
            <w:r>
              <w:rPr>
                <w:rFonts w:ascii="仿宋_GB2312" w:hAnsi="仿宋_GB2312" w:cs="仿宋_GB2312" w:eastAsia="仿宋_GB2312"/>
                <w:sz w:val="24"/>
              </w:rPr>
              <w:t>（4）病历书写界面所见即所得，操作更便利</w:t>
            </w:r>
          </w:p>
          <w:p>
            <w:pPr>
              <w:pStyle w:val="null3"/>
              <w:jc w:val="both"/>
            </w:pPr>
            <w:r>
              <w:rPr>
                <w:rFonts w:ascii="仿宋_GB2312" w:hAnsi="仿宋_GB2312" w:cs="仿宋_GB2312" w:eastAsia="仿宋_GB2312"/>
                <w:sz w:val="24"/>
              </w:rPr>
              <w:t>（5）持病历书写全键盘操作，快捷保存、提交、打印等</w:t>
            </w:r>
          </w:p>
          <w:p>
            <w:pPr>
              <w:pStyle w:val="null3"/>
              <w:jc w:val="both"/>
            </w:pPr>
            <w:r>
              <w:rPr>
                <w:rFonts w:ascii="仿宋_GB2312" w:hAnsi="仿宋_GB2312" w:cs="仿宋_GB2312" w:eastAsia="仿宋_GB2312"/>
                <w:sz w:val="24"/>
              </w:rPr>
              <w:t>（6）临床业务数据引用，集中整合到书写助手</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自合同签订之日起60日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由采购人严格依据《中华人民共和国政府采购法实施条例》(中华人民共和国国务院令第658号)和《财政部关于进一步加强政府采购需求和履约验收管理的指导意见》(财库(2016)205号）及国家行业主管部门规定的标准、方法和内容进行验收。 (2）验收结果合格的，成交供应商凭验收报告办理相关手续，采购人按采购合同约定支付采购资金；验收结果不合格的，将不予支付采购资金。</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1、系统部署完成后支付总费用的，达到付款条件起30日内，支付合同总金额的20.00%</w:t>
            </w:r>
          </w:p>
          <w:p>
            <w:pPr>
              <w:pStyle w:val="null3"/>
              <w:jc w:val="left"/>
            </w:pPr>
            <w:r>
              <w:rPr>
                <w:rFonts w:ascii="仿宋_GB2312" w:hAnsi="仿宋_GB2312" w:cs="仿宋_GB2312" w:eastAsia="仿宋_GB2312"/>
              </w:rPr>
              <w:t>2、系统上线后支付总费用的，达到付款条件起30日内，支付合同总金额的30.00%</w:t>
            </w:r>
          </w:p>
          <w:p>
            <w:pPr>
              <w:pStyle w:val="null3"/>
              <w:jc w:val="left"/>
            </w:pPr>
            <w:r>
              <w:rPr>
                <w:rFonts w:ascii="仿宋_GB2312" w:hAnsi="仿宋_GB2312" w:cs="仿宋_GB2312" w:eastAsia="仿宋_GB2312"/>
              </w:rPr>
              <w:t>3、验收合格后支付总费用的，达到付款条件起30日内，支付合同总金额的45.00%</w:t>
            </w:r>
          </w:p>
          <w:p>
            <w:pPr>
              <w:pStyle w:val="null3"/>
              <w:jc w:val="left"/>
            </w:pPr>
            <w:r>
              <w:rPr>
                <w:rFonts w:ascii="仿宋_GB2312" w:hAnsi="仿宋_GB2312" w:cs="仿宋_GB2312" w:eastAsia="仿宋_GB2312"/>
              </w:rPr>
              <w:t>4、验收满一年后支付总费用的，达到付款条件起30日内，支付合同总金额的5.00%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合同约定为准</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协商过程中可实质性变动的内容</w:t>
      </w:r>
    </w:p>
    <w:p>
      <w:pPr>
        <w:pStyle w:val="null3"/>
        <w:ind w:firstLine="480"/>
        <w:jc w:val="left"/>
      </w:pPr>
      <w:r>
        <w:rPr>
          <w:rFonts w:ascii="仿宋_GB2312" w:hAnsi="仿宋_GB2312" w:cs="仿宋_GB2312" w:eastAsia="仿宋_GB2312"/>
        </w:rPr>
        <w:t>协商小组可以根据采购文件和协商情况实质性变动以下内容：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sz w:val="21"/>
        </w:rPr>
        <w:t>除实质性要求外的</w:t>
      </w:r>
      <w:r>
        <w:rPr>
          <w:rFonts w:ascii="仿宋_GB2312" w:hAnsi="仿宋_GB2312" w:cs="仿宋_GB2312" w:eastAsia="仿宋_GB2312"/>
          <w:sz w:val="21"/>
        </w:rPr>
        <w:t>“技术、服务及其他要求”内容</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sz w:val="21"/>
        </w:rPr>
        <w:t>除</w:t>
      </w:r>
      <w:r>
        <w:rPr>
          <w:rFonts w:ascii="仿宋_GB2312" w:hAnsi="仿宋_GB2312" w:cs="仿宋_GB2312" w:eastAsia="仿宋_GB2312"/>
          <w:sz w:val="21"/>
        </w:rPr>
        <w:t>“标的信息”外的非实质性内容</w:t>
      </w:r>
    </w:p>
    <w:p>
      <w:pPr>
        <w:pStyle w:val="null3"/>
        <w:ind w:firstLine="480"/>
        <w:jc w:val="left"/>
      </w:pPr>
      <w:r>
        <w:rPr>
          <w:rFonts w:ascii="仿宋_GB2312" w:hAnsi="仿宋_GB2312" w:cs="仿宋_GB2312" w:eastAsia="仿宋_GB2312"/>
        </w:rPr>
        <w:t>除以上内容外，协商小组不得变动采购文件中的其他内容。</w:t>
      </w:r>
    </w:p>
    <w:p>
      <w:pPr>
        <w:pStyle w:val="null3"/>
        <w:ind w:firstLine="480"/>
        <w:jc w:val="left"/>
      </w:pPr>
      <w:r>
        <w:rPr>
          <w:rFonts w:ascii="仿宋_GB2312" w:hAnsi="仿宋_GB2312" w:cs="仿宋_GB2312" w:eastAsia="仿宋_GB2312"/>
        </w:rPr>
        <w:t>在协商过程中，协商小组根据项目实际需要制定协商内容，在获得采购人代表确认的前提下，可以根据协商情况实质性变动相关内容。协商小组对采购文件作出的实质性变动是采购文件的有效组成部分，协商小组应及时以书面形式通知所有参加协商的供应商。</w:t>
      </w:r>
    </w:p>
    <w:p>
      <w:pPr>
        <w:pStyle w:val="null3"/>
        <w:jc w:val="center"/>
        <w:outlineLvl w:val="1"/>
      </w:pPr>
      <w:r>
        <w:rPr>
          <w:rFonts w:ascii="仿宋_GB2312" w:hAnsi="仿宋_GB2312" w:cs="仿宋_GB2312" w:eastAsia="仿宋_GB2312"/>
          <w:sz w:val="36"/>
          <w:b/>
        </w:rPr>
        <w:t>第五章 评审办法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采购项目特点制定本次单一来源采购评审办法。</w:t>
      </w:r>
    </w:p>
    <w:p>
      <w:pPr>
        <w:pStyle w:val="null3"/>
        <w:ind w:firstLine="480"/>
      </w:pPr>
      <w:r>
        <w:rPr>
          <w:rFonts w:ascii="仿宋_GB2312" w:hAnsi="仿宋_GB2312" w:cs="仿宋_GB2312" w:eastAsia="仿宋_GB2312"/>
        </w:rPr>
        <w:t>二、协商工作由代理机构组织，具体评审事务由依法组建的协商小组负责。协商小组由采购人代表和评审专家组成。</w:t>
      </w:r>
    </w:p>
    <w:p>
      <w:pPr>
        <w:pStyle w:val="null3"/>
        <w:ind w:firstLine="480"/>
      </w:pPr>
      <w:r>
        <w:rPr>
          <w:rFonts w:ascii="仿宋_GB2312" w:hAnsi="仿宋_GB2312" w:cs="仿宋_GB2312" w:eastAsia="仿宋_GB2312"/>
        </w:rPr>
        <w:t>三、评审工作应遵循客观、公正、审慎的原则，根据单一来源采购文件规定的评审程序、评审方法和评审标准进行独立评审。</w:t>
      </w:r>
    </w:p>
    <w:p>
      <w:pPr>
        <w:pStyle w:val="null3"/>
        <w:ind w:firstLine="480"/>
      </w:pPr>
      <w:r>
        <w:rPr>
          <w:rFonts w:ascii="仿宋_GB2312" w:hAnsi="仿宋_GB2312" w:cs="仿宋_GB2312" w:eastAsia="仿宋_GB2312"/>
        </w:rPr>
        <w:t>四、本项目采取电子评审，通过交易系统完成评审工作。协商小组成员和供应商应当按照本采购文件规定和交易系统操作要求开展或者参加评审活动。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协商小组成员在签署协商情况记录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5.2.协商小组</w:t>
      </w:r>
    </w:p>
    <w:p>
      <w:pPr>
        <w:pStyle w:val="null3"/>
        <w:ind w:firstLine="480"/>
      </w:pPr>
      <w:r>
        <w:rPr>
          <w:rFonts w:ascii="仿宋_GB2312" w:hAnsi="仿宋_GB2312" w:cs="仿宋_GB2312" w:eastAsia="仿宋_GB2312"/>
        </w:rPr>
        <w:t>一、按《中华人民共和国政府采购法》的规定组建协商小组，协商小组由采购人的代表和具有相关经验的专业人员组成。本项目协商小组成员人数由采购人或者代理机构自行确定，其中专业人员不得少于成员总数的三分之二。</w:t>
      </w:r>
    </w:p>
    <w:p>
      <w:pPr>
        <w:pStyle w:val="null3"/>
        <w:ind w:firstLine="480"/>
        <w:jc w:val="left"/>
      </w:pPr>
      <w:r>
        <w:rPr>
          <w:rFonts w:ascii="仿宋_GB2312" w:hAnsi="仿宋_GB2312" w:cs="仿宋_GB2312" w:eastAsia="仿宋_GB2312"/>
        </w:rPr>
        <w:t>二、协商小组成员应当满足并适应电子化采购评审的工作需要，登录交易系统进入项目评审功能模块确认身份、签到、推荐协商小组组长。采购人代表可以使用采购人代表专用签章确认评审意见。</w:t>
      </w:r>
    </w:p>
    <w:p>
      <w:pPr>
        <w:pStyle w:val="null3"/>
        <w:ind w:firstLine="480"/>
        <w:jc w:val="left"/>
      </w:pPr>
      <w:r>
        <w:rPr>
          <w:rFonts w:ascii="仿宋_GB2312" w:hAnsi="仿宋_GB2312" w:cs="仿宋_GB2312" w:eastAsia="仿宋_GB2312"/>
        </w:rPr>
        <w:t>三、协商小组成员获取解密后的响应文件，开展评审活动。出现专业人员请假、回避等情况时，采购人或者代理机构按规定申请补充抽取专业人员。无法及时补充抽取的，采购人或者代理机构应当封存供应商响应文件，按规定重新组建协商小组，解封响应文件后，开展评审活动。</w:t>
      </w:r>
    </w:p>
    <w:p>
      <w:pPr>
        <w:pStyle w:val="null3"/>
        <w:ind w:firstLine="480"/>
        <w:jc w:val="left"/>
      </w:pPr>
      <w:r>
        <w:rPr>
          <w:rFonts w:ascii="仿宋_GB2312" w:hAnsi="仿宋_GB2312" w:cs="仿宋_GB2312" w:eastAsia="仿宋_GB2312"/>
        </w:rPr>
        <w:t>四、协商小组应当履行下列职责：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（二）审查、评价供应商响应文件等是否满足单一来源采购文件要求；</w:t>
      </w:r>
    </w:p>
    <w:p>
      <w:pPr>
        <w:pStyle w:val="null3"/>
        <w:ind w:firstLine="480"/>
      </w:pPr>
      <w:r>
        <w:rPr>
          <w:rFonts w:ascii="仿宋_GB2312" w:hAnsi="仿宋_GB2312" w:cs="仿宋_GB2312" w:eastAsia="仿宋_GB2312"/>
        </w:rPr>
        <w:t>（三）根据需要要求采购人、代理机构对单一来源采购文件作出解释；根据需要要求供应商对响应文件有关事项作出澄清、说明或者更正；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（四）受采购人委托确定供应商成交；</w:t>
      </w:r>
    </w:p>
    <w:p>
      <w:pPr>
        <w:pStyle w:val="null3"/>
        <w:ind w:firstLine="480"/>
      </w:pPr>
      <w:r>
        <w:rPr>
          <w:rFonts w:ascii="仿宋_GB2312" w:hAnsi="仿宋_GB2312" w:cs="仿宋_GB2312" w:eastAsia="仿宋_GB2312"/>
        </w:rPr>
        <w:t>（五）起草资格审查报告、协商情况记录并进行签署；</w:t>
      </w:r>
    </w:p>
    <w:p>
      <w:pPr>
        <w:pStyle w:val="null3"/>
        <w:ind w:firstLine="480"/>
      </w:pPr>
      <w:r>
        <w:rPr>
          <w:rFonts w:ascii="仿宋_GB2312" w:hAnsi="仿宋_GB2312" w:cs="仿宋_GB2312" w:eastAsia="仿宋_GB2312"/>
        </w:rPr>
        <w:t>（六）向采购人、代理机构或者有关部门报告协商中发现的违法行为；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outlineLvl w:val="3"/>
      </w:pPr>
      <w:r>
        <w:rPr>
          <w:rFonts w:ascii="仿宋_GB2312" w:hAnsi="仿宋_GB2312" w:cs="仿宋_GB2312" w:eastAsia="仿宋_GB2312"/>
          <w:sz w:val="24"/>
          <w:b/>
        </w:rPr>
        <w:t>5.3.1.熟悉和理解采购文件</w:t>
      </w:r>
    </w:p>
    <w:p>
      <w:pPr>
        <w:pStyle w:val="null3"/>
        <w:ind w:firstLine="480"/>
      </w:pPr>
      <w:r>
        <w:rPr>
          <w:rFonts w:ascii="仿宋_GB2312" w:hAnsi="仿宋_GB2312" w:cs="仿宋_GB2312" w:eastAsia="仿宋_GB2312"/>
        </w:rPr>
        <w:t>协商小组正式协商前，应当对采购文件进行熟悉和理解，内容主要包括采购文件中供应商资格条件要求、采购项目技术、服务和商务要求、评审办法和标准以及政府采购合同的内容等。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pPr>
      <w:r>
        <w:rPr>
          <w:rFonts w:ascii="仿宋_GB2312" w:hAnsi="仿宋_GB2312" w:cs="仿宋_GB2312" w:eastAsia="仿宋_GB2312"/>
        </w:rPr>
        <w:t>本采购文件有下列情形之一的，协商小组应当停止评审：</w:t>
      </w:r>
    </w:p>
    <w:p>
      <w:pPr>
        <w:pStyle w:val="null3"/>
        <w:ind w:firstLine="480"/>
      </w:pPr>
      <w:r>
        <w:rPr>
          <w:rFonts w:ascii="仿宋_GB2312" w:hAnsi="仿宋_GB2312" w:cs="仿宋_GB2312" w:eastAsia="仿宋_GB2312"/>
        </w:rPr>
        <w:t>一、采购文件的规定存在歧义、重大缺陷，导致评审工作无法进行的；</w:t>
      </w:r>
    </w:p>
    <w:p>
      <w:pPr>
        <w:pStyle w:val="null3"/>
        <w:ind w:firstLine="480"/>
      </w:pPr>
      <w:r>
        <w:rPr>
          <w:rFonts w:ascii="仿宋_GB2312" w:hAnsi="仿宋_GB2312" w:cs="仿宋_GB2312" w:eastAsia="仿宋_GB2312"/>
        </w:rPr>
        <w:t>二、采购项目属于国家规定的优先、强制采购范围，但是采购文件未依法体现优先、强制采购相关规定的；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三、采购项目属于政府采购促进中小企业发展的范围，但是采购文件未依法体现促进中小企业发展相关规定的；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四、采购文件载明的成交原则不合法的；</w:t>
      </w:r>
    </w:p>
    <w:p>
      <w:pPr>
        <w:pStyle w:val="null3"/>
        <w:ind w:firstLine="480"/>
      </w:pPr>
      <w:r>
        <w:rPr>
          <w:rFonts w:ascii="仿宋_GB2312" w:hAnsi="仿宋_GB2312" w:cs="仿宋_GB2312" w:eastAsia="仿宋_GB2312"/>
        </w:rPr>
        <w:t>五、采购文件有违反国家其他有关强制性规定的情形。</w:t>
      </w:r>
    </w:p>
    <w:p>
      <w:pPr>
        <w:pStyle w:val="null3"/>
        <w:ind w:firstLine="480"/>
      </w:pPr>
      <w:r>
        <w:rPr>
          <w:rFonts w:ascii="仿宋_GB2312" w:hAnsi="仿宋_GB2312" w:cs="仿宋_GB2312" w:eastAsia="仿宋_GB2312"/>
        </w:rPr>
        <w:t>出现上述应当停止评审情形的，协商小组应当通过交易系统向采购人、代理机构提交相关说明材料，说明停止评审的情形和具体理由。除上述情形外，协商小组不得以任何方式和理由停止评审。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网上开启完成后，由协商小组依据法律法规和采购文件的规定，对成功解密的响应文件中供应商资格证明等进行审查并出具资格审查报告。资格审查标准及要求如下：</w:t>
      </w:r>
    </w:p>
    <w:p>
      <w:pPr>
        <w:pStyle w:val="null3"/>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1.供应商为企业（包括合伙企业）、个体工商户的,应提供工商营业执照或提供由市场监管部门核发的法人或者其他组织统一社会信用代码的营业执照（扫描件）；2.供应商属于银行、保险、石油石化、电力、电信等有行业特殊情况的，提供企业分支机构营业执照或统一社会信用代码的营业执照（扫描件）；3.供应商为其他组织的，提供事业单位法人证书或执业许可证等证明文件（扫描件）；4.如为自然人的提供《中华人民共和国居民身份证》（扫描件）。</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pPr>
      <w:r>
        <w:rPr>
          <w:rFonts w:ascii="仿宋_GB2312" w:hAnsi="仿宋_GB2312" w:cs="仿宋_GB2312" w:eastAsia="仿宋_GB2312"/>
        </w:rPr>
        <w:t>协商小组依据采购文件的符合性审查要求，对符合资格要求供应商的响应文件进行符合性审查。</w:t>
      </w:r>
    </w:p>
    <w:p>
      <w:pPr>
        <w:pStyle w:val="null3"/>
        <w:ind w:firstLine="480"/>
        <w:jc w:val="left"/>
      </w:pPr>
      <w:r>
        <w:rPr>
          <w:rFonts w:ascii="仿宋_GB2312" w:hAnsi="仿宋_GB2312" w:cs="仿宋_GB2312" w:eastAsia="仿宋_GB2312"/>
        </w:rPr>
        <w:t>在符合性审查过程中，如果出现协商小组成员意见不一致的情况，按照少数服从多数的原则确定，但不得违反政府采购基本原则和采购文件规定。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技术、服务及其他要求的实质性要求</w:t>
            </w:r>
          </w:p>
        </w:tc>
        <w:tc>
          <w:tcPr>
            <w:tcW w:type="dxa" w:w="3322"/>
          </w:tcPr>
          <w:p>
            <w:pPr>
              <w:pStyle w:val="null3"/>
              <w:jc w:val="left"/>
            </w:pPr>
            <w:r>
              <w:rPr>
                <w:rFonts w:ascii="仿宋_GB2312" w:hAnsi="仿宋_GB2312" w:cs="仿宋_GB2312" w:eastAsia="仿宋_GB2312"/>
              </w:rPr>
              <w:t>技术、服务及其他要求的实质性要求</w:t>
            </w:r>
          </w:p>
        </w:tc>
        <w:tc>
          <w:tcPr>
            <w:tcW w:type="dxa" w:w="1910"/>
          </w:tcPr>
          <w:p>
            <w:pPr>
              <w:pStyle w:val="null3"/>
              <w:jc w:val="left"/>
            </w:pPr>
            <w:r>
              <w:rPr>
                <w:rFonts w:ascii="仿宋_GB2312" w:hAnsi="仿宋_GB2312" w:cs="仿宋_GB2312" w:eastAsia="仿宋_GB2312"/>
              </w:rPr>
              <w:t>服务应答表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响应文件满足以上符合性审查要求的，则通过符合性审查；如有任意一项未满足符合性审查要求的，则按无效响应处理，并在协商情况记录中载明未通过符合性审查的具体原因。</w:t>
      </w:r>
    </w:p>
    <w:p>
      <w:pPr>
        <w:pStyle w:val="null3"/>
        <w:jc w:val="left"/>
        <w:outlineLvl w:val="3"/>
      </w:pPr>
      <w:r>
        <w:rPr>
          <w:rFonts w:ascii="仿宋_GB2312" w:hAnsi="仿宋_GB2312" w:cs="仿宋_GB2312" w:eastAsia="仿宋_GB2312"/>
          <w:sz w:val="24"/>
          <w:b/>
        </w:rPr>
        <w:t>5.3.5.协商</w:t>
      </w:r>
    </w:p>
    <w:p>
      <w:pPr>
        <w:pStyle w:val="null3"/>
        <w:ind w:firstLine="480"/>
      </w:pPr>
      <w:r>
        <w:rPr>
          <w:rFonts w:ascii="仿宋_GB2312" w:hAnsi="仿宋_GB2312" w:cs="仿宋_GB2312" w:eastAsia="仿宋_GB2312"/>
        </w:rPr>
        <w:t>一、协商小组按照采购文件的规定与邀请参加协商的供应商进行协商， 供应商应随时关注交易系统信息，及时参与在线协商。供应商登录交易系统进入等候大厅（找到对应项目），与协商小组进行在线协商、提交供应商响应表，供应商响应表应加盖供应商（法定名称）电子印章。协商结束前，供应商应随时关注系统提示，及时通过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二、协商小组负责与供应商（邀请参加单一来源采购的供应商为资格条件符合采购人要求的合格供应商）就第四章规定的可实质性变动的内容进行协商确定成交价格。</w:t>
      </w:r>
    </w:p>
    <w:p>
      <w:pPr>
        <w:pStyle w:val="null3"/>
        <w:ind w:firstLine="480"/>
      </w:pPr>
      <w:r>
        <w:rPr>
          <w:rFonts w:ascii="仿宋_GB2312" w:hAnsi="仿宋_GB2312" w:cs="仿宋_GB2312" w:eastAsia="仿宋_GB2312"/>
        </w:rPr>
        <w:t>三、协商过程中，供应商可以根据协商情况变更其响应文件，并将变更内容以澄清函形式在线提交协商小组。澄清函作为响应文件的一部分，应加盖供应商（法定名称）电子印章，否则无效。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四、提交供应商响应表、协商过程中的书面材料往来均通过交易系统传递，协商小组成员和供应商加盖电子印章后生效。协商小组成员出现无法在线签章的特殊情况，可以线下签署报告，由代理机构对原件扫描后以附件形式上传。</w:t>
      </w:r>
    </w:p>
    <w:p>
      <w:pPr>
        <w:pStyle w:val="null3"/>
        <w:jc w:val="left"/>
        <w:outlineLvl w:val="3"/>
      </w:pPr>
      <w:r>
        <w:rPr>
          <w:rFonts w:ascii="仿宋_GB2312" w:hAnsi="仿宋_GB2312" w:cs="仿宋_GB2312" w:eastAsia="仿宋_GB2312"/>
          <w:sz w:val="24"/>
          <w:b/>
        </w:rPr>
        <w:t>5.3.6.最后报价</w:t>
      </w:r>
    </w:p>
    <w:p>
      <w:pPr>
        <w:pStyle w:val="null3"/>
        <w:ind w:firstLine="480"/>
      </w:pPr>
      <w:r>
        <w:rPr>
          <w:rFonts w:ascii="仿宋_GB2312" w:hAnsi="仿宋_GB2312" w:cs="仿宋_GB2312" w:eastAsia="仿宋_GB2312"/>
        </w:rPr>
        <w:t>一、协商结束后，协商小组可以根据协商情况要求供应商在规定时间内进行最后报价。协商小组开启报价后，供应商应随时关注交易系统信息，登录交易系统，通过“等候大厅”进行报价并签章后提交。</w:t>
      </w:r>
    </w:p>
    <w:p>
      <w:pPr>
        <w:pStyle w:val="null3"/>
        <w:ind w:firstLine="480"/>
      </w:pPr>
      <w:r>
        <w:rPr>
          <w:rFonts w:ascii="仿宋_GB2312" w:hAnsi="仿宋_GB2312" w:cs="仿宋_GB2312" w:eastAsia="仿宋_GB2312"/>
        </w:rPr>
        <w:t>二、供应商在未提高响应文件中承诺的标准情况下，其最后报价不得高于对该项目之前的报价，否则，协商小组将对其响应文件作无效处理，并通过交易系统告知供应商，说明理由。</w:t>
      </w:r>
    </w:p>
    <w:p>
      <w:pPr>
        <w:pStyle w:val="null3"/>
        <w:ind w:firstLine="480"/>
      </w:pPr>
      <w:r>
        <w:rPr>
          <w:rFonts w:ascii="仿宋_GB2312" w:hAnsi="仿宋_GB2312" w:cs="仿宋_GB2312" w:eastAsia="仿宋_GB2312"/>
        </w:rPr>
        <w:t>三、供应商未按协商小组要求在规定时间内提交报价的，视为无效响应，由供应商自行承担不利后果。</w:t>
      </w:r>
    </w:p>
    <w:p>
      <w:pPr>
        <w:pStyle w:val="null3"/>
        <w:ind w:firstLine="480"/>
      </w:pPr>
      <w:r>
        <w:rPr>
          <w:rFonts w:ascii="仿宋_GB2312" w:hAnsi="仿宋_GB2312" w:cs="仿宋_GB2312" w:eastAsia="仿宋_GB2312"/>
        </w:rPr>
        <w:t>四、最后报价提交后，供应商不得以任何理由撤回。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六、最后报价出现下列情况的，除采购文件另有规定外，按以下原则处理：</w:t>
      </w:r>
    </w:p>
    <w:p>
      <w:pPr>
        <w:pStyle w:val="null3"/>
        <w:ind w:firstLine="480"/>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pPr>
      <w:r>
        <w:rPr>
          <w:rFonts w:ascii="仿宋_GB2312" w:hAnsi="仿宋_GB2312" w:cs="仿宋_GB2312" w:eastAsia="仿宋_GB2312"/>
        </w:rPr>
        <w:t>七、供应商最后报价无效的，本次采购活动终止，并发布终止公告。</w:t>
      </w:r>
    </w:p>
    <w:p>
      <w:pPr>
        <w:pStyle w:val="null3"/>
        <w:jc w:val="left"/>
        <w:outlineLvl w:val="3"/>
      </w:pPr>
      <w:r>
        <w:rPr>
          <w:rFonts w:ascii="仿宋_GB2312" w:hAnsi="仿宋_GB2312" w:cs="仿宋_GB2312" w:eastAsia="仿宋_GB2312"/>
          <w:sz w:val="24"/>
          <w:b/>
        </w:rPr>
        <w:t>5.3.7.解释、澄清、说明的有关问题</w:t>
      </w:r>
    </w:p>
    <w:p>
      <w:pPr>
        <w:pStyle w:val="null3"/>
        <w:ind w:firstLine="480"/>
      </w:pPr>
      <w:r>
        <w:rPr>
          <w:rFonts w:ascii="仿宋_GB2312" w:hAnsi="仿宋_GB2312" w:cs="仿宋_GB2312" w:eastAsia="仿宋_GB2312"/>
        </w:rPr>
        <w:t>一、评审过程中，协商小组认为采购文件有关事项表述不明确或需要说明的，可以要求采购人或者代理机构书面解释。采购人或者代理机构的解释不得改变采购文件的原义或者影响公平、公正。</w:t>
      </w:r>
    </w:p>
    <w:p>
      <w:pPr>
        <w:pStyle w:val="null3"/>
        <w:ind w:firstLine="480"/>
      </w:pPr>
      <w:r>
        <w:rPr>
          <w:rFonts w:ascii="仿宋_GB2312" w:hAnsi="仿宋_GB2312" w:cs="仿宋_GB2312" w:eastAsia="仿宋_GB2312"/>
        </w:rPr>
        <w:t>二、对响应文件中含义不明确、同类问题表述不一致或者有明显文字和计算错误的内容，协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w:t>
      </w:r>
    </w:p>
    <w:p>
      <w:pPr>
        <w:pStyle w:val="null3"/>
        <w:ind w:firstLine="480"/>
      </w:pPr>
      <w:r>
        <w:rPr>
          <w:rFonts w:ascii="仿宋_GB2312" w:hAnsi="仿宋_GB2312" w:cs="仿宋_GB2312" w:eastAsia="仿宋_GB2312"/>
        </w:rPr>
        <w:t>三、代理机构宣布评审结束之前，供应商应通过交易系统随时关注消息提示，及时响应协商小组发出的澄清、说明或者更正要求。供应商未能及时响应的，自行承担不利后果。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5.3.8.代理机构现场复核评审结果</w:t>
      </w:r>
    </w:p>
    <w:p>
      <w:pPr>
        <w:pStyle w:val="null3"/>
        <w:ind w:firstLine="480"/>
        <w:jc w:val="left"/>
      </w:pPr>
      <w:r>
        <w:rPr>
          <w:rFonts w:ascii="仿宋_GB2312" w:hAnsi="仿宋_GB2312" w:cs="仿宋_GB2312" w:eastAsia="仿宋_GB2312"/>
        </w:rPr>
        <w:t>一、供应商最后报价结束后，协商小组拟出具协商报告前，代理机构应当组织2名以上的本单位工作人员，在采购现场监督人员的监督之下，依据有关的法律制度和采购文件对评审结果进行复核，出具复核报告。存在资格审查认定错误的，代理机构应当根据情况书面建议协商小组现场修改评审结果或者重新评审，由协商小组自主决定是否采纳代理机构的书面建议，并承担独立评审责任。</w:t>
      </w:r>
    </w:p>
    <w:p>
      <w:pPr>
        <w:pStyle w:val="null3"/>
        <w:ind w:firstLine="480"/>
        <w:jc w:val="left"/>
      </w:pPr>
      <w:r>
        <w:rPr>
          <w:rFonts w:ascii="仿宋_GB2312" w:hAnsi="仿宋_GB2312" w:cs="仿宋_GB2312" w:eastAsia="仿宋_GB2312"/>
        </w:rPr>
        <w:t>二、协商小组采纳代理机构书面建议的，应当按照规定现场通过交易系统修改评审结果或者重新评审，并在协商情况记录中详细记载有关事宜；不采纳代理机构书面建议的，应当书面说明理由。代理机构书面建议未被协商小组采纳的，应当按照规定程序要求继续组织实施采购活动，不得擅自中止采购活动。代理机构认为协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三、代理机构复核过程中，协商小组成员不得离开评审现场。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协商小组未按照采购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5.3.9.出具协商情况记录</w:t>
      </w:r>
    </w:p>
    <w:p>
      <w:pPr>
        <w:pStyle w:val="null3"/>
        <w:ind w:firstLine="480"/>
      </w:pPr>
      <w:r>
        <w:rPr>
          <w:rFonts w:ascii="仿宋_GB2312" w:hAnsi="仿宋_GB2312" w:cs="仿宋_GB2312" w:eastAsia="仿宋_GB2312"/>
        </w:rPr>
        <w:t>协商小组在交易系统中编制评审情况，出具协商情况记录。</w:t>
      </w:r>
    </w:p>
    <w:p>
      <w:pPr>
        <w:pStyle w:val="null3"/>
        <w:ind w:firstLine="480"/>
      </w:pPr>
      <w:r>
        <w:rPr>
          <w:rFonts w:ascii="仿宋_GB2312" w:hAnsi="仿宋_GB2312" w:cs="仿宋_GB2312" w:eastAsia="仿宋_GB2312"/>
        </w:rPr>
        <w:t>协商情况记录是协商小组根据全体成员签署的原始协商记录和协商结果编写的报告。主要内容包括：</w:t>
      </w:r>
    </w:p>
    <w:p>
      <w:pPr>
        <w:pStyle w:val="null3"/>
        <w:ind w:firstLine="480"/>
      </w:pPr>
      <w:r>
        <w:rPr>
          <w:rFonts w:ascii="仿宋_GB2312" w:hAnsi="仿宋_GB2312" w:cs="仿宋_GB2312" w:eastAsia="仿宋_GB2312"/>
        </w:rPr>
        <w:t>一、单一来源公示情况说明（属于《政府采购非招标采购方式管理办法》第三十八条规定情形的，必须包含公示情况说明）；</w:t>
      </w:r>
    </w:p>
    <w:p>
      <w:pPr>
        <w:pStyle w:val="null3"/>
        <w:ind w:firstLine="480"/>
      </w:pPr>
      <w:r>
        <w:rPr>
          <w:rFonts w:ascii="仿宋_GB2312" w:hAnsi="仿宋_GB2312" w:cs="仿宋_GB2312" w:eastAsia="仿宋_GB2312"/>
        </w:rPr>
        <w:t>二、协商日期和地点，协商小组成员名单；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协商情况记录应当由协商小组全体成员签字或加盖电子印章认可。对记录有异议的协商小组成员，应当签署不同意见并说明理由。协商小组成员拒绝在记录上签字又不书面说明其不同意见和理由的，视为同意。</w:t>
      </w:r>
    </w:p>
    <w:p>
      <w:pPr>
        <w:pStyle w:val="null3"/>
        <w:ind w:firstLine="480"/>
      </w:pPr>
      <w:r>
        <w:rPr>
          <w:rFonts w:ascii="仿宋_GB2312" w:hAnsi="仿宋_GB2312" w:cs="仿宋_GB2312" w:eastAsia="仿宋_GB2312"/>
        </w:rPr>
        <w:t>协商小组成员复核、确认各自评审意见，汇总形成评审结果，采购人或者代理机构按规定进行核对。复核、核对发现存在财政部规定应当修改评审结果的情形，协商小组、采购人、代理机构应当依法进行处理；复核、核对无误后，协商小组按规定编写、签署协商情况记录。</w:t>
      </w:r>
    </w:p>
    <w:p>
      <w:pPr>
        <w:pStyle w:val="null3"/>
        <w:jc w:val="left"/>
        <w:outlineLvl w:val="3"/>
      </w:pPr>
      <w:r>
        <w:rPr>
          <w:rFonts w:ascii="仿宋_GB2312" w:hAnsi="仿宋_GB2312" w:cs="仿宋_GB2312" w:eastAsia="仿宋_GB2312"/>
          <w:sz w:val="24"/>
          <w:b/>
        </w:rPr>
        <w:t>5.3.10.争议处理规则</w:t>
      </w:r>
    </w:p>
    <w:p>
      <w:pPr>
        <w:pStyle w:val="null3"/>
        <w:ind w:firstLine="480"/>
      </w:pPr>
      <w:r>
        <w:rPr>
          <w:rFonts w:ascii="仿宋_GB2312" w:hAnsi="仿宋_GB2312" w:cs="仿宋_GB2312" w:eastAsia="仿宋_GB2312"/>
        </w:rPr>
        <w:t>协商小组在协商过程中应当以少数服从多数的原则作出结论，但不得违反法律法规和采购文件规定。对协商情况记录有异议的，应当在协商情况记录上签署不同意见并说明理由，否则视为同意协商情况记录。持不同意见的协商小组成员认为认定过程和结果不符合法律法规或者采购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5.4.评审细则及标准</w:t>
      </w:r>
    </w:p>
    <w:p>
      <w:pPr>
        <w:pStyle w:val="null3"/>
        <w:jc w:val="left"/>
        <w:outlineLvl w:val="3"/>
      </w:pPr>
      <w:r>
        <w:rPr>
          <w:rFonts w:ascii="仿宋_GB2312" w:hAnsi="仿宋_GB2312" w:cs="仿宋_GB2312" w:eastAsia="仿宋_GB2312"/>
          <w:sz w:val="24"/>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价格分</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2"/>
      </w:pPr>
      <w:r>
        <w:rPr>
          <w:rFonts w:ascii="仿宋_GB2312" w:hAnsi="仿宋_GB2312" w:cs="仿宋_GB2312" w:eastAsia="仿宋_GB2312"/>
          <w:sz w:val="28"/>
          <w:b/>
        </w:rPr>
        <w:t>5.6.确定供应商成交</w:t>
      </w:r>
    </w:p>
    <w:p>
      <w:pPr>
        <w:pStyle w:val="null3"/>
        <w:ind w:firstLine="480"/>
        <w:jc w:val="left"/>
      </w:pPr>
      <w:r>
        <w:rPr>
          <w:rFonts w:ascii="仿宋_GB2312" w:hAnsi="仿宋_GB2312" w:cs="仿宋_GB2312" w:eastAsia="仿宋_GB2312"/>
        </w:rPr>
        <w:t>一、评审结束后，代理机构在评审结束后2个工作日内将协商情况记录送交采购人。</w:t>
      </w:r>
    </w:p>
    <w:p>
      <w:pPr>
        <w:pStyle w:val="null3"/>
        <w:jc w:val="left"/>
      </w:pPr>
      <w:r>
        <w:rPr>
          <w:rFonts w:ascii="仿宋_GB2312" w:hAnsi="仿宋_GB2312" w:cs="仿宋_GB2312" w:eastAsia="仿宋_GB2312"/>
        </w:rPr>
        <w:t>二、采购人应当自收到协商情况记录之日起5个工作日内，在协商情况记录确定的成交候选人名单中按顺序确定成交人，未按协商情况记录推荐的成交候选人顺序确定成交人，又不能说明合法理由的，视同按协商情况记录推荐的顺序确定排名第一的成交候选人为成交人。</w:t>
      </w:r>
    </w:p>
    <w:p>
      <w:pPr>
        <w:pStyle w:val="null3"/>
        <w:jc w:val="left"/>
      </w:pPr>
      <w:r>
        <w:rPr>
          <w:rFonts w:ascii="仿宋_GB2312" w:hAnsi="仿宋_GB2312" w:cs="仿宋_GB2312" w:eastAsia="仿宋_GB2312"/>
        </w:rPr>
        <w:t>三、采购人或者代理机构应当自确定之日起2个工作日内，在四川政府采购网公告成交结果，采购文件应当随成交结果同时公告。</w:t>
      </w:r>
    </w:p>
    <w:p>
      <w:pPr>
        <w:pStyle w:val="null3"/>
        <w:jc w:val="left"/>
        <w:outlineLvl w:val="2"/>
      </w:pPr>
      <w:r>
        <w:rPr>
          <w:rFonts w:ascii="仿宋_GB2312" w:hAnsi="仿宋_GB2312" w:cs="仿宋_GB2312" w:eastAsia="仿宋_GB2312"/>
          <w:sz w:val="28"/>
          <w:b/>
        </w:rPr>
        <w:t>5.7.协商小组义务</w:t>
      </w:r>
    </w:p>
    <w:p>
      <w:pPr>
        <w:pStyle w:val="null3"/>
        <w:ind w:firstLine="480"/>
        <w:jc w:val="left"/>
      </w:pPr>
      <w:r>
        <w:rPr>
          <w:rFonts w:ascii="仿宋_GB2312" w:hAnsi="仿宋_GB2312" w:cs="仿宋_GB2312" w:eastAsia="仿宋_GB2312"/>
        </w:rPr>
        <w:t>协商小组在政府采购活动中应当履行下列义务：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四、及时向监督管理部门报告评审过程中的违法违规情况，包括采购人、代理机构向专业人员作出倾向性、误导性的解释或者说明情况，供应商行贿、提供虚假材料或者串通情况，其他非法干预评审情况等；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五、发现采购文件内容违反国家有关强制性规定或者存在歧义、重大缺陷导致评审工作无法进行时，停止评审并通过交易系统向代理机构书面说明情况，说明停止评审的情形和具体理由；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5.8.协商小组成员工作纪律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一、严格遵守政府采购法律制度关于协商小组成员回避的规定。</w:t>
      </w:r>
    </w:p>
    <w:p>
      <w:pPr>
        <w:pStyle w:val="null3"/>
        <w:ind w:firstLine="480"/>
      </w:pPr>
      <w:r>
        <w:rPr>
          <w:rFonts w:ascii="仿宋_GB2312" w:hAnsi="仿宋_GB2312" w:cs="仿宋_GB2312" w:eastAsia="仿宋_GB2312"/>
        </w:rPr>
        <w:t>二、评审前，应当将通讯工具或者相关电子设备交由代理机构统一保管。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六、服从评审现场代理机构的现场秩序管理，接受评审现场监督人员的合法监督。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《协商文件》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