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版本号：N511701202500006920250328001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珠三角地区投资四川达州建圈强链“双招双引”暨供需合作推进会</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N5117012025000069</w:t>
      </w:r>
    </w:p>
    <w:p>
      <w:pPr>
        <w:pStyle w:val="null3"/>
        <w:jc w:val="center"/>
        <w:outlineLvl w:val="2"/>
      </w:pPr>
      <w:r>
        <w:rPr>
          <w:rFonts w:ascii="仿宋_GB2312" w:hAnsi="仿宋_GB2312" w:cs="仿宋_GB2312" w:eastAsia="仿宋_GB2312"/>
          <w:sz w:val="28"/>
          <w:b/>
        </w:rPr>
        <w:t>达州市经济合作和外事局</w:t>
      </w:r>
    </w:p>
    <w:p>
      <w:pPr>
        <w:pStyle w:val="null3"/>
        <w:jc w:val="center"/>
        <w:outlineLvl w:val="2"/>
      </w:pPr>
      <w:r>
        <w:rPr>
          <w:rFonts w:ascii="仿宋_GB2312" w:hAnsi="仿宋_GB2312" w:cs="仿宋_GB2312" w:eastAsia="仿宋_GB2312"/>
          <w:sz w:val="28"/>
          <w:b/>
        </w:rPr>
        <w:t>四川致诚融一工程项目管理有限公司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2025年03月28日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四川致诚融一工程项目管理有限公司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达州市经济合作和外事局</w:t>
      </w:r>
      <w:r>
        <w:rPr>
          <w:rFonts w:ascii="仿宋_GB2312" w:hAnsi="仿宋_GB2312" w:cs="仿宋_GB2312" w:eastAsia="仿宋_GB2312"/>
        </w:rPr>
        <w:t xml:space="preserve"> 委托，拟对 </w:t>
      </w:r>
      <w:r>
        <w:rPr>
          <w:rFonts w:ascii="仿宋_GB2312" w:hAnsi="仿宋_GB2312" w:cs="仿宋_GB2312" w:eastAsia="仿宋_GB2312"/>
        </w:rPr>
        <w:t>珠三角地区投资四川达州建圈强链“双招双引”暨供需合作推进会</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达州市市本级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N5117012025000069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珠三角地区投资四川达州建圈强链“双招双引”暨供需合作推进会</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通过举办珠三角地区投资四川·达州建圈强链“双招双引”暨供需合作推进会，聚焦智能装备制造、电子信息、低空经济及航空三大重点领域，吸引更多的投资和人才进入达州。</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达州市经济合作和外事局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达州市市政中心综合楼8楼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0818-3091276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四川致诚融一工程项目管理有限公司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达州市达川区汉兴街道港捷国际酒店十四楼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雷女士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0818-8113888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采购包1：530,000.00元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四川省政府采购营商环境指标提升专项行动工作方案》中以“成本+合理利润”原则，参照《关于印发招标代理服务收费管理暂行办法的通知》（计价格【2002】1980号）规定的标准进行收取。代理服务费金额为：8000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达州市经济合作和外事局</w:t>
      </w:r>
      <w:r>
        <w:rPr>
          <w:rFonts w:ascii="仿宋_GB2312" w:hAnsi="仿宋_GB2312" w:cs="仿宋_GB2312" w:eastAsia="仿宋_GB2312"/>
        </w:rPr>
        <w:t xml:space="preserve"> 和 </w:t>
      </w:r>
      <w:r>
        <w:rPr>
          <w:rFonts w:ascii="仿宋_GB2312" w:hAnsi="仿宋_GB2312" w:cs="仿宋_GB2312" w:eastAsia="仿宋_GB2312"/>
        </w:rPr>
        <w:t>四川致诚融一工程项目管理有限公司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达州市经济合作和外事局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四川致诚融一工程项目管理有限公司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供应商完成所有工作服务内容</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按照采购文件技术服务要求以及投标供应商响应文件内容进行验收。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按照采购文件商务服务要求以及投标供应商响应文件内容进行验收。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采购人将严格按照政府采购相关法律法规、《财政部关于进一步加强政府采购需求和履约验收管理的指导意见》（财库〔2016〕205号）、《政府采购需求管理办法》（财库〔2021〕22 号）的要求，及磋商文件要求、成交供应商的响应文件及承诺以及合同约定标准组织相关部门或单位进行验收。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达州市经济合作和外事局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四川致诚融一工程项目管理有限公司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四川致诚融一工程项目管理有限公司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联系人：闫老师</w:t>
      </w:r>
    </w:p>
    <w:p>
      <w:pPr>
        <w:pStyle w:val="null3"/>
        <w:jc w:val="left"/>
      </w:pPr>
      <w:r>
        <w:rPr>
          <w:rFonts w:ascii="仿宋_GB2312" w:hAnsi="仿宋_GB2312" w:cs="仿宋_GB2312" w:eastAsia="仿宋_GB2312"/>
        </w:rPr>
        <w:t>联系电话：0818-3091276</w:t>
      </w:r>
    </w:p>
    <w:p>
      <w:pPr>
        <w:pStyle w:val="null3"/>
        <w:jc w:val="left"/>
      </w:pPr>
      <w:r>
        <w:rPr>
          <w:rFonts w:ascii="仿宋_GB2312" w:hAnsi="仿宋_GB2312" w:cs="仿宋_GB2312" w:eastAsia="仿宋_GB2312"/>
        </w:rPr>
        <w:t>地址：达州市市政中心综合楼8楼</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联系人：雷女士</w:t>
      </w:r>
    </w:p>
    <w:p>
      <w:pPr>
        <w:pStyle w:val="null3"/>
        <w:jc w:val="left"/>
      </w:pPr>
      <w:r>
        <w:rPr>
          <w:rFonts w:ascii="仿宋_GB2312" w:hAnsi="仿宋_GB2312" w:cs="仿宋_GB2312" w:eastAsia="仿宋_GB2312"/>
        </w:rPr>
        <w:t>联系电话：0818-8113888</w:t>
      </w:r>
    </w:p>
    <w:p>
      <w:pPr>
        <w:pStyle w:val="null3"/>
        <w:jc w:val="left"/>
      </w:pPr>
      <w:r>
        <w:rPr>
          <w:rFonts w:ascii="仿宋_GB2312" w:hAnsi="仿宋_GB2312" w:cs="仿宋_GB2312" w:eastAsia="仿宋_GB2312"/>
        </w:rPr>
        <w:t>地址：达州市达川区汉兴街道港捷国际酒店十四楼</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530,000.00</w:t>
      </w:r>
    </w:p>
    <w:p>
      <w:pPr>
        <w:pStyle w:val="null3"/>
        <w:jc w:val="left"/>
      </w:pPr>
      <w:r>
        <w:rPr>
          <w:rFonts w:ascii="仿宋_GB2312" w:hAnsi="仿宋_GB2312" w:cs="仿宋_GB2312" w:eastAsia="仿宋_GB2312"/>
        </w:rPr>
        <w:t>采购包最高限价（元）: 530,000.00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C22990000 其他会议、展览、住宿和餐饮服务</w:t>
            </w:r>
          </w:p>
        </w:tc>
        <w:tc>
          <w:tcPr>
            <w:tcW w:type="dxa" w:w="821"/>
          </w:tcPr>
          <w:p>
            <w:pPr>
              <w:pStyle w:val="null3"/>
              <w:jc w:val="left"/>
            </w:pPr>
            <w:r>
              <w:rPr>
                <w:rFonts w:ascii="仿宋_GB2312" w:hAnsi="仿宋_GB2312" w:cs="仿宋_GB2312" w:eastAsia="仿宋_GB2312"/>
              </w:rPr>
              <w:t>珠三角地区投资四川达州建圈强链“双招双引”暨供需合作推进会</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530,000.00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珠三角地区投资四川达州建圈强链“双招双引”暨供需合作推进会</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标的名称：珠三角地区投资四川达州建圈强链“双招双引”暨供需合作推进会</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b/>
                <w:color w:val="000000"/>
              </w:rPr>
              <w:t>（一）服务内容</w:t>
            </w:r>
          </w:p>
          <w:p>
            <w:pPr>
              <w:pStyle w:val="null3"/>
              <w:ind w:firstLine="480"/>
              <w:jc w:val="left"/>
            </w:pPr>
            <w:r>
              <w:rPr>
                <w:rFonts w:ascii="仿宋_GB2312" w:hAnsi="仿宋_GB2312" w:cs="仿宋_GB2312" w:eastAsia="仿宋_GB2312"/>
                <w:sz w:val="24"/>
                <w:color w:val="000000"/>
              </w:rPr>
              <w:t>1、负责活动的策划执行工作。负责活动整体方案筹划及执行，物品租赁及物料制作等保障，会议相关设备保障（灯光、音响、屏幕、电子签约设备等及配套控台灯），视觉设计（包括主视觉及延展、舞台、现场动线、氛围营造、印刷品等），人员服务（礼仪、控台人员、摄影摄像等）等。</w:t>
            </w:r>
          </w:p>
          <w:p>
            <w:pPr>
              <w:pStyle w:val="null3"/>
              <w:jc w:val="left"/>
            </w:pPr>
            <w:r>
              <w:rPr>
                <w:rFonts w:ascii="仿宋_GB2312" w:hAnsi="仿宋_GB2312" w:cs="仿宋_GB2312" w:eastAsia="仿宋_GB2312"/>
                <w:sz w:val="24"/>
                <w:b/>
                <w:color w:val="000000"/>
              </w:rPr>
              <w:t>（二）会场布置要求</w:t>
            </w:r>
          </w:p>
          <w:p>
            <w:pPr>
              <w:pStyle w:val="null3"/>
              <w:ind w:firstLine="480"/>
              <w:jc w:val="left"/>
            </w:pPr>
            <w:r>
              <w:rPr>
                <w:rFonts w:ascii="仿宋_GB2312" w:hAnsi="仿宋_GB2312" w:cs="仿宋_GB2312" w:eastAsia="仿宋_GB2312"/>
                <w:sz w:val="24"/>
                <w:color w:val="000000"/>
              </w:rPr>
              <w:t>1、主会场LED屏幕搭建（具体形式按现场需要搭建）；</w:t>
            </w:r>
          </w:p>
          <w:p>
            <w:pPr>
              <w:pStyle w:val="null3"/>
              <w:ind w:firstLine="480"/>
              <w:jc w:val="left"/>
            </w:pPr>
            <w:r>
              <w:rPr>
                <w:rFonts w:ascii="仿宋_GB2312" w:hAnsi="仿宋_GB2312" w:cs="仿宋_GB2312" w:eastAsia="仿宋_GB2312"/>
                <w:sz w:val="24"/>
                <w:color w:val="000000"/>
              </w:rPr>
              <w:t>2、主背景板设计制作与搭建；</w:t>
            </w:r>
          </w:p>
          <w:p>
            <w:pPr>
              <w:pStyle w:val="null3"/>
              <w:ind w:firstLine="480"/>
              <w:jc w:val="left"/>
            </w:pPr>
            <w:r>
              <w:rPr>
                <w:rFonts w:ascii="仿宋_GB2312" w:hAnsi="仿宋_GB2312" w:cs="仿宋_GB2312" w:eastAsia="仿宋_GB2312"/>
                <w:sz w:val="24"/>
                <w:color w:val="000000"/>
              </w:rPr>
              <w:t>3、主会场设计与布置，主席台设计与制作；</w:t>
            </w:r>
          </w:p>
          <w:p>
            <w:pPr>
              <w:pStyle w:val="null3"/>
              <w:ind w:firstLine="480"/>
              <w:jc w:val="left"/>
            </w:pPr>
            <w:r>
              <w:rPr>
                <w:rFonts w:ascii="仿宋_GB2312" w:hAnsi="仿宋_GB2312" w:cs="仿宋_GB2312" w:eastAsia="仿宋_GB2312"/>
                <w:sz w:val="24"/>
                <w:color w:val="000000"/>
              </w:rPr>
              <w:t>4、背景板设计与制作；</w:t>
            </w:r>
          </w:p>
          <w:p>
            <w:pPr>
              <w:pStyle w:val="null3"/>
              <w:ind w:firstLine="480"/>
              <w:jc w:val="left"/>
            </w:pPr>
            <w:r>
              <w:rPr>
                <w:rFonts w:ascii="仿宋_GB2312" w:hAnsi="仿宋_GB2312" w:cs="仿宋_GB2312" w:eastAsia="仿宋_GB2312"/>
                <w:sz w:val="24"/>
                <w:color w:val="000000"/>
              </w:rPr>
              <w:t>5、演讲台设计与制作；</w:t>
            </w:r>
          </w:p>
          <w:p>
            <w:pPr>
              <w:pStyle w:val="null3"/>
              <w:ind w:firstLine="480"/>
              <w:jc w:val="left"/>
            </w:pPr>
            <w:r>
              <w:rPr>
                <w:rFonts w:ascii="仿宋_GB2312" w:hAnsi="仿宋_GB2312" w:cs="仿宋_GB2312" w:eastAsia="仿宋_GB2312"/>
                <w:sz w:val="24"/>
                <w:color w:val="000000"/>
              </w:rPr>
              <w:t>6、主会场、沙发、茶几配置及租赁；</w:t>
            </w:r>
          </w:p>
          <w:p>
            <w:pPr>
              <w:pStyle w:val="null3"/>
              <w:ind w:firstLine="480"/>
              <w:jc w:val="left"/>
            </w:pPr>
            <w:r>
              <w:rPr>
                <w:rFonts w:ascii="仿宋_GB2312" w:hAnsi="仿宋_GB2312" w:cs="仿宋_GB2312" w:eastAsia="仿宋_GB2312"/>
                <w:sz w:val="24"/>
                <w:color w:val="000000"/>
              </w:rPr>
              <w:t>7、签到区域背景板设计制作与搭建；</w:t>
            </w:r>
          </w:p>
          <w:p>
            <w:pPr>
              <w:pStyle w:val="null3"/>
              <w:ind w:firstLine="480"/>
              <w:jc w:val="left"/>
            </w:pPr>
            <w:r>
              <w:rPr>
                <w:rFonts w:ascii="仿宋_GB2312" w:hAnsi="仿宋_GB2312" w:cs="仿宋_GB2312" w:eastAsia="仿宋_GB2312"/>
                <w:sz w:val="24"/>
                <w:color w:val="000000"/>
              </w:rPr>
              <w:t>8、会场户外欢迎背景板设计、制作与搭建；</w:t>
            </w:r>
          </w:p>
          <w:p>
            <w:pPr>
              <w:pStyle w:val="null3"/>
              <w:ind w:firstLine="480"/>
              <w:jc w:val="left"/>
            </w:pPr>
            <w:r>
              <w:rPr>
                <w:rFonts w:ascii="仿宋_GB2312" w:hAnsi="仿宋_GB2312" w:cs="仿宋_GB2312" w:eastAsia="仿宋_GB2312"/>
                <w:sz w:val="24"/>
                <w:color w:val="000000"/>
              </w:rPr>
              <w:t>9、酒店内部氛围营造，酒店内欢迎背景板、主会场外走廊设计及布置；</w:t>
            </w:r>
          </w:p>
          <w:p>
            <w:pPr>
              <w:pStyle w:val="null3"/>
              <w:ind w:firstLine="480"/>
              <w:jc w:val="left"/>
            </w:pPr>
            <w:r>
              <w:rPr>
                <w:rFonts w:ascii="仿宋_GB2312" w:hAnsi="仿宋_GB2312" w:cs="仿宋_GB2312" w:eastAsia="仿宋_GB2312"/>
                <w:sz w:val="24"/>
                <w:color w:val="000000"/>
              </w:rPr>
              <w:t>10、大会物料设计制作，座次图、桌卡桌牌、椅背贴、邀请函、参会证件、会议指南；</w:t>
            </w:r>
          </w:p>
          <w:p>
            <w:pPr>
              <w:pStyle w:val="null3"/>
              <w:ind w:firstLine="480"/>
              <w:jc w:val="left"/>
            </w:pPr>
            <w:r>
              <w:rPr>
                <w:rFonts w:ascii="仿宋_GB2312" w:hAnsi="仿宋_GB2312" w:cs="仿宋_GB2312" w:eastAsia="仿宋_GB2312"/>
                <w:sz w:val="24"/>
                <w:color w:val="000000"/>
              </w:rPr>
              <w:t>11、灯光、音响、摄像、现场导播。需设置灯光架、灯光控制台、摄像、音响架、音控间、LED控制台，现场导播（同步转播上屏），线阵音响（会议专用音响）。</w:t>
            </w:r>
          </w:p>
          <w:p>
            <w:pPr>
              <w:pStyle w:val="null3"/>
              <w:ind w:firstLine="480"/>
              <w:jc w:val="left"/>
            </w:pPr>
            <w:r>
              <w:rPr>
                <w:rFonts w:ascii="仿宋_GB2312" w:hAnsi="仿宋_GB2312" w:cs="仿宋_GB2312" w:eastAsia="仿宋_GB2312"/>
                <w:sz w:val="24"/>
                <w:color w:val="000000"/>
              </w:rPr>
              <w:t>12、会场礼仪人员、会场劳务人员。</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、会场要求结构安全稳固要求。</w:t>
            </w:r>
          </w:p>
          <w:p>
            <w:pPr>
              <w:pStyle w:val="null3"/>
              <w:jc w:val="left"/>
            </w:pPr>
            <w:r>
              <w:rPr>
                <w:rFonts w:ascii="仿宋_GB2312" w:hAnsi="仿宋_GB2312" w:cs="仿宋_GB2312" w:eastAsia="仿宋_GB2312"/>
                <w:sz w:val="24"/>
                <w:b/>
                <w:color w:val="000000"/>
              </w:rPr>
              <w:t>（三）服务标准</w:t>
            </w:r>
          </w:p>
          <w:p>
            <w:pPr>
              <w:pStyle w:val="null3"/>
              <w:ind w:firstLine="480"/>
              <w:jc w:val="left"/>
            </w:pPr>
            <w:r>
              <w:rPr>
                <w:rFonts w:ascii="仿宋_GB2312" w:hAnsi="仿宋_GB2312" w:cs="仿宋_GB2312" w:eastAsia="仿宋_GB2312"/>
                <w:sz w:val="24"/>
                <w:color w:val="000000"/>
              </w:rPr>
              <w:t>1、符合法律法规，项目主管部门、监督管理部门的相关要求。</w:t>
            </w:r>
          </w:p>
          <w:p>
            <w:pPr>
              <w:pStyle w:val="null3"/>
              <w:ind w:firstLine="480"/>
              <w:jc w:val="left"/>
            </w:pPr>
            <w:r>
              <w:rPr>
                <w:rFonts w:ascii="仿宋_GB2312" w:hAnsi="仿宋_GB2312" w:cs="仿宋_GB2312" w:eastAsia="仿宋_GB2312"/>
                <w:sz w:val="24"/>
                <w:color w:val="000000"/>
              </w:rPr>
              <w:t>2、符合采购人对本项目开展实施的实际要求，并满足项目验收相关标准。</w:t>
            </w:r>
          </w:p>
          <w:p>
            <w:pPr>
              <w:pStyle w:val="null3"/>
              <w:spacing w:before="105" w:after="105"/>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rPr>
              <w:t>1、在合同履行期间供应商应注意自身安全，加强安全防护措施，在此期间发生的一切安全事故由供应商自行负责。</w:t>
            </w:r>
            <w:r>
              <w:rPr>
                <w:rFonts w:ascii="仿宋_GB2312" w:hAnsi="仿宋_GB2312" w:cs="仿宋_GB2312" w:eastAsia="仿宋_GB2312"/>
                <w:b/>
              </w:rPr>
              <w:t>（提供承诺函）</w:t>
            </w:r>
          </w:p>
          <w:p>
            <w:pPr>
              <w:pStyle w:val="null3"/>
              <w:jc w:val="left"/>
            </w:pPr>
            <w:r>
              <w:rPr>
                <w:rFonts w:ascii="仿宋_GB2312" w:hAnsi="仿宋_GB2312" w:cs="仿宋_GB2312" w:eastAsia="仿宋_GB2312"/>
              </w:rPr>
              <w:t>2、本项目产生的所有的成果资料（文字、图片等）相关知识产权归采购人所有,项目承担单位及员工个人不得擅自对外发表、出版。</w:t>
            </w:r>
            <w:r>
              <w:rPr>
                <w:rFonts w:ascii="仿宋_GB2312" w:hAnsi="仿宋_GB2312" w:cs="仿宋_GB2312" w:eastAsia="仿宋_GB2312"/>
                <w:b/>
              </w:rPr>
              <w:t>（提供承诺函）</w:t>
            </w:r>
          </w:p>
          <w:p>
            <w:pPr>
              <w:pStyle w:val="null3"/>
              <w:jc w:val="left"/>
            </w:pPr>
            <w:r>
              <w:rPr>
                <w:rFonts w:ascii="仿宋_GB2312" w:hAnsi="仿宋_GB2312" w:cs="仿宋_GB2312" w:eastAsia="仿宋_GB2312"/>
              </w:rPr>
              <w:t>3、供应商对本项目的报价为包干价，包括供应商完成本项目服务产生的一切费用。报价包括：供应商管理费、供应商所有人工费用（工资、加班费、服装费、税费等全部费用）。若在服务期限内采购人因会场人数增多导致所需物料费用及人工费用将发生浮动，供应商报价时须充分考虑由此导致的费用变动。服务期限内不得要求采购人增加费用支出。</w:t>
            </w:r>
            <w:r>
              <w:rPr>
                <w:rFonts w:ascii="仿宋_GB2312" w:hAnsi="仿宋_GB2312" w:cs="仿宋_GB2312" w:eastAsia="仿宋_GB2312"/>
                <w:b/>
              </w:rPr>
              <w:t>（提供承诺函）</w:t>
            </w:r>
          </w:p>
          <w:p>
            <w:pPr>
              <w:pStyle w:val="null3"/>
              <w:jc w:val="left"/>
            </w:pPr>
            <w:r>
              <w:rPr>
                <w:rFonts w:ascii="仿宋_GB2312" w:hAnsi="仿宋_GB2312" w:cs="仿宋_GB2312" w:eastAsia="仿宋_GB2312"/>
              </w:rPr>
              <w:t>4、供应商为本项目配备的服务团队人员，在项目实施过程中不得随意更换，若因不可抗力原因确需更换人员，则更换的人员与原配备人员需有同等专业资质和水平，并且需经采购人同意方可更换。</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广东省</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采购人将严格按照政府采购相关法律法规、《财政部关于进一步加强政府采购需求和履约验收管理的指导意见》（财库〔2016〕205号）、《政府采购需求管理办法》（财库〔2021〕22 号）的要求，及磋商文件要求、成交供应商的响应文件及承诺以及合同约定标准组织相关部门或单位进行验收。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1、供应商完成所有工作服务内容且采购人验收合格后，达到付款条件起7日内，支付合同总金额的100.00%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（1）采购人与供应商双方必须遵守本合同并执行合同中的各项规定，保证本合同的合法正常履行。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不可抗力任何一方由于不可抗力原因不能履行合同时，应在不可抗力事件结束后 1 日内向对方通报，以减轻可能给对方造成的损失，在取得有关机构的不可抗力证明或双方谅解确认后，允许延期履行或修订合同，并根据情况可部分或全部免于承担违约责任。 （3）争议的解决在执行本合同中发生的或与本合同有关的争端，双方应通过友好协商解决，经协商在不能达成协议时，应选择以下解决方式： 向采购人所在地有管辖权的法院提起诉讼。 在法院审理和仲裁期间，除有争议部分外，本合同其他部分可以履行的仍应按合同条款继续履行。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其他未尽事宜：以国家现行法律、法规，规范、标准以及双方签订的合同为准。（如本项目采用相关法律、法规及规范、 标准发生矛盾时，以最新法律法规及规范、标准执行。）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在获得采购人代表确认的前提下，可以根据磋商情况实质性变动相关内容。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合同主要条款</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提供截至响应文件提交截止之日前两年内，经审计的财务报告（包含审计报告和审计报告中所涉及的财务报表和报表附注）。未经审计的提供财务报告（包括资产负债表、利润表、现金流量表、所有者权益变动表及其附注）。2、供应商注册时间截至响应文件提交截止之日前不足一年的，也可提供在相关主管部门备案的公司章程等证明材料。3、供应商提供健全的公司财务制度。供应商需在使用投标(响应)客户端编制响应文件时，按要求上传相应证明材料并进行电子签章。（注：供应商根据自身情况选择提供其中任意一项）</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商务要求应答</w:t>
            </w:r>
          </w:p>
        </w:tc>
        <w:tc>
          <w:tcPr>
            <w:tcW w:type="dxa" w:w="3322"/>
          </w:tcPr>
          <w:p>
            <w:pPr>
              <w:pStyle w:val="null3"/>
              <w:jc w:val="left"/>
            </w:pPr>
            <w:r>
              <w:rPr>
                <w:rFonts w:ascii="仿宋_GB2312" w:hAnsi="仿宋_GB2312" w:cs="仿宋_GB2312" w:eastAsia="仿宋_GB2312"/>
              </w:rPr>
              <w:t>供应商按照竞争性磋商文件3.3.2.商务要求进行响应。</w:t>
            </w:r>
          </w:p>
        </w:tc>
        <w:tc>
          <w:tcPr>
            <w:tcW w:type="dxa" w:w="1910"/>
          </w:tcPr>
          <w:p>
            <w:pPr>
              <w:pStyle w:val="null3"/>
              <w:jc w:val="left"/>
            </w:pPr>
            <w:r>
              <w:rPr>
                <w:rFonts w:ascii="仿宋_GB2312" w:hAnsi="仿宋_GB2312" w:cs="仿宋_GB2312" w:eastAsia="仿宋_GB2312"/>
              </w:rPr>
              <w:t>商务应答表.docx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 xml:space="preserve"> 技术、服务和其他要求应答</w:t>
            </w:r>
          </w:p>
        </w:tc>
        <w:tc>
          <w:tcPr>
            <w:tcW w:type="dxa" w:w="3322"/>
          </w:tcPr>
          <w:p>
            <w:pPr>
              <w:pStyle w:val="null3"/>
              <w:jc w:val="left"/>
            </w:pPr>
            <w:r>
              <w:rPr>
                <w:rFonts w:ascii="仿宋_GB2312" w:hAnsi="仿宋_GB2312" w:cs="仿宋_GB2312" w:eastAsia="仿宋_GB2312"/>
              </w:rPr>
              <w:t>供应商按照竞争性磋商文件3.2/3.3.1技术要求进行响应</w:t>
            </w:r>
          </w:p>
        </w:tc>
        <w:tc>
          <w:tcPr>
            <w:tcW w:type="dxa" w:w="1910"/>
          </w:tcPr>
          <w:p>
            <w:pPr>
              <w:pStyle w:val="null3"/>
              <w:jc w:val="left"/>
            </w:pPr>
            <w:r>
              <w:rPr>
                <w:rFonts w:ascii="仿宋_GB2312" w:hAnsi="仿宋_GB2312" w:cs="仿宋_GB2312" w:eastAsia="仿宋_GB2312"/>
              </w:rPr>
              <w:t>技术、服务要求应答表.docx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活动方案、舞台方案、展区方案、应急服务方案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活动方案</w:t>
            </w:r>
          </w:p>
        </w:tc>
        <w:tc>
          <w:tcPr>
            <w:tcW w:type="dxa" w:w="2575"/>
          </w:tcPr>
          <w:p>
            <w:pPr>
              <w:pStyle w:val="null3"/>
              <w:jc w:val="left"/>
            </w:pPr>
            <w:r>
              <w:rPr>
                <w:rFonts w:ascii="仿宋_GB2312" w:hAnsi="仿宋_GB2312" w:cs="仿宋_GB2312" w:eastAsia="仿宋_GB2312"/>
              </w:rPr>
              <w:t>根据投标供应商针对本项目提供的活动方案包含：（①活动主题策划；②主画面设计、logo设计理念及诠释；③布展物料设计；④布展风格；⑤设计效果图（功能划分、以合理性及美观度，呈现效果）；⑥活动会议流程；⑦活动氛围营造；⑧人员配置及分工；⑨执行保障；⑩质量效果及保障措施。）对以上10项方案进行综合评审：完全满足采购需求的得40分，每缺少一项方案内容扣4分，每有一项方案内容存在缺陷或不满足的扣2分，扣完为止。注:内容存在缺陷或不满足是指：1.内容与项目无关且不匹配；2.项目名称不符或内容涉及的规范或标准与国家或行业或采购文件要求不一致；3.方案内容前后不一致或内容表述错误不清或语义混乱不连贯；4.方案条理结构混乱或仅有框架或标题；5.内容不适用本项目实际需求等情况。</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活动方案.docx</w:t>
            </w:r>
          </w:p>
        </w:tc>
      </w:tr>
      <w:tr>
        <w:tc>
          <w:tcPr>
            <w:tcW w:type="dxa" w:w="831"/>
            <w:vMerge/>
          </w:tcPr>
          <w:p/>
        </w:tc>
        <w:tc>
          <w:tcPr>
            <w:tcW w:type="dxa" w:w="1661"/>
          </w:tcPr>
          <w:p>
            <w:pPr>
              <w:pStyle w:val="null3"/>
              <w:jc w:val="left"/>
            </w:pPr>
            <w:r>
              <w:rPr>
                <w:rFonts w:ascii="仿宋_GB2312" w:hAnsi="仿宋_GB2312" w:cs="仿宋_GB2312" w:eastAsia="仿宋_GB2312"/>
              </w:rPr>
              <w:t>舞台方案</w:t>
            </w:r>
          </w:p>
        </w:tc>
        <w:tc>
          <w:tcPr>
            <w:tcW w:type="dxa" w:w="2575"/>
          </w:tcPr>
          <w:p>
            <w:pPr>
              <w:pStyle w:val="null3"/>
              <w:jc w:val="left"/>
            </w:pPr>
            <w:r>
              <w:rPr>
                <w:rFonts w:ascii="仿宋_GB2312" w:hAnsi="仿宋_GB2312" w:cs="仿宋_GB2312" w:eastAsia="仿宋_GB2312"/>
              </w:rPr>
              <w:t>根据投标供应商针对本项目提供的舞台方案包含：（①舞美设计；②舞台搭建；③活动所需设备配备。）对以上3项方案进行综合评审：完全满足采购需求的得12分，每缺少一项方案内容扣4分，每有一项方案内容存在缺陷或不满足的扣2分，扣完为止。 注:内容存在缺陷或不满足是指：1.内容与项目无关且不匹配；2.项目名称不符或内容涉及的规范或标准与国家或行业或采购文件要求不一致；3.方案内容前后不一致或内容表述错误不清或语义混乱不连贯；4.方案条理结构混乱或仅有框架或标题；5.内容不适用本项目实际需求等情况。</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舞台方案.docx</w:t>
            </w:r>
          </w:p>
        </w:tc>
      </w:tr>
      <w:tr>
        <w:tc>
          <w:tcPr>
            <w:tcW w:type="dxa" w:w="831"/>
            <w:vMerge/>
          </w:tcPr>
          <w:p/>
        </w:tc>
        <w:tc>
          <w:tcPr>
            <w:tcW w:type="dxa" w:w="1661"/>
          </w:tcPr>
          <w:p>
            <w:pPr>
              <w:pStyle w:val="null3"/>
              <w:jc w:val="left"/>
            </w:pPr>
            <w:r>
              <w:rPr>
                <w:rFonts w:ascii="仿宋_GB2312" w:hAnsi="仿宋_GB2312" w:cs="仿宋_GB2312" w:eastAsia="仿宋_GB2312"/>
              </w:rPr>
              <w:t>展区方案</w:t>
            </w:r>
          </w:p>
        </w:tc>
        <w:tc>
          <w:tcPr>
            <w:tcW w:type="dxa" w:w="2575"/>
          </w:tcPr>
          <w:p>
            <w:pPr>
              <w:pStyle w:val="null3"/>
              <w:jc w:val="left"/>
            </w:pPr>
            <w:r>
              <w:rPr>
                <w:rFonts w:ascii="仿宋_GB2312" w:hAnsi="仿宋_GB2312" w:cs="仿宋_GB2312" w:eastAsia="仿宋_GB2312"/>
              </w:rPr>
              <w:t>根据投标供应商针对本项目提供的展区方案包含：（①展区造型设计；②展区搭建；③展区主题。）对以上3项方案进行综合评审：完全满足采购需求的得12分，每缺少一项方案内容扣4分，每有一项方案内容存在缺陷或不满足的扣2分，扣完为止。注:内容存在缺陷或不满足是指：1.内容与项目无关且不匹配；2.项目名称不符或内容涉及的规范或标准与国家或行业或采购文件要求不一致；3.方案内容前后不一致或内容表述错误不清或语义混乱不连贯；4.方案条理结构混乱或仅有框架或标题；5.内容不适用本项目实际需求等情况。</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展区方案.docx</w:t>
            </w:r>
          </w:p>
        </w:tc>
      </w:tr>
      <w:tr>
        <w:tc>
          <w:tcPr>
            <w:tcW w:type="dxa" w:w="831"/>
            <w:vMerge/>
          </w:tcPr>
          <w:p/>
        </w:tc>
        <w:tc>
          <w:tcPr>
            <w:tcW w:type="dxa" w:w="1661"/>
          </w:tcPr>
          <w:p>
            <w:pPr>
              <w:pStyle w:val="null3"/>
              <w:jc w:val="left"/>
            </w:pPr>
            <w:r>
              <w:rPr>
                <w:rFonts w:ascii="仿宋_GB2312" w:hAnsi="仿宋_GB2312" w:cs="仿宋_GB2312" w:eastAsia="仿宋_GB2312"/>
              </w:rPr>
              <w:t>应急服务方案</w:t>
            </w:r>
          </w:p>
        </w:tc>
        <w:tc>
          <w:tcPr>
            <w:tcW w:type="dxa" w:w="2575"/>
          </w:tcPr>
          <w:p>
            <w:pPr>
              <w:pStyle w:val="null3"/>
              <w:jc w:val="left"/>
            </w:pPr>
            <w:r>
              <w:rPr>
                <w:rFonts w:ascii="仿宋_GB2312" w:hAnsi="仿宋_GB2312" w:cs="仿宋_GB2312" w:eastAsia="仿宋_GB2312"/>
              </w:rPr>
              <w:t>根据投标供应商针对本项目提供的应急服务方案包含：（①应急小组组建；②现场突发安全事件应急措施；③应急物资准备。）对以上3 项方案进行综合评审：完全满足采购需求的得6分，每缺少一项方案内容扣2分，每有一项方案内容存在缺陷或不满足的扣1分，扣完为止。注:内容存在缺陷或不满足是指：1.内容与项目无关且不匹配；2.项目名称不符或内容涉及的规范或标准与国家或行业或采购文件要求不一致；3.方案内容前后不一致或内容表述错误不清或语义混乱不连贯；4.方案条理结构混乱或仅有框架或标题；5.内容不适用本项目实际需求等情况。</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应急服务方案.docx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1、评审价格=响应报价。2、经价格调整后的评审价格=响应报价×（1-价格调整比例）3、基准价=经价格调整后评审价格的最低值。1. 经磋商小组评审，通过资格和符合性审查，且响应报价最低的供应商的响应报价作为评审基准价。2.响应报价得分=(评审基准价／响应报价)×分值。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详见附件：活动方案.docx</w:t>
      </w:r>
    </w:p>
    <w:p>
      <w:pPr>
        <w:pStyle w:val="null3"/>
        <w:ind w:firstLine="960"/>
        <w:jc w:val="left"/>
      </w:pPr>
      <w:r>
        <w:rPr>
          <w:rFonts w:ascii="仿宋_GB2312" w:hAnsi="仿宋_GB2312" w:cs="仿宋_GB2312" w:eastAsia="仿宋_GB2312"/>
        </w:rPr>
        <w:t>详见附件：展区方案.docx</w:t>
      </w:r>
    </w:p>
    <w:p>
      <w:pPr>
        <w:pStyle w:val="null3"/>
        <w:ind w:firstLine="960"/>
        <w:jc w:val="left"/>
      </w:pPr>
      <w:r>
        <w:rPr>
          <w:rFonts w:ascii="仿宋_GB2312" w:hAnsi="仿宋_GB2312" w:cs="仿宋_GB2312" w:eastAsia="仿宋_GB2312"/>
        </w:rPr>
        <w:t>详见附件：应急服务方案.docx</w:t>
      </w:r>
    </w:p>
    <w:p>
      <w:pPr>
        <w:pStyle w:val="null3"/>
        <w:ind w:firstLine="960"/>
        <w:jc w:val="left"/>
      </w:pPr>
      <w:r>
        <w:rPr>
          <w:rFonts w:ascii="仿宋_GB2312" w:hAnsi="仿宋_GB2312" w:cs="仿宋_GB2312" w:eastAsia="仿宋_GB2312"/>
        </w:rPr>
        <w:t>详见附件：舞台方案.docx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