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版本号：N511421202500005820250326001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四川省越溪河仁寿县防洪治理工程全过程造价咨询服务项目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N5114212025000058</w:t>
      </w:r>
    </w:p>
    <w:p>
      <w:pPr>
        <w:pStyle w:val="null3"/>
        <w:jc w:val="center"/>
        <w:outlineLvl w:val="2"/>
      </w:pPr>
      <w:r>
        <w:rPr>
          <w:rFonts w:ascii="仿宋_GB2312" w:hAnsi="仿宋_GB2312" w:cs="仿宋_GB2312" w:eastAsia="仿宋_GB2312"/>
          <w:sz w:val="28"/>
          <w:b/>
        </w:rPr>
        <w:t>仁寿县水利局</w:t>
      </w:r>
    </w:p>
    <w:p>
      <w:pPr>
        <w:pStyle w:val="null3"/>
        <w:jc w:val="center"/>
        <w:outlineLvl w:val="2"/>
      </w:pPr>
      <w:r>
        <w:rPr>
          <w:rFonts w:ascii="仿宋_GB2312" w:hAnsi="仿宋_GB2312" w:cs="仿宋_GB2312" w:eastAsia="仿宋_GB2312"/>
          <w:sz w:val="28"/>
          <w:b/>
        </w:rPr>
        <w:t>四川丰和工程管理有限公司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四川丰和工程管理有限公司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仁寿县水利局</w:t>
      </w:r>
      <w:r>
        <w:rPr>
          <w:rFonts w:ascii="仿宋_GB2312" w:hAnsi="仿宋_GB2312" w:cs="仿宋_GB2312" w:eastAsia="仿宋_GB2312"/>
        </w:rPr>
        <w:t xml:space="preserve"> 委托，拟对 </w:t>
      </w:r>
      <w:r>
        <w:rPr>
          <w:rFonts w:ascii="仿宋_GB2312" w:hAnsi="仿宋_GB2312" w:cs="仿宋_GB2312" w:eastAsia="仿宋_GB2312"/>
        </w:rPr>
        <w:t>四川省越溪河仁寿县防洪治理工程全过程造价咨询服务项目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眉山市仁寿县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N5114212025000058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四川省越溪河仁寿县防洪治理工程全过程造价咨询服务项目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四川省越溪河仁寿县防洪治理工程全过程造价咨询服务项目，建设地点：眉山市仁寿县；综合治理河长14.14km，新建护岸5.7km，河道规整5.52km。</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1、本项目专门面向中小企业采购（描述：本项目专门面向中小企业采购（提供中小企业声明函））</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仁寿县水利局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仁寿县文林镇南坛路二段92号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028-36241102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四川丰和工程管理有限公司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中国（四川）自由贸易试验区成都高新区益州大道中段722号3栋1单元30楼3002号附1号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028-86033211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采购包1：327,000.00元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代理服务费收费标准：本项目按照成本支出加合理利润的原则确定代理费服务费收费标准，招标代理服务费8000.00元，由中标（成交）供应商支付。</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仁寿县水利局</w:t>
      </w:r>
      <w:r>
        <w:rPr>
          <w:rFonts w:ascii="仿宋_GB2312" w:hAnsi="仿宋_GB2312" w:cs="仿宋_GB2312" w:eastAsia="仿宋_GB2312"/>
        </w:rPr>
        <w:t xml:space="preserve"> 和 </w:t>
      </w:r>
      <w:r>
        <w:rPr>
          <w:rFonts w:ascii="仿宋_GB2312" w:hAnsi="仿宋_GB2312" w:cs="仿宋_GB2312" w:eastAsia="仿宋_GB2312"/>
        </w:rPr>
        <w:t>四川丰和工程管理有限公司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仁寿县水利局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四川丰和工程管理有限公司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20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满足国家、地方相关规范、行业标准及采购文件要求。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满足国家、地方相关规范、行业标准及采购文件要求。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严格按照《财政部关于进一步加强政府采购需求和履约验收管理的指导意见》的通知（财库〔2016〕205号）文件的要求执行验收。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仁寿县水利局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四川丰和工程管理有限公司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四川丰和工程管理有限公司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联系电话：028-86033211、19940535657</w:t>
      </w:r>
    </w:p>
    <w:p>
      <w:pPr>
        <w:pStyle w:val="null3"/>
        <w:jc w:val="left"/>
      </w:pPr>
      <w:r>
        <w:rPr>
          <w:rFonts w:ascii="仿宋_GB2312" w:hAnsi="仿宋_GB2312" w:cs="仿宋_GB2312" w:eastAsia="仿宋_GB2312"/>
        </w:rPr>
        <w:t>地址：中国（四川）自由贸易试验区成都高新区益州大道中段722号3栋1单元30楼3002号附1号</w:t>
      </w:r>
    </w:p>
    <w:p>
      <w:pPr>
        <w:pStyle w:val="null3"/>
        <w:jc w:val="left"/>
      </w:pPr>
      <w:r>
        <w:rPr>
          <w:rFonts w:ascii="仿宋_GB2312" w:hAnsi="仿宋_GB2312" w:cs="仿宋_GB2312" w:eastAsia="仿宋_GB2312"/>
        </w:rPr>
        <w:t>邮编：610095</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327,000.00</w:t>
      </w:r>
    </w:p>
    <w:p>
      <w:pPr>
        <w:pStyle w:val="null3"/>
        <w:jc w:val="left"/>
      </w:pPr>
      <w:r>
        <w:rPr>
          <w:rFonts w:ascii="仿宋_GB2312" w:hAnsi="仿宋_GB2312" w:cs="仿宋_GB2312" w:eastAsia="仿宋_GB2312"/>
        </w:rPr>
        <w:t>采购包最高限价（元）: 327,000.00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C20039900 其他咨询服务</w:t>
            </w:r>
          </w:p>
        </w:tc>
        <w:tc>
          <w:tcPr>
            <w:tcW w:type="dxa" w:w="821"/>
          </w:tcPr>
          <w:p>
            <w:pPr>
              <w:pStyle w:val="null3"/>
              <w:jc w:val="left"/>
            </w:pPr>
            <w:r>
              <w:rPr>
                <w:rFonts w:ascii="仿宋_GB2312" w:hAnsi="仿宋_GB2312" w:cs="仿宋_GB2312" w:eastAsia="仿宋_GB2312"/>
              </w:rPr>
              <w:t>四川省越溪河仁寿县防洪治理工程全过程造价咨询服务项目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327,000.00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四川省越溪河仁寿县防洪治理工程全过程造价咨询服务项目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327,000.00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标的名称：四川省越溪河仁寿县防洪治理工程全过程造价咨询服务项目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项目技术、商务及其他要求</w:t>
            </w:r>
          </w:p>
        </w:tc>
        <w:tc>
          <w:tcPr>
            <w:tcW w:type="dxa" w:w="5814"/>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建设地点：眉山市仁寿县；综合治理河长14.14km，新建护岸5.7km，河道规整5.52km。</w:t>
            </w:r>
          </w:p>
          <w:p>
            <w:pPr>
              <w:pStyle w:val="null3"/>
              <w:ind w:firstLine="482"/>
              <w:jc w:val="both"/>
            </w:pPr>
            <w:r>
              <w:rPr>
                <w:rFonts w:ascii="仿宋_GB2312" w:hAnsi="仿宋_GB2312" w:cs="仿宋_GB2312" w:eastAsia="仿宋_GB2312"/>
                <w:sz w:val="24"/>
                <w:b/>
              </w:rPr>
              <w:t>二、服务内容及要求（实质性要求）：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、造价控制与审计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全程跟踪审计：对工程自立项至竣工的全过程实施审计，涵盖工程前期资料、建设手续、合同执行、资金使用等。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造价文件审核：严格把关工程量清单、招标控制价、投标报价、变更设计、签证、索赔等造价文件，确保费用合理合规。</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动态成本控制：建立并维护动态成本控制机制，根据工程进度、市场波动及项目实际情况，及时调整造价预算。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支付审核与监管：对工程预付款、进度款、结算款等支付申请进行严格审核，确保资金流动与工程进度和质量相匹配。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、施工过程控制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现场管理与监督：增加现场巡检频次，重点监控隐蔽工程及关键施工环节，确保施工活动符合设计要求及安全规范。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施工方案优化：参与施工方案评审，提出并实施优化建议，推动技术创新和工艺改进，提升施工效率和质量。</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质量与安全监督：与建设单位、监理单位紧密合作，共同监督施工现场的质量与安全状况，确保无重大质量事故和安全隐患。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进度管理：实时追踪施工进度，确保项目按计划推进。对于进度滞后情况，迅速分析原因并采取有效措施进行纠偏。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环境保护与文明施工：监督施工单位落实环保措施，减少施工对环境的负面影响，同时推动文明施工，提升项目形象。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、其他辅助工作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提供造价咨询、施工管理咨询等增值服务，助力项目各方提升管理水平。</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协助建设单位完成工程验收与结算工作，确保验收流程顺畅，结算结果准确无误。</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推动项目信息化建设，利用先进技术手段提高管理效率。</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定期组织培训与指导活动，提升过控团队及施工单位的专业能力。</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加强与设计、施工、监理等单位的沟通协调，确保信息传递畅通无阻，问题得到及时解决。</w:t>
            </w:r>
          </w:p>
          <w:p>
            <w:pPr>
              <w:pStyle w:val="null3"/>
              <w:ind w:firstLine="482"/>
              <w:jc w:val="both"/>
            </w:pPr>
            <w:r>
              <w:rPr>
                <w:rFonts w:ascii="仿宋_GB2312" w:hAnsi="仿宋_GB2312" w:cs="仿宋_GB2312" w:eastAsia="仿宋_GB2312"/>
                <w:sz w:val="24"/>
                <w:b/>
              </w:rPr>
              <w:t>三、商务及其他要求（实质性要求）：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、服务期限：</w:t>
            </w:r>
            <w:r>
              <w:rPr>
                <w:rFonts w:ascii="仿宋_GB2312" w:hAnsi="仿宋_GB2312" w:cs="仿宋_GB2312" w:eastAsia="仿宋_GB2312"/>
                <w:sz w:val="24"/>
              </w:rPr>
              <w:t>自开工之日起至项目质保验收通过之日止。（</w:t>
            </w:r>
            <w:r>
              <w:rPr>
                <w:rFonts w:ascii="仿宋_GB2312" w:hAnsi="仿宋_GB2312" w:cs="仿宋_GB2312" w:eastAsia="仿宋_GB2312"/>
                <w:sz w:val="24"/>
              </w:rPr>
              <w:t>服务期限预计为300个日历天）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、付款方式：合同签订后15个工作日内支付预付款，预付款为合同总金额的40%；项目完工验收后，按要求提供成果文件并归档后支付至合同金额的100%。</w:t>
            </w:r>
            <w:r>
              <w:rPr>
                <w:rFonts w:ascii="仿宋_GB2312" w:hAnsi="仿宋_GB2312" w:cs="仿宋_GB2312" w:eastAsia="仿宋_GB2312"/>
                <w:sz w:val="24"/>
                <w:shd w:fill="FFFFFF" w:val="clear"/>
              </w:rPr>
              <w:t>成交供应商须按采购人要求向采购人出具合法有效完整的完税发票等资料进行支付相应款项。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、报价要求：合同价款是供应商响应采购项目要求的全部工作内容的价格体现，包含完成本项目所涉及人员劳务、差旅、设备投入、检测、保险、风险、税金、利润、服务费以及磋商文件规定的一切费用。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安全责任：供应商须按有关规定采取严格的项目实施安全措施，承担由于自身安全措施不力造成的事故责任和因此发生的费用及后果。成交供应商投入本项目工作人员的人身安全由成交供应商负责。成交供应商应为本项目工作人员购买人身意外伤害险及与项目实施有关的一切保险。凡在项目实施过程中发生安全责任事故或其他责任事故，均由成交供应商承担全部民事和刑事责任，采购人概不负责。如因项目质量问题及更换不及时造成的人身伤害成交供应商应依法承担全部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、后续服务要求：</w:t>
            </w:r>
          </w:p>
          <w:p>
            <w:pPr>
              <w:pStyle w:val="null3"/>
              <w:ind w:firstLine="480"/>
              <w:jc w:val="both"/>
            </w:pPr>
            <w:r>
              <w:rPr>
                <w:rFonts w:ascii="仿宋_GB2312" w:hAnsi="仿宋_GB2312" w:cs="仿宋_GB2312" w:eastAsia="仿宋_GB2312"/>
                <w:sz w:val="24"/>
              </w:rPr>
              <w:t>（1）在提交成果后供应商应就本项目提供咨询等服务；</w:t>
            </w:r>
          </w:p>
          <w:p>
            <w:pPr>
              <w:pStyle w:val="null3"/>
              <w:ind w:firstLine="480"/>
              <w:jc w:val="both"/>
            </w:pPr>
            <w:r>
              <w:rPr>
                <w:rFonts w:ascii="仿宋_GB2312" w:hAnsi="仿宋_GB2312" w:cs="仿宋_GB2312" w:eastAsia="仿宋_GB2312"/>
                <w:sz w:val="24"/>
              </w:rPr>
              <w:t>（2）服务期限内出现问题，供应商必须即时响应，并在采购人要求合理时限内到达现场，并在采购人要求的合理时限内解决问题，现场解决不了的采取补救措施，以保证采购人的正常工作需求，成交供应商不得以任何理由影响正常使用。</w:t>
            </w:r>
          </w:p>
          <w:p>
            <w:pPr>
              <w:pStyle w:val="null3"/>
              <w:ind w:firstLine="480"/>
              <w:jc w:val="both"/>
            </w:pPr>
            <w:r>
              <w:rPr>
                <w:rFonts w:ascii="仿宋_GB2312" w:hAnsi="仿宋_GB2312" w:cs="仿宋_GB2312" w:eastAsia="仿宋_GB2312"/>
                <w:sz w:val="24"/>
              </w:rPr>
              <w:t>（3）本项目实施单位为仁寿县水利规划建设管理站，后续相关事宜按照采购文件、仁寿县水利局及仁寿县水利规划建设管理站要求执行，保证项目顺利实施并完成全部工作。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、保密要求：项目含保密成果的，成交供应商须做好保密工作，如出现泄密情况，由成交供应商承担相应责任。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采购人享有著作权，项目成果归采购人所有，供应商不得擅自对外发表、出版；确实因学术交流、职称评定等需要而要做发表的必须征得采购人书面授权许可，若因此带来的相关法律经济纠纷与采购人无关，供应商应自行承担全部法律和经济等相关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、本项目不组织现场勘查，但供应商应根据工作实际，自行组织现场勘察，综合考虑后进行报价。</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、验收标准：采购人严格按照《财政部关于进一步加强政府采购需求和履约验收管理的指导意见》的通知（财库〔2016〕205号）文件的要求执行验收。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自开工之日起至项目质保验收通过之日止。（服务期限预计为300个日历天）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采购人严格按照《财政部关于进一步加强政府采购需求和履约验收管理的指导意见》的通知（财库〔2016〕205号）文件的要求执行验收。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1、合同签订后，达到付款条件起15日内，支付合同总金额的40.00%</w:t>
            </w:r>
          </w:p>
          <w:p>
            <w:pPr>
              <w:pStyle w:val="null3"/>
              <w:jc w:val="left"/>
            </w:pPr>
            <w:r>
              <w:rPr>
                <w:rFonts w:ascii="仿宋_GB2312" w:hAnsi="仿宋_GB2312" w:cs="仿宋_GB2312" w:eastAsia="仿宋_GB2312"/>
              </w:rPr>
              <w:t>2、项目完工验收后，按要求提供成果文件并归档后，达到付款条件起15日内，支付合同总金额的60.00%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1.采购人与供应商双方必须遵守合同并执行合同中的各项规定，保证合同的正常履行，如有违约，将赔偿因违约给对方造成的直接经济损失。 2.如因供应商工作人员在履行职务过程中的的疏忽、失职、过错等故意或者过失原因给采购人造成损失或侵害，包括但不限于采购方本身的财产损失、由此而导致的采购方对任何第三方的法律责任等，供应商对此均应承担全部的赔偿等责任。 3.合同履行期间,若双方发生争议，可协商或由有关部门调解解决，协商或调解不成的，由当事人依法维护其合法权益。</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本项目专门面向中小企业采购</w:t>
            </w:r>
          </w:p>
        </w:tc>
        <w:tc>
          <w:tcPr>
            <w:tcW w:type="dxa" w:w="3322"/>
          </w:tcPr>
          <w:p>
            <w:pPr>
              <w:pStyle w:val="null3"/>
              <w:jc w:val="left"/>
            </w:pPr>
            <w:r>
              <w:rPr>
                <w:rFonts w:ascii="仿宋_GB2312" w:hAnsi="仿宋_GB2312" w:cs="仿宋_GB2312" w:eastAsia="仿宋_GB2312"/>
              </w:rPr>
              <w:t>本项目专门面向中小企业采购（提供中小企业声明函）</w:t>
            </w:r>
          </w:p>
        </w:tc>
        <w:tc>
          <w:tcPr>
            <w:tcW w:type="dxa" w:w="1910"/>
          </w:tcPr>
          <w:p>
            <w:pPr>
              <w:pStyle w:val="null3"/>
              <w:jc w:val="left"/>
            </w:pPr>
            <w:r>
              <w:rPr>
                <w:rFonts w:ascii="仿宋_GB2312" w:hAnsi="仿宋_GB2312" w:cs="仿宋_GB2312" w:eastAsia="仿宋_GB2312"/>
              </w:rPr>
              <w:t>中小企业声明函,投标（响应）函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商务、技术参数及其他要求应答内容</w:t>
            </w:r>
          </w:p>
        </w:tc>
        <w:tc>
          <w:tcPr>
            <w:tcW w:type="dxa" w:w="3322"/>
          </w:tcPr>
          <w:p>
            <w:pPr>
              <w:pStyle w:val="null3"/>
              <w:jc w:val="left"/>
            </w:pPr>
            <w:r>
              <w:rPr>
                <w:rFonts w:ascii="仿宋_GB2312" w:hAnsi="仿宋_GB2312" w:cs="仿宋_GB2312" w:eastAsia="仿宋_GB2312"/>
              </w:rPr>
              <w:t>商务、技术参数及其他要求应答内容是否完全满足采购文件的实质性要求</w:t>
            </w:r>
          </w:p>
        </w:tc>
        <w:tc>
          <w:tcPr>
            <w:tcW w:type="dxa" w:w="1910"/>
          </w:tcPr>
          <w:p>
            <w:pPr>
              <w:pStyle w:val="null3"/>
              <w:jc w:val="left"/>
            </w:pPr>
            <w:r>
              <w:rPr>
                <w:rFonts w:ascii="仿宋_GB2312" w:hAnsi="仿宋_GB2312" w:cs="仿宋_GB2312" w:eastAsia="仿宋_GB2312"/>
              </w:rPr>
              <w:t>供应商应提交的相关证明材料,服务应答表,商务应答表.docx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项目服务方案</w:t>
            </w:r>
          </w:p>
        </w:tc>
        <w:tc>
          <w:tcPr>
            <w:tcW w:type="dxa" w:w="2575"/>
          </w:tcPr>
          <w:p>
            <w:pPr>
              <w:pStyle w:val="null3"/>
              <w:jc w:val="left"/>
            </w:pPr>
            <w:r>
              <w:rPr>
                <w:rFonts w:ascii="仿宋_GB2312" w:hAnsi="仿宋_GB2312" w:cs="仿宋_GB2312" w:eastAsia="仿宋_GB2312"/>
              </w:rPr>
              <w:t>1、根据供应商提供的施工阶段质量控制方案，包含：①重难点分析，②团队人员设置，③质量控制措施，以上方案内容满足项目需求的得12分；方案每缺少一项扣4分，方案存在缺陷或存在错误的，每一处扣2分，扣完为止。 注：本项所述缺陷、错误是指项目名称、实施地点、时间、涉及的规范、标准与本项目要求不一致，方案内容表述前后不一致，涉及的规范或标准错误，明显复制其他项目内容或套用其它项目方案（下同）。 2、根据供应商提供的施工阶段进度控制方案，包含：①关键工作分析与描述，②时间进度安排，③进度控制措施，以上方案内容满足项目需求的得12分；方案每缺少一项扣4分，方案存在缺陷或存在错误的，每一处扣2分，扣完为止。 3、根据供应商提供的安全文明施工控制措施，包含：①关键部位分析，②安全检查，③督促整改措施，以上方案内容满足项目需求的得12分；方案每缺少一项扣4分，方案存在缺陷或存在错误的，每一处扣2分，扣完为止。 4、根据供应商提供的组织协调措施，包含：①开工报告审批制度，②例会制度，③工程质量安全检查制度，以上方案内容满足项目需求的得12分；方案每缺少一项扣4分，方案存在缺陷或存在错误的，每一处扣2分，扣完为止。 5、根据供应商提供的施工阶段造价控制方案，包含：①工程变更审批流程及制度，②施工过程的造价控制方法与措施，③施工进度款支付与审批流程，以上方案内容满足项目需求的得12分；方案每缺少一项扣4分，方案存在缺陷或存在错误的，每一处扣2分，扣完为止。</w:t>
            </w:r>
          </w:p>
        </w:tc>
        <w:tc>
          <w:tcPr>
            <w:tcW w:type="dxa" w:w="831"/>
          </w:tcPr>
          <w:p>
            <w:pPr>
              <w:pStyle w:val="null3"/>
              <w:jc w:val="center"/>
            </w:pPr>
            <w:r>
              <w:rPr>
                <w:rFonts w:ascii="仿宋_GB2312" w:hAnsi="仿宋_GB2312" w:cs="仿宋_GB2312" w:eastAsia="仿宋_GB2312"/>
              </w:rPr>
              <w:t>60.0000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1、本项目项目负责人（1名）：具有中华人民共和国一级造价工程师注册证书（水利工程专业）得5分，具有水利工程专业高级及以上职称证书加2分，本项最高得7分。 2、本项目进度管理负责人（1名）：具有中华人民共和国监理工程师注册证书（水利工程施工监理专业）得5分，具有中华人民共和国一级建造师注册证书（水利水电工程专业）加2分，本项最高得7分。 3、本项目质量管理负责人（1名）：具有中华人民共和国监理工程师注册证书（水利工程施工监理专业）得5分，具有水利水电专业中级及以上职称证书加2分，本项最高得7分。 注：①以上人员不能为同一人；②提供有效期内的相关证书或证明材料复印件；③提供人员在职证明材料。</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本项目管理、技术、服务人员情况表.docx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供应商提供2022年01月01日（含）以来类似项目业绩的，每具有一个项目业绩得3分，最多得9分。 注：提供合同复印件或中标（成交）通知书等相关证明材料并加盖供应商鲜章，合同时间以合同签订时间为准，未提供不得分。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详见附件：本项目管理、技术、服务人员情况表.docx</w:t>
      </w:r>
    </w:p>
    <w:p>
      <w:pPr>
        <w:pStyle w:val="null3"/>
        <w:ind w:firstLine="960"/>
        <w:jc w:val="left"/>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