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福州市2025-2026年结核病防治宣传现场活动项目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CGXM-2025-350101-00108[2025]00305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[350101]HJ[CS]2025001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福州市疾病预防控制中心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福建禾进项目管理有限公司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福州市疾病预防控制中心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福州市2025-2026年结核病防治宣传现场活动项目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福建禾进项目管理有限公司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福州市2025-2026年结核病防治宣传现场活动项目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CGXM-2025-350101-00108[2025]00305</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[350101]HJ[CS]2025001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福州市2025-2026年结核病防治宣传现场活动项目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福州市2025-2026年结核病防治宣传现场活动项目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福州市2025-2026年结核病防治宣传现场活动项目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福州市2025-2026年结核病防治宣传现场活动项目</w:t>
            </w:r>
          </w:p>
        </w:tc>
        <w:tc>
          <w:tcPr>
            <w:tcW w:type="dxa" w:w="2076"/>
          </w:tcPr>
          <w:p>
            <w:pPr>
              <w:pStyle w:val="null3"/>
              <w:jc w:val="left"/>
            </w:pPr>
            <w:r>
              <w:rPr>
                <w:rFonts w:ascii="仿宋_GB2312" w:hAnsi="仿宋_GB2312" w:cs="仿宋_GB2312" w:eastAsia="仿宋_GB2312"/>
              </w:rPr>
              <w:t>福州市2025-2026年结核病防治宣传现场活动项目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政府采购进口产品管理办法(财库〔2007〕119号)、关于政府采购进口产品管理有关问题的通知(财办库〔2008〕248号)、《福建省财政厅关于进一步做好政府采购进口产品审核工作的通知》(闽财购〔2021〕6号)(服务类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 、《福建省财政厅关于加强政府绿色采购工作的通知》(闽财规〔2024〕3 号)的规定(服务类项目不适用)。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发展改革委生态环境部市场监管总局印发《关于调整优化节能产品、环境标志产品政府采购执行机制的通知》(财库〔2019〕9号)、《关于印发环境标志产品政府采购品目清单的通知》财库〔2019〕18号和《关于印发节能产品政府采购品目清单的通知》(财库〔2019〕19号) 、《福建省财政厅关于加强政府绿色采购工作的通知》(闽财规〔2024〕3 号)的规定(服务类项目不适用)。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磋商文件格式。本项目为服务类采购项目，采购标的对应的中小企业划分标准所属行业为租赁和商务服务业行业，应对应填写《中小企业声明函》(服务)模板，若供应商填写的《中小企业声明函》不是对应模板的或者提供的《中小企业声明函》中填写的行业与磋商文件明确的采购标的对应的中小企业划分标准所属行业不一致，均不予认定为小微企业。2、供 应商为监狱企业的视同小型和微型企业，可不提供以上第1材料，但应当提供由省级以上监狱管理局、戒毒管理局(含新疆生产建设兵团)出具的属于监狱企业的证明文件。 3、供 应商为残疾人福利性单位的视同小型和微型企业，可不提供以上第1点材料，但应当提供《残疾人福利性单位声明函》，格式见第五章《响应文件格式》附件。</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福州市疾病预防控制中心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福州市长乐区万沙路199号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0591-62715078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福建禾进项目管理有限公司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南平市政和县胜利街直街14号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翁灵搏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0599-8061107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福建禾进项目管理有限公司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磋商文件格式。本项目为服务类采购项目，采购标的对应的中小企业划分标准所属行业为租赁和商务服务业行业，应对应填写《中小企业声明函》(服务)模板，若供应商填写的《中小企业声明函》不是对应模板的或者提供的《中小企业声明函》中填写的行业与磋商文件明确的采购标的对应的中小企业划分标准所属行业不一致，均不予认定为小微企业。2、供 应商为监狱企业的视同小型和微型企业，可不提供以上第1材料，但应当提供由省级以上监狱管理局、戒毒管理局(含新疆生产建设兵团)出具的属于监狱企业的证明文件。 3、供 应商为残疾人福利性单位的视同小型和微型企业，可不提供以上第1点材料，但应当提供《残疾人福利性单位声明函》，格式见第五章《响应文件格式》附件。</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(1)磋商小组将按照规定对各供应商的响应文件采用相同的程序和标准进行评价和比较，将按照提交首次响应文件时间的先后顺序(或者逆顺序)邀请通过资格及符合性审查的合格供应商至磋商现场进行磋商。 (2)所有合格的供应商均可至磋商现场进行磋商并进行最后报价。磋商小组确定成交候选人时以最后报价为准。 (3)特别提示：最后报价时需用到供应商CA证书、电脑及网络，各供应商须考虑前述因素，并自行准备。</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代理服务费收费标准：(1)-1代理服务费收费标准：本项目的采购代理服务费(成交服务费)向成交人收取，成交人按差额定率累进法计算，向采购代理机构交纳采购代理服务费(成交服务费)。 ①以成交通知书规定的成交金额作为收费的计算基数。 ②采购代理服务收费的标准：0－100(万元)收费费率标准:1.5％，不足伍仟按伍仟元计取。 (1)-2采购代理服务费收取方式： ①成交人应在领取成交通知书的同时按规定的标准一次性向采购代理机构缴清采购代理服务费。采购代理服务费以银行转账、电汇、汇票或现金等付款方式。</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 (2)-2实质性要求和条件： (2)-2.1无效响应及废标条款：以下为可能导致无效响应或废标的条款，具体内容详见磋商文件各章节，请各供应商认真查看对照。 ①报价不符合供应商须知前附表1“最高限价”规定的。 ②不符合供应商须知前附表1“实质性要求和条件”规定的。 ③出现“评审的标准和方法”无效响应规定的。 ④出现第二章竞争性磋商须知无效响应规定的。 ⑤出现第三章采购内容及要求无效响应规定的。 ⑥明显不符合技术要求的为无效响应。 ⑦内容不全或关键字迹模糊、无法辨认的为无效响应。 (2)-3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 (2)-4质疑与投诉 (2)-4.1质疑 (2)-4.1.1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①对可以质疑的采购文件提出质疑的，为收到采购文件之日； ②对采购过程提出质疑的，为各采购程序环节结束之日； ③对成交结果提出质疑的，为成交结果公告期限届满之日。(2)-4.1.2供应商在法定质疑期内须一次性提出针对同一采购程序环节的质疑。 (2)-4.1.3接收质疑函的方式、联系部门、联系电话和通讯地址 ①接收质疑函的方式：现场方式； ②接收质疑函的联系部门：办公室； ③接收质疑函的联系电话：0599-8061107； ④接收质疑函的通讯地址：福建禾进项目管理有限公司。 (2)-4.2投诉 (2)-4.2.1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(2)-5为本次采购项目提供设计、编制规范、进行管理等服务的供应商为千语菱（厦门）文创产业有限公司，以上公司不得再参加该采购项目的其他采购活动。 (2)-6信用记录指由财政部确定的有关网站提供的相关主体信用信息。信用记录的查询及使用应符合财政部文件（财库[2016]125号）规定。 (2)-7鉴于福建省财政厅发布新修订的福建省政府采购货物和服务公开磋商文件模板，全面取消政府采购投标纸质文件，本项目评审时以电子响应文件为准，磋商小组不再审核纸质响应文件（采购文件中关于纸质响应文件规定与此处有冲突的以此处规定为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(12)-1电子响应文件的投标报价、投标客户端填写的投标报价应保持一致，并以投标客户端填写的投标报价为准。 (12)-2信用记录查询及使用： A、信用记录查询渠道及截止时点：采购代理机构将在首次响应文件递交截止时间截止后，谈判工作结束前，通过“信用中国”网站(www.creditchina.gov.cn)、中国政府采购网(www.ccgp.gov.cn)查询供应商的信用记录。 B、信用信息查询记录和证据留存的具体方式：采购代理机构将记录、打印各供应商的信用信息查询结果，与其他采购文件一并保存。 C、信用信息的使用规则：依据《财政部关于在政府采购活动中查询及使用信用记录有关问题的通知》财库〔2016〕125号规定，对供应商有下列情形之一的，其响应文件在资格性检查审查中将被谈判小组视为无效响应：①被列入“信用中国”网站(www.creditchina.gov.cn)中失信被执行人、重大税收违法案件当事人名单、政府采购严重违法失信名单的；②被列入中国政府采购网(www.ccgp.gov.cn)中政府采购严重违法失信行为信息记录的；③属于《政府采购法》第二十二条的“重大违法记录”。</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15.00%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15%的扣除，用扣除后的价格参加评审。采购标的同时包含其它非优先采购产品的，供应商在报价时必须对优先采购产品和非优先采购产品分项报价、单独填写扣除表，并提供产品认证证书复印件附在报价部分且加盖供应商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42.00</w:t>
            </w:r>
          </w:p>
        </w:tc>
        <w:tc>
          <w:tcPr>
            <w:tcW w:type="dxa" w:w="4153"/>
          </w:tcPr>
          <w:p>
            <w:pPr>
              <w:pStyle w:val="null3"/>
              <w:jc w:val="left"/>
            </w:pPr>
            <w:r>
              <w:rPr>
                <w:rFonts w:ascii="仿宋_GB2312" w:hAnsi="仿宋_GB2312" w:cs="仿宋_GB2312" w:eastAsia="仿宋_GB2312"/>
              </w:rPr>
              <w:t>根据供应商对磋商文件第三章“二、技术和服务要求”的响应情况由磋商小组进行评分：完全满足磋商文件所有内容及要求的得42；其中标注“★”的为不允许负偏离的实质性要求，若出现负偏离按无效响应处理；其余技术要求（共14项，项号1-14）每负偏离一项扣3分，扣完为止。正偏离不加分。</w:t>
            </w:r>
          </w:p>
        </w:tc>
      </w:tr>
      <w:tr>
        <w:tc>
          <w:tcPr>
            <w:tcW w:type="dxa" w:w="3322"/>
          </w:tcPr>
          <w:p>
            <w:pPr>
              <w:pStyle w:val="null3"/>
              <w:jc w:val="left"/>
            </w:pPr>
            <w:r>
              <w:rPr>
                <w:rFonts w:ascii="仿宋_GB2312" w:hAnsi="仿宋_GB2312" w:cs="仿宋_GB2312" w:eastAsia="仿宋_GB2312"/>
              </w:rPr>
              <w:t>2.项目总体策划方案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项目总体策划方案（包括但不限于：服务管理理念和目标合理，方案可操作性，流程设计、服务质量保障措施等）由磋商小组进行评分：（1）方案包含的要点齐全无缺漏项、内容与要点相符、每个要点均有展开详细的阐述且能够适用于本项目得3分； （2）方案所包含的要点齐全、内容与要点相符、每个要点均有展开阐述（没有特别具体）但基本能够适用于本项目的得2.8分； （3）方案所包含的要点有缺漏、内容与要点相符但仅有纲要、内容简略，未展开详细阐述但基本能够适用于本项目的得2.6分； （4）未提供的不得分。</w:t>
            </w:r>
          </w:p>
        </w:tc>
      </w:tr>
      <w:tr>
        <w:tc>
          <w:tcPr>
            <w:tcW w:type="dxa" w:w="3322"/>
          </w:tcPr>
          <w:p>
            <w:pPr>
              <w:pStyle w:val="null3"/>
              <w:jc w:val="left"/>
            </w:pPr>
            <w:r>
              <w:rPr>
                <w:rFonts w:ascii="仿宋_GB2312" w:hAnsi="仿宋_GB2312" w:cs="仿宋_GB2312" w:eastAsia="仿宋_GB2312"/>
              </w:rPr>
              <w:t>3.社区“防结核”宣传角布置方案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社区“防结核”宣传角布置方案（包括但不限于：社区“防结核”宣传角布置、饱满度、创新性与互动性等各个环节进行描述），由磋商小组进行评分：（1）方案包含的要点齐全无缺漏项、内容与要点相符、每个要点均有展开详细的阐述且能够适用于本项目得3分； （2）方案所包含的要点齐全、内容与要点相符、每个要点均有展开阐述（没有特别具体）但基本能够适用于本项目的得2.8分； （3）方案所包含的要点有缺漏、内容与要点相符但仅有纲要、内容简略，未展开详细阐述但基本能够适用于本项目的得2.6分； （4）未提供的不得分。</w:t>
            </w:r>
          </w:p>
        </w:tc>
      </w:tr>
      <w:tr>
        <w:tc>
          <w:tcPr>
            <w:tcW w:type="dxa" w:w="3322"/>
          </w:tcPr>
          <w:p>
            <w:pPr>
              <w:pStyle w:val="null3"/>
              <w:jc w:val="left"/>
            </w:pPr>
            <w:r>
              <w:rPr>
                <w:rFonts w:ascii="仿宋_GB2312" w:hAnsi="仿宋_GB2312" w:cs="仿宋_GB2312" w:eastAsia="仿宋_GB2312"/>
              </w:rPr>
              <w:t>4.活动执行方案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活动执行方案（包括但不限于：方案有对目标任务定位、工作思路、方式方法、版面宣传方案、媒体推广方案、宣传视频推广方案、推送渠道等各个环节和流程进行描述等方面）由磋商小组进行评分：（1）方案包含的要点齐全无缺漏项、内容与要点相符、合理、饱满度高、具有创新性与互动性的，每个要点均有展开详细的阐述且能够适用于本项目得3分； （2）方案所包含的要点齐全、内容与要点相符、每个要点均有展开阐述（没有特别具体）但基本能够适用于本项目的得2.8分； （3）方案所包含的要点有缺漏、内容与要点相符但仅有纲要、内容简略，未展开详细阐述但基本能够适用于本项目的得2.6分； （4）未提供的不得分。</w:t>
            </w:r>
          </w:p>
        </w:tc>
      </w:tr>
      <w:tr>
        <w:tc>
          <w:tcPr>
            <w:tcW w:type="dxa" w:w="3322"/>
          </w:tcPr>
          <w:p>
            <w:pPr>
              <w:pStyle w:val="null3"/>
              <w:jc w:val="left"/>
            </w:pPr>
            <w:r>
              <w:rPr>
                <w:rFonts w:ascii="仿宋_GB2312" w:hAnsi="仿宋_GB2312" w:cs="仿宋_GB2312" w:eastAsia="仿宋_GB2312"/>
              </w:rPr>
              <w:t>5.微信公众号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所运营的微信公众号发布的微信稿件阅读量超过10万的篇数进行评分，自2022年1月1日起至开标当日止，阅读量超过10万的稿件数量≥15篇的得3分；阅读量超过10万的稿件数量≥10篇的2分；阅读量超过10万的稿件数量数量≥5篇的得1分；篇幅数量不足5篇的不得分。 【注：须提供有效页面截图，同时提供授权书或运营合同等证明材料，未提供的不得分。】</w:t>
            </w:r>
          </w:p>
        </w:tc>
      </w:tr>
      <w:tr>
        <w:tc>
          <w:tcPr>
            <w:tcW w:type="dxa" w:w="3322"/>
          </w:tcPr>
          <w:p>
            <w:pPr>
              <w:pStyle w:val="null3"/>
              <w:jc w:val="left"/>
            </w:pPr>
            <w:r>
              <w:rPr>
                <w:rFonts w:ascii="仿宋_GB2312" w:hAnsi="仿宋_GB2312" w:cs="仿宋_GB2312" w:eastAsia="仿宋_GB2312"/>
              </w:rPr>
              <w:t>6.宣传方案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本项目宣传规划方案（包括但不限于：是否拥有良好的媒体资源，能否有效整合平台资源进行宣传推广、媒体资源级别、数量、推广形式），由磋商小组进行评分：（1）方案包含的要点齐全无缺漏项、内容与要点相符、每个要点均有展开详细的阐述且能够适用于本项目得3分； （2）方案所包含的要点齐全、内容与要点相符、每个要点均有展开阐述（没有特别具体）但基本能够适用于本项目的得2.8分； （3）方案所包含的要点有缺漏、内容与要点相符但仅有纲要、内容简略，未展开详细阐述但基本能够适用于本项目的得2.6分； （4）未提供的不得分。</w:t>
            </w:r>
          </w:p>
        </w:tc>
      </w:tr>
      <w:tr>
        <w:tc>
          <w:tcPr>
            <w:tcW w:type="dxa" w:w="3322"/>
          </w:tcPr>
          <w:p>
            <w:pPr>
              <w:pStyle w:val="null3"/>
              <w:jc w:val="left"/>
            </w:pPr>
            <w:r>
              <w:rPr>
                <w:rFonts w:ascii="仿宋_GB2312" w:hAnsi="仿宋_GB2312" w:cs="仿宋_GB2312" w:eastAsia="仿宋_GB2312"/>
              </w:rPr>
              <w:t>7.设计能力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需提供为本项目内容设计的海报，由评委进行评分：图片整体结构好、内容饱满度高、具有创新性的得3分；图片整体结构好、内容饱满度一般、具有创新性的得2.8分；图片整体结构一般、内容饱满度一般、创新性一般的得2.6分；未提供的不得分。</w:t>
            </w:r>
          </w:p>
        </w:tc>
      </w:tr>
      <w:tr>
        <w:tc>
          <w:tcPr>
            <w:tcW w:type="dxa" w:w="3322"/>
          </w:tcPr>
          <w:p>
            <w:pPr>
              <w:pStyle w:val="null3"/>
              <w:jc w:val="left"/>
            </w:pPr>
            <w:r>
              <w:rPr>
                <w:rFonts w:ascii="仿宋_GB2312" w:hAnsi="仿宋_GB2312" w:cs="仿宋_GB2312" w:eastAsia="仿宋_GB2312"/>
              </w:rPr>
              <w:t>8.项目保障方案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实际操作过程的保障方案（包括但不限于：供应商提供宣传服务产品、主流媒体作品内容、海报平面等样刊图稿品质、传播效果、内容质量等）由磋商小组进行评分：方案全面、完整可执行性强的得3分； 方案较为全面，较为完整、可执行性较强的得2.8分； 方案全面性、完整性一般，可执行性一般的得2.6分， 未提供不得分。</w:t>
            </w:r>
          </w:p>
        </w:tc>
      </w:tr>
      <w:tr>
        <w:tc>
          <w:tcPr>
            <w:tcW w:type="dxa" w:w="3322"/>
          </w:tcPr>
          <w:p>
            <w:pPr>
              <w:pStyle w:val="null3"/>
              <w:jc w:val="left"/>
            </w:pPr>
            <w:r>
              <w:rPr>
                <w:rFonts w:ascii="仿宋_GB2312" w:hAnsi="仿宋_GB2312" w:cs="仿宋_GB2312" w:eastAsia="仿宋_GB2312"/>
              </w:rPr>
              <w:t>9.分工架构</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分工架构方案情况（包括但不限于：后端运营支撑的策划团队、技术团队、设计团队及运维团队人员的从业资历、职称和人数等），由磋商小组进行打分：由磋商小组进行评分：（1）方案包含的要点齐全无缺漏项、内容与要点相符、每个要点均有展开详细的阐述且能够适用于本项目得3分； （2）方案所包含的要点齐全、内容与要点相符、每个要点均有展开阐述（没有特别具体）但基本能够适用于本项目的得2.8分； （3）方案所包含的要点有缺漏、内容与要点相符但仅有纲要、内容简略，未展开详细阐述但基本能够适用于本项目的得2.6分； （4）未提供的不得分。</w:t>
            </w:r>
          </w:p>
        </w:tc>
      </w:tr>
    </w:tbl>
    <w:p>
      <w:pPr>
        <w:pStyle w:val="null3"/>
        <w:jc w:val="left"/>
      </w:pPr>
      <w:r>
        <w:rPr>
          <w:rFonts w:ascii="仿宋_GB2312" w:hAnsi="仿宋_GB2312" w:cs="仿宋_GB2312" w:eastAsia="仿宋_GB2312"/>
        </w:rPr>
        <w:t>商务部分评分PB 满分为24.0000分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1.服务团队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置的服务团队项目组成员具有设计学类或美术学类相关专业的本科以上学历，每提供1人的得1分；满分3分。【注：须提供证书复印件及至投标截止时间前六个月（不含当月）内任一个月在供应商单位缴交社保的证明材料复印件，未按要求提供不得分。人员不可重复得分】</w:t>
            </w:r>
          </w:p>
        </w:tc>
      </w:tr>
      <w:tr>
        <w:tc>
          <w:tcPr>
            <w:tcW w:type="dxa" w:w="3322"/>
          </w:tcPr>
          <w:p>
            <w:pPr>
              <w:pStyle w:val="null3"/>
              <w:jc w:val="left"/>
            </w:pPr>
            <w:r>
              <w:rPr>
                <w:rFonts w:ascii="仿宋_GB2312" w:hAnsi="仿宋_GB2312" w:cs="仿宋_GB2312" w:eastAsia="仿宋_GB2312"/>
              </w:rPr>
              <w:t>1.服务团队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置的服务团队项目组成员具有新闻采编从业资格证，每提供1人的得1分，满分3分，未提供不得分。【注：须提供证书复印件及至投标截止时间前六个月（不含当月）内任一个月在供应商单位缴交社保的证明材料复印件，未按要求提供不得分。人员不可重复得分】</w:t>
            </w:r>
          </w:p>
        </w:tc>
      </w:tr>
      <w:tr>
        <w:tc>
          <w:tcPr>
            <w:tcW w:type="dxa" w:w="3322"/>
          </w:tcPr>
          <w:p>
            <w:pPr>
              <w:pStyle w:val="null3"/>
              <w:jc w:val="left"/>
            </w:pPr>
            <w:r>
              <w:rPr>
                <w:rFonts w:ascii="仿宋_GB2312" w:hAnsi="仿宋_GB2312" w:cs="仿宋_GB2312" w:eastAsia="仿宋_GB2312"/>
              </w:rPr>
              <w:t>1.服务团队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置的服务团队项目组成员具有广播电视编导类或影视摄影与制作类相关专业的本科以上学历:每提供1人的得1分；满分3分。【注：须提供证书复印件及至投标截止时间前六个月（不含当月）内任一个月在供应商单位缴交社保的证明材料复印件，未按要求提供不得分。人员不可重复得分】</w:t>
            </w:r>
          </w:p>
        </w:tc>
      </w:tr>
      <w:tr>
        <w:tc>
          <w:tcPr>
            <w:tcW w:type="dxa" w:w="3322"/>
          </w:tcPr>
          <w:p>
            <w:pPr>
              <w:pStyle w:val="null3"/>
              <w:jc w:val="left"/>
            </w:pPr>
            <w:r>
              <w:rPr>
                <w:rFonts w:ascii="仿宋_GB2312" w:hAnsi="仿宋_GB2312" w:cs="仿宋_GB2312" w:eastAsia="仿宋_GB2312"/>
              </w:rPr>
              <w:t>2.业绩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自2022年1月起至本项目递交响应文件截止日期止（以合同签订时间为准）供应商完成的同类型项目的业绩情况进行评分，每提供一份得1分，满分3分。须同时提供中标/成交公告(提供相关网站中标/成交公告的下载网页并注明网址)、中标/成交通知书复印件、采购合同文本复印件，以及能够证明该业绩项目已经采购单位验收合格的相关证明文件复印件，未同时提供以上证明材料的本项不得分。</w:t>
            </w:r>
          </w:p>
        </w:tc>
      </w:tr>
      <w:tr>
        <w:tc>
          <w:tcPr>
            <w:tcW w:type="dxa" w:w="3322"/>
          </w:tcPr>
          <w:p>
            <w:pPr>
              <w:pStyle w:val="null3"/>
              <w:jc w:val="left"/>
            </w:pPr>
            <w:r>
              <w:rPr>
                <w:rFonts w:ascii="仿宋_GB2312" w:hAnsi="仿宋_GB2312" w:cs="仿宋_GB2312" w:eastAsia="仿宋_GB2312"/>
              </w:rPr>
              <w:t>3.荣誉奖项</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备的团队人员曾获得过政府部门颁发的新闻奖项的情况进行评分：每提供一份获奖证明材料的得1分，满分3分。提供有效证明材料复印件并加盖公章，未提供或填报不实的不得分。【注：须提供证书复印件及至投标截止时间前六个月（不含当月）内任一个月在供应商单位缴交社保的证明材料复印件，未按要求提供不得分。】</w:t>
            </w:r>
          </w:p>
        </w:tc>
      </w:tr>
      <w:tr>
        <w:tc>
          <w:tcPr>
            <w:tcW w:type="dxa" w:w="3322"/>
          </w:tcPr>
          <w:p>
            <w:pPr>
              <w:pStyle w:val="null3"/>
              <w:jc w:val="left"/>
            </w:pPr>
            <w:r>
              <w:rPr>
                <w:rFonts w:ascii="仿宋_GB2312" w:hAnsi="仿宋_GB2312" w:cs="仿宋_GB2312" w:eastAsia="仿宋_GB2312"/>
              </w:rPr>
              <w:t>4.响应情况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为了保障项目服务的便捷性，供应商承诺若中标，在服务期间接到采购人通知后能在1小时（含）内及时响应得3分；能在2小时（含）内及时响应的得2分；能在4小时（含）内及时响应的得1分。须提供承诺函（格式自拟），未提供的不得分。</w:t>
            </w:r>
          </w:p>
        </w:tc>
      </w:tr>
      <w:tr>
        <w:tc>
          <w:tcPr>
            <w:tcW w:type="dxa" w:w="3322"/>
          </w:tcPr>
          <w:p>
            <w:pPr>
              <w:pStyle w:val="null3"/>
              <w:jc w:val="left"/>
            </w:pPr>
            <w:r>
              <w:rPr>
                <w:rFonts w:ascii="仿宋_GB2312" w:hAnsi="仿宋_GB2312" w:cs="仿宋_GB2312" w:eastAsia="仿宋_GB2312"/>
              </w:rPr>
              <w:t>5.满意度评价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供应商提供的自2022年1月1日起（以合同签订时间为准）至今已完成的与本项目类似业绩的用户反馈意见情况进行评分（评价为满意或优等字眼或满意度为打分制评价得分90分及以上或同等肯定性评价），每提供1份得到服务单位提供的满意度评价得1分，满分3分。须提供服务对象单位满意度评价表及项目合同复印件，未提供或提供不全的不得分。注：满意度评价需加盖客户单位公章，与业绩项为同一项目的，不得分</w:t>
            </w:r>
          </w:p>
        </w:tc>
      </w:tr>
      <w:tr>
        <w:tc>
          <w:tcPr>
            <w:tcW w:type="dxa" w:w="3322"/>
          </w:tcPr>
          <w:p>
            <w:pPr>
              <w:pStyle w:val="null3"/>
              <w:jc w:val="left"/>
            </w:pPr>
            <w:r>
              <w:rPr>
                <w:rFonts w:ascii="仿宋_GB2312" w:hAnsi="仿宋_GB2312" w:cs="仿宋_GB2312" w:eastAsia="仿宋_GB2312"/>
              </w:rPr>
              <w:t>6.无违约行为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近三年来在推广、宣传活动中无因自身原因发生违约行为（重大违法记录的除外，供应商成立不满三年的，则承诺自成立以来在推广、宣传活动中无因自身原因发生违约行为）的得3分，否则不得分。注：须提供无违约行为书面承诺函，格式自拟。（满分3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重大偏差情形，详见磋商文件第1节“竞争性磋商须知前附表(表1、表2)”的专项附件“评审的标准和方法”中5.1.4A和第2节竞争性磋商须知14.2.1中情形之一的。细微偏差情形：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提交响应文件截止时间在6月 1日(不含)前，“经审计的上一年度的年度财务报告”指提交响应文件截止时间的上一年度或上一年度之前的一年；提交响应文件截止时间在 6 月 1日(含)后，“经审计的上一年度的年度财务报告”指提交响应文件截止时间本年度之前的一年，特别说明除外。</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 2、响应内容与磋商采购内容及要求有重大偏离或保留的，限制了采购人的权利或者减少成交供应商合同项下的义务；（由于磋商项目本身特点，不能详细列明采购标的的技术、服务要求的除外）； 3、响应文件中附有采购人无法接受的条件的； 4、不符合磋商文件中规定的其它实质性条款（比如：报价超过了磋商文件规定的最高限价）。 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 2、响应内容与磋商采购内容及要求有重大偏离或保留的，限制了采购人的权利或者减少成交供应商合同项下的义务；（由于磋商项目本身特点，不能详细列明采购标的的技术、服务要求的除外）； 3、响应文件中附有采购人无法接受的条件的； 4、不符合磋商文件中规定的其它实质性条款（比如：报价超过了磋商文件规定的最高限价）； 5、属于磋商文件中规定的无效响应条款的； 6、响应文件载明的招标项目服务时间超过磋商文件规定或未载明招标项目服务时间的； 7、响应文件载明的检验标准和方法等不符合磋商文件要求或未载明检验标准和方法的。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财政部办公厅关于在相关自由贸易试验区和自由贸易港开展推动解决政府采购异常低价问题试点工作的通知》财办库〔2024〕265号，评标过程中出现下列情形之一的，评标委员会应当启动异常低价投标审查程序：（一）投标报价低于全部通过符合性审查供应商投标报价平均值50%的，即投标报价&lt;全部通过符合性审查供应商投标（响应）报价平均值×50%；（二）投标报价低于通过符合性审查且报价次低供应商投标报价50%的，即投标报价&lt;通过符合性审查且报价次低供应商投标报价×50%；（三）投标报价低于采购项目最高限价45%的，即投标报价&lt;采购项目最高限价×45%；（四）其他评标委员会认为供应商报价过低，有可能影响产品质量或者不能诚信履约的情形。评标委员会启动异常低价投标审查后，应当要求相关供应商在评审现场合理的时间内提供书面说明及必要的证明材料，对投标价格作出解释。书面说明、证明材料主要是项目具体成本测算等与报价合理性相关的说明、材料。评标委员会应当结合同类产品在主要电商平台的价格、该行业当地薪资水平等情况，依据专业经验对报价合理性进行判断。如果投标供应商不提供书面说明、证明材料，或者提供的书面说明、证明材料不能证明其报价合理性的，应当将其作为无效投标处理。审查相关情况应当在评审报告中记录。本款所述合理的时间内指在接到电话通知的半小时内，建议投标人提前评估其报价的合理性，提早准备相应材料，以便出现上述情形时能在规定时间内提供。</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1、福州市2025-2026年结核病防治宣传现场活动项目</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本次服务项目为整体采购，供应商必须对合同包所属项目所需的全部服务做出完整的报价响应。报价以人民币为货币单位，应分单价、小计和总价。</w:t>
      </w:r>
    </w:p>
    <w:p>
      <w:pPr>
        <w:pStyle w:val="null3"/>
        <w:ind w:firstLine="480"/>
        <w:jc w:val="left"/>
      </w:pPr>
      <w:r>
        <w:rPr>
          <w:rFonts w:ascii="仿宋_GB2312" w:hAnsi="仿宋_GB2312" w:cs="仿宋_GB2312" w:eastAsia="仿宋_GB2312"/>
        </w:rPr>
        <w:t>3、投标报价包括但不限于以下费用：人工费、设备投入使用费、劳保费、资料收集费、验收费、专用工具费、税费、技术服务费、培训费、行政办公费、税收费用、采购代理服务费等一切由项目开展而产生的费用。各供应商应依据项目特点自行核算成本并作出报价，如供应商中标后发现未预见事宜，可能需要增加的费用全部由中标人自行解决，采购人将不再追加价款。</w:t>
      </w:r>
    </w:p>
    <w:p>
      <w:pPr>
        <w:pStyle w:val="null3"/>
        <w:ind w:firstLine="480"/>
        <w:jc w:val="left"/>
      </w:pPr>
      <w:r>
        <w:rPr>
          <w:rFonts w:ascii="仿宋_GB2312" w:hAnsi="仿宋_GB2312" w:cs="仿宋_GB2312" w:eastAsia="仿宋_GB2312"/>
        </w:rPr>
        <w:t>4、响应文件中标明的价格在合同执行过程中是固定不变的，不得以任何理由予以变更。以可变动价格提交的报价将被认为是非实质响应而被拒绝。</w:t>
      </w:r>
    </w:p>
    <w:p>
      <w:pPr>
        <w:pStyle w:val="null3"/>
        <w:ind w:firstLine="480"/>
        <w:jc w:val="left"/>
      </w:pPr>
      <w:r>
        <w:rPr>
          <w:rFonts w:ascii="仿宋_GB2312" w:hAnsi="仿宋_GB2312" w:cs="仿宋_GB2312" w:eastAsia="仿宋_GB2312"/>
        </w:rPr>
        <w:t>5、供应商漏报的单价或每单价报价中漏报、少报的费用，视为此项费用已隐含在投标报价中，中标后不得再向采购人收取任何费用。</w:t>
      </w:r>
    </w:p>
    <w:p>
      <w:pPr>
        <w:pStyle w:val="null3"/>
        <w:ind w:firstLine="480"/>
        <w:jc w:val="left"/>
      </w:pPr>
      <w:r>
        <w:rPr>
          <w:rFonts w:ascii="仿宋_GB2312" w:hAnsi="仿宋_GB2312" w:cs="仿宋_GB2312" w:eastAsia="仿宋_GB2312"/>
        </w:rPr>
        <w:t>6、供应商对项目只能有一个报价，采购单位不接受有选择的报价。</w:t>
      </w:r>
    </w:p>
    <w:p>
      <w:pPr>
        <w:pStyle w:val="null3"/>
        <w:ind w:firstLine="480"/>
        <w:jc w:val="left"/>
      </w:pPr>
      <w:r>
        <w:rPr>
          <w:rFonts w:ascii="仿宋_GB2312" w:hAnsi="仿宋_GB2312" w:cs="仿宋_GB2312" w:eastAsia="仿宋_GB2312"/>
        </w:rPr>
        <w:t>7、若供应商的报价明显低于其他有效供应商报价，使得其投标报价有可能影响商品质量或不能诚信履约的，供应商应按评标委员会要求作出说明，必要时提供相关有效证明材料，不能合理说明或不能按评标委员会要求提供相关有效证明材料的，可作无效投标处理。</w:t>
      </w:r>
    </w:p>
    <w:p>
      <w:pPr>
        <w:pStyle w:val="null3"/>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1.创建“无核社区”启动仪式1场：包含舞台和主背景展板搭建、户外音响、桌椅帐篷、启动道具、观众区桌椅、宣传互动礼品及活动主持人、节目演出等。</w:t>
      </w:r>
    </w:p>
    <w:p>
      <w:pPr>
        <w:pStyle w:val="null3"/>
        <w:ind w:firstLine="480"/>
        <w:jc w:val="left"/>
      </w:pPr>
      <w:r>
        <w:rPr>
          <w:rFonts w:ascii="仿宋_GB2312" w:hAnsi="仿宋_GB2312" w:cs="仿宋_GB2312" w:eastAsia="仿宋_GB2312"/>
          <w:sz w:val="24"/>
        </w:rPr>
        <w:t>2.主题日大型宣传活动1场：包含舞台和主背景展板搭建、户外音响、桌椅帐篷、启动道具、观众区桌椅、宣传互动礼品及活动主持人、节目演出等。</w:t>
      </w:r>
    </w:p>
    <w:p>
      <w:pPr>
        <w:pStyle w:val="null3"/>
        <w:ind w:firstLine="480"/>
        <w:jc w:val="left"/>
      </w:pPr>
      <w:r>
        <w:rPr>
          <w:rFonts w:ascii="仿宋_GB2312" w:hAnsi="仿宋_GB2312" w:cs="仿宋_GB2312" w:eastAsia="仿宋_GB2312"/>
          <w:sz w:val="24"/>
        </w:rPr>
        <w:t>3.社区主题活动4场：每场包含主背景展板搭建、红地毯、户外音响、桌椅帐篷、宣传互动礼品及活动主持人、节目演出等。</w:t>
      </w:r>
    </w:p>
    <w:p>
      <w:pPr>
        <w:pStyle w:val="null3"/>
        <w:ind w:firstLine="480"/>
        <w:jc w:val="left"/>
      </w:pPr>
      <w:r>
        <w:rPr>
          <w:rFonts w:ascii="仿宋_GB2312" w:hAnsi="仿宋_GB2312" w:cs="仿宋_GB2312" w:eastAsia="仿宋_GB2312"/>
          <w:sz w:val="24"/>
        </w:rPr>
        <w:t>4.社区“防结核”宣传角5个：包含宣传展架、资料展示架、花架及绿植等装饰。</w:t>
      </w:r>
    </w:p>
    <w:p>
      <w:pPr>
        <w:pStyle w:val="null3"/>
        <w:ind w:firstLine="480"/>
        <w:jc w:val="left"/>
      </w:pPr>
      <w:r>
        <w:rPr>
          <w:rFonts w:ascii="仿宋_GB2312" w:hAnsi="仿宋_GB2312" w:cs="仿宋_GB2312" w:eastAsia="仿宋_GB2312"/>
          <w:sz w:val="24"/>
        </w:rPr>
        <w:t>5活动执行要求：以上各项活动需包含全案策划、全案设计、活动场地对接、物料运输等，项目执行前提交方案，经确认后方可执行。</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应保证不以活动现场为宣传媒介或营销手段为企业进行商业宣传或营销。项目结束需完成健康宣传效果评估并提供相应佐证，收集汇总所有活动资料。</w:t>
      </w:r>
    </w:p>
    <w:p>
      <w:pPr>
        <w:pStyle w:val="null3"/>
        <w:ind w:firstLine="480"/>
        <w:jc w:val="left"/>
      </w:pPr>
      <w:r>
        <w:rPr>
          <w:rFonts w:ascii="仿宋_GB2312" w:hAnsi="仿宋_GB2312" w:cs="仿宋_GB2312" w:eastAsia="仿宋_GB2312"/>
          <w:sz w:val="24"/>
        </w:rPr>
        <w:t>7.报纸宣传：2026年3月24日当日在福州官方纸媒开设“结核防治”宣传专区，内容包含新闻报道，结核防治科普，版面至少二分之一。</w:t>
      </w:r>
    </w:p>
    <w:p>
      <w:pPr>
        <w:pStyle w:val="null3"/>
        <w:ind w:firstLine="480"/>
        <w:jc w:val="left"/>
      </w:pPr>
      <w:r>
        <w:rPr>
          <w:rFonts w:ascii="仿宋_GB2312" w:hAnsi="仿宋_GB2312" w:cs="仿宋_GB2312" w:eastAsia="仿宋_GB2312"/>
          <w:sz w:val="24"/>
        </w:rPr>
        <w:t>8.微信宣传：结合宣传活动及相关热点在市级或以上官方主流媒体微信公众号头条位置推送稿件2篇，推送位置至少为次头条。</w:t>
      </w:r>
    </w:p>
    <w:p>
      <w:pPr>
        <w:pStyle w:val="null3"/>
        <w:ind w:firstLine="480"/>
        <w:jc w:val="left"/>
      </w:pPr>
      <w:r>
        <w:rPr>
          <w:rFonts w:ascii="仿宋_GB2312" w:hAnsi="仿宋_GB2312" w:cs="仿宋_GB2312" w:eastAsia="仿宋_GB2312"/>
          <w:sz w:val="24"/>
        </w:rPr>
        <w:t>9.稿件要求：根据宣传需求安排专业人员对热点、主题活动、科普知识等内容进行采写，稿件内容为原创。</w:t>
      </w:r>
    </w:p>
    <w:p>
      <w:pPr>
        <w:pStyle w:val="null3"/>
        <w:ind w:firstLine="480"/>
        <w:jc w:val="left"/>
      </w:pPr>
      <w:r>
        <w:rPr>
          <w:rFonts w:ascii="仿宋_GB2312" w:hAnsi="仿宋_GB2312" w:cs="仿宋_GB2312" w:eastAsia="仿宋_GB2312"/>
          <w:sz w:val="24"/>
        </w:rPr>
        <w:t>10.活动视频制作：在启动仪式和主题日两场活动举办当天，派专业拍摄制团队到场拍摄，制作完成的活动视频在福州市级以上官方媒体视频号发布，时长不少于1分钟。</w:t>
      </w:r>
    </w:p>
    <w:p>
      <w:pPr>
        <w:pStyle w:val="null3"/>
        <w:ind w:firstLine="480"/>
        <w:jc w:val="left"/>
      </w:pPr>
      <w:r>
        <w:rPr>
          <w:rFonts w:ascii="仿宋_GB2312" w:hAnsi="仿宋_GB2312" w:cs="仿宋_GB2312" w:eastAsia="仿宋_GB2312"/>
          <w:sz w:val="24"/>
        </w:rPr>
        <w:t>11.户外屏宣传：在世界防治结核日当天投放宣传海报，户外屏位于福州市核心地段，每次播放时间不少于15秒，每天播放频次不少于150次。数量不少于2块。</w:t>
      </w:r>
    </w:p>
    <w:p>
      <w:pPr>
        <w:pStyle w:val="null3"/>
        <w:ind w:firstLine="480"/>
        <w:jc w:val="left"/>
      </w:pPr>
      <w:r>
        <w:rPr>
          <w:rFonts w:ascii="仿宋_GB2312" w:hAnsi="仿宋_GB2312" w:cs="仿宋_GB2312" w:eastAsia="仿宋_GB2312"/>
          <w:sz w:val="24"/>
        </w:rPr>
        <w:t>12.航拍视频：在户外宣传屏投放时进行航拍，并制作集锦视频，时间不少于30秒。</w:t>
      </w:r>
    </w:p>
    <w:p>
      <w:pPr>
        <w:pStyle w:val="null3"/>
        <w:ind w:firstLine="480"/>
        <w:jc w:val="left"/>
      </w:pPr>
      <w:r>
        <w:rPr>
          <w:rFonts w:ascii="仿宋_GB2312" w:hAnsi="仿宋_GB2312" w:cs="仿宋_GB2312" w:eastAsia="仿宋_GB2312"/>
          <w:sz w:val="24"/>
        </w:rPr>
        <w:t>13.要求供应商具有信息把控的能力，所有输出的内容均须在内部做好信息把关，进行意识形态审核。</w:t>
      </w:r>
    </w:p>
    <w:p>
      <w:pPr>
        <w:pStyle w:val="null3"/>
        <w:ind w:firstLine="480"/>
        <w:jc w:val="left"/>
      </w:pPr>
      <w:r>
        <w:rPr>
          <w:rFonts w:ascii="仿宋_GB2312" w:hAnsi="仿宋_GB2312" w:cs="仿宋_GB2312" w:eastAsia="仿宋_GB2312"/>
          <w:sz w:val="24"/>
        </w:rPr>
        <w:t>14.项目执行过程中如有变化，须及时与采购人协商，经采购人同意后，方可变更。</w:t>
      </w:r>
    </w:p>
    <w:p>
      <w:pPr>
        <w:pStyle w:val="null3"/>
        <w:ind w:firstLine="480"/>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服务期：2026年4月30日完成全部服务内容并通过采购人验收</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完成以上所有服务内容并达到采购方要求</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1、期次1，说明：完成以上所有服务内容并达到采购方要求方为验收合格</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1、合同签订后，中标人向采购人提供合同金额 50%发票，经采购人财务审核无误，并待财政审批下达该专项经费后，达到付款条件起7日内，支付合同总金额的50.00%</w:t>
            </w:r>
          </w:p>
          <w:p>
            <w:pPr>
              <w:pStyle w:val="null3"/>
            </w:pPr>
            <w:r>
              <w:rPr>
                <w:rFonts w:ascii="仿宋_GB2312" w:hAnsi="仿宋_GB2312" w:cs="仿宋_GB2312" w:eastAsia="仿宋_GB2312"/>
              </w:rPr>
              <w:t>2、中标人完成所有项目要求内容并经验收合格后，中标人向采购人提供合同金额 50%发票,经采购人财务审核无误，并待财政审批下达该专项经费后，达到付款条件起7日内，支付合同总金额的50.00%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shd w:fill="FFFFFF" w:val="clear"/>
        </w:rPr>
        <w:t>★8、违约责任</w:t>
      </w:r>
    </w:p>
    <w:p>
      <w:pPr>
        <w:pStyle w:val="null3"/>
        <w:ind w:firstLine="480"/>
        <w:jc w:val="left"/>
      </w:pPr>
      <w:r>
        <w:rPr>
          <w:rFonts w:ascii="仿宋_GB2312" w:hAnsi="仿宋_GB2312" w:cs="仿宋_GB2312" w:eastAsia="仿宋_GB2312"/>
          <w:sz w:val="24"/>
          <w:shd w:fill="FFFFFF" w:val="clear"/>
        </w:rPr>
        <w:t>8.1因成交供应商原因造成采购合同无法按时签订的，视为成交供应商违约，成交供应商违约对采购人造成损失的，需另行支付相应的赔偿。</w:t>
      </w:r>
    </w:p>
    <w:p>
      <w:pPr>
        <w:pStyle w:val="null3"/>
        <w:ind w:firstLine="480"/>
        <w:jc w:val="left"/>
      </w:pPr>
      <w:r>
        <w:rPr>
          <w:rFonts w:ascii="仿宋_GB2312" w:hAnsi="仿宋_GB2312" w:cs="仿宋_GB2312" w:eastAsia="仿宋_GB2312"/>
          <w:sz w:val="24"/>
          <w:shd w:fill="FFFFFF" w:val="clear"/>
        </w:rPr>
        <w:t>8.2在签订采购合同之后，成交供应商要求解除合同的，视为成交供应商违约，采购人有权没收履约保证金，对采购人造成损失的，成交供应商还应支付相应的赔偿。</w:t>
      </w:r>
    </w:p>
    <w:p>
      <w:pPr>
        <w:pStyle w:val="null3"/>
        <w:ind w:firstLine="480"/>
        <w:jc w:val="left"/>
      </w:pPr>
      <w:r>
        <w:rPr>
          <w:rFonts w:ascii="仿宋_GB2312" w:hAnsi="仿宋_GB2312" w:cs="仿宋_GB2312" w:eastAsia="仿宋_GB2312"/>
          <w:sz w:val="24"/>
          <w:shd w:fill="FFFFFF" w:val="clear"/>
        </w:rPr>
        <w:t>8.3因成交供应商原因发生服务质量事故，除依约承担赔偿责任外，采购人有权更换成交供应商，并报相关行政主管部门处罚。</w:t>
      </w:r>
    </w:p>
    <w:p>
      <w:pPr>
        <w:pStyle w:val="null3"/>
        <w:ind w:firstLine="480"/>
        <w:jc w:val="left"/>
      </w:pPr>
      <w:r>
        <w:rPr>
          <w:rFonts w:ascii="仿宋_GB2312" w:hAnsi="仿宋_GB2312" w:cs="仿宋_GB2312" w:eastAsia="仿宋_GB2312"/>
          <w:sz w:val="24"/>
          <w:shd w:fill="FFFFFF" w:val="clear"/>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并没收履约保证金，给采购人造成的损失，还应承担赔偿责任。</w:t>
      </w:r>
    </w:p>
    <w:p>
      <w:pPr>
        <w:pStyle w:val="null3"/>
        <w:ind w:firstLine="480"/>
        <w:jc w:val="left"/>
      </w:pPr>
      <w:r>
        <w:rPr>
          <w:rFonts w:ascii="仿宋_GB2312" w:hAnsi="仿宋_GB2312" w:cs="仿宋_GB2312" w:eastAsia="仿宋_GB2312"/>
          <w:sz w:val="24"/>
          <w:shd w:fill="FFFFFF" w:val="clear"/>
        </w:rPr>
        <w:t>8.5在明确违约责任后，成交供应商应在接到书面通知书起七天内支付违约金、赔偿金等。</w:t>
      </w:r>
    </w:p>
    <w:p>
      <w:pPr>
        <w:pStyle w:val="null3"/>
        <w:ind w:firstLine="480"/>
        <w:jc w:val="left"/>
      </w:pPr>
      <w:r>
        <w:rPr>
          <w:rFonts w:ascii="仿宋_GB2312" w:hAnsi="仿宋_GB2312" w:cs="仿宋_GB2312" w:eastAsia="仿宋_GB2312"/>
          <w:sz w:val="24"/>
          <w:shd w:fill="FFFFFF" w:val="clear"/>
        </w:rPr>
        <w:t>8.6任何一方因违约行为给对方造成损失的，应承担赔偿责任，任何一方所采取必要的补救措施而发生的相关费用（包括但不限于诉讼费、公告费、财产保全费、财产保全担保费、执行费、评估费、拍卖费、律师费、差旅费等）均由违约方承担。</w:t>
      </w:r>
    </w:p>
    <w:p>
      <w:pPr>
        <w:pStyle w:val="null3"/>
        <w:ind w:firstLine="480"/>
        <w:jc w:val="left"/>
      </w:pPr>
      <w:r>
        <w:rPr>
          <w:rFonts w:ascii="仿宋_GB2312" w:hAnsi="仿宋_GB2312" w:cs="仿宋_GB2312" w:eastAsia="仿宋_GB2312"/>
          <w:sz w:val="24"/>
          <w:shd w:fill="FFFFFF" w:val="clear"/>
        </w:rPr>
        <w:t>8.7若因成交供应商原因导致采购人与第三方发生法律纠纷的，包括但不限于知识产权纠纷、人身权纠纷等，则由此产生的法律责任及赔偿责任均由成交供应商承担，与采购人无关；采购人先行偿付或承担连带赔偿责任的，有权向成交供应商追偿，成交供应商对此不持异议。</w:t>
      </w:r>
    </w:p>
    <w:p>
      <w:pPr>
        <w:pStyle w:val="null3"/>
        <w:ind w:firstLine="480"/>
        <w:jc w:val="left"/>
      </w:pPr>
      <w:r>
        <w:rPr>
          <w:rFonts w:ascii="仿宋_GB2312" w:hAnsi="仿宋_GB2312" w:cs="仿宋_GB2312" w:eastAsia="仿宋_GB2312"/>
          <w:sz w:val="24"/>
          <w:shd w:fill="FFFFFF" w:val="clear"/>
        </w:rPr>
        <w:t>8.8若成交供应商未按采购文件要求或采购合同约定的内容、形式或期限履行任何一项义务、完成任何一项工作的，采购人除有权要求成交供应商限期整改、承担违约责任外，亦有权选择直接委托第三方完成该项工作，所需费用直接从应支付给成交供应商的费用中扣减，成交供应商对此不持异议。</w:t>
      </w:r>
    </w:p>
    <w:p>
      <w:pPr>
        <w:pStyle w:val="null3"/>
        <w:ind w:firstLine="480"/>
        <w:jc w:val="left"/>
      </w:pPr>
      <w:r>
        <w:rPr>
          <w:rFonts w:ascii="仿宋_GB2312" w:hAnsi="仿宋_GB2312" w:cs="仿宋_GB2312" w:eastAsia="仿宋_GB2312"/>
          <w:sz w:val="24"/>
          <w:shd w:fill="FFFFFF" w:val="clear"/>
        </w:rPr>
        <w:t>同时成交供应商逾期履行服务或逾期整改的，成交供应商应按成交总额每日万分之一向采购人支付违约金，逾期超过</w:t>
      </w:r>
      <w:r>
        <w:rPr>
          <w:rFonts w:ascii="仿宋_GB2312" w:hAnsi="仿宋_GB2312" w:cs="仿宋_GB2312" w:eastAsia="仿宋_GB2312"/>
          <w:sz w:val="24"/>
          <w:shd w:fill="FFFFFF" w:val="clear"/>
        </w:rPr>
        <w:t>30日，采购人有权解除合同，成交供应商应按成交总额10%向采购人支付违约金。</w:t>
      </w:r>
    </w:p>
    <w:p>
      <w:pPr>
        <w:pStyle w:val="null3"/>
        <w:ind w:firstLine="480"/>
        <w:jc w:val="left"/>
      </w:pPr>
      <w:r>
        <w:rPr>
          <w:rFonts w:ascii="仿宋_GB2312" w:hAnsi="仿宋_GB2312" w:cs="仿宋_GB2312" w:eastAsia="仿宋_GB2312"/>
          <w:sz w:val="24"/>
          <w:shd w:fill="FFFFFF" w:val="clear"/>
        </w:rPr>
        <w:t>8.9采购合同项下成交供应商应承担的违约金、赔偿金等款项，采购人有权自应付给成交供应商的款项中直接扣除；若违约金、赔偿金等款项不足以弥补采购人实际损失的，则采购人有权继续向成交供应商追偿。</w:t>
      </w:r>
    </w:p>
    <w:p>
      <w:pPr>
        <w:pStyle w:val="null3"/>
        <w:ind w:firstLine="480"/>
        <w:jc w:val="left"/>
      </w:pPr>
      <w:r>
        <w:rPr>
          <w:rFonts w:ascii="仿宋_GB2312" w:hAnsi="仿宋_GB2312" w:cs="仿宋_GB2312" w:eastAsia="仿宋_GB2312"/>
          <w:sz w:val="24"/>
          <w:shd w:fill="FFFFFF" w:val="clear"/>
        </w:rPr>
        <w:t>★9、保密条款</w:t>
      </w:r>
    </w:p>
    <w:p>
      <w:pPr>
        <w:pStyle w:val="null3"/>
        <w:ind w:firstLine="480"/>
        <w:jc w:val="left"/>
      </w:pPr>
      <w:r>
        <w:rPr>
          <w:rFonts w:ascii="仿宋_GB2312" w:hAnsi="仿宋_GB2312" w:cs="仿宋_GB2312" w:eastAsia="仿宋_GB2312"/>
          <w:sz w:val="24"/>
          <w:shd w:fill="FFFFFF" w:val="clear"/>
        </w:rPr>
        <w:t>成交供应商在采购和合同履行过程中所获悉的属于保密的内容，负有保密义务，成交供应商不得将其知悉的保密内容对外泄露。</w:t>
      </w:r>
    </w:p>
    <w:p>
      <w:pPr>
        <w:pStyle w:val="null3"/>
        <w:ind w:firstLine="480"/>
        <w:jc w:val="left"/>
      </w:pPr>
      <w:r>
        <w:rPr>
          <w:rFonts w:ascii="仿宋_GB2312" w:hAnsi="仿宋_GB2312" w:cs="仿宋_GB2312" w:eastAsia="仿宋_GB2312"/>
          <w:sz w:val="24"/>
          <w:shd w:fill="FFFFFF" w:val="clear"/>
        </w:rPr>
        <w:t>★10、知识产权</w:t>
      </w:r>
    </w:p>
    <w:p>
      <w:pPr>
        <w:pStyle w:val="null3"/>
        <w:ind w:firstLine="480"/>
        <w:jc w:val="left"/>
      </w:pPr>
      <w:r>
        <w:rPr>
          <w:rFonts w:ascii="仿宋_GB2312" w:hAnsi="仿宋_GB2312" w:cs="仿宋_GB2312" w:eastAsia="仿宋_GB2312"/>
          <w:sz w:val="24"/>
          <w:shd w:fill="FFFFFF" w:val="clear"/>
        </w:rPr>
        <w:t>成交供应商须保障采购人在使用该服务或其任何一部分时不受到第三方关于侵犯专利权、商标权或工业设计权等知识产权的指控。如果任何第三方提出侵权指控与采购人无关，成交供应商须与第三方交涉并承担可能发生的责任与一切费用。如采购人因此而遭致损失的，成交供应商应赔偿该损失。</w:t>
      </w:r>
    </w:p>
    <w:p>
      <w:pPr>
        <w:pStyle w:val="null3"/>
        <w:ind w:firstLine="480"/>
        <w:jc w:val="left"/>
      </w:pPr>
      <w:r>
        <w:rPr>
          <w:rFonts w:ascii="仿宋_GB2312" w:hAnsi="仿宋_GB2312" w:cs="仿宋_GB2312" w:eastAsia="仿宋_GB2312"/>
          <w:sz w:val="24"/>
          <w:shd w:fill="FFFFFF" w:val="clear"/>
        </w:rPr>
        <w:t>★11、不可抗力事件处理</w:t>
      </w:r>
    </w:p>
    <w:p>
      <w:pPr>
        <w:pStyle w:val="null3"/>
        <w:ind w:firstLine="480"/>
        <w:jc w:val="left"/>
      </w:pPr>
      <w:r>
        <w:rPr>
          <w:rFonts w:ascii="仿宋_GB2312" w:hAnsi="仿宋_GB2312" w:cs="仿宋_GB2312" w:eastAsia="仿宋_GB2312"/>
          <w:sz w:val="24"/>
          <w:shd w:fill="FFFFFF" w:val="clea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的成交供应商应及时向采购人报告不能履行或不能完全履行的理由，并提供相关证明材料。基于上述情况，遭受不可抗力一方延期履行、部分履行或不履行合同的，根据实际情况可部分或全部免于承担违约责任。</w:t>
      </w:r>
    </w:p>
    <w:p>
      <w:pPr>
        <w:pStyle w:val="null3"/>
        <w:ind w:firstLine="480"/>
        <w:jc w:val="left"/>
      </w:pPr>
      <w:r>
        <w:rPr>
          <w:rFonts w:ascii="仿宋_GB2312" w:hAnsi="仿宋_GB2312" w:cs="仿宋_GB2312" w:eastAsia="仿宋_GB2312"/>
          <w:sz w:val="24"/>
          <w:shd w:fill="FFFFFF" w:val="clear"/>
        </w:rPr>
        <w:t>★12、仲裁、诉讼条款</w:t>
      </w:r>
    </w:p>
    <w:p>
      <w:pPr>
        <w:pStyle w:val="null3"/>
        <w:jc w:val="both"/>
      </w:pPr>
      <w:r>
        <w:rPr>
          <w:rFonts w:ascii="仿宋_GB2312" w:hAnsi="仿宋_GB2312" w:cs="仿宋_GB2312" w:eastAsia="仿宋_GB2312"/>
          <w:sz w:val="24"/>
          <w:shd w:fill="FFFFFF" w:val="clear"/>
        </w:rPr>
        <w:t>因采购或与采购合同有关的一切事项发生争议，由采购人和成交供应商双方友好协商解决。协商不成的，向采购人所在地有管辖权的人民法院提起诉讼。</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1、除采购文件另有规定外，若出现有关法律、法规和规章有强制性规定但采购文件未列明的情形，则成交供应商应按照有关法律、法规和规章强制性规定执行。 2、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 3、本采购文件未明确的其它约定事项或条款，待采购人与成交供应商签订合同时，由双方协商订立。 4、政府采购项目关于异常低价审查的内容补充： 投标（响应）报价出现《关于在相关自由贸易试验区和自由贸易港开展推动解决政府采购异常低价问题试点工作的通知》(财办库(2024)265号)规定的评标委员会（评审小组）应当启动异常低价投标(响应)审查程序的情形的，评标委员会（评审小组）将在系统中发起“价格澄清”。评标委员会（磋商小组）启动异常低价投标(响应)审查后，投标(响应)供应商应在系统要求的时限内响应，提供书面说明及必要的证明材料，对投标(响应)价格作出解释。书面说明、证明材料主要是项目具体成本测算等与报价合理性相关的说明、材料。投标(响应)供应商应考虑低价可能出现的上述情形，提前按采购文件规定准备好相关材料、携带CA及可上网的电脑，全程实时关注福建省政府采购网的在线评审大厅。若未在系统要求的时限内响应的，投标(响应)供应商需自行承担相关责任。 5、本项目采用“远程开标”，投标人可到开标现场，也可不到开标现场，由投标人自行决定。①投标人选择到开标现场开标的，请在系统规定时间内将CA证书送达本项目指定开标厅进行解密及签章。②投标人不到开标现场的，请在福建省政府采购网下载《供应商操作手册》，提前熟悉线上操作，在开标时自行登录采购系统，进入“开标/开启投标”→“供应商开标（开启）大厅”，线上观看开标过程，并按要求在解密规定时间内对投标文件进行远程解密、远程签章。③本项目系统规定解密时间为30分钟，在系统规定解密时间内未解密的视为放弃投标；已完成解密未签章的，视同认可开标过程及开标结果。④评标当天，投标人应实时关注福建省政府采购系统（特别是低价报价的投标人），若评标委员会在线上发起澄清邀请，投标人没有在系统限时内作出响应的，造成的不利后果投标人应自行承担。</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[350101]HJ[CS]2025001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福州市2025-2026年结核病防治宣传现场活动项目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福州市2025-2026年结核病防治宣传现场活动项目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福州市2025-2026年结核病防治宣传现场活动项目</w:t>
            </w:r>
          </w:p>
        </w:tc>
        <w:tc>
          <w:tcPr>
            <w:tcW w:type="dxa" w:w="166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[350101]HJ[CS]2025001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福州市2025-2026年结核病防治宣传现场活动项目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福州市2025-2026年结核病防治宣传现场活动项目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福州市2025-2026年结核病防治宣传现场活动项目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福州市2025-2026年结核病防治宣传现场活动项目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