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版本号：N511681202500001420250324001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2025年大气网格化微站运维服务项目(二次)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N5116812025000014</w:t>
      </w:r>
    </w:p>
    <w:p>
      <w:pPr>
        <w:pStyle w:val="null3"/>
        <w:jc w:val="left"/>
        <w:outlineLvl w:val="2"/>
      </w:pPr>
      <w:r>
        <w:rPr>
          <w:rFonts w:ascii="仿宋_GB2312" w:hAnsi="仿宋_GB2312" w:cs="仿宋_GB2312" w:eastAsia="仿宋_GB2312"/>
          <w:sz w:val="28"/>
          <w:b/>
        </w:rPr>
        <w:t>广安市华蓥生态环境局</w:t>
      </w:r>
    </w:p>
    <w:p>
      <w:pPr>
        <w:pStyle w:val="null3"/>
        <w:jc w:val="center"/>
        <w:outlineLvl w:val="2"/>
      </w:pPr>
      <w:r>
        <w:rPr>
          <w:rFonts w:ascii="仿宋_GB2312" w:hAnsi="仿宋_GB2312" w:cs="仿宋_GB2312" w:eastAsia="仿宋_GB2312"/>
          <w:sz w:val="28"/>
          <w:b/>
        </w:rPr>
        <w:t>四川稳通项目管理有限公司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四川稳通项目管理有限公司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广安市华蓥生态环境局</w:t>
      </w:r>
      <w:r>
        <w:rPr>
          <w:rFonts w:ascii="仿宋_GB2312" w:hAnsi="仿宋_GB2312" w:cs="仿宋_GB2312" w:eastAsia="仿宋_GB2312"/>
        </w:rPr>
        <w:t xml:space="preserve"> 委托，拟对 </w:t>
      </w:r>
      <w:r>
        <w:rPr>
          <w:rFonts w:ascii="仿宋_GB2312" w:hAnsi="仿宋_GB2312" w:cs="仿宋_GB2312" w:eastAsia="仿宋_GB2312"/>
        </w:rPr>
        <w:t>2025年大气网格化微站运维服务项目(二次)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广安市华蓥市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N5116812025000014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2025年大气网格化微站运维服务项目(二次)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1.为进一步提升大气环境监测能力，精准服务大气污染防治工作，有效提高大气环境监管针对性、科学性和准确性，根据省重污染天气应急办《关于加强大气环境精细化管理工作的通知》（川重污染天气应急办[2018]10号）要求，采购人决定采购空气质量网格化微站项目运维服务，包含平台维护、数据图片的传输和分析、前端设备维护、供电保障、网络通畅等。2.项目预算为540000.00元/年。</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广安市华蓥生态环境局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四川省华蓥市红星西路85号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18382696902</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四川稳通项目管理有限公司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四川省广安市广安区大寨路15号201、大寨路25号201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638550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0826-2665851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采购包1：540,000.00元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本项目政府采购合同履行期限为：二年，按照履约年度签订，即在年度履约期满后，继续签订下一履约年度的政府采购合同。因中标人后续履约质量无法保障或者采购人采购需求发生变化，可以依法终止合同。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参照原国家计委《关于印发招标代理服务收费管理暂行办法的通知》（计价格[2002]1980号）和国家发展改革委办公厅《关于招标代理服务收费有关问题的通知》（发改办价格［2003］857号）文件规定的收费费率和方式执行。</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广安市华蓥生态环境局</w:t>
      </w:r>
      <w:r>
        <w:rPr>
          <w:rFonts w:ascii="仿宋_GB2312" w:hAnsi="仿宋_GB2312" w:cs="仿宋_GB2312" w:eastAsia="仿宋_GB2312"/>
        </w:rPr>
        <w:t xml:space="preserve"> 和 </w:t>
      </w:r>
      <w:r>
        <w:rPr>
          <w:rFonts w:ascii="仿宋_GB2312" w:hAnsi="仿宋_GB2312" w:cs="仿宋_GB2312" w:eastAsia="仿宋_GB2312"/>
        </w:rPr>
        <w:t>四川稳通项目管理有限公司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广安市华蓥生态环境局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四川稳通项目管理有限公司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供应商完成本项目所有运维服务内容，并向采购人提出验收申请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以招标文件、中标方的投标文件以及采购合同为准。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以招标文件、中标方的投标文件以及采购合同为准。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采购人应严格按照《财政部关于进一步加强政府采购需求和履约验收管理的指导意见》（财库〔2016〕205 号）、《政府采购需求管理办法》（财库〔2021〕22号）、《广安市政府采购项目履约验收工作规程》（广市财采〔2021〕275号）的相关标准及要求进行验收。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广安市华蓥生态环境局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四川稳通项目管理有限公司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四川稳通项目管理有限公司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联系人：杨先生</w:t>
      </w:r>
    </w:p>
    <w:p>
      <w:pPr>
        <w:pStyle w:val="null3"/>
        <w:jc w:val="left"/>
      </w:pPr>
      <w:r>
        <w:rPr>
          <w:rFonts w:ascii="仿宋_GB2312" w:hAnsi="仿宋_GB2312" w:cs="仿宋_GB2312" w:eastAsia="仿宋_GB2312"/>
        </w:rPr>
        <w:t>联系电话：18382696902</w:t>
      </w:r>
    </w:p>
    <w:p>
      <w:pPr>
        <w:pStyle w:val="null3"/>
        <w:jc w:val="left"/>
      </w:pPr>
      <w:r>
        <w:rPr>
          <w:rFonts w:ascii="仿宋_GB2312" w:hAnsi="仿宋_GB2312" w:cs="仿宋_GB2312" w:eastAsia="仿宋_GB2312"/>
        </w:rPr>
        <w:t>地址：四川省华蓥市红星西路85号</w:t>
      </w:r>
    </w:p>
    <w:p>
      <w:pPr>
        <w:pStyle w:val="null3"/>
        <w:jc w:val="left"/>
      </w:pPr>
      <w:r>
        <w:rPr>
          <w:rFonts w:ascii="仿宋_GB2312" w:hAnsi="仿宋_GB2312" w:cs="仿宋_GB2312" w:eastAsia="仿宋_GB2312"/>
        </w:rPr>
        <w:t>邮编：638600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联系人：曾女士</w:t>
      </w:r>
    </w:p>
    <w:p>
      <w:pPr>
        <w:pStyle w:val="null3"/>
        <w:jc w:val="left"/>
      </w:pPr>
      <w:r>
        <w:rPr>
          <w:rFonts w:ascii="仿宋_GB2312" w:hAnsi="仿宋_GB2312" w:cs="仿宋_GB2312" w:eastAsia="仿宋_GB2312"/>
        </w:rPr>
        <w:t>联系电话：0826-2665851</w:t>
      </w:r>
    </w:p>
    <w:p>
      <w:pPr>
        <w:pStyle w:val="null3"/>
        <w:jc w:val="left"/>
      </w:pPr>
      <w:r>
        <w:rPr>
          <w:rFonts w:ascii="仿宋_GB2312" w:hAnsi="仿宋_GB2312" w:cs="仿宋_GB2312" w:eastAsia="仿宋_GB2312"/>
        </w:rPr>
        <w:t>地址： 四川省广安市广安区大寨路15号201、大寨路25号201</w:t>
      </w:r>
    </w:p>
    <w:p>
      <w:pPr>
        <w:pStyle w:val="null3"/>
        <w:jc w:val="left"/>
      </w:pPr>
      <w:r>
        <w:rPr>
          <w:rFonts w:ascii="仿宋_GB2312" w:hAnsi="仿宋_GB2312" w:cs="仿宋_GB2312" w:eastAsia="仿宋_GB2312"/>
        </w:rPr>
        <w:t>邮编：638550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540,000.00</w:t>
      </w:r>
    </w:p>
    <w:p>
      <w:pPr>
        <w:pStyle w:val="null3"/>
        <w:jc w:val="left"/>
      </w:pPr>
      <w:r>
        <w:rPr>
          <w:rFonts w:ascii="仿宋_GB2312" w:hAnsi="仿宋_GB2312" w:cs="仿宋_GB2312" w:eastAsia="仿宋_GB2312"/>
        </w:rPr>
        <w:t>采购包最高限价（元）: 540,000.00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C07019900 其他生态环境保护服务</w:t>
            </w:r>
          </w:p>
        </w:tc>
        <w:tc>
          <w:tcPr>
            <w:tcW w:type="dxa" w:w="821"/>
          </w:tcPr>
          <w:p>
            <w:pPr>
              <w:pStyle w:val="null3"/>
              <w:jc w:val="left"/>
            </w:pPr>
            <w:r>
              <w:rPr>
                <w:rFonts w:ascii="仿宋_GB2312" w:hAnsi="仿宋_GB2312" w:cs="仿宋_GB2312" w:eastAsia="仿宋_GB2312"/>
              </w:rPr>
              <w:t>2025年大气网格化微站运维服务项目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540,000.00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2025年大气网格化微站运维服务项目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标的名称：2025年大气网格化微站运维服务项目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537"/>
              <w:gridCol w:w="2534"/>
              <w:gridCol w:w="2528"/>
            </w:tblGrid>
            <w:tr>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点位名称</w:t>
                  </w:r>
                </w:p>
              </w:tc>
              <w:tc>
                <w:tcPr>
                  <w:tcW w:type="dxa" w:w="2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设备类型</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禄市人民政府空气微站</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华蓥永兴政府空气微站</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华龙街道小红帽幼儿园空气微站</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天池派出所空气微站</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华蓥山高速路出口</w:t>
                  </w:r>
                  <w:r>
                    <w:rPr>
                      <w:rFonts w:ascii="仿宋_GB2312" w:hAnsi="仿宋_GB2312" w:cs="仿宋_GB2312" w:eastAsia="仿宋_GB2312"/>
                      <w:sz w:val="22"/>
                      <w:color w:val="000000"/>
                    </w:rPr>
                    <w:t>空气微站</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华蓥廨院村空气微站</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明月肉联厂空气微站</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华蓥渠江水泥厂空气微站</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四川莹安空气微站</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华蓥嘉乐路空气微站</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华蓥明月镇政府空气微站</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华蓥古桥街道空气微站</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华蓥阳和镇</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华蓥高兴永健医院楼顶</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华蓥庆华加油站</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华蓥溪口镇政府</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空气微站</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华蓥田坎村</w:t>
                  </w:r>
                  <w:r>
                    <w:rPr>
                      <w:rFonts w:ascii="仿宋_GB2312" w:hAnsi="仿宋_GB2312" w:cs="仿宋_GB2312" w:eastAsia="仿宋_GB2312"/>
                      <w:sz w:val="22"/>
                      <w:color w:val="000000"/>
                    </w:rPr>
                    <w:t>6组</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天池湖瞭望点</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自来水厂瞭望点</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华蓥驾校考场瞭望点</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云谷村瞭望点</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明月镇合心村瞭望点</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华龙街道君兰天下瞭望点</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马架坪瞭望点</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古桥街道拉远瞭望点</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禄市镇瞭望点</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5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**瞭望点（供应商提供安装和辅材）</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r>
          </w:tbl>
          <w:p>
            <w:pPr>
              <w:pStyle w:val="null3"/>
              <w:jc w:val="both"/>
            </w:pPr>
            <w:r>
              <w:rPr>
                <w:rFonts w:ascii="仿宋_GB2312" w:hAnsi="仿宋_GB2312" w:cs="仿宋_GB2312" w:eastAsia="仿宋_GB2312"/>
                <w:sz w:val="28"/>
                <w:b/>
              </w:rPr>
              <w:t>注：以上设备部分设备设施安装在铁塔公司的铁塔上。</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480"/>
              <w:jc w:val="both"/>
            </w:pPr>
            <w:r>
              <w:rPr>
                <w:rFonts w:ascii="仿宋_GB2312" w:hAnsi="仿宋_GB2312" w:cs="仿宋_GB2312" w:eastAsia="仿宋_GB2312"/>
                <w:sz w:val="24"/>
              </w:rPr>
              <w:t>1.所有监控系统（含显示器）及前端设备的正常运行和数据分析，按照要求及时提供数据分析报告及建议。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运行维护要求</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数据</w:t>
            </w:r>
            <w:r>
              <w:rPr>
                <w:rFonts w:ascii="仿宋_GB2312" w:hAnsi="仿宋_GB2312" w:cs="仿宋_GB2312" w:eastAsia="仿宋_GB2312"/>
                <w:sz w:val="24"/>
              </w:rPr>
              <w:t>、</w:t>
            </w:r>
            <w:r>
              <w:rPr>
                <w:rFonts w:ascii="仿宋_GB2312" w:hAnsi="仿宋_GB2312" w:cs="仿宋_GB2312" w:eastAsia="仿宋_GB2312"/>
                <w:sz w:val="24"/>
              </w:rPr>
              <w:t>图像传输</w:t>
            </w:r>
            <w:r>
              <w:rPr>
                <w:rFonts w:ascii="仿宋_GB2312" w:hAnsi="仿宋_GB2312" w:cs="仿宋_GB2312" w:eastAsia="仿宋_GB2312"/>
                <w:sz w:val="24"/>
              </w:rPr>
              <w:t>分析服务要求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1）供应商须利用本项目设备监测PM10、PM2.5、S02、N02、C0、03</w:t>
            </w:r>
            <w:r>
              <w:rPr>
                <w:rFonts w:ascii="仿宋_GB2312" w:hAnsi="仿宋_GB2312" w:cs="仿宋_GB2312" w:eastAsia="仿宋_GB2312"/>
                <w:sz w:val="24"/>
              </w:rPr>
              <w:t>和火点</w:t>
            </w:r>
            <w:r>
              <w:rPr>
                <w:rFonts w:ascii="仿宋_GB2312" w:hAnsi="仿宋_GB2312" w:cs="仿宋_GB2312" w:eastAsia="仿宋_GB2312"/>
                <w:sz w:val="24"/>
              </w:rPr>
              <w:t>等指标的污染级别及监测值，通过专业人员对监测数据进行分析，提供详细的数据报告给采购人。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须在每月结束后提交上月数据报告；每</w:t>
            </w:r>
            <w:r>
              <w:rPr>
                <w:rFonts w:ascii="仿宋_GB2312" w:hAnsi="仿宋_GB2312" w:cs="仿宋_GB2312" w:eastAsia="仿宋_GB2312"/>
                <w:sz w:val="24"/>
              </w:rPr>
              <w:t>季度</w:t>
            </w:r>
            <w:r>
              <w:rPr>
                <w:rFonts w:ascii="仿宋_GB2312" w:hAnsi="仿宋_GB2312" w:cs="仿宋_GB2312" w:eastAsia="仿宋_GB2312"/>
                <w:sz w:val="24"/>
              </w:rPr>
              <w:t>结束后提交</w:t>
            </w:r>
            <w:r>
              <w:rPr>
                <w:rFonts w:ascii="仿宋_GB2312" w:hAnsi="仿宋_GB2312" w:cs="仿宋_GB2312" w:eastAsia="仿宋_GB2312"/>
                <w:sz w:val="24"/>
              </w:rPr>
              <w:t>季度</w:t>
            </w:r>
            <w:r>
              <w:rPr>
                <w:rFonts w:ascii="仿宋_GB2312" w:hAnsi="仿宋_GB2312" w:cs="仿宋_GB2312" w:eastAsia="仿宋_GB2312"/>
                <w:sz w:val="24"/>
              </w:rPr>
              <w:t>数据报告。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如采购人需用站点数据对特定时段和特定区域进行空气质量综合分析，</w:t>
            </w:r>
            <w:r>
              <w:rPr>
                <w:rFonts w:ascii="仿宋_GB2312" w:hAnsi="仿宋_GB2312" w:cs="仿宋_GB2312" w:eastAsia="仿宋_GB2312"/>
                <w:sz w:val="24"/>
              </w:rPr>
              <w:t>供应商</w:t>
            </w:r>
            <w:r>
              <w:rPr>
                <w:rFonts w:ascii="仿宋_GB2312" w:hAnsi="仿宋_GB2312" w:cs="仿宋_GB2312" w:eastAsia="仿宋_GB2312"/>
                <w:sz w:val="24"/>
              </w:rPr>
              <w:t>应协助采购人进行综合分析并提出合理化建议、建设性意见。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2系统</w:t>
            </w:r>
            <w:r>
              <w:rPr>
                <w:rFonts w:ascii="仿宋_GB2312" w:hAnsi="仿宋_GB2312" w:cs="仿宋_GB2312" w:eastAsia="仿宋_GB2312"/>
                <w:sz w:val="24"/>
              </w:rPr>
              <w:t>运维要求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1）每小时数据</w:t>
            </w:r>
            <w:r>
              <w:rPr>
                <w:rFonts w:ascii="仿宋_GB2312" w:hAnsi="仿宋_GB2312" w:cs="仿宋_GB2312" w:eastAsia="仿宋_GB2312"/>
                <w:sz w:val="24"/>
              </w:rPr>
              <w:t>或图像</w:t>
            </w:r>
            <w:r>
              <w:rPr>
                <w:rFonts w:ascii="仿宋_GB2312" w:hAnsi="仿宋_GB2312" w:cs="仿宋_GB2312" w:eastAsia="仿宋_GB2312"/>
                <w:sz w:val="24"/>
              </w:rPr>
              <w:t>在线率不低于</w:t>
            </w:r>
            <w:r>
              <w:rPr>
                <w:rFonts w:ascii="仿宋_GB2312" w:hAnsi="仿宋_GB2312" w:cs="仿宋_GB2312" w:eastAsia="仿宋_GB2312"/>
                <w:sz w:val="24"/>
              </w:rPr>
              <w:t>90%；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2）运维任务完成率95%以上；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3）异常情况处理率达到100%；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4）运维人员须对项目中涉及到采购人的信息进行保密，未经采购人许可，不得将系统相关信息泄露给第三方，否则，采购人保留追究</w:t>
            </w:r>
            <w:r>
              <w:rPr>
                <w:rFonts w:ascii="仿宋_GB2312" w:hAnsi="仿宋_GB2312" w:cs="仿宋_GB2312" w:eastAsia="仿宋_GB2312"/>
                <w:sz w:val="24"/>
              </w:rPr>
              <w:t>供应商</w:t>
            </w:r>
            <w:r>
              <w:rPr>
                <w:rFonts w:ascii="仿宋_GB2312" w:hAnsi="仿宋_GB2312" w:cs="仿宋_GB2312" w:eastAsia="仿宋_GB2312"/>
                <w:sz w:val="24"/>
              </w:rPr>
              <w:t>法律责任的权利。（</w:t>
            </w:r>
            <w:r>
              <w:rPr>
                <w:rFonts w:ascii="仿宋_GB2312" w:hAnsi="仿宋_GB2312" w:cs="仿宋_GB2312" w:eastAsia="仿宋_GB2312"/>
                <w:sz w:val="24"/>
              </w:rPr>
              <w:t>投标时投标文件内提供拟派运维人员与</w:t>
            </w:r>
            <w:r>
              <w:rPr>
                <w:rFonts w:ascii="仿宋_GB2312" w:hAnsi="仿宋_GB2312" w:cs="仿宋_GB2312" w:eastAsia="仿宋_GB2312"/>
                <w:sz w:val="24"/>
              </w:rPr>
              <w:t>供应商</w:t>
            </w:r>
            <w:r>
              <w:rPr>
                <w:rFonts w:ascii="仿宋_GB2312" w:hAnsi="仿宋_GB2312" w:cs="仿宋_GB2312" w:eastAsia="仿宋_GB2312"/>
                <w:sz w:val="24"/>
              </w:rPr>
              <w:t>签订的保密协议复印件，并加盖</w:t>
            </w:r>
            <w:r>
              <w:rPr>
                <w:rFonts w:ascii="仿宋_GB2312" w:hAnsi="仿宋_GB2312" w:cs="仿宋_GB2312" w:eastAsia="仿宋_GB2312"/>
                <w:sz w:val="24"/>
              </w:rPr>
              <w:t>供应商公章）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5）对运维商进行日常监管和抽查，抽查频次每季度不低于1次。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6）数据必须准确、真实、可靠、完整。</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3运维工作具体内容</w:t>
            </w:r>
          </w:p>
          <w:p>
            <w:pPr>
              <w:pStyle w:val="null3"/>
              <w:ind w:firstLine="480"/>
              <w:jc w:val="both"/>
            </w:pPr>
            <w:r>
              <w:rPr>
                <w:rFonts w:ascii="仿宋_GB2312" w:hAnsi="仿宋_GB2312" w:cs="仿宋_GB2312" w:eastAsia="仿宋_GB2312"/>
                <w:sz w:val="24"/>
              </w:rPr>
              <w:t>运维工作主要包括本次项目所有仪器、辅助设备的运行维护工作，包括平台维护、设备维护、现场巡检、定期校准、故障处理、报告出具等工作，全力保证设备正常平稳运行，监测数据实时正常上传。具体工作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1）日观察：值班运行维护人员通过监控系统平台监视各微型站</w:t>
            </w:r>
            <w:r>
              <w:rPr>
                <w:rFonts w:ascii="仿宋_GB2312" w:hAnsi="仿宋_GB2312" w:cs="仿宋_GB2312" w:eastAsia="仿宋_GB2312"/>
                <w:sz w:val="24"/>
              </w:rPr>
              <w:t>和视频监控系统</w:t>
            </w:r>
            <w:r>
              <w:rPr>
                <w:rFonts w:ascii="仿宋_GB2312" w:hAnsi="仿宋_GB2312" w:cs="仿宋_GB2312" w:eastAsia="仿宋_GB2312"/>
                <w:sz w:val="24"/>
              </w:rPr>
              <w:t>设备运行状态，包括：供电保障、</w:t>
            </w:r>
            <w:r>
              <w:rPr>
                <w:rFonts w:ascii="仿宋_GB2312" w:hAnsi="仿宋_GB2312" w:cs="仿宋_GB2312" w:eastAsia="仿宋_GB2312"/>
                <w:sz w:val="24"/>
              </w:rPr>
              <w:t>GPS定位、各站点设备是否正常运行、各监测数据是否正常传输等，必要时到现场进行</w:t>
            </w:r>
            <w:r>
              <w:rPr>
                <w:rFonts w:ascii="仿宋_GB2312" w:hAnsi="仿宋_GB2312" w:cs="仿宋_GB2312" w:eastAsia="仿宋_GB2312"/>
                <w:sz w:val="24"/>
              </w:rPr>
              <w:t>现场</w:t>
            </w:r>
            <w:r>
              <w:rPr>
                <w:rFonts w:ascii="仿宋_GB2312" w:hAnsi="仿宋_GB2312" w:cs="仿宋_GB2312" w:eastAsia="仿宋_GB2312"/>
                <w:sz w:val="24"/>
              </w:rPr>
              <w:t>巡检。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2）周巡检：运行维护人员每</w:t>
            </w:r>
            <w:r>
              <w:rPr>
                <w:rFonts w:ascii="仿宋_GB2312" w:hAnsi="仿宋_GB2312" w:cs="仿宋_GB2312" w:eastAsia="仿宋_GB2312"/>
                <w:sz w:val="24"/>
              </w:rPr>
              <w:t>周</w:t>
            </w:r>
            <w:r>
              <w:rPr>
                <w:rFonts w:ascii="仿宋_GB2312" w:hAnsi="仿宋_GB2312" w:cs="仿宋_GB2312" w:eastAsia="仿宋_GB2312"/>
                <w:sz w:val="24"/>
              </w:rPr>
              <w:t>至少对现场设备和系统进行一次例行现场检查和维护。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月维护：运行维护人员每月对整套系统进行一次全面保养和维护</w:t>
            </w:r>
            <w:r>
              <w:rPr>
                <w:rFonts w:ascii="仿宋_GB2312" w:hAnsi="仿宋_GB2312" w:cs="仿宋_GB2312" w:eastAsia="仿宋_GB2312"/>
                <w:sz w:val="24"/>
              </w:rPr>
              <w:t>，</w:t>
            </w:r>
            <w:r>
              <w:rPr>
                <w:rFonts w:ascii="仿宋_GB2312" w:hAnsi="仿宋_GB2312" w:cs="仿宋_GB2312" w:eastAsia="仿宋_GB2312"/>
                <w:sz w:val="24"/>
              </w:rPr>
              <w:t>校准数据</w:t>
            </w:r>
            <w:r>
              <w:rPr>
                <w:rFonts w:ascii="仿宋_GB2312" w:hAnsi="仿宋_GB2312" w:cs="仿宋_GB2312" w:eastAsia="仿宋_GB2312"/>
                <w:sz w:val="24"/>
              </w:rPr>
              <w:t>，保证系统正常运行；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）故障处理：当设备出现故障后，运行维护人员必须</w:t>
            </w:r>
            <w:r>
              <w:rPr>
                <w:rFonts w:ascii="仿宋_GB2312" w:hAnsi="仿宋_GB2312" w:cs="仿宋_GB2312" w:eastAsia="仿宋_GB2312"/>
                <w:sz w:val="24"/>
              </w:rPr>
              <w:t>2小时内到达设备现场进行检查维修，24小时内解决故障并保证设备恢复正常；系统平台故障诊断、恢复响应时间不得超过8小时。每次故障检修完成后，均需对仪器进行校准后方可使用。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）预防性维护：运行维护人员负责保证仪器设备外观清洁。运行维护人员负责对设备运行环境进行检查。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）供电保障：市电（</w:t>
            </w:r>
            <w:r>
              <w:rPr>
                <w:rFonts w:ascii="仿宋_GB2312" w:hAnsi="仿宋_GB2312" w:cs="仿宋_GB2312" w:eastAsia="仿宋_GB2312"/>
                <w:sz w:val="24"/>
              </w:rPr>
              <w:t>220V）或太阳能供电（12V）；同时配置UPS或蓄电池等后备电源，提供7*24小时不间断供电保障，市电中断后能提供油机发电保障，提供相应证明文件复印件或可行性方案。</w:t>
            </w:r>
          </w:p>
          <w:p>
            <w:pPr>
              <w:pStyle w:val="null3"/>
              <w:ind w:firstLine="48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7）设施设备保障：</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在维护过程中须提供图形工作站1台。图形工作站的配置须满足本次运行维护需要及满足采购人根据实际需要提出的配置要求。为了保障数据完整及安全，图形工作站所有权后续归采购人所有。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应提供本地化的运维服务场所，至少为本项目配备</w:t>
            </w:r>
            <w:r>
              <w:rPr>
                <w:rFonts w:ascii="仿宋_GB2312" w:hAnsi="仿宋_GB2312" w:cs="仿宋_GB2312" w:eastAsia="仿宋_GB2312"/>
                <w:sz w:val="24"/>
              </w:rPr>
              <w:t>3名专业的运维人员</w:t>
            </w:r>
            <w:r>
              <w:rPr>
                <w:rFonts w:ascii="仿宋_GB2312" w:hAnsi="仿宋_GB2312" w:cs="仿宋_GB2312" w:eastAsia="仿宋_GB2312"/>
                <w:sz w:val="24"/>
              </w:rPr>
              <w:t>，</w:t>
            </w:r>
            <w:r>
              <w:rPr>
                <w:rFonts w:ascii="仿宋_GB2312" w:hAnsi="仿宋_GB2312" w:cs="仿宋_GB2312" w:eastAsia="仿宋_GB2312"/>
                <w:sz w:val="24"/>
              </w:rPr>
              <w:t>全天候任意时间查看数据或图像运维情况</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9）所有运行和维护记录需按月提交给广安市华蓥生态环境局。</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sz w:val="24"/>
              </w:rPr>
              <w:t>（1） 本项目采用报总价形式进行报价，包含完成本项目所要求的服务所应包括内容的所有价格。</w:t>
            </w:r>
            <w:r>
              <w:br/>
            </w:r>
            <w:r>
              <w:rPr>
                <w:rFonts w:ascii="仿宋_GB2312" w:hAnsi="仿宋_GB2312" w:cs="仿宋_GB2312" w:eastAsia="仿宋_GB2312"/>
                <w:sz w:val="24"/>
              </w:rPr>
              <w:t xml:space="preserve"> （2）投标报价是供应商完成采购人当前条件下项目正常运行所需的全部费用，包含完成本项目所涉及人员薪资、设施设备投入及租赁费用、零部件更换、交通住宿、设备运维及其网络和用电费用、保险、税金，以及 文件规定的一切费用；运维期间涉及到运维团队人员的待遇、安全、保障、法律纠纷等事宜由中标人自行负责；运维期满后，涉及到运维团队人员的人事劳动关系、解聘赔偿等事宜由中标人全权负责。</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拟暂定为签订合同之日起2年。第1个年度服务期限满后，采购人对供应商的服务进行考核打分，考核合格后，采购人报请上级部门同意后合同可以续签。（因系统固化原因，投标人须知附表中合同履行期限与第三章商务要求服务期限不一致的，以第三章商务要求服务期限描述为准。）</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采购人应严格按照《财政部关于进一步加强政府采购需求和履约验收管理的指导意见》（财库〔2016〕205 号）、《政府采购需求管理办法》（财库〔2021〕22号）、《广安市政府采购项目履约验收工作规程》（广市财采〔2021〕275号）的相关标准及要求进行验收。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付款进度，据实支付，达到付款条件起30日内，据实情况说明为中标人完成当季度运维服务内容后，当季度底结算支付上一季度合同金额的90%；合同签订之日起一年后完成本项目所有运维服务内容，并通过验收合格后支付至合同总金额的100%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合同约定</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投标人认为需要提供的其它资料.docx,投标（响应）函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招标文件实质性要求</w:t>
            </w:r>
          </w:p>
        </w:tc>
        <w:tc>
          <w:tcPr>
            <w:tcW w:type="dxa" w:w="3322"/>
          </w:tcPr>
          <w:p>
            <w:pPr>
              <w:pStyle w:val="null3"/>
              <w:jc w:val="left"/>
            </w:pPr>
            <w:r>
              <w:rPr>
                <w:rFonts w:ascii="仿宋_GB2312" w:hAnsi="仿宋_GB2312" w:cs="仿宋_GB2312" w:eastAsia="仿宋_GB2312"/>
              </w:rPr>
              <w:t>招标文件有明确要求为实质性要求的，但投标（响应）文件未载明或者载明的与招标文件要求不一致的，作无效投标（响应）处理。</w:t>
            </w:r>
          </w:p>
        </w:tc>
        <w:tc>
          <w:tcPr>
            <w:tcW w:type="dxa" w:w="1910"/>
          </w:tcPr>
          <w:p>
            <w:pPr>
              <w:pStyle w:val="null3"/>
              <w:jc w:val="left"/>
            </w:pPr>
            <w:r>
              <w:rPr>
                <w:rFonts w:ascii="仿宋_GB2312" w:hAnsi="仿宋_GB2312" w:cs="仿宋_GB2312" w:eastAsia="仿宋_GB2312"/>
              </w:rPr>
              <w:t>商务要求、其他要求应答表.docx,技术要求、服务要求应答表.docx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不正当竞争预防措施（实质性要求 ）</w:t>
            </w:r>
          </w:p>
        </w:tc>
        <w:tc>
          <w:tcPr>
            <w:tcW w:type="dxa" w:w="3322"/>
          </w:tcPr>
          <w:p>
            <w:pPr>
              <w:pStyle w:val="null3"/>
              <w:jc w:val="left"/>
            </w:pPr>
            <w:r>
              <w:rPr>
                <w:rFonts w:ascii="仿宋_GB2312" w:hAnsi="仿宋_GB2312" w:cs="仿宋_GB2312" w:eastAsia="仿宋_GB2312"/>
              </w:rPr>
              <w:t>1.在评审过程中，评审小组认为投标人投标报价明显低于其他通过符合性审查投标人的投标报价，有可能影响产品质量或者不能诚信履约的，评审小组应当要求其在评审现场合理的时间内提供成本构成书面说明，并提交相关证明材料。书面说明应当按照国家财务会计制度的规定要求，逐项就投标人提供的货物、工程和服务的主营业务成本（应根据供应商企业类型予以区别）、税金及附加、销售费 用、管理费用、财务费用等成本构成事项详细陈述。 2.投标人提交的相关证明材料，应当加盖投标人（法定名称）电子印章，在评审小组要求的时间内通过项目电子化交易系统进行提交，否则提交的相关证明材料无效。投标人不能证明其报价合理性的，评审小组应当将其投标（响应）文件作为无效处理。</w:t>
            </w:r>
          </w:p>
        </w:tc>
        <w:tc>
          <w:tcPr>
            <w:tcW w:type="dxa" w:w="1910"/>
          </w:tcPr>
          <w:p>
            <w:pPr>
              <w:pStyle w:val="null3"/>
              <w:jc w:val="left"/>
            </w:pPr>
            <w:r>
              <w:rPr>
                <w:rFonts w:ascii="仿宋_GB2312" w:hAnsi="仿宋_GB2312" w:cs="仿宋_GB2312" w:eastAsia="仿宋_GB2312"/>
              </w:rPr>
              <w:t>投标人认为需要提供的其它资料.docx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投标人针对本项目所提供的项目技术服务方案（包含：①运维方案、②质量保障方案、③数据质控方案、④数据分析服务方案、⑤技术人员及资源配置方案、⑥应急处理方案。符合招标文件要求，以上①-⑥描述完整且有利于项目实施，符合项目需求的得30分；每有一项缺项、漏项的扣5分，扣完为止；每单项中每有一处存在缺陷或错误的扣1分，直到该项扣完为止；未提供不得分。 注：以上“缺陷或错误”是指存在与项目需求不符或与实际情况不符，项目名称、实施地点区域错误，内容与本项目无关、内容前后不一致、内容前后矛盾，内容脱离项目实际情况，出现错别字导致表述的意义与项目要求不符，不符合行业政策，违背了涉及的国家技术标准、行业规范、法律规定等任意一种情况等。</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投标人认为需要提供的其它资料.docx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投标人自2019年1月1日以来，每承担过1个类似项目得3分；本项最高得15分；不提供不得分。(以投标人提供中标/成交通知书复印件或合同复印件为准)</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投标人类似项目业绩一览表.docx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根据投标人提供的售后服务（包括：①后续服务方案&lt;包含响应时间、响应次数、服务体系、服务网点、服务电话及后续服务人员名单等&gt;、②售后服务内容、资料数据归档管理措施、数据保密措施等）。以上①-②描述完整且有利于项目实施，符合项目需求的得5分，每有一项缺项、漏项的扣2.5分，扣完为止；每单项中每有一处存在缺陷或错误的扣1分，直到该项扣完为止；未提供不得分。 注：以上“缺陷或错误”是指存在与项目需求不符或与实际情况不符，项目名称、实施地点区域错误，内容与本项目无关、内容前后不一致、内容前后矛盾，内容脱离项目实际情况，出现错别字导致表述的意义与项目要求不符，不符合行业政策，违背了涉及的国家技术标准、行业规范、法律规定等任意一种情况等。</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投标人认为需要提供的其它资料.docx</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575"/>
          </w:tcPr>
          <w:p>
            <w:pPr>
              <w:pStyle w:val="null3"/>
              <w:jc w:val="left"/>
            </w:pPr>
            <w:r>
              <w:rPr>
                <w:rFonts w:ascii="仿宋_GB2312" w:hAnsi="仿宋_GB2312" w:cs="仿宋_GB2312" w:eastAsia="仿宋_GB2312"/>
              </w:rPr>
              <w:t>1.拟派本项目的项目负责人（1人）： 具有通信工程师除级职称得1分；具有通信工程师中级职称得3分；具有通信工程师高级及以上职称得6分。本项最多得6分。 2.拟派本项目的技术负责人（1人）： 具有电子信息工程（无线移动通信技术）初级职称得1分；具有电子信息工程（无线移动通信技术）中级职称得3分；具有电子信息工程（无线移动通信技术）高级及以上职称得6分；本项最多得6分。 3.拟派本项目的技术人员（除项目负责人、技术负责人外）： 3.1 具有电工作业证每个得3分。本项最多得9分。 3.2 具有传输与接入（有线方向）初级职称每个得1分，具有传输与接入（有线方向）中级及以上职称每个得3分。本项最多得3分。 3.3 具有交换技术初级职称每个得1分，具有交换技术中级及以上职称每个得3分。本项最多得3分。 3.4具有设备环境初级职称每个得1分，具有设备环境中级及以上职称每个得3分。本项最多得3分。 注：以上配置人员均须为本单位人员，提供身份证复印件、相关执业或职称证书复印件及人员为本单位人员的证明材料复印件加盖公章；人员重复不得分。</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投标人拟派本项目管理、技术、服务人员情况表.docx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投标报价×（1-10%）；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详见附件：技术要求、服务要求应答表.docx</w:t>
      </w:r>
    </w:p>
    <w:p>
      <w:pPr>
        <w:pStyle w:val="null3"/>
        <w:ind w:firstLine="960"/>
        <w:jc w:val="left"/>
      </w:pPr>
      <w:r>
        <w:rPr>
          <w:rFonts w:ascii="仿宋_GB2312" w:hAnsi="仿宋_GB2312" w:cs="仿宋_GB2312" w:eastAsia="仿宋_GB2312"/>
        </w:rPr>
        <w:t>详见附件：商务要求、其他要求应答表.docx</w:t>
      </w:r>
    </w:p>
    <w:p>
      <w:pPr>
        <w:pStyle w:val="null3"/>
        <w:ind w:firstLine="960"/>
        <w:jc w:val="left"/>
      </w:pPr>
      <w:r>
        <w:rPr>
          <w:rFonts w:ascii="仿宋_GB2312" w:hAnsi="仿宋_GB2312" w:cs="仿宋_GB2312" w:eastAsia="仿宋_GB2312"/>
        </w:rPr>
        <w:t>详见附件：投标人类似项目业绩一览表.docx</w:t>
      </w:r>
    </w:p>
    <w:p>
      <w:pPr>
        <w:pStyle w:val="null3"/>
        <w:ind w:firstLine="960"/>
        <w:jc w:val="left"/>
      </w:pPr>
      <w:r>
        <w:rPr>
          <w:rFonts w:ascii="仿宋_GB2312" w:hAnsi="仿宋_GB2312" w:cs="仿宋_GB2312" w:eastAsia="仿宋_GB2312"/>
        </w:rPr>
        <w:t>详见附件：投标人拟派本项目管理、技术、服务人员情况表.docx</w:t>
      </w:r>
    </w:p>
    <w:p>
      <w:pPr>
        <w:pStyle w:val="null3"/>
        <w:ind w:firstLine="960"/>
        <w:jc w:val="left"/>
      </w:pPr>
      <w:r>
        <w:rPr>
          <w:rFonts w:ascii="仿宋_GB2312" w:hAnsi="仿宋_GB2312" w:cs="仿宋_GB2312" w:eastAsia="仿宋_GB2312"/>
        </w:rPr>
        <w:t>详见附件：投标人认为需要提供的其它资料.docx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