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皮肤镜检测平台等设备采购项目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CGXM-2025-350001-03012[2025]00706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[350001]BYZB[GK]2025003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福建省妇幼保健院（基本医疗）</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福建省博益招标代理有限公司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福建省博益招标代理有限公司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皮肤镜检测平台等设备采购项目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CGXM-2025-350001-03012[2025]00706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[350001]BYZB[GK]2025003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适用于本项目，按照财库[2019]19号文所附品目清单执行。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适用于本项目，按照财库[2019]18号文所附品目清单执行。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jc w:val="left"/>
      </w:pPr>
      <w:r>
        <w:rPr>
          <w:rFonts w:ascii="仿宋_GB2312" w:hAnsi="仿宋_GB2312" w:cs="仿宋_GB2312" w:eastAsia="仿宋_GB2312"/>
        </w:rPr>
        <w:t>采购包2：不专门面向中小企业采购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若属于《医疗器械监督管理条例》规定的第一类医疗器械产品应提供《第一类医疗器械备案凭证》，若属于第二类、第三类医疗器械产品应取得《医疗器械注册证》(如有注册登记表应提供)。注：所有资格证明文件复印件须在有效期内。</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若属于《医疗器械监督管理条例》规定的第一类医疗器械产品应提供《第一类医疗器械备案凭证》，若属于第二类、第三类医疗器械产品应取得《医疗器械注册证》(如有注册登记表应提供)。注：所有资格证明文件复印件须在有效期内。</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福建省妇幼保健院（基本医疗）</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福州市鼓楼区道山路18号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350005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刘晔</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0591-87555759</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福建省博益招标代理有限公司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岳峰镇东二环泰禾广场（一期SHOU） 3号楼702</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350011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林海清 戴雪珍 吴水金</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0591-87872110 87820216-800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福建省博益招标代理有限公司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p>
      <w:pPr>
        <w:pStyle w:val="null3"/>
        <w:jc w:val="left"/>
      </w:pPr>
      <w:r>
        <w:rPr>
          <w:rFonts w:ascii="仿宋_GB2312" w:hAnsi="仿宋_GB2312" w:cs="仿宋_GB2312" w:eastAsia="仿宋_GB2312"/>
        </w:rPr>
        <w:t>采购包保证金金额（元）: 2,000.00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皮肤镜检测平台</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p>
      <w:pPr>
        <w:pStyle w:val="null3"/>
        <w:jc w:val="left"/>
      </w:pPr>
      <w:r>
        <w:rPr>
          <w:rFonts w:ascii="仿宋_GB2312" w:hAnsi="仿宋_GB2312" w:cs="仿宋_GB2312" w:eastAsia="仿宋_GB2312"/>
        </w:rPr>
        <w:t>采购包保证金金额（元）: 2,000.00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半导体激光治疗仪</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皮肤镜检测平台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皮肤镜检测平台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皮肤镜检测平台</w:t>
            </w:r>
          </w:p>
        </w:tc>
        <w:tc>
          <w:tcPr>
            <w:tcW w:type="dxa" w:w="2076"/>
          </w:tcPr>
          <w:p>
            <w:pPr>
              <w:pStyle w:val="null3"/>
              <w:jc w:val="left"/>
            </w:pPr>
            <w:r>
              <w:rPr>
                <w:rFonts w:ascii="仿宋_GB2312" w:hAnsi="仿宋_GB2312" w:cs="仿宋_GB2312" w:eastAsia="仿宋_GB2312"/>
              </w:rPr>
              <w:t>不超过最高限价</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半导体激光治疗仪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半导体激光治疗仪</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半导体激光治疗仪</w:t>
            </w:r>
          </w:p>
        </w:tc>
        <w:tc>
          <w:tcPr>
            <w:tcW w:type="dxa" w:w="2076"/>
          </w:tcPr>
          <w:p>
            <w:pPr>
              <w:pStyle w:val="null3"/>
              <w:jc w:val="left"/>
            </w:pPr>
            <w:r>
              <w:rPr>
                <w:rFonts w:ascii="仿宋_GB2312" w:hAnsi="仿宋_GB2312" w:cs="仿宋_GB2312" w:eastAsia="仿宋_GB2312"/>
              </w:rPr>
              <w:t>不超过最高限价</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福建省博益招标代理有限公司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代理服务费收费标准：①以本项目各采购包的中标金额作为收费的计算基数。收费费率标准：中标金额在100万元以下的部分，收费费率标准1.05%；本项目各采购包的代理服务不足3000元按3000元收取。 ②代理服务费的缴纳方式：中标人应在领取中标通知书的同时按规定的标准一次性向采购代理机构缴清代理服务费。代理服务费以银行转账、电汇、汇票或现金等付款方式交纳。代理机构提供增值税普通发票。供应商交费后应及时联系代理机构开具发票，跨季度不提供补票或换票等服务；因供应商未及时提供或提供错误开票信息造成的开票问题，代理机构不承担责任。若中标供应商因故未签定合同或未履行合同的，采购代理服务费将不予退还。 ③中标服务费账号：开户名：福建省博益招标代理有限公司；开户行：中国农业银行福州米罗街支行；账号：13111401040000800。</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①投标人提交投标文件后，即视为其完全熟悉和理解采购文件中的要求、条款和条件，且无任何异议，并自行承担因对全部招标文件理解不正确或误解而产生的相应后果和责任。 ②参加投标的投标方代表应随身携带本人身份证明资料，否则自行承担相应后果和责任。</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各采购包一般资格证明文件中要求的“提供财务状况报告(财务报告、或资信证明）”内容“①投标人提供的财务报告复印件（成立年限按照投标截止时间推算）应符合下列规定：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“①投标人提供的财务报告复印件（成立年限按照投标截止时间推算）应符合下列规定： a.成立年限满1年及以上的投标人，提供经审计的2023年度或2024年度的年度财务报告。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通过远程参与开标流程的投标人须在系统远程解密开启后，在30分钟内使用CA数字证书进行电子投标文件的解密操作，逾期未解密的视为撤销其投标文件。B.投标人在福建省政府采购网上公开信息系统注册单位名称、投标人名称、电子章名 称、保证金账户名称应为一致，否则投标无效。C.出现《福建省财政厅关于电子化政府采购项目中视为串标情形认定与 处理的指导意见》中规定的视为串标情形的，将按照《福建省财政厅关于电子化政府采购项目中视为串标情形认定与处 理的指导意见》进行处理。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福建省博益招标代理有限公司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福建省博益招标代理有限公司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福建省博益招标代理有限公司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福建省博益招标代理有限公司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福建省博益招标代理有限公司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福建省博益招标代理有限公司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福建省博益招标代理有限公司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福建省博益招标代理有限公司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福建省博益招标代理有限公司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福建省博益招标代理有限公司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福建省博益招标代理有限公司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福建省博益招标代理有限公司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福建省博益招标代理有限公司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福建省博益招标代理有限公司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福建省博益招标代理有限公司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福建省博益招标代理有限公司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福建省博益招标代理有限公司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福建省博益招标代理有限公司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福建省博益招标代理有限公司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福建省博益招标代理有限公司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福建省博益招标代理有限公司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福建省博益招标代理有限公司</w:t>
      </w:r>
      <w:r>
        <w:rPr>
          <w:rFonts w:ascii="仿宋_GB2312" w:hAnsi="仿宋_GB2312" w:cs="仿宋_GB2312" w:eastAsia="仿宋_GB2312"/>
        </w:rPr>
        <w:t xml:space="preserve"> 提出询问， </w:t>
      </w:r>
      <w:r>
        <w:rPr>
          <w:rFonts w:ascii="仿宋_GB2312" w:hAnsi="仿宋_GB2312" w:cs="仿宋_GB2312" w:eastAsia="仿宋_GB2312"/>
        </w:rPr>
        <w:t>福建省博益招标代理有限公司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福建省博益招标代理有限公司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福建省博益招标代理有限公司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由福建省博益招标代理有限公司派出的工作人员至少1人，</w:t>
      </w:r>
      <w:r>
        <w:rPr>
          <w:rFonts w:ascii="仿宋_GB2312" w:hAnsi="仿宋_GB2312" w:cs="仿宋_GB2312" w:eastAsia="仿宋_GB2312"/>
        </w:rPr>
        <w:t>其余1人可为采购人代表或福建省博益招标代理有限公司的工作人员。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若属于《医疗器械监督管理条例》规定的第一类医疗器械产品应提供《第一类医疗器械备案凭证》，若属于第二类、第三类医疗器械产品应取得《医疗器械注册证》(如有注册登记表应提供)。注：所有资格证明文件复印件须在有效期内。</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须提供《二类医疗器械的经营备案凭证》，投标货物若属于一类医疗器械，则无须提供此项；②投标货物若属于《医疗器械监督管理条例》规定的第一类医疗器械产品应提供《第一类医疗器械备案凭证》，若属于第二类、第三类医疗器械产品应取得《医疗器械注册证》(如有注册登记表应提供)。注：所有资格证明文件复印件须在有效期内。</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福建省博益招标代理有限公司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福建省博益招标代理有限公司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福建省博益招标代理有限公司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福建省博益招标代理有限公司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福建省博益招标代理有限公司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技术商务部分中不得出现报价部分的全部或部分的投标报价信息（或组成资料），否则符合性审查不合格。</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技术商务部分中不得出现报价部分的全部或部分的投标报价信息（或组成资料），否则符合性审查不合格。</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技术部分各评委平均分达不到招标文件设定的技术部分总分50%（含），视为技术部分严重偏离招标文件要求，按无效投标处理。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不满足第五章 招标内容及要求“三、商务条件”的，其投标无效。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技术部分各评委平均分达不到招标文件设定的技术部分总分50%（含），视为技术部分严重偏离招标文件要求，按无效投标处理。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不满足第五章 招标内容及要求“三、商务条件”的，其投标无效。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福建省博益招标代理有限公司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根据《福建省财政厅关于加强政府绿色采购工作的通知》（闽财规〔2024〕3号）文件，本采购包给予节能、环境标志产品每个单项报价10%的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④投标人在报价时必须对节能（非强制类产品）、环境标志产品单独分项报价，并于投标文件中提供属于节能（非强制类产品）、环境标志产品的证明资料（国家确定的认证机构出具的、处于有效期之内的产品认证证书复印件）。</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技术响应情况</w:t>
            </w:r>
          </w:p>
        </w:tc>
        <w:tc>
          <w:tcPr>
            <w:tcW w:type="dxa" w:w="831"/>
          </w:tcPr>
          <w:p>
            <w:pPr>
              <w:pStyle w:val="null3"/>
              <w:jc w:val="right"/>
            </w:pPr>
            <w:r>
              <w:rPr>
                <w:rFonts w:ascii="仿宋_GB2312" w:hAnsi="仿宋_GB2312" w:cs="仿宋_GB2312" w:eastAsia="仿宋_GB2312"/>
              </w:rPr>
              <w:t>60.00</w:t>
            </w:r>
          </w:p>
        </w:tc>
        <w:tc>
          <w:tcPr>
            <w:tcW w:type="dxa" w:w="4153"/>
          </w:tcPr>
          <w:p>
            <w:pPr>
              <w:pStyle w:val="null3"/>
              <w:jc w:val="both"/>
            </w:pPr>
            <w:r>
              <w:rPr>
                <w:rFonts w:ascii="仿宋_GB2312" w:hAnsi="仿宋_GB2312" w:cs="仿宋_GB2312" w:eastAsia="仿宋_GB2312"/>
              </w:rPr>
              <w:t>根据投标人对招标文件“第五章 招标内容及要求”中“二、技术和服务要求”中采购包1各项要求响应情况进行评审：技术参数完全满足招标文件要求的得60分；其中带▲标示为重要技术参数，每负偏离一项扣3分(共计5 项，带▲技术参数全部满足的得15分）；其余未带符号的技术参数的每负偏离扣2.5分(共计18项，未带符号的技术参数全部满足的得45分）。【注：①投标人必须根据该评审内容，对照招标文件的要求逐项进行应答，如实说明正、负偏离情况，否则，有可能做出不利于投标人的评判（负偏离）。②正偏离不加分。】</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满意度评价</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自2022年1月至今（以合同履行时间为准）实施同类项目满意度情况进行评议：每提供一份业主满意度评价的得1分，满分3分。须同时提供采购合同文本复印件以及满意度为满意、优秀或同等评价的相关证明文件复印件，缺少其中之一的，该项不得分。注：该项与业绩不重复得分</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评委会根据各投标人所提供的2022年1月1日（日期以验收报告为准）至今由投标人所完成的与本次投标同类产品的销售业绩进行评分，每提供1份业绩证明材料的得1分，累计最高得3分。投标人须在投标文件中提供该业绩项目以下资料复印件：①中标成交公告（提供相关网站中标或成交公告的下载网页及其网址）；②中标（成交）通知书；③采购合同文本；④能够证明该业绩项目已经采购人验收合格的相关证明文件。如未按以上要求提供该项业绩完整的证明资料，评标委员会对该项业绩将不予采信。注：该项与满意度评价不重复得分。</w:t>
            </w:r>
          </w:p>
        </w:tc>
      </w:tr>
      <w:tr>
        <w:tc>
          <w:tcPr>
            <w:tcW w:type="dxa" w:w="3322"/>
          </w:tcPr>
          <w:p>
            <w:pPr>
              <w:pStyle w:val="null3"/>
              <w:jc w:val="both"/>
            </w:pPr>
            <w:r>
              <w:rPr>
                <w:rFonts w:ascii="仿宋_GB2312" w:hAnsi="仿宋_GB2312" w:cs="仿宋_GB2312" w:eastAsia="仿宋_GB2312"/>
              </w:rPr>
              <w:t>售后服务情况</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各投标人针对本采购包所提供的售后服务情况，包括但不限于①常用备件的库存情况及供应时间；②售后服务机构、专业人员配备情况及联系信息；③投诉渠道及处理流程；④设备回收或报废处理服务等进行评分：每提供一项得0.5分，满分2分；未提供的不得分。</w:t>
            </w:r>
          </w:p>
        </w:tc>
      </w:tr>
      <w:tr>
        <w:tc>
          <w:tcPr>
            <w:tcW w:type="dxa" w:w="3322"/>
          </w:tcPr>
          <w:p>
            <w:pPr>
              <w:pStyle w:val="null3"/>
              <w:jc w:val="both"/>
            </w:pPr>
            <w:r>
              <w:rPr>
                <w:rFonts w:ascii="仿宋_GB2312" w:hAnsi="仿宋_GB2312" w:cs="仿宋_GB2312" w:eastAsia="仿宋_GB2312"/>
              </w:rPr>
              <w:t>技术培训方案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各投标人提供的针对本采购包制定的现场技术培训方案情况进行评分，现场技术培训方案包含：①培训计划；②培训范围；③实施及针对性措施；④保证培训成效的措施。每提供一项得0.5分，满分2分未提供的本项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根据《福建省财政厅关于加强政府绿色采购工作的通知》（闽财规〔2024〕3号）文件，本采购包给予节能、环境标志产品每个单项报价10%的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④投标人在报价时必须对节能（非强制类产品）、环境标志产品单独分项报价，并于投标文件中提供属于节能（非强制类产品）、环境标志产品的证明资料（国家确定的认证机构出具的、处于有效期之内的产品认证证书复印件）。</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技术响应情况</w:t>
            </w:r>
          </w:p>
        </w:tc>
        <w:tc>
          <w:tcPr>
            <w:tcW w:type="dxa" w:w="831"/>
          </w:tcPr>
          <w:p>
            <w:pPr>
              <w:pStyle w:val="null3"/>
              <w:jc w:val="right"/>
            </w:pPr>
            <w:r>
              <w:rPr>
                <w:rFonts w:ascii="仿宋_GB2312" w:hAnsi="仿宋_GB2312" w:cs="仿宋_GB2312" w:eastAsia="仿宋_GB2312"/>
              </w:rPr>
              <w:t>60.00</w:t>
            </w:r>
          </w:p>
        </w:tc>
        <w:tc>
          <w:tcPr>
            <w:tcW w:type="dxa" w:w="4153"/>
          </w:tcPr>
          <w:p>
            <w:pPr>
              <w:pStyle w:val="null3"/>
              <w:jc w:val="both"/>
            </w:pPr>
            <w:r>
              <w:rPr>
                <w:rFonts w:ascii="仿宋_GB2312" w:hAnsi="仿宋_GB2312" w:cs="仿宋_GB2312" w:eastAsia="仿宋_GB2312"/>
              </w:rPr>
              <w:t>根据投标人对招标文件“第五章 招标内容及要求”中“二、技术和服务要求”中采购包2各项要求响应情况进行评审：技术参数完全满足招标文件要求的得60分，每负偏离一项扣3分(共计20项）。【注：①投标人必须根据该评审内容，对照招标文件的要求逐项进行应答，如实说明正、负偏离情况，否则，有可能做出不利于投标人的评判（负偏离）。②正偏离不加分。】</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满意度评价</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自2022年1月至今（以合同履行时间为准）实施同类项目满意度情况进行评议：每提供一份业主满意度评价的得1分，满分3分。须同时提供采购合同文本复印件以及满意度为满意、优秀或同等评价的相关证明文件复印件，缺少其中之一的，该项不得分。注：该项与业绩不重复得分</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评委会根据各投标人所提供的2022年1月1日（日期以验收报告为准）至今由投标人所完成的与本次投标同类产品的销售业绩进行评分，每提供1份业绩证明材料的得1分，累计最高得3分。投标人须在投标文件中提供该业绩项目以下资料复印件：①中标成交公告（提供相关网站中标或成交公告的下载网页及其网址）；②中标（成交）通知书；③采购合同文本；④能够证明该业绩项目已经采购人验收合格的相关证明文件。如未按以上要求提供该项业绩完整的证明资料，评标委员会对该项业绩将不予采信。注：该项与满意度评价不重复得分。</w:t>
            </w:r>
          </w:p>
        </w:tc>
      </w:tr>
      <w:tr>
        <w:tc>
          <w:tcPr>
            <w:tcW w:type="dxa" w:w="3322"/>
          </w:tcPr>
          <w:p>
            <w:pPr>
              <w:pStyle w:val="null3"/>
              <w:jc w:val="both"/>
            </w:pPr>
            <w:r>
              <w:rPr>
                <w:rFonts w:ascii="仿宋_GB2312" w:hAnsi="仿宋_GB2312" w:cs="仿宋_GB2312" w:eastAsia="仿宋_GB2312"/>
              </w:rPr>
              <w:t>售后服务情况</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各投标人针对本采购包所提供的售后服务情况，包括但不限于①常用备件的库存情况及供应时间；②售后服务机构、专业人员配备情况及联系信息；③投诉渠道及处理流程；④设备回收或报废处理服务等进行评分：每提供一项得0.5分，满分2分；未提供的不得分。</w:t>
            </w:r>
          </w:p>
        </w:tc>
      </w:tr>
      <w:tr>
        <w:tc>
          <w:tcPr>
            <w:tcW w:type="dxa" w:w="3322"/>
          </w:tcPr>
          <w:p>
            <w:pPr>
              <w:pStyle w:val="null3"/>
              <w:jc w:val="both"/>
            </w:pPr>
            <w:r>
              <w:rPr>
                <w:rFonts w:ascii="仿宋_GB2312" w:hAnsi="仿宋_GB2312" w:cs="仿宋_GB2312" w:eastAsia="仿宋_GB2312"/>
              </w:rPr>
              <w:t>技术培训方案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各投标人提供的针对本采购包制定的现场技术培训方案情况进行评分，现场技术培训方案包含：①培训计划；②培训范围；③实施及针对性措施；④保证培训成效的措施。每提供一项得0.5分，满分2分未提供的本项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投标人应按照招标文件设定的评审因素节点编制投标文件，对各评审因素进行答应时，应答内容若需另页提供相关佐证材料的，应在应答说明中注明另页提供的相关佐证材料在投标文件中的所在页码，并在提供的佐证材料中做好佐证评审因素内容的标识。投标人提供的相应证明材料复印件（含扫描件）均应符合：内容完整、清晰、整洁，并由投标人加盖其单位公章，原件备查。未按以上要求的，评标委员会将按照不利于投标人的内容进行认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本项目为皮肤镜检测平台等设备采购项目，</w:t>
      </w:r>
      <w:r>
        <w:rPr>
          <w:rFonts w:ascii="仿宋_GB2312" w:hAnsi="仿宋_GB2312" w:cs="仿宋_GB2312" w:eastAsia="仿宋_GB2312"/>
          <w:sz w:val="24"/>
        </w:rPr>
        <w:t>投标人</w:t>
      </w:r>
      <w:r>
        <w:rPr>
          <w:rFonts w:ascii="仿宋_GB2312" w:hAnsi="仿宋_GB2312" w:cs="仿宋_GB2312" w:eastAsia="仿宋_GB2312"/>
          <w:sz w:val="24"/>
        </w:rPr>
        <w:t>必须保证提供的所有产品具有在中国境内的合法使用权和用户保护权且为全新原装品牌产品。</w:t>
      </w:r>
      <w:r>
        <w:rPr>
          <w:rFonts w:ascii="仿宋_GB2312" w:hAnsi="仿宋_GB2312" w:cs="仿宋_GB2312" w:eastAsia="仿宋_GB2312"/>
          <w:sz w:val="24"/>
        </w:rPr>
        <w:t>投标人</w:t>
      </w:r>
      <w:r>
        <w:rPr>
          <w:rFonts w:ascii="仿宋_GB2312" w:hAnsi="仿宋_GB2312" w:cs="仿宋_GB2312" w:eastAsia="仿宋_GB2312"/>
          <w:sz w:val="24"/>
        </w:rPr>
        <w:t>所提供的货物及服务应符合国家相关法律法规。如因产品违反国家相关规定而产生的纠纷和责任，均由</w:t>
      </w:r>
      <w:r>
        <w:rPr>
          <w:rFonts w:ascii="仿宋_GB2312" w:hAnsi="仿宋_GB2312" w:cs="仿宋_GB2312" w:eastAsia="仿宋_GB2312"/>
          <w:sz w:val="24"/>
        </w:rPr>
        <w:t>投标人</w:t>
      </w:r>
      <w:r>
        <w:rPr>
          <w:rFonts w:ascii="仿宋_GB2312" w:hAnsi="仿宋_GB2312" w:cs="仿宋_GB2312" w:eastAsia="仿宋_GB2312"/>
          <w:sz w:val="24"/>
        </w:rPr>
        <w:t>负全责。若因此给采购人造成损失的，供应商还要负赔偿责任</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皮肤镜检测平台</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78"/>
        <w:gridCol w:w="7412"/>
      </w:tblGrid>
      <w:tr>
        <w:tc>
          <w:tcPr>
            <w:tcW w:type="dxa" w:w="8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显示屏：</w:t>
            </w:r>
            <w:r>
              <w:rPr>
                <w:rFonts w:ascii="仿宋_GB2312" w:hAnsi="仿宋_GB2312" w:cs="仿宋_GB2312" w:eastAsia="仿宋_GB2312"/>
                <w:sz w:val="24"/>
              </w:rPr>
              <w:t>TFT显示屏</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图像视频输出及速率：</w:t>
            </w:r>
            <w:r>
              <w:rPr>
                <w:rFonts w:ascii="仿宋_GB2312" w:hAnsi="仿宋_GB2312" w:cs="仿宋_GB2312" w:eastAsia="仿宋_GB2312"/>
                <w:sz w:val="24"/>
              </w:rPr>
              <w:t>HDMI高清输出，1080P（30～65）fps</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信号传输：</w:t>
            </w:r>
            <w:r>
              <w:rPr>
                <w:rFonts w:ascii="仿宋_GB2312" w:hAnsi="仿宋_GB2312" w:cs="仿宋_GB2312" w:eastAsia="仿宋_GB2312"/>
                <w:sz w:val="24"/>
              </w:rPr>
              <w:t>HDMI</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图像采集方法：非偏振光法、偏振光法和浸润法，三种方法一体式镜头采集</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w:t>
            </w:r>
            <w:r>
              <w:rPr>
                <w:rFonts w:ascii="仿宋_GB2312" w:hAnsi="仿宋_GB2312" w:cs="仿宋_GB2312" w:eastAsia="仿宋_GB2312"/>
                <w:sz w:val="24"/>
              </w:rPr>
              <w:t>分辨率：</w:t>
            </w:r>
            <w:r>
              <w:rPr>
                <w:rFonts w:ascii="仿宋_GB2312" w:hAnsi="仿宋_GB2312" w:cs="仿宋_GB2312" w:eastAsia="仿宋_GB2312"/>
                <w:sz w:val="24"/>
              </w:rPr>
              <w:t>2560X1920</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图像放大倍率及允差：</w:t>
            </w:r>
            <w:r>
              <w:rPr>
                <w:rFonts w:ascii="仿宋_GB2312" w:hAnsi="仿宋_GB2312" w:cs="仿宋_GB2312" w:eastAsia="仿宋_GB2312"/>
                <w:sz w:val="24"/>
              </w:rPr>
              <w:t>20倍、50倍、200倍，</w:t>
            </w:r>
            <w:r>
              <w:rPr>
                <w:rFonts w:ascii="仿宋_GB2312" w:hAnsi="仿宋_GB2312" w:cs="仿宋_GB2312" w:eastAsia="仿宋_GB2312"/>
                <w:sz w:val="24"/>
              </w:rPr>
              <w:t>倍率允差：</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“ABCD法”、“七点检查表评分法”</w:t>
            </w:r>
            <w:r>
              <w:rPr>
                <w:rFonts w:ascii="仿宋_GB2312" w:hAnsi="仿宋_GB2312" w:cs="仿宋_GB2312" w:eastAsia="仿宋_GB2312"/>
                <w:sz w:val="24"/>
              </w:rPr>
              <w:t>、</w:t>
            </w:r>
            <w:r>
              <w:rPr>
                <w:rFonts w:ascii="仿宋_GB2312" w:hAnsi="仿宋_GB2312" w:cs="仿宋_GB2312" w:eastAsia="仿宋_GB2312"/>
                <w:sz w:val="24"/>
              </w:rPr>
              <w:t>“三点检测评法”、“Menzies评分法”</w:t>
            </w:r>
            <w:r>
              <w:rPr>
                <w:rFonts w:ascii="仿宋_GB2312" w:hAnsi="仿宋_GB2312" w:cs="仿宋_GB2312" w:eastAsia="仿宋_GB2312"/>
                <w:sz w:val="24"/>
              </w:rPr>
              <w:t>、</w:t>
            </w:r>
            <w:r>
              <w:rPr>
                <w:rFonts w:ascii="仿宋_GB2312" w:hAnsi="仿宋_GB2312" w:cs="仿宋_GB2312" w:eastAsia="仿宋_GB2312"/>
                <w:sz w:val="24"/>
              </w:rPr>
              <w:t>“ABC法”</w:t>
            </w:r>
            <w:r>
              <w:rPr>
                <w:rFonts w:ascii="仿宋_GB2312" w:hAnsi="仿宋_GB2312" w:cs="仿宋_GB2312" w:eastAsia="仿宋_GB2312"/>
                <w:sz w:val="24"/>
              </w:rPr>
              <w:t>等色素类疾病分析法。色素痣形态计算，包括（面积、周长、直径）；</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可对毛发特征进行标注并计数，并能计算毛发平均直径、毛发密度，毛发总数，终毛、中毛、毳毛、黄点征、黑点征、单位毛囊毛发的根数、终毛</w:t>
            </w:r>
            <w:r>
              <w:rPr>
                <w:rFonts w:ascii="仿宋_GB2312" w:hAnsi="仿宋_GB2312" w:cs="仿宋_GB2312" w:eastAsia="仿宋_GB2312"/>
                <w:sz w:val="24"/>
              </w:rPr>
              <w:t>/毳毛比。提供毛发生长周期分析，包括（生长期、休止期、退行期）；</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图像成像均匀度：</w:t>
            </w:r>
            <w:r>
              <w:rPr>
                <w:rFonts w:ascii="仿宋_GB2312" w:hAnsi="仿宋_GB2312" w:cs="仿宋_GB2312" w:eastAsia="仿宋_GB2312"/>
                <w:sz w:val="24"/>
              </w:rPr>
              <w:t>不低于</w:t>
            </w:r>
            <w:r>
              <w:rPr>
                <w:rFonts w:ascii="仿宋_GB2312" w:hAnsi="仿宋_GB2312" w:cs="仿宋_GB2312" w:eastAsia="仿宋_GB2312"/>
                <w:sz w:val="24"/>
              </w:rPr>
              <w:t>7</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图像灰阶：图像应能分辨灰度标尺的各级灰阶</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图像中心偏差：</w:t>
            </w:r>
            <w:r>
              <w:rPr>
                <w:rFonts w:ascii="仿宋_GB2312" w:hAnsi="仿宋_GB2312" w:cs="仿宋_GB2312" w:eastAsia="仿宋_GB2312"/>
                <w:sz w:val="24"/>
              </w:rPr>
              <w:t>不大于</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mm</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图像畸变</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±5%</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偏振度：</w:t>
            </w:r>
            <w:r>
              <w:rPr>
                <w:rFonts w:ascii="仿宋_GB2312" w:hAnsi="仿宋_GB2312" w:cs="仿宋_GB2312" w:eastAsia="仿宋_GB2312"/>
                <w:sz w:val="24"/>
              </w:rPr>
              <w:t>80%～100%</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视觉分辨率：</w:t>
            </w:r>
          </w:p>
          <w:p>
            <w:pPr>
              <w:pStyle w:val="null3"/>
              <w:jc w:val="both"/>
            </w:pPr>
            <w:r>
              <w:rPr>
                <w:rFonts w:ascii="仿宋_GB2312" w:hAnsi="仿宋_GB2312" w:cs="仿宋_GB2312" w:eastAsia="仿宋_GB2312"/>
                <w:sz w:val="24"/>
              </w:rPr>
              <w:t>20倍镜头≥10线对/mm；</w:t>
            </w:r>
          </w:p>
          <w:p>
            <w:pPr>
              <w:pStyle w:val="null3"/>
              <w:jc w:val="both"/>
            </w:pPr>
            <w:r>
              <w:rPr>
                <w:rFonts w:ascii="仿宋_GB2312" w:hAnsi="仿宋_GB2312" w:cs="仿宋_GB2312" w:eastAsia="仿宋_GB2312"/>
                <w:sz w:val="24"/>
              </w:rPr>
              <w:t>50倍镜头≥40线对/mm；</w:t>
            </w:r>
          </w:p>
          <w:p>
            <w:pPr>
              <w:pStyle w:val="null3"/>
              <w:jc w:val="both"/>
            </w:pPr>
            <w:r>
              <w:rPr>
                <w:rFonts w:ascii="仿宋_GB2312" w:hAnsi="仿宋_GB2312" w:cs="仿宋_GB2312" w:eastAsia="仿宋_GB2312"/>
                <w:sz w:val="24"/>
              </w:rPr>
              <w:t>200倍镜头≥70线对/mm；</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15</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w:t>
            </w:r>
            <w:r>
              <w:rPr>
                <w:rFonts w:ascii="仿宋_GB2312" w:hAnsi="仿宋_GB2312" w:cs="仿宋_GB2312" w:eastAsia="仿宋_GB2312"/>
                <w:sz w:val="24"/>
              </w:rPr>
              <w:t>像视野范围</w:t>
            </w:r>
            <w:r>
              <w:rPr>
                <w:rFonts w:ascii="仿宋_GB2312" w:hAnsi="仿宋_GB2312" w:cs="仿宋_GB2312" w:eastAsia="仿宋_GB2312"/>
                <w:sz w:val="24"/>
              </w:rPr>
              <w:t>：</w:t>
            </w:r>
            <w:r>
              <w:rPr>
                <w:rFonts w:ascii="仿宋_GB2312" w:hAnsi="仿宋_GB2312" w:cs="仿宋_GB2312" w:eastAsia="仿宋_GB2312"/>
                <w:sz w:val="24"/>
              </w:rPr>
              <w:t>20倍镜头</w:t>
            </w:r>
            <w:r>
              <w:rPr>
                <w:rFonts w:ascii="仿宋_GB2312" w:hAnsi="仿宋_GB2312" w:cs="仿宋_GB2312" w:eastAsia="仿宋_GB2312"/>
                <w:sz w:val="24"/>
              </w:rPr>
              <w:t>：</w:t>
            </w:r>
            <w:r>
              <w:rPr>
                <w:rFonts w:ascii="仿宋_GB2312" w:hAnsi="仿宋_GB2312" w:cs="仿宋_GB2312" w:eastAsia="仿宋_GB2312"/>
                <w:sz w:val="24"/>
              </w:rPr>
              <w:t>不小于</w:t>
            </w: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.0mm×1</w:t>
            </w:r>
            <w:r>
              <w:rPr>
                <w:rFonts w:ascii="仿宋_GB2312" w:hAnsi="仿宋_GB2312" w:cs="仿宋_GB2312" w:eastAsia="仿宋_GB2312"/>
                <w:sz w:val="24"/>
              </w:rPr>
              <w:t>3</w:t>
            </w:r>
            <w:r>
              <w:rPr>
                <w:rFonts w:ascii="仿宋_GB2312" w:hAnsi="仿宋_GB2312" w:cs="仿宋_GB2312" w:eastAsia="仿宋_GB2312"/>
                <w:sz w:val="24"/>
              </w:rPr>
              <w:t>.0mm</w:t>
            </w:r>
            <w:r>
              <w:rPr>
                <w:rFonts w:ascii="仿宋_GB2312" w:hAnsi="仿宋_GB2312" w:cs="仿宋_GB2312" w:eastAsia="仿宋_GB2312"/>
                <w:sz w:val="24"/>
              </w:rPr>
              <w:t>；</w:t>
            </w:r>
            <w:r>
              <w:rPr>
                <w:rFonts w:ascii="仿宋_GB2312" w:hAnsi="仿宋_GB2312" w:cs="仿宋_GB2312" w:eastAsia="仿宋_GB2312"/>
                <w:sz w:val="24"/>
              </w:rPr>
              <w:t>50/200倍镜头:50倍处不小于7.0mm×5.1mm</w:t>
            </w:r>
            <w:r>
              <w:rPr>
                <w:rFonts w:ascii="仿宋_GB2312" w:hAnsi="仿宋_GB2312" w:cs="仿宋_GB2312" w:eastAsia="仿宋_GB2312"/>
                <w:sz w:val="24"/>
              </w:rPr>
              <w:t>；</w:t>
            </w:r>
            <w:r>
              <w:rPr>
                <w:rFonts w:ascii="仿宋_GB2312" w:hAnsi="仿宋_GB2312" w:cs="仿宋_GB2312" w:eastAsia="仿宋_GB2312"/>
                <w:sz w:val="24"/>
              </w:rPr>
              <w:t>200倍处不小于1.</w:t>
            </w:r>
            <w:r>
              <w:rPr>
                <w:rFonts w:ascii="仿宋_GB2312" w:hAnsi="仿宋_GB2312" w:cs="仿宋_GB2312" w:eastAsia="仿宋_GB2312"/>
                <w:sz w:val="24"/>
              </w:rPr>
              <w:t>5</w:t>
            </w:r>
            <w:r>
              <w:rPr>
                <w:rFonts w:ascii="仿宋_GB2312" w:hAnsi="仿宋_GB2312" w:cs="仿宋_GB2312" w:eastAsia="仿宋_GB2312"/>
                <w:sz w:val="24"/>
              </w:rPr>
              <w:t>mm×1.</w:t>
            </w:r>
            <w:r>
              <w:rPr>
                <w:rFonts w:ascii="仿宋_GB2312" w:hAnsi="仿宋_GB2312" w:cs="仿宋_GB2312" w:eastAsia="仿宋_GB2312"/>
                <w:sz w:val="24"/>
              </w:rPr>
              <w:t>1</w:t>
            </w:r>
            <w:r>
              <w:rPr>
                <w:rFonts w:ascii="仿宋_GB2312" w:hAnsi="仿宋_GB2312" w:cs="仿宋_GB2312" w:eastAsia="仿宋_GB2312"/>
                <w:sz w:val="24"/>
              </w:rPr>
              <w:t>mm</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光源波长范围：</w:t>
            </w:r>
            <w:r>
              <w:rPr>
                <w:rFonts w:ascii="仿宋_GB2312" w:hAnsi="仿宋_GB2312" w:cs="仿宋_GB2312" w:eastAsia="仿宋_GB2312"/>
                <w:sz w:val="24"/>
              </w:rPr>
              <w:t>400nm＜λ＜700nm</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光源照度：</w:t>
            </w:r>
            <w:r>
              <w:rPr>
                <w:rFonts w:ascii="仿宋_GB2312" w:hAnsi="仿宋_GB2312" w:cs="仿宋_GB2312" w:eastAsia="仿宋_GB2312"/>
                <w:sz w:val="24"/>
              </w:rPr>
              <w:t>Ev＞2000 Lux（在图像采集处</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光源功率：</w:t>
            </w:r>
            <w:r>
              <w:rPr>
                <w:rFonts w:ascii="仿宋_GB2312" w:hAnsi="仿宋_GB2312" w:cs="仿宋_GB2312" w:eastAsia="仿宋_GB2312"/>
                <w:sz w:val="24"/>
              </w:rPr>
              <w:t>0.1W＜P＜0.8W</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医用隔离垫：（防交叉感染）</w:t>
            </w:r>
            <w:r>
              <w:rPr>
                <w:rFonts w:ascii="仿宋_GB2312" w:hAnsi="仿宋_GB2312" w:cs="仿宋_GB2312" w:eastAsia="仿宋_GB2312"/>
                <w:sz w:val="24"/>
              </w:rPr>
              <w:t>偏振</w:t>
            </w:r>
            <w:r>
              <w:rPr>
                <w:rFonts w:ascii="仿宋_GB2312" w:hAnsi="仿宋_GB2312" w:cs="仿宋_GB2312" w:eastAsia="仿宋_GB2312"/>
                <w:sz w:val="24"/>
              </w:rPr>
              <w:t>法</w:t>
            </w:r>
            <w:r>
              <w:rPr>
                <w:rFonts w:ascii="仿宋_GB2312" w:hAnsi="仿宋_GB2312" w:cs="仿宋_GB2312" w:eastAsia="仿宋_GB2312"/>
                <w:sz w:val="24"/>
              </w:rPr>
              <w:t>/浸润</w:t>
            </w:r>
            <w:r>
              <w:rPr>
                <w:rFonts w:ascii="仿宋_GB2312" w:hAnsi="仿宋_GB2312" w:cs="仿宋_GB2312" w:eastAsia="仿宋_GB2312"/>
                <w:sz w:val="24"/>
              </w:rPr>
              <w:t>法</w:t>
            </w:r>
            <w:r>
              <w:rPr>
                <w:rFonts w:ascii="仿宋_GB2312" w:hAnsi="仿宋_GB2312" w:cs="仿宋_GB2312" w:eastAsia="仿宋_GB2312"/>
                <w:sz w:val="24"/>
              </w:rPr>
              <w:t>，</w:t>
            </w:r>
            <w:r>
              <w:rPr>
                <w:rFonts w:ascii="仿宋_GB2312" w:hAnsi="仿宋_GB2312" w:cs="仿宋_GB2312" w:eastAsia="仿宋_GB2312"/>
                <w:sz w:val="24"/>
              </w:rPr>
              <w:t>浸润</w:t>
            </w:r>
            <w:r>
              <w:rPr>
                <w:rFonts w:ascii="仿宋_GB2312" w:hAnsi="仿宋_GB2312" w:cs="仿宋_GB2312" w:eastAsia="仿宋_GB2312"/>
                <w:sz w:val="24"/>
              </w:rPr>
              <w:t>法</w:t>
            </w:r>
            <w:r>
              <w:rPr>
                <w:rFonts w:ascii="仿宋_GB2312" w:hAnsi="仿宋_GB2312" w:cs="仿宋_GB2312" w:eastAsia="仿宋_GB2312"/>
                <w:sz w:val="24"/>
              </w:rPr>
              <w:t>透光率</w:t>
            </w:r>
            <w:r>
              <w:rPr>
                <w:rFonts w:ascii="仿宋_GB2312" w:hAnsi="仿宋_GB2312" w:cs="仿宋_GB2312" w:eastAsia="仿宋_GB2312"/>
                <w:sz w:val="24"/>
              </w:rPr>
              <w:t>≥85%</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图像格式：导出的图像格式为</w:t>
            </w:r>
            <w:r>
              <w:rPr>
                <w:rFonts w:ascii="仿宋_GB2312" w:hAnsi="仿宋_GB2312" w:cs="仿宋_GB2312" w:eastAsia="仿宋_GB2312"/>
                <w:sz w:val="24"/>
              </w:rPr>
              <w:t>JPEG格式</w:t>
            </w:r>
            <w:r>
              <w:rPr>
                <w:rFonts w:ascii="仿宋_GB2312" w:hAnsi="仿宋_GB2312" w:cs="仿宋_GB2312" w:eastAsia="仿宋_GB2312"/>
                <w:sz w:val="24"/>
              </w:rPr>
              <w:t>；</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功能</w:t>
            </w:r>
            <w:r>
              <w:rPr>
                <w:rFonts w:ascii="仿宋_GB2312" w:hAnsi="仿宋_GB2312" w:cs="仿宋_GB2312" w:eastAsia="仿宋_GB2312"/>
                <w:sz w:val="24"/>
              </w:rPr>
              <w:t>操作</w:t>
            </w:r>
            <w:r>
              <w:rPr>
                <w:rFonts w:ascii="仿宋_GB2312" w:hAnsi="仿宋_GB2312" w:cs="仿宋_GB2312" w:eastAsia="仿宋_GB2312"/>
                <w:sz w:val="24"/>
              </w:rPr>
              <w:t>：</w:t>
            </w:r>
            <w:r>
              <w:rPr>
                <w:rFonts w:ascii="仿宋_GB2312" w:hAnsi="仿宋_GB2312" w:cs="仿宋_GB2312" w:eastAsia="仿宋_GB2312"/>
                <w:sz w:val="24"/>
              </w:rPr>
              <w:t>图像</w:t>
            </w:r>
            <w:r>
              <w:rPr>
                <w:rFonts w:ascii="仿宋_GB2312" w:hAnsi="仿宋_GB2312" w:cs="仿宋_GB2312" w:eastAsia="仿宋_GB2312"/>
                <w:sz w:val="24"/>
              </w:rPr>
              <w:t>冻</w:t>
            </w:r>
            <w:r>
              <w:rPr>
                <w:rFonts w:ascii="仿宋_GB2312" w:hAnsi="仿宋_GB2312" w:cs="仿宋_GB2312" w:eastAsia="仿宋_GB2312"/>
                <w:sz w:val="24"/>
              </w:rPr>
              <w:t>结、</w:t>
            </w:r>
            <w:r>
              <w:rPr>
                <w:rFonts w:ascii="仿宋_GB2312" w:hAnsi="仿宋_GB2312" w:cs="仿宋_GB2312" w:eastAsia="仿宋_GB2312"/>
                <w:sz w:val="24"/>
              </w:rPr>
              <w:t>视频录制、图像保存；</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提供丰富的</w:t>
            </w:r>
            <w:r>
              <w:rPr>
                <w:rFonts w:ascii="仿宋_GB2312" w:hAnsi="仿宋_GB2312" w:cs="仿宋_GB2312" w:eastAsia="仿宋_GB2312"/>
                <w:sz w:val="24"/>
              </w:rPr>
              <w:t>皮肤图</w:t>
            </w:r>
            <w:r>
              <w:rPr>
                <w:rFonts w:ascii="仿宋_GB2312" w:hAnsi="仿宋_GB2312" w:cs="仿宋_GB2312" w:eastAsia="仿宋_GB2312"/>
                <w:sz w:val="24"/>
              </w:rPr>
              <w:t>谱</w:t>
            </w:r>
            <w:r>
              <w:rPr>
                <w:rFonts w:ascii="仿宋_GB2312" w:hAnsi="仿宋_GB2312" w:cs="仿宋_GB2312" w:eastAsia="仿宋_GB2312"/>
                <w:sz w:val="24"/>
              </w:rPr>
              <w:t>库</w:t>
            </w:r>
            <w:r>
              <w:rPr>
                <w:rFonts w:ascii="仿宋_GB2312" w:hAnsi="仿宋_GB2312" w:cs="仿宋_GB2312" w:eastAsia="仿宋_GB2312"/>
                <w:sz w:val="24"/>
              </w:rPr>
              <w:t>病例辅助参考，并支持快速引用病例描述，便于报告编辑；</w:t>
            </w:r>
          </w:p>
        </w:tc>
      </w:tr>
      <w:tr>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7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图像处理辅助工具，包括图片标注、</w:t>
            </w:r>
            <w:r>
              <w:rPr>
                <w:rFonts w:ascii="仿宋_GB2312" w:hAnsi="仿宋_GB2312" w:cs="仿宋_GB2312" w:eastAsia="仿宋_GB2312"/>
                <w:sz w:val="24"/>
              </w:rPr>
              <w:t>几何变换</w:t>
            </w:r>
            <w:r>
              <w:rPr>
                <w:rFonts w:ascii="仿宋_GB2312" w:hAnsi="仿宋_GB2312" w:cs="仿宋_GB2312" w:eastAsia="仿宋_GB2312"/>
                <w:sz w:val="24"/>
              </w:rPr>
              <w:t>工具、图像效果、辅助线</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并能</w:t>
            </w:r>
            <w:r>
              <w:rPr>
                <w:rFonts w:ascii="仿宋_GB2312" w:hAnsi="仿宋_GB2312" w:cs="仿宋_GB2312" w:eastAsia="仿宋_GB2312"/>
                <w:sz w:val="24"/>
              </w:rPr>
              <w:t>保存至数据库</w:t>
            </w:r>
            <w:r>
              <w:rPr>
                <w:rFonts w:ascii="仿宋_GB2312" w:hAnsi="仿宋_GB2312" w:cs="仿宋_GB2312" w:eastAsia="仿宋_GB2312"/>
                <w:sz w:val="24"/>
              </w:rPr>
              <w:t>。</w:t>
            </w:r>
          </w:p>
        </w:tc>
      </w:tr>
    </w:tbl>
    <w:p>
      <w:pPr>
        <w:pStyle w:val="null3"/>
        <w:jc w:val="center"/>
      </w:pPr>
      <w:r>
        <w:rPr>
          <w:rFonts w:ascii="仿宋_GB2312" w:hAnsi="仿宋_GB2312" w:cs="仿宋_GB2312" w:eastAsia="仿宋_GB2312"/>
          <w:sz w:val="24"/>
          <w:b/>
        </w:rPr>
        <w:t>采购包</w:t>
      </w:r>
      <w:r>
        <w:rPr>
          <w:rFonts w:ascii="仿宋_GB2312" w:hAnsi="仿宋_GB2312" w:cs="仿宋_GB2312" w:eastAsia="仿宋_GB2312"/>
          <w:sz w:val="24"/>
          <w:b/>
        </w:rPr>
        <w:t>2：半导体激光治疗仪</w:t>
      </w:r>
    </w:p>
    <w:tbl>
      <w:tblPr>
        <w:tblW w:w="0" w:type="auto"/>
        <w:tblBorders>
          <w:top w:val="none" w:color="000000" w:sz="4"/>
          <w:left w:val="none" w:color="000000" w:sz="4"/>
          <w:bottom w:val="none" w:color="000000" w:sz="4"/>
          <w:right w:val="none" w:color="000000" w:sz="4"/>
          <w:insideH w:val="none"/>
          <w:insideV w:val="none"/>
        </w:tblBorders>
      </w:tblPr>
      <w:tblGrid>
        <w:gridCol w:w="876"/>
        <w:gridCol w:w="7414"/>
      </w:tblGrid>
      <w:tr>
        <w:tc>
          <w:tcPr>
            <w:tcW w:type="dxa" w:w="8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激光器类型：半导体激光器</w:t>
            </w:r>
            <w:r>
              <w:rPr>
                <w:rFonts w:ascii="仿宋_GB2312" w:hAnsi="仿宋_GB2312" w:cs="仿宋_GB2312" w:eastAsia="仿宋_GB2312"/>
                <w:sz w:val="24"/>
              </w:rPr>
              <w:t>,波长808nm；</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能量密度：</w:t>
            </w:r>
            <w:r>
              <w:rPr>
                <w:rFonts w:ascii="仿宋_GB2312" w:hAnsi="仿宋_GB2312" w:cs="仿宋_GB2312" w:eastAsia="仿宋_GB2312"/>
                <w:sz w:val="24"/>
              </w:rPr>
              <w:t>≥50J/cm2；</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工作频率：</w:t>
            </w:r>
            <w:r>
              <w:rPr>
                <w:rFonts w:ascii="仿宋_GB2312" w:hAnsi="仿宋_GB2312" w:cs="仿宋_GB2312" w:eastAsia="仿宋_GB2312"/>
                <w:sz w:val="24"/>
              </w:rPr>
              <w:t>0.5-10Hz</w:t>
            </w:r>
            <w:r>
              <w:rPr>
                <w:rFonts w:ascii="仿宋_GB2312" w:hAnsi="仿宋_GB2312" w:cs="仿宋_GB2312" w:eastAsia="仿宋_GB2312"/>
                <w:sz w:val="24"/>
              </w:rPr>
              <w:t>，最大频率</w:t>
            </w:r>
            <w:r>
              <w:rPr>
                <w:rFonts w:ascii="仿宋_GB2312" w:hAnsi="仿宋_GB2312" w:cs="仿宋_GB2312" w:eastAsia="仿宋_GB2312"/>
                <w:sz w:val="24"/>
              </w:rPr>
              <w:t>≥</w:t>
            </w:r>
            <w:r>
              <w:rPr>
                <w:rFonts w:ascii="仿宋_GB2312" w:hAnsi="仿宋_GB2312" w:cs="仿宋_GB2312" w:eastAsia="仿宋_GB2312"/>
                <w:sz w:val="24"/>
              </w:rPr>
              <w:t>10 Hz， 0.5Hz 步进；</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激光器输出功率：</w:t>
            </w:r>
            <w:r>
              <w:rPr>
                <w:rFonts w:ascii="仿宋_GB2312" w:hAnsi="仿宋_GB2312" w:cs="仿宋_GB2312" w:eastAsia="仿宋_GB2312"/>
                <w:sz w:val="24"/>
              </w:rPr>
              <w:t>≥600W；</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激光输出模式：单脉冲</w:t>
            </w:r>
            <w:r>
              <w:rPr>
                <w:rFonts w:ascii="仿宋_GB2312" w:hAnsi="仿宋_GB2312" w:cs="仿宋_GB2312" w:eastAsia="仿宋_GB2312"/>
                <w:sz w:val="24"/>
              </w:rPr>
              <w:t>(无间隔)/双脉冲(有间隔)；</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治疗模式：专业</w:t>
            </w:r>
            <w:r>
              <w:rPr>
                <w:rFonts w:ascii="仿宋_GB2312" w:hAnsi="仿宋_GB2312" w:cs="仿宋_GB2312" w:eastAsia="仿宋_GB2312"/>
                <w:sz w:val="24"/>
              </w:rPr>
              <w:t>/滑动/飞点脱毛模式，三种模式任意选择；</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预留足够的拓展空间，包括高清摄像功能，无线传输功能，更大的储存容量；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设备使用年限：</w:t>
            </w:r>
            <w:r>
              <w:rPr>
                <w:rFonts w:ascii="仿宋_GB2312" w:hAnsi="仿宋_GB2312" w:cs="仿宋_GB2312" w:eastAsia="仿宋_GB2312"/>
                <w:sz w:val="24"/>
              </w:rPr>
              <w:t>10年；</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脉冲宽度：</w:t>
            </w:r>
            <w:r>
              <w:rPr>
                <w:rFonts w:ascii="仿宋_GB2312" w:hAnsi="仿宋_GB2312" w:cs="仿宋_GB2312" w:eastAsia="仿宋_GB2312"/>
                <w:sz w:val="24"/>
              </w:rPr>
              <w:t>10-100ms，最小需达到10 ms、最大需达到100 ms；</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原光束光斑尺寸：</w:t>
            </w:r>
            <w:r>
              <w:rPr>
                <w:rFonts w:ascii="仿宋_GB2312" w:hAnsi="仿宋_GB2312" w:cs="仿宋_GB2312" w:eastAsia="仿宋_GB2312"/>
                <w:sz w:val="24"/>
              </w:rPr>
              <w:t>≥11mm×9mm；</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皮肤冷却方式：接触式球面蓝宝石导光晶体；</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治疗头制冷温度：</w:t>
            </w:r>
            <w:r>
              <w:rPr>
                <w:rFonts w:ascii="仿宋_GB2312" w:hAnsi="仿宋_GB2312" w:cs="仿宋_GB2312" w:eastAsia="仿宋_GB2312"/>
                <w:sz w:val="24"/>
              </w:rPr>
              <w:t>4～8℃；</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冷却系统：机内</w:t>
            </w:r>
            <w:r>
              <w:rPr>
                <w:rFonts w:ascii="仿宋_GB2312" w:hAnsi="仿宋_GB2312" w:cs="仿宋_GB2312" w:eastAsia="仿宋_GB2312"/>
                <w:sz w:val="24"/>
              </w:rPr>
              <w:t>TEC制冷芯片，恒定冷却温度，延长制冷片寿命；内置双过滤洁净装置；</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半导体激光器置于手具内，直接输出激光使其传输功率达到最大；</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操作控制系统：</w:t>
            </w:r>
          </w:p>
          <w:p>
            <w:pPr>
              <w:pStyle w:val="null3"/>
              <w:jc w:val="both"/>
            </w:pPr>
            <w:r>
              <w:rPr>
                <w:rFonts w:ascii="仿宋_GB2312" w:hAnsi="仿宋_GB2312" w:cs="仿宋_GB2312" w:eastAsia="仿宋_GB2312"/>
                <w:sz w:val="24"/>
              </w:rPr>
              <w:t>显示屏</w:t>
            </w:r>
            <w:r>
              <w:rPr>
                <w:rFonts w:ascii="仿宋_GB2312" w:hAnsi="仿宋_GB2312" w:cs="仿宋_GB2312" w:eastAsia="仿宋_GB2312"/>
                <w:sz w:val="24"/>
              </w:rPr>
              <w:t>≥10 寸，真彩≥1280×800 像素触摸屏，可旋转方便医生操作；</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15</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操作控制系统：</w:t>
            </w:r>
          </w:p>
          <w:p>
            <w:pPr>
              <w:pStyle w:val="null3"/>
              <w:jc w:val="both"/>
            </w:pPr>
            <w:r>
              <w:rPr>
                <w:rFonts w:ascii="仿宋_GB2312" w:hAnsi="仿宋_GB2312" w:cs="仿宋_GB2312" w:eastAsia="仿宋_GB2312"/>
                <w:sz w:val="24"/>
              </w:rPr>
              <w:t>智能安卓交互系统，可根据选择的治疗项目和患者情况推荐最佳治疗参数；</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操作控制系统：</w:t>
            </w:r>
          </w:p>
          <w:p>
            <w:pPr>
              <w:pStyle w:val="null3"/>
              <w:jc w:val="both"/>
            </w:pPr>
            <w:r>
              <w:rPr>
                <w:rFonts w:ascii="仿宋_GB2312" w:hAnsi="仿宋_GB2312" w:cs="仿宋_GB2312" w:eastAsia="仿宋_GB2312"/>
                <w:sz w:val="24"/>
              </w:rPr>
              <w:t>仿真模特进行部位选择的治疗导航模式；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操作控制系统：</w:t>
            </w:r>
          </w:p>
          <w:p>
            <w:pPr>
              <w:pStyle w:val="null3"/>
              <w:jc w:val="both"/>
            </w:pPr>
            <w:r>
              <w:rPr>
                <w:rFonts w:ascii="仿宋_GB2312" w:hAnsi="仿宋_GB2312" w:cs="仿宋_GB2312" w:eastAsia="仿宋_GB2312"/>
                <w:sz w:val="24"/>
              </w:rPr>
              <w:t>毛发浓密度及颜色选择模式；</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操作控制系统：</w:t>
            </w:r>
          </w:p>
          <w:p>
            <w:pPr>
              <w:pStyle w:val="null3"/>
              <w:jc w:val="both"/>
            </w:pPr>
            <w:r>
              <w:rPr>
                <w:rFonts w:ascii="仿宋_GB2312" w:hAnsi="仿宋_GB2312" w:cs="仿宋_GB2312" w:eastAsia="仿宋_GB2312"/>
                <w:sz w:val="24"/>
              </w:rPr>
              <w:t>具有参数修正，治疗参数存储记忆，密码设置等多种功能；</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安全保护功能：激光器具有自动断电保护功能；</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7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开机自检：具有激光功率电流监测功能。</w:t>
            </w:r>
          </w:p>
        </w:tc>
      </w:tr>
    </w:tbl>
    <w:p>
      <w:pPr>
        <w:pStyle w:val="null3"/>
        <w:jc w:val="center"/>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合同签订之日起150日内交货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福州市鼓楼区道山路18号，具体地址按采购人指定地点交货。</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安装调试并验收合格后交付使用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1、期次1，说明：按照招标文件及合同要求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全部货物交付后采购人组织人员与中标人共同验收，验收合格后，达到付款条件，采购人凭收讫货物的验收凭证、货物验收合格文件及中标人出具的等额正式发票等材料以转帐方式向中标人支付合同款，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both"/>
            </w:pPr>
            <w:r>
              <w:rPr>
                <w:rFonts w:ascii="仿宋_GB2312" w:hAnsi="仿宋_GB2312" w:cs="仿宋_GB2312" w:eastAsia="仿宋_GB2312"/>
              </w:rPr>
              <w:t>说明：中标人在签订采购合同前应向采购人缴纳合同总金额的5%作为履约保证金，项目交货并验收合格，中标人完成合同约定的事项于履约期满后无其他未了事宜，由中标人提出退款申请，采购人在收到中标人退款申请后30天内无息返还履约保证金。履约保证金提交方式：以非现金形式提交。</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合同签订之日起150日内交货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福州市鼓楼区道山路18号，具体地址按采购人指定地点交货。</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安装调试并验收合格后交付使用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1、期次1，说明：按照招标文件及合同要求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全部货物交付后采购人组织人员与中标人共同验收，验收合格后，达到付款条件，采购人凭收讫货物的验收凭证、货物验收合格文件及中标人出具的等额正式发票等材料以转帐方式向中标人支付合同款，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both"/>
            </w:pPr>
            <w:r>
              <w:rPr>
                <w:rFonts w:ascii="仿宋_GB2312" w:hAnsi="仿宋_GB2312" w:cs="仿宋_GB2312" w:eastAsia="仿宋_GB2312"/>
              </w:rPr>
              <w:t>说明：中标人在签订采购合同前应向采购人缴纳合同总金额的5%作为履约保证金，项目交货并验收合格，中标人完成合同约定的事项于履约期满后无其他未了事宜，由中标人提出退款申请，采购人在收到中标人退款申请后30天内无息返还履约保证金。履约保证金提交方式：以非现金形式提交。</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以下内容采购包</w:t>
      </w:r>
      <w:r>
        <w:rPr>
          <w:rFonts w:ascii="仿宋_GB2312" w:hAnsi="仿宋_GB2312" w:cs="仿宋_GB2312" w:eastAsia="仿宋_GB2312"/>
          <w:sz w:val="24"/>
          <w:b/>
        </w:rPr>
        <w:t>1、采购包2均适用</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shd w:fill="FFFFFF" w:val="clear"/>
        </w:rPr>
        <w:t>8、包装</w:t>
      </w:r>
    </w:p>
    <w:p>
      <w:pPr>
        <w:pStyle w:val="null3"/>
        <w:ind w:firstLine="482"/>
        <w:jc w:val="both"/>
      </w:pPr>
      <w:r>
        <w:rPr>
          <w:rFonts w:ascii="仿宋_GB2312" w:hAnsi="仿宋_GB2312" w:cs="仿宋_GB2312" w:eastAsia="仿宋_GB2312"/>
          <w:sz w:val="24"/>
          <w:shd w:fill="FFFFFF" w:val="clear"/>
        </w:rPr>
        <w:t>8.1 包装：产品交货时应按国家有关标准要求进行包装。</w:t>
      </w:r>
    </w:p>
    <w:p>
      <w:pPr>
        <w:pStyle w:val="null3"/>
        <w:ind w:firstLine="482"/>
        <w:jc w:val="both"/>
      </w:pPr>
      <w:r>
        <w:rPr>
          <w:rFonts w:ascii="仿宋_GB2312" w:hAnsi="仿宋_GB2312" w:cs="仿宋_GB2312" w:eastAsia="仿宋_GB2312"/>
          <w:sz w:val="24"/>
          <w:shd w:fill="FFFFFF" w:val="clear"/>
        </w:rPr>
        <w:t>8.2 包装必须与运输方式相适应，包装方式的确定及包装费用均由中标人负责；由于不适当的包装而造成产品在运输过程中有任何损坏由中标人负责。</w:t>
      </w:r>
    </w:p>
    <w:p>
      <w:pPr>
        <w:pStyle w:val="null3"/>
        <w:ind w:firstLine="482"/>
        <w:jc w:val="both"/>
      </w:pPr>
      <w:r>
        <w:rPr>
          <w:rFonts w:ascii="仿宋_GB2312" w:hAnsi="仿宋_GB2312" w:cs="仿宋_GB2312" w:eastAsia="仿宋_GB2312"/>
          <w:sz w:val="24"/>
          <w:shd w:fill="FFFFFF" w:val="clear"/>
        </w:rPr>
        <w:t>8.3 包装应足以承受整个过程中的运输、转运、装卸、储存等，充分考虑到运输途中的各种情况（如暴露于恶劣气候等）和福建地区的气候特点。</w:t>
      </w:r>
    </w:p>
    <w:p>
      <w:pPr>
        <w:pStyle w:val="null3"/>
        <w:ind w:firstLine="480"/>
        <w:jc w:val="both"/>
      </w:pPr>
      <w:r>
        <w:rPr>
          <w:rFonts w:ascii="仿宋_GB2312" w:hAnsi="仿宋_GB2312" w:cs="仿宋_GB2312" w:eastAsia="仿宋_GB2312"/>
          <w:sz w:val="24"/>
          <w:b/>
        </w:rPr>
        <w:t>★9、安装、调试</w:t>
      </w:r>
    </w:p>
    <w:p>
      <w:pPr>
        <w:pStyle w:val="null3"/>
        <w:ind w:firstLine="480"/>
        <w:jc w:val="both"/>
      </w:pPr>
      <w:r>
        <w:rPr>
          <w:rFonts w:ascii="仿宋_GB2312" w:hAnsi="仿宋_GB2312" w:cs="仿宋_GB2312" w:eastAsia="仿宋_GB2312"/>
          <w:sz w:val="24"/>
        </w:rPr>
        <w:t>9.1合同签订后，由中标人负责将合同规定的设备数量送到安装地点，设备通过采购人确认后，由中标人指派的技术人员到现场进行安装。采购人将安排专人配合，并提供安装所需的基本条件，保证各项安装工作顺利进行。</w:t>
      </w:r>
    </w:p>
    <w:p>
      <w:pPr>
        <w:pStyle w:val="null3"/>
        <w:ind w:firstLine="480"/>
        <w:jc w:val="both"/>
      </w:pPr>
      <w:r>
        <w:rPr>
          <w:rFonts w:ascii="仿宋_GB2312" w:hAnsi="仿宋_GB2312" w:cs="仿宋_GB2312" w:eastAsia="仿宋_GB2312"/>
          <w:sz w:val="24"/>
        </w:rPr>
        <w:t>9.2中标人负责组织专业技术人员进行设备调试，并向采购人安排的工作人员介绍设备功能。</w:t>
      </w:r>
    </w:p>
    <w:p>
      <w:pPr>
        <w:pStyle w:val="null3"/>
        <w:ind w:firstLine="480"/>
        <w:jc w:val="both"/>
      </w:pPr>
      <w:r>
        <w:rPr>
          <w:rFonts w:ascii="仿宋_GB2312" w:hAnsi="仿宋_GB2312" w:cs="仿宋_GB2312" w:eastAsia="仿宋_GB2312"/>
          <w:sz w:val="24"/>
        </w:rPr>
        <w:t>9.3设备安装、调试的完工期须按照合同的规定执行。</w:t>
      </w:r>
    </w:p>
    <w:p>
      <w:pPr>
        <w:pStyle w:val="null3"/>
        <w:ind w:firstLine="480"/>
        <w:jc w:val="both"/>
      </w:pPr>
      <w:r>
        <w:rPr>
          <w:rFonts w:ascii="仿宋_GB2312" w:hAnsi="仿宋_GB2312" w:cs="仿宋_GB2312" w:eastAsia="仿宋_GB2312"/>
          <w:sz w:val="24"/>
          <w:b/>
        </w:rPr>
        <w:t>★10、检验标准和方法</w:t>
      </w:r>
    </w:p>
    <w:p>
      <w:pPr>
        <w:pStyle w:val="null3"/>
        <w:ind w:firstLine="480"/>
        <w:jc w:val="both"/>
      </w:pPr>
      <w:r>
        <w:rPr>
          <w:rFonts w:ascii="仿宋_GB2312" w:hAnsi="仿宋_GB2312" w:cs="仿宋_GB2312" w:eastAsia="仿宋_GB2312"/>
          <w:sz w:val="24"/>
        </w:rPr>
        <w:t>10.1验收标准：设备按生产厂家的产品验收标准、合同中的相关条款进行验收。所有设备必须是原装包装。若发现原包装破损或保修条款不满足要求，采购人有权不予接收，并要求中标人无条件免费重新更换，并按合同条款的有关规定执行。</w:t>
      </w:r>
    </w:p>
    <w:p>
      <w:pPr>
        <w:pStyle w:val="null3"/>
        <w:ind w:firstLine="480"/>
        <w:jc w:val="both"/>
      </w:pPr>
      <w:r>
        <w:rPr>
          <w:rFonts w:ascii="仿宋_GB2312" w:hAnsi="仿宋_GB2312" w:cs="仿宋_GB2312" w:eastAsia="仿宋_GB2312"/>
          <w:sz w:val="24"/>
        </w:rPr>
        <w:t>10.2出厂检验：中标人负责所提供设备的出厂检验，应按设备技术标准规定的检验项目和检验方法进行全面检验，保证设备原厂地和技术指标的真实性、完整性，并负责将设备送达采购人指定的供货地点。</w:t>
      </w:r>
    </w:p>
    <w:p>
      <w:pPr>
        <w:pStyle w:val="null3"/>
        <w:ind w:firstLine="480"/>
        <w:jc w:val="both"/>
      </w:pPr>
      <w:r>
        <w:rPr>
          <w:rFonts w:ascii="仿宋_GB2312" w:hAnsi="仿宋_GB2312" w:cs="仿宋_GB2312" w:eastAsia="仿宋_GB2312"/>
          <w:sz w:val="24"/>
        </w:rPr>
        <w:t>10.3到货验收：设备送至采购人安装现场后，中标人和采购人一同拆箱，对其全部设备、零件、配件的型号、规格、数量、外型、外观、包装进行到货验收。中标人应负责在项目验收时将系统的全部有关技术文件、资料(包括但不限于产品验收标准、技术资料、系统安装手册、系统管理员手册、用户使用手册、出厂明细表(装箱单)、产品技术标准(含验收标准)和试验方法、出厂检验报告和质量合格证书、其它应提交的资料等)、及安装、测试报告等文档汇集成册交付项目单位。</w:t>
      </w:r>
    </w:p>
    <w:p>
      <w:pPr>
        <w:pStyle w:val="null3"/>
        <w:ind w:firstLine="480"/>
        <w:jc w:val="both"/>
      </w:pPr>
      <w:r>
        <w:rPr>
          <w:rFonts w:ascii="仿宋_GB2312" w:hAnsi="仿宋_GB2312" w:cs="仿宋_GB2312" w:eastAsia="仿宋_GB2312"/>
          <w:sz w:val="24"/>
        </w:rPr>
        <w:t>10.4试运行：中标人应对设备的整体性能和功能进行自检，自检结果必须符合招标文件要求及合同中的相关条款，自检合格后，转入为期至少1个月的试运行。试运行结束后，中标人应向采购人提交自检记录和试运行记录，并提出验收申请。经采购人同意后，采购人和中标人共同进行设备的验收。</w:t>
      </w:r>
    </w:p>
    <w:p>
      <w:pPr>
        <w:pStyle w:val="null3"/>
        <w:ind w:firstLine="480"/>
        <w:jc w:val="both"/>
      </w:pPr>
      <w:r>
        <w:rPr>
          <w:rFonts w:ascii="仿宋_GB2312" w:hAnsi="仿宋_GB2312" w:cs="仿宋_GB2312" w:eastAsia="仿宋_GB2312"/>
          <w:sz w:val="24"/>
        </w:rPr>
        <w:t>10.5最终验收</w:t>
      </w:r>
    </w:p>
    <w:p>
      <w:pPr>
        <w:pStyle w:val="null3"/>
        <w:ind w:firstLine="480"/>
        <w:jc w:val="both"/>
      </w:pPr>
      <w:r>
        <w:rPr>
          <w:rFonts w:ascii="仿宋_GB2312" w:hAnsi="仿宋_GB2312" w:cs="仿宋_GB2312" w:eastAsia="仿宋_GB2312"/>
          <w:sz w:val="24"/>
        </w:rPr>
        <w:t>采购人将按照采购合同规定的技术、服务、安全标准组织对供应商履约情况进行验收，并出具验收书。验收书应当包括每一项技术、服务、安全标准的履约情况。验收结果经双方确认后，双方代表必须按规定的验收交接单上的项目对照本合同填好验收结果并签名。验收过程中，若发现设备质量有问题中标人应无条件免费更换，并无条件重新检测并调试直至验收合格交付使用。在此期间，中标人在采购人现场进行安装、调试、集成、试运行直至验收所发生的一切费用由中标人承担且包含在投标总价中。</w:t>
      </w:r>
    </w:p>
    <w:p>
      <w:pPr>
        <w:pStyle w:val="null3"/>
        <w:ind w:firstLine="480"/>
        <w:jc w:val="both"/>
      </w:pPr>
      <w:r>
        <w:rPr>
          <w:rFonts w:ascii="仿宋_GB2312" w:hAnsi="仿宋_GB2312" w:cs="仿宋_GB2312" w:eastAsia="仿宋_GB2312"/>
          <w:sz w:val="24"/>
          <w:b/>
        </w:rPr>
        <w:t>★11、技术培训及技术资料要求</w:t>
      </w:r>
    </w:p>
    <w:p>
      <w:pPr>
        <w:pStyle w:val="null3"/>
        <w:ind w:firstLine="480"/>
        <w:jc w:val="both"/>
      </w:pPr>
      <w:r>
        <w:rPr>
          <w:rFonts w:ascii="仿宋_GB2312" w:hAnsi="仿宋_GB2312" w:cs="仿宋_GB2312" w:eastAsia="仿宋_GB2312"/>
          <w:sz w:val="24"/>
        </w:rPr>
        <w:t>11.1技术培训：中标人应结合设备安装、调试等阶段，同步地免费对采购人的技术人员就有关系统安装、维护、操作使用等方面进行现场技术培训，使受训人员能熟练掌握所有的安装测试和维护方法以及操作命令的使用。</w:t>
      </w:r>
    </w:p>
    <w:p>
      <w:pPr>
        <w:pStyle w:val="null3"/>
        <w:ind w:firstLine="480"/>
        <w:jc w:val="both"/>
      </w:pPr>
      <w:r>
        <w:rPr>
          <w:rFonts w:ascii="仿宋_GB2312" w:hAnsi="仿宋_GB2312" w:cs="仿宋_GB2312" w:eastAsia="仿宋_GB2312"/>
          <w:sz w:val="24"/>
        </w:rPr>
        <w:t>11.2技术资料：中标人应向采购人提供不少于以下列明的中文(或英文)技术资料，在设备供货时同时提供；并提供设备相关的证明文件或资料，其费用应包括在报价内。中标后应提供的技术资料如下：</w:t>
      </w:r>
    </w:p>
    <w:p>
      <w:pPr>
        <w:pStyle w:val="null3"/>
        <w:ind w:firstLine="480"/>
        <w:jc w:val="both"/>
      </w:pPr>
      <w:r>
        <w:rPr>
          <w:rFonts w:ascii="仿宋_GB2312" w:hAnsi="仿宋_GB2312" w:cs="仿宋_GB2312" w:eastAsia="仿宋_GB2312"/>
          <w:sz w:val="24"/>
        </w:rPr>
        <w:t>1)出厂明细表(装箱单)；</w:t>
      </w:r>
    </w:p>
    <w:p>
      <w:pPr>
        <w:pStyle w:val="null3"/>
        <w:ind w:firstLine="480"/>
        <w:jc w:val="both"/>
      </w:pPr>
      <w:r>
        <w:rPr>
          <w:rFonts w:ascii="仿宋_GB2312" w:hAnsi="仿宋_GB2312" w:cs="仿宋_GB2312" w:eastAsia="仿宋_GB2312"/>
          <w:sz w:val="24"/>
        </w:rPr>
        <w:t>2)出厂检验报告、合格证书；</w:t>
      </w:r>
    </w:p>
    <w:p>
      <w:pPr>
        <w:pStyle w:val="null3"/>
        <w:ind w:firstLine="480"/>
        <w:jc w:val="both"/>
      </w:pPr>
      <w:r>
        <w:rPr>
          <w:rFonts w:ascii="仿宋_GB2312" w:hAnsi="仿宋_GB2312" w:cs="仿宋_GB2312" w:eastAsia="仿宋_GB2312"/>
          <w:sz w:val="24"/>
        </w:rPr>
        <w:t>3)安装手册；操作手册(中文)；维修说明书；</w:t>
      </w:r>
    </w:p>
    <w:p>
      <w:pPr>
        <w:pStyle w:val="null3"/>
        <w:ind w:firstLine="480"/>
        <w:jc w:val="both"/>
      </w:pPr>
      <w:r>
        <w:rPr>
          <w:rFonts w:ascii="仿宋_GB2312" w:hAnsi="仿宋_GB2312" w:cs="仿宋_GB2312" w:eastAsia="仿宋_GB2312"/>
          <w:sz w:val="24"/>
        </w:rPr>
        <w:t>4)使用说明书；</w:t>
      </w:r>
    </w:p>
    <w:p>
      <w:pPr>
        <w:pStyle w:val="null3"/>
        <w:ind w:firstLine="480"/>
        <w:jc w:val="both"/>
      </w:pPr>
      <w:r>
        <w:rPr>
          <w:rFonts w:ascii="仿宋_GB2312" w:hAnsi="仿宋_GB2312" w:cs="仿宋_GB2312" w:eastAsia="仿宋_GB2312"/>
          <w:sz w:val="24"/>
        </w:rPr>
        <w:t>5)设备安装、调试、维修线路原理图等安装调试资料；</w:t>
      </w:r>
    </w:p>
    <w:p>
      <w:pPr>
        <w:pStyle w:val="null3"/>
        <w:ind w:firstLine="480"/>
        <w:jc w:val="both"/>
      </w:pPr>
      <w:r>
        <w:rPr>
          <w:rFonts w:ascii="仿宋_GB2312" w:hAnsi="仿宋_GB2312" w:cs="仿宋_GB2312" w:eastAsia="仿宋_GB2312"/>
          <w:sz w:val="24"/>
        </w:rPr>
        <w:t>6)提供原产地制造商的产品证明；</w:t>
      </w:r>
    </w:p>
    <w:p>
      <w:pPr>
        <w:pStyle w:val="null3"/>
        <w:ind w:firstLine="480"/>
        <w:jc w:val="both"/>
      </w:pPr>
      <w:r>
        <w:rPr>
          <w:rFonts w:ascii="仿宋_GB2312" w:hAnsi="仿宋_GB2312" w:cs="仿宋_GB2312" w:eastAsia="仿宋_GB2312"/>
          <w:sz w:val="24"/>
        </w:rPr>
        <w:t>7)合同中要求的其它文件资料。</w:t>
      </w:r>
    </w:p>
    <w:p>
      <w:pPr>
        <w:pStyle w:val="null3"/>
        <w:ind w:firstLine="480"/>
        <w:jc w:val="both"/>
      </w:pPr>
      <w:r>
        <w:rPr>
          <w:rFonts w:ascii="仿宋_GB2312" w:hAnsi="仿宋_GB2312" w:cs="仿宋_GB2312" w:eastAsia="仿宋_GB2312"/>
          <w:sz w:val="24"/>
          <w:b/>
        </w:rPr>
        <w:t>★12、保修期和售后服务要求</w:t>
      </w:r>
    </w:p>
    <w:p>
      <w:pPr>
        <w:pStyle w:val="null3"/>
        <w:ind w:firstLine="480"/>
        <w:jc w:val="both"/>
      </w:pPr>
      <w:r>
        <w:rPr>
          <w:rFonts w:ascii="仿宋_GB2312" w:hAnsi="仿宋_GB2312" w:cs="仿宋_GB2312" w:eastAsia="仿宋_GB2312"/>
          <w:sz w:val="24"/>
        </w:rPr>
        <w:t>12.1中标人须按招标文件的要求提供合格的设备。</w:t>
      </w:r>
    </w:p>
    <w:p>
      <w:pPr>
        <w:pStyle w:val="null3"/>
        <w:ind w:left="240"/>
        <w:jc w:val="both"/>
      </w:pP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所投设备的保修期</w:t>
      </w:r>
      <w:r>
        <w:rPr>
          <w:rFonts w:ascii="仿宋_GB2312" w:hAnsi="仿宋_GB2312" w:cs="仿宋_GB2312" w:eastAsia="仿宋_GB2312"/>
          <w:sz w:val="24"/>
          <w:b/>
          <w:u w:val="single"/>
        </w:rPr>
        <w:t>3</w:t>
      </w:r>
      <w:r>
        <w:rPr>
          <w:rFonts w:ascii="仿宋_GB2312" w:hAnsi="仿宋_GB2312" w:cs="仿宋_GB2312" w:eastAsia="仿宋_GB2312"/>
          <w:sz w:val="24"/>
          <w:b/>
          <w:u w:val="single"/>
        </w:rPr>
        <w:t xml:space="preserve"> </w:t>
      </w:r>
      <w:r>
        <w:rPr>
          <w:rFonts w:ascii="仿宋_GB2312" w:hAnsi="仿宋_GB2312" w:cs="仿宋_GB2312" w:eastAsia="仿宋_GB2312"/>
          <w:sz w:val="24"/>
          <w:b/>
        </w:rPr>
        <w:t>年</w:t>
      </w:r>
      <w:r>
        <w:rPr>
          <w:rFonts w:ascii="仿宋_GB2312" w:hAnsi="仿宋_GB2312" w:cs="仿宋_GB2312" w:eastAsia="仿宋_GB2312"/>
          <w:sz w:val="24"/>
        </w:rPr>
        <w:t>。免费保修期自验收合格签名之日起计算。</w:t>
      </w:r>
      <w:r>
        <w:rPr>
          <w:rFonts w:ascii="仿宋_GB2312" w:hAnsi="仿宋_GB2312" w:cs="仿宋_GB2312" w:eastAsia="仿宋_GB2312"/>
          <w:sz w:val="24"/>
        </w:rPr>
        <w:t xml:space="preserve">    </w:t>
      </w:r>
      <w:r>
        <w:rPr>
          <w:rFonts w:ascii="仿宋_GB2312" w:hAnsi="仿宋_GB2312" w:cs="仿宋_GB2312" w:eastAsia="仿宋_GB2312"/>
          <w:sz w:val="24"/>
          <w:b/>
        </w:rPr>
        <w:t>采购包</w:t>
      </w:r>
      <w:r>
        <w:rPr>
          <w:rFonts w:ascii="仿宋_GB2312" w:hAnsi="仿宋_GB2312" w:cs="仿宋_GB2312" w:eastAsia="仿宋_GB2312"/>
          <w:sz w:val="24"/>
          <w:b/>
        </w:rPr>
        <w:t>2</w:t>
      </w:r>
      <w:r>
        <w:rPr>
          <w:rFonts w:ascii="仿宋_GB2312" w:hAnsi="仿宋_GB2312" w:cs="仿宋_GB2312" w:eastAsia="仿宋_GB2312"/>
          <w:sz w:val="24"/>
          <w:b/>
        </w:rPr>
        <w:t>所投设备的保修期</w:t>
      </w:r>
      <w:r>
        <w:rPr>
          <w:rFonts w:ascii="仿宋_GB2312" w:hAnsi="仿宋_GB2312" w:cs="仿宋_GB2312" w:eastAsia="仿宋_GB2312"/>
          <w:sz w:val="24"/>
          <w:b/>
          <w:u w:val="single"/>
        </w:rPr>
        <w:t xml:space="preserve">3 </w:t>
      </w:r>
      <w:r>
        <w:rPr>
          <w:rFonts w:ascii="仿宋_GB2312" w:hAnsi="仿宋_GB2312" w:cs="仿宋_GB2312" w:eastAsia="仿宋_GB2312"/>
          <w:sz w:val="24"/>
          <w:b/>
        </w:rPr>
        <w:t>年</w:t>
      </w:r>
      <w:r>
        <w:rPr>
          <w:rFonts w:ascii="仿宋_GB2312" w:hAnsi="仿宋_GB2312" w:cs="仿宋_GB2312" w:eastAsia="仿宋_GB2312"/>
          <w:sz w:val="24"/>
        </w:rPr>
        <w:t>。免费保修期自验收合格签名之日起计算</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rPr>
        <w:t>保修期内，须按合同条款提供免费服务，非因操作不当造成要更换的零配件由中标人负责包修、包换。</w:t>
      </w:r>
    </w:p>
    <w:p>
      <w:pPr>
        <w:pStyle w:val="null3"/>
        <w:ind w:firstLine="480"/>
        <w:jc w:val="both"/>
      </w:pPr>
      <w:r>
        <w:rPr>
          <w:rFonts w:ascii="仿宋_GB2312" w:hAnsi="仿宋_GB2312" w:cs="仿宋_GB2312" w:eastAsia="仿宋_GB2312"/>
          <w:sz w:val="24"/>
        </w:rPr>
        <w:t>12.2在质保期内设备运行中发生问题，中标人应在接到采购人通知后</w:t>
      </w:r>
      <w:r>
        <w:rPr>
          <w:rFonts w:ascii="仿宋_GB2312" w:hAnsi="仿宋_GB2312" w:cs="仿宋_GB2312" w:eastAsia="仿宋_GB2312"/>
          <w:sz w:val="24"/>
        </w:rPr>
        <w:t>2</w:t>
      </w:r>
      <w:r>
        <w:rPr>
          <w:rFonts w:ascii="仿宋_GB2312" w:hAnsi="仿宋_GB2312" w:cs="仿宋_GB2312" w:eastAsia="仿宋_GB2312"/>
          <w:sz w:val="24"/>
        </w:rPr>
        <w:t>小时内响应，并作出维修方案决定；中标人应在</w:t>
      </w:r>
      <w:r>
        <w:rPr>
          <w:rFonts w:ascii="仿宋_GB2312" w:hAnsi="仿宋_GB2312" w:cs="仿宋_GB2312" w:eastAsia="仿宋_GB2312"/>
          <w:sz w:val="24"/>
        </w:rPr>
        <w:t>24小时内派工程师到达现场，提供免费维修服务。72小时无法修复故障,提供备用机。若机件损坏，中标人应免费更换损坏的零部件，修理费用由中标人负责。同一故障修理5次或1个月无法修复设备，采购人有权要求中标人免费更换新机或退货（中标人需无条件退还全部货款）。</w:t>
      </w:r>
    </w:p>
    <w:p>
      <w:pPr>
        <w:pStyle w:val="null3"/>
        <w:ind w:firstLine="480"/>
        <w:jc w:val="both"/>
      </w:pPr>
      <w:r>
        <w:rPr>
          <w:rFonts w:ascii="仿宋_GB2312" w:hAnsi="仿宋_GB2312" w:cs="仿宋_GB2312" w:eastAsia="仿宋_GB2312"/>
          <w:sz w:val="24"/>
        </w:rPr>
        <w:t>12.3免费保修期满前1个月内中标人应负责对设备进行一次免费全面检查，如发现潜在问题，应负责排除，保证设备正常运行。</w:t>
      </w:r>
    </w:p>
    <w:p>
      <w:pPr>
        <w:pStyle w:val="null3"/>
        <w:ind w:firstLine="480"/>
        <w:jc w:val="both"/>
      </w:pPr>
      <w:r>
        <w:rPr>
          <w:rFonts w:ascii="仿宋_GB2312" w:hAnsi="仿宋_GB2312" w:cs="仿宋_GB2312" w:eastAsia="仿宋_GB2312"/>
          <w:sz w:val="24"/>
        </w:rPr>
        <w:t>12.4为保证采购人设备的正常运行，中标人应根据设备运行状况提供每年4次以上的定期预防性维护保养和每年1次以上的定期校准，并提供详细检测清单的维修报告。设备发生故障维修及保养事件，必须到设备部门备案登记。维护保养的次数与内容、更换维修备件的数目需详细记录，相关文件交采购人存档。各投标人可视自身能力在投标文件中提供更优、更合理的质保期和售后服务承诺。</w:t>
      </w:r>
    </w:p>
    <w:p>
      <w:pPr>
        <w:pStyle w:val="null3"/>
        <w:ind w:firstLine="480"/>
        <w:jc w:val="both"/>
      </w:pPr>
      <w:r>
        <w:rPr>
          <w:rFonts w:ascii="仿宋_GB2312" w:hAnsi="仿宋_GB2312" w:cs="仿宋_GB2312" w:eastAsia="仿宋_GB2312"/>
          <w:sz w:val="24"/>
        </w:rPr>
        <w:t>12.5质保期结束后，设备在运行中发生问题，中标人应在接到采购人通知后2小时内响应，并作出维修方案决定；中标人应在接到采购人通知后48小时内派工程师达到现场。中标人有责任对中标人的设备提供良好的维保服务，且只收取配件成本费，不收取上门维修费及差旅费。如遇中标人兼并或代理商不再代理该产品, 中标人需做好移交手续,原合同和协议一切条款继续有效。</w:t>
      </w:r>
    </w:p>
    <w:p>
      <w:pPr>
        <w:pStyle w:val="null3"/>
        <w:ind w:firstLine="480"/>
        <w:jc w:val="both"/>
      </w:pPr>
      <w:r>
        <w:rPr>
          <w:rFonts w:ascii="仿宋_GB2312" w:hAnsi="仿宋_GB2312" w:cs="仿宋_GB2312" w:eastAsia="仿宋_GB2312"/>
          <w:sz w:val="24"/>
        </w:rPr>
        <w:t>12.6招标采购货物在质保期后的维修原则上仅需采购人设备科（特殊情况的需设备科分管领导）确认后即立刻无条件进行维修，采购人无需预付款。采购人保证按确认内容付费并配合相关工作。</w:t>
      </w:r>
    </w:p>
    <w:p>
      <w:pPr>
        <w:pStyle w:val="null3"/>
        <w:ind w:firstLine="480"/>
        <w:jc w:val="both"/>
      </w:pPr>
      <w:r>
        <w:rPr>
          <w:rFonts w:ascii="仿宋_GB2312" w:hAnsi="仿宋_GB2312" w:cs="仿宋_GB2312" w:eastAsia="仿宋_GB2312"/>
          <w:sz w:val="24"/>
          <w:b/>
        </w:rPr>
        <w:t>★13、专用工具、特殊工具与配品配件</w:t>
      </w:r>
    </w:p>
    <w:p>
      <w:pPr>
        <w:pStyle w:val="null3"/>
        <w:ind w:firstLine="480"/>
        <w:jc w:val="both"/>
      </w:pPr>
      <w:r>
        <w:rPr>
          <w:rFonts w:ascii="仿宋_GB2312" w:hAnsi="仿宋_GB2312" w:cs="仿宋_GB2312" w:eastAsia="仿宋_GB2312"/>
          <w:sz w:val="24"/>
        </w:rPr>
        <w:t>13.1专用工具：中标人向采购人提供一套维修所需的专用工具(如果有的话)。</w:t>
      </w:r>
    </w:p>
    <w:p>
      <w:pPr>
        <w:pStyle w:val="null3"/>
        <w:ind w:firstLine="480"/>
        <w:jc w:val="both"/>
      </w:pPr>
      <w:r>
        <w:rPr>
          <w:rFonts w:ascii="仿宋_GB2312" w:hAnsi="仿宋_GB2312" w:cs="仿宋_GB2312" w:eastAsia="仿宋_GB2312"/>
          <w:sz w:val="24"/>
        </w:rPr>
        <w:t>13.2特殊工具：中标人应向采购人提供系统安装和维修所需的特殊专用工具及清单(如果有的话)并在投标文件中提供，其费用包括在投标总价中。</w:t>
      </w:r>
    </w:p>
    <w:p>
      <w:pPr>
        <w:pStyle w:val="null3"/>
        <w:ind w:firstLine="480"/>
        <w:jc w:val="both"/>
      </w:pPr>
      <w:r>
        <w:rPr>
          <w:rFonts w:ascii="仿宋_GB2312" w:hAnsi="仿宋_GB2312" w:cs="仿宋_GB2312" w:eastAsia="仿宋_GB2312"/>
          <w:sz w:val="24"/>
        </w:rPr>
        <w:t>13.3备品备件：中标人应提供设备在质保期内所需的备品备件(如果有的话)，其费用含在投标总价中。</w:t>
      </w:r>
    </w:p>
    <w:p>
      <w:pPr>
        <w:pStyle w:val="null3"/>
        <w:ind w:firstLine="482"/>
        <w:jc w:val="left"/>
      </w:pPr>
      <w:r>
        <w:rPr>
          <w:rFonts w:ascii="仿宋_GB2312" w:hAnsi="仿宋_GB2312" w:cs="仿宋_GB2312" w:eastAsia="仿宋_GB2312"/>
          <w:sz w:val="24"/>
          <w:b/>
        </w:rPr>
        <w:t>★14、违约责任</w:t>
      </w:r>
    </w:p>
    <w:p>
      <w:pPr>
        <w:pStyle w:val="null3"/>
        <w:ind w:firstLine="480"/>
        <w:jc w:val="left"/>
      </w:pPr>
      <w:r>
        <w:rPr>
          <w:rFonts w:ascii="仿宋_GB2312" w:hAnsi="仿宋_GB2312" w:cs="仿宋_GB2312" w:eastAsia="仿宋_GB2312"/>
          <w:sz w:val="24"/>
          <w:shd w:fill="FFFFFF" w:val="clear"/>
        </w:rPr>
        <w:t>14.1因中标人原因造成采购合同无法按时签订的，视为中标人违约，中标人须向采购人支付合同金额的5%违约金。</w:t>
      </w:r>
    </w:p>
    <w:p>
      <w:pPr>
        <w:pStyle w:val="null3"/>
        <w:ind w:firstLine="480"/>
        <w:jc w:val="left"/>
      </w:pPr>
      <w:r>
        <w:rPr>
          <w:rFonts w:ascii="仿宋_GB2312" w:hAnsi="仿宋_GB2312" w:cs="仿宋_GB2312" w:eastAsia="仿宋_GB2312"/>
          <w:sz w:val="24"/>
          <w:shd w:fill="FFFFFF" w:val="clear"/>
        </w:rPr>
        <w:t>14.2如果中标人未能按合同规定的时间按时足额交货的（不可抗力除外），在中标人书面同意支付延期交货违约金的条件下，采购人有权选择同意延长交货期还是不予延长交货期，采购人同意延长交货期的，延期交货的时间由双方另行确定。延期交货违约金的支付采购人有权从未付的合同货款中扣除。延期交货违约金比率为每迟交1 天，按总金额的0.08％。但是，延期交货违约金的支付总额不得超过总金额的5％。</w:t>
      </w:r>
    </w:p>
    <w:p>
      <w:pPr>
        <w:pStyle w:val="null3"/>
        <w:ind w:firstLine="480"/>
        <w:jc w:val="both"/>
      </w:pPr>
      <w:r>
        <w:rPr>
          <w:rFonts w:ascii="仿宋_GB2312" w:hAnsi="仿宋_GB2312" w:cs="仿宋_GB2312" w:eastAsia="仿宋_GB2312"/>
          <w:sz w:val="24"/>
          <w:shd w:fill="FFFFFF" w:val="clear"/>
        </w:rPr>
        <w:t>14.3中标人逾期履行提供服务的，中标人应按逾期交付总额每日0.3%向采购人支付违约金，由采购人从待付货款中扣除。中标人无正当理由逾期超过约定日期30日仍不能交付的，视为“中标人不按合同约定履约”。</w:t>
      </w:r>
    </w:p>
    <w:p>
      <w:pPr>
        <w:pStyle w:val="null3"/>
        <w:ind w:firstLine="480"/>
        <w:jc w:val="both"/>
      </w:pPr>
      <w:r>
        <w:rPr>
          <w:rFonts w:ascii="仿宋_GB2312" w:hAnsi="仿宋_GB2312" w:cs="仿宋_GB2312" w:eastAsia="仿宋_GB2312"/>
          <w:sz w:val="24"/>
          <w:shd w:fill="FFFFFF" w:val="clear"/>
        </w:rPr>
        <w:t>14.4中标人所交付的产品不符合合同规定及《招标文件》规定标准的，采购人有权拒收，中标人愿意更换产品但逾期交货的，按中标人逾期交货处理。中标人拒绝更换产品的，视为“中标人不按合同约定履约”。</w:t>
      </w:r>
    </w:p>
    <w:p>
      <w:pPr>
        <w:pStyle w:val="null3"/>
        <w:ind w:firstLine="482"/>
        <w:jc w:val="both"/>
      </w:pPr>
      <w:r>
        <w:rPr>
          <w:rFonts w:ascii="仿宋_GB2312" w:hAnsi="仿宋_GB2312" w:cs="仿宋_GB2312" w:eastAsia="仿宋_GB2312"/>
          <w:sz w:val="24"/>
          <w:shd w:fill="FFFFFF" w:val="clear"/>
        </w:rPr>
        <w:t>14.5中标人所交付的产品不符合合同规定及《招标文件》规定标准的，采购人有权拒绝中标人更换产品的申请，并视为“中标人不按合同约定履约”。</w:t>
      </w:r>
    </w:p>
    <w:p>
      <w:pPr>
        <w:pStyle w:val="null3"/>
        <w:ind w:firstLine="482"/>
        <w:jc w:val="both"/>
      </w:pPr>
      <w:r>
        <w:rPr>
          <w:rFonts w:ascii="仿宋_GB2312" w:hAnsi="仿宋_GB2312" w:cs="仿宋_GB2312" w:eastAsia="仿宋_GB2312"/>
          <w:sz w:val="24"/>
          <w:shd w:fill="FFFFFF" w:val="clear"/>
        </w:rPr>
        <w:t>14.6中标人未能履行合同和招标文件、投标文件规定的其他任何义务和承诺的，均视为“中标人不按合同约定履约”。</w:t>
      </w:r>
    </w:p>
    <w:p>
      <w:pPr>
        <w:pStyle w:val="null3"/>
        <w:ind w:firstLine="482"/>
        <w:jc w:val="left"/>
      </w:pPr>
      <w:r>
        <w:rPr>
          <w:rFonts w:ascii="仿宋_GB2312" w:hAnsi="仿宋_GB2312" w:cs="仿宋_GB2312" w:eastAsia="仿宋_GB2312"/>
          <w:sz w:val="24"/>
          <w:shd w:fill="FFFFFF" w:val="clear"/>
        </w:rPr>
        <w:t>14.7中标人不按合同约定履约的，采购人可以解除采购合同。同时，中标人还须按向采购人支付违约金：中标人应按合同解除部分对应标的金额的20%支付违约金。违约金不足以弥补采购人损失的，中标人应承担全部赔偿责任。</w:t>
      </w:r>
    </w:p>
    <w:p>
      <w:pPr>
        <w:pStyle w:val="null3"/>
        <w:ind w:firstLine="482"/>
        <w:jc w:val="left"/>
      </w:pPr>
      <w:r>
        <w:rPr>
          <w:rFonts w:ascii="仿宋_GB2312" w:hAnsi="仿宋_GB2312" w:cs="仿宋_GB2312" w:eastAsia="仿宋_GB2312"/>
          <w:sz w:val="24"/>
          <w:shd w:fill="FFFFFF" w:val="clear"/>
        </w:rPr>
        <w:t>14.8若中标人单方面解除合同，则采购人有权要求中标人按合同解除部分对应标的金额的10%支付违约金。违约金不足以弥补采购人损失的，中标人应承担全部赔偿责任。</w:t>
      </w:r>
    </w:p>
    <w:p>
      <w:pPr>
        <w:pStyle w:val="null3"/>
        <w:ind w:firstLine="482"/>
        <w:jc w:val="both"/>
      </w:pPr>
      <w:r>
        <w:rPr>
          <w:rFonts w:ascii="仿宋_GB2312" w:hAnsi="仿宋_GB2312" w:cs="仿宋_GB2312" w:eastAsia="仿宋_GB2312"/>
          <w:sz w:val="24"/>
          <w:shd w:fill="FFFFFF" w:val="clear"/>
        </w:rPr>
        <w:t>14.9中标人在履行合同过程中，给采购人造成损失的，应承担全部赔偿责任，若上述违约金不足以弥补采购人损失的，中标人还应承担赔偿责任。</w:t>
      </w:r>
    </w:p>
    <w:p>
      <w:pPr>
        <w:pStyle w:val="null3"/>
        <w:ind w:firstLine="482"/>
        <w:jc w:val="left"/>
      </w:pPr>
      <w:r>
        <w:rPr>
          <w:rFonts w:ascii="仿宋_GB2312" w:hAnsi="仿宋_GB2312" w:cs="仿宋_GB2312" w:eastAsia="仿宋_GB2312"/>
          <w:sz w:val="24"/>
          <w:shd w:fill="FFFFFF" w:val="clear"/>
        </w:rPr>
        <w:t>14.10因中标人原因给采购人或者第三人造成损害的，一切责任由中标人承担。</w:t>
      </w:r>
    </w:p>
    <w:p>
      <w:pPr>
        <w:pStyle w:val="null3"/>
        <w:ind w:firstLine="482"/>
        <w:jc w:val="left"/>
      </w:pPr>
      <w:r>
        <w:rPr>
          <w:rFonts w:ascii="仿宋_GB2312" w:hAnsi="仿宋_GB2312" w:cs="仿宋_GB2312" w:eastAsia="仿宋_GB2312"/>
          <w:sz w:val="24"/>
          <w:shd w:fill="FFFFFF" w:val="clear"/>
        </w:rPr>
        <w:t>14.11在明确违约责任后，中标人应在接到书面通知书起七天内支付违约金、赔偿金等。</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shd w:fill="FFFFFF" w:val="clear"/>
        </w:rPr>
        <w:t>15、供应商须提供廉洁承诺书，内容如下：</w:t>
      </w:r>
    </w:p>
    <w:p>
      <w:pPr>
        <w:pStyle w:val="null3"/>
        <w:ind w:firstLine="482"/>
        <w:jc w:val="center"/>
      </w:pPr>
      <w:r>
        <w:rPr>
          <w:rFonts w:ascii="仿宋_GB2312" w:hAnsi="仿宋_GB2312" w:cs="仿宋_GB2312" w:eastAsia="仿宋_GB2312"/>
          <w:sz w:val="24"/>
          <w:shd w:fill="FFFFFF" w:val="clear"/>
        </w:rPr>
        <w:t>廉洁承诺书</w:t>
      </w:r>
    </w:p>
    <w:p>
      <w:pPr>
        <w:pStyle w:val="null3"/>
        <w:ind w:firstLine="482"/>
        <w:jc w:val="left"/>
      </w:pPr>
      <w:r>
        <w:rPr>
          <w:rFonts w:ascii="仿宋_GB2312" w:hAnsi="仿宋_GB2312" w:cs="仿宋_GB2312" w:eastAsia="仿宋_GB2312"/>
          <w:sz w:val="24"/>
          <w:shd w:fill="FFFFFF" w:val="clear"/>
        </w:rPr>
        <w:t>致：福建省妇幼保健院</w:t>
      </w:r>
    </w:p>
    <w:p>
      <w:pPr>
        <w:pStyle w:val="null3"/>
        <w:ind w:firstLine="482"/>
        <w:jc w:val="left"/>
      </w:pPr>
      <w:r>
        <w:rPr>
          <w:rFonts w:ascii="仿宋_GB2312" w:hAnsi="仿宋_GB2312" w:cs="仿宋_GB2312" w:eastAsia="仿宋_GB2312"/>
          <w:sz w:val="24"/>
          <w:shd w:fill="FFFFFF" w:val="clear"/>
        </w:rPr>
        <w:t>为加强采购中的廉政建设，防止发生违法违纪行为，预防职务犯罪案件的发生，我方郑重承诺如下：</w:t>
      </w:r>
    </w:p>
    <w:p>
      <w:pPr>
        <w:pStyle w:val="null3"/>
        <w:ind w:firstLine="482"/>
        <w:jc w:val="left"/>
      </w:pPr>
      <w:r>
        <w:rPr>
          <w:rFonts w:ascii="仿宋_GB2312" w:hAnsi="仿宋_GB2312" w:cs="仿宋_GB2312" w:eastAsia="仿宋_GB2312"/>
          <w:sz w:val="24"/>
          <w:shd w:fill="FFFFFF" w:val="clear"/>
        </w:rPr>
        <w:t>(1)遵守国家和省、市以及行业主管部门关于党风廉政建设的各项规定；</w:t>
      </w:r>
    </w:p>
    <w:p>
      <w:pPr>
        <w:pStyle w:val="null3"/>
        <w:ind w:firstLine="482"/>
        <w:jc w:val="left"/>
      </w:pPr>
      <w:r>
        <w:rPr>
          <w:rFonts w:ascii="仿宋_GB2312" w:hAnsi="仿宋_GB2312" w:cs="仿宋_GB2312" w:eastAsia="仿宋_GB2312"/>
          <w:sz w:val="24"/>
          <w:shd w:fill="FFFFFF" w:val="clear"/>
        </w:rPr>
        <w:t>(2)不以任何理由向贵单位及其工作人员行贿或馈赠礼品；</w:t>
      </w:r>
    </w:p>
    <w:p>
      <w:pPr>
        <w:pStyle w:val="null3"/>
        <w:ind w:firstLine="482"/>
        <w:jc w:val="left"/>
      </w:pPr>
      <w:r>
        <w:rPr>
          <w:rFonts w:ascii="仿宋_GB2312" w:hAnsi="仿宋_GB2312" w:cs="仿宋_GB2312" w:eastAsia="仿宋_GB2312"/>
          <w:sz w:val="24"/>
          <w:shd w:fill="FFFFFF" w:val="clear"/>
        </w:rPr>
        <w:t>(3)不以任何名义为贵单位及其工作人员报支需要由其个人支付的任何费用；</w:t>
      </w:r>
    </w:p>
    <w:p>
      <w:pPr>
        <w:pStyle w:val="null3"/>
        <w:ind w:firstLine="482"/>
        <w:jc w:val="left"/>
      </w:pPr>
      <w:r>
        <w:rPr>
          <w:rFonts w:ascii="仿宋_GB2312" w:hAnsi="仿宋_GB2312" w:cs="仿宋_GB2312" w:eastAsia="仿宋_GB2312"/>
          <w:sz w:val="24"/>
          <w:shd w:fill="FFFFFF" w:val="clear"/>
        </w:rPr>
        <w:t>(4)不以任何理由邀请贵单位及其工作人员参加各项娱乐性活动；</w:t>
      </w:r>
    </w:p>
    <w:p>
      <w:pPr>
        <w:pStyle w:val="null3"/>
        <w:ind w:firstLine="482"/>
        <w:jc w:val="left"/>
      </w:pPr>
      <w:r>
        <w:rPr>
          <w:rFonts w:ascii="仿宋_GB2312" w:hAnsi="仿宋_GB2312" w:cs="仿宋_GB2312" w:eastAsia="仿宋_GB2312"/>
          <w:sz w:val="24"/>
          <w:shd w:fill="FFFFFF" w:val="clear"/>
        </w:rPr>
        <w:t>(5)不为贵单位和个人购置或提供通讯工具、交通工具、家电和高档办公用品；</w:t>
      </w:r>
    </w:p>
    <w:p>
      <w:pPr>
        <w:pStyle w:val="null3"/>
        <w:ind w:firstLine="482"/>
        <w:jc w:val="left"/>
      </w:pPr>
      <w:r>
        <w:rPr>
          <w:rFonts w:ascii="仿宋_GB2312" w:hAnsi="仿宋_GB2312" w:cs="仿宋_GB2312" w:eastAsia="仿宋_GB2312"/>
          <w:sz w:val="24"/>
          <w:shd w:fill="FFFFFF" w:val="clear"/>
        </w:rPr>
        <w:t>(6)在相关案件查办时，有配合甲方和监委提供证据、作证的义务；</w:t>
      </w:r>
    </w:p>
    <w:p>
      <w:pPr>
        <w:pStyle w:val="null3"/>
        <w:ind w:firstLine="482"/>
        <w:jc w:val="left"/>
      </w:pPr>
      <w:r>
        <w:rPr>
          <w:rFonts w:ascii="仿宋_GB2312" w:hAnsi="仿宋_GB2312" w:cs="仿宋_GB2312" w:eastAsia="仿宋_GB2312"/>
          <w:sz w:val="24"/>
          <w:shd w:fill="FFFFFF" w:val="clear"/>
        </w:rPr>
        <w:t>(7)没有其他违反廉政建设规定的行为。</w:t>
      </w:r>
    </w:p>
    <w:p>
      <w:pPr>
        <w:pStyle w:val="null3"/>
        <w:ind w:firstLine="482"/>
        <w:jc w:val="left"/>
      </w:pPr>
      <w:r>
        <w:rPr>
          <w:rFonts w:ascii="仿宋_GB2312" w:hAnsi="仿宋_GB2312" w:cs="仿宋_GB2312" w:eastAsia="仿宋_GB2312"/>
          <w:sz w:val="24"/>
          <w:shd w:fill="FFFFFF" w:val="clear"/>
        </w:rPr>
        <w:t>(8)没有存在与参与本项目的其他供应商有围标串标行为。</w:t>
      </w:r>
    </w:p>
    <w:p>
      <w:pPr>
        <w:pStyle w:val="null3"/>
        <w:ind w:firstLine="482"/>
        <w:jc w:val="left"/>
      </w:pPr>
      <w:r>
        <w:rPr>
          <w:rFonts w:ascii="仿宋_GB2312" w:hAnsi="仿宋_GB2312" w:cs="仿宋_GB2312" w:eastAsia="仿宋_GB2312"/>
          <w:sz w:val="24"/>
          <w:shd w:fill="FFFFFF" w:val="clear"/>
        </w:rPr>
        <w:t>若违反上述廉洁承诺，同意被贵单位列入贵单位不良供应商名单，在禁止期内，放弃参与贵单位各类招标采购活动的权利。</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(全称)</w:t>
      </w:r>
      <w:r>
        <w:rPr>
          <w:rFonts w:ascii="仿宋_GB2312" w:hAnsi="仿宋_GB2312" w:cs="仿宋_GB2312" w:eastAsia="仿宋_GB2312"/>
          <w:sz w:val="24"/>
        </w:rPr>
        <w:t xml:space="preserve"> </w:t>
      </w:r>
    </w:p>
    <w:p>
      <w:pPr>
        <w:pStyle w:val="null3"/>
        <w:ind w:firstLine="240"/>
        <w:jc w:val="left"/>
      </w:pPr>
      <w:r>
        <w:rPr>
          <w:rFonts w:ascii="仿宋_GB2312" w:hAnsi="仿宋_GB2312" w:cs="仿宋_GB2312" w:eastAsia="仿宋_GB2312"/>
          <w:sz w:val="24"/>
          <w:shd w:fill="FFFFFF" w:val="clear"/>
        </w:rPr>
        <w:t>法定代表人或委托代理人签字：</w:t>
      </w:r>
    </w:p>
    <w:p>
      <w:pPr>
        <w:pStyle w:val="null3"/>
        <w:ind w:firstLine="480"/>
        <w:jc w:val="both"/>
      </w:pPr>
      <w:r>
        <w:rPr>
          <w:rFonts w:ascii="仿宋_GB2312" w:hAnsi="仿宋_GB2312" w:cs="仿宋_GB2312" w:eastAsia="仿宋_GB2312"/>
          <w:sz w:val="24"/>
          <w:shd w:fill="FFFFFF" w:val="clear"/>
        </w:rPr>
        <w:t>日期：年</w:t>
      </w:r>
      <w:r>
        <w:rPr>
          <w:rFonts w:ascii="仿宋_GB2312" w:hAnsi="仿宋_GB2312" w:cs="仿宋_GB2312" w:eastAsia="仿宋_GB2312"/>
          <w:sz w:val="24"/>
          <w:shd w:fill="FFFFFF" w:val="clear"/>
        </w:rPr>
        <w:t>月</w:t>
      </w:r>
      <w:r>
        <w:rPr>
          <w:rFonts w:ascii="仿宋_GB2312" w:hAnsi="仿宋_GB2312" w:cs="仿宋_GB2312" w:eastAsia="仿宋_GB2312"/>
          <w:sz w:val="24"/>
          <w:shd w:fill="FFFFFF" w:val="clear"/>
        </w:rPr>
        <w:t>日</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 招标文件未明确的其它约定事项或条款，待采购人与中标人签订合同时，由双方协商。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[350001]BYZB[GK]2025003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皮肤镜检测平台等设备采购项目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1(皮肤镜检测平台)</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皮肤镜检测平台</w:t>
            </w:r>
          </w:p>
        </w:tc>
        <w:tc>
          <w:tcPr>
            <w:tcW w:type="dxa" w:w="1661"/>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[350001]BYZB[GK]2025003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皮肤镜检测平台等设备采购项目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皮肤镜检测平台</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皮肤镜检测平台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皮肤镜检测平台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[350001]BYZB[GK]2025003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皮肤镜检测平台等设备采购项目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2(半导体激光治疗仪)</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半导体激光治疗仪</w:t>
            </w:r>
          </w:p>
        </w:tc>
        <w:tc>
          <w:tcPr>
            <w:tcW w:type="dxa" w:w="1661"/>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[350001]BYZB[GK]2025003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皮肤镜检测平台等设备采购项目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半导体激光治疗仪</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半导体激光治疗仪</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半导体激光治疗仪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